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2CA9F">
      <w:pPr>
        <w:pStyle w:val="76"/>
        <w:snapToGrid w:val="0"/>
        <w:spacing w:line="360" w:lineRule="auto"/>
        <w:ind w:right="25" w:rightChars="12"/>
        <w:jc w:val="center"/>
        <w:rPr>
          <w:rFonts w:ascii="宋体" w:hAnsi="宋体" w:eastAsia="宋体" w:cs="宋体"/>
          <w:b/>
          <w:color w:val="auto"/>
          <w:sz w:val="48"/>
          <w:szCs w:val="48"/>
          <w:highlight w:val="none"/>
        </w:rPr>
      </w:pPr>
    </w:p>
    <w:p w14:paraId="336CD6A6">
      <w:pPr>
        <w:snapToGrid w:val="0"/>
        <w:spacing w:line="360" w:lineRule="auto"/>
        <w:jc w:val="center"/>
        <w:rPr>
          <w:rFonts w:ascii="宋体" w:hAnsi="宋体" w:eastAsia="宋体" w:cs="宋体"/>
          <w:color w:val="auto"/>
          <w:sz w:val="36"/>
          <w:szCs w:val="36"/>
          <w:highlight w:val="none"/>
          <w:u w:val="single"/>
        </w:rPr>
      </w:pPr>
      <w:r>
        <w:rPr>
          <w:rFonts w:hint="eastAsia" w:ascii="宋体" w:hAnsi="宋体" w:eastAsia="宋体" w:cs="宋体"/>
          <w:b/>
          <w:color w:val="auto"/>
          <w:sz w:val="44"/>
          <w:szCs w:val="44"/>
          <w:highlight w:val="none"/>
        </w:rPr>
        <w:t>广州科学城质子治疗中心新建项目施工总承包</w:t>
      </w:r>
    </w:p>
    <w:p w14:paraId="39DB569D">
      <w:pPr>
        <w:snapToGrid w:val="0"/>
        <w:spacing w:line="360" w:lineRule="auto"/>
        <w:jc w:val="center"/>
        <w:rPr>
          <w:rFonts w:ascii="宋体" w:hAnsi="宋体" w:eastAsia="宋体" w:cs="宋体"/>
          <w:color w:val="auto"/>
          <w:sz w:val="36"/>
          <w:szCs w:val="36"/>
          <w:highlight w:val="none"/>
          <w:u w:val="single"/>
        </w:rPr>
      </w:pPr>
    </w:p>
    <w:p w14:paraId="58F06105">
      <w:pPr>
        <w:pStyle w:val="46"/>
        <w:snapToGrid w:val="0"/>
        <w:spacing w:line="360" w:lineRule="auto"/>
        <w:rPr>
          <w:rFonts w:hAnsi="宋体" w:eastAsia="宋体" w:cs="宋体"/>
          <w:color w:val="auto"/>
          <w:highlight w:val="none"/>
        </w:rPr>
      </w:pPr>
    </w:p>
    <w:p w14:paraId="472015D7">
      <w:pPr>
        <w:pStyle w:val="46"/>
        <w:snapToGrid w:val="0"/>
        <w:spacing w:line="360" w:lineRule="auto"/>
        <w:rPr>
          <w:rFonts w:hAnsi="宋体" w:eastAsia="宋体" w:cs="宋体"/>
          <w:color w:val="auto"/>
          <w:sz w:val="36"/>
          <w:szCs w:val="36"/>
          <w:highlight w:val="none"/>
          <w:u w:val="single"/>
        </w:rPr>
      </w:pPr>
    </w:p>
    <w:p w14:paraId="62367B25">
      <w:pPr>
        <w:pStyle w:val="46"/>
        <w:snapToGrid w:val="0"/>
        <w:spacing w:line="360" w:lineRule="auto"/>
        <w:rPr>
          <w:rFonts w:hAnsi="宋体" w:eastAsia="宋体" w:cs="宋体"/>
          <w:color w:val="auto"/>
          <w:sz w:val="36"/>
          <w:szCs w:val="36"/>
          <w:highlight w:val="none"/>
          <w:u w:val="single"/>
        </w:rPr>
      </w:pPr>
    </w:p>
    <w:p w14:paraId="1715FDCD">
      <w:pPr>
        <w:pStyle w:val="46"/>
        <w:snapToGrid w:val="0"/>
        <w:spacing w:line="360" w:lineRule="auto"/>
        <w:rPr>
          <w:rFonts w:hAnsi="宋体" w:eastAsia="宋体" w:cs="宋体"/>
          <w:color w:val="auto"/>
          <w:sz w:val="36"/>
          <w:szCs w:val="36"/>
          <w:highlight w:val="none"/>
          <w:u w:val="single"/>
        </w:rPr>
      </w:pPr>
    </w:p>
    <w:p w14:paraId="49C1E116">
      <w:pPr>
        <w:snapToGrid w:val="0"/>
        <w:spacing w:line="360" w:lineRule="auto"/>
        <w:jc w:val="center"/>
        <w:rPr>
          <w:rFonts w:ascii="宋体" w:hAnsi="宋体" w:eastAsia="宋体" w:cs="宋体"/>
          <w:b/>
          <w:bCs/>
          <w:color w:val="auto"/>
          <w:spacing w:val="26"/>
          <w:sz w:val="110"/>
          <w:szCs w:val="110"/>
          <w:highlight w:val="none"/>
        </w:rPr>
      </w:pPr>
      <w:r>
        <w:rPr>
          <w:rFonts w:hint="eastAsia" w:ascii="宋体" w:hAnsi="宋体" w:eastAsia="宋体" w:cs="宋体"/>
          <w:b/>
          <w:bCs/>
          <w:color w:val="auto"/>
          <w:spacing w:val="26"/>
          <w:sz w:val="110"/>
          <w:szCs w:val="110"/>
          <w:highlight w:val="none"/>
        </w:rPr>
        <w:t>招标文件</w:t>
      </w:r>
    </w:p>
    <w:p w14:paraId="5E54FA39">
      <w:pPr>
        <w:snapToGrid w:val="0"/>
        <w:spacing w:line="360" w:lineRule="auto"/>
        <w:jc w:val="center"/>
        <w:rPr>
          <w:rFonts w:ascii="宋体" w:hAnsi="宋体" w:eastAsia="宋体" w:cs="宋体"/>
          <w:color w:val="auto"/>
          <w:sz w:val="32"/>
          <w:szCs w:val="32"/>
          <w:highlight w:val="none"/>
        </w:rPr>
      </w:pPr>
    </w:p>
    <w:p w14:paraId="1DC6CE88">
      <w:pPr>
        <w:snapToGrid w:val="0"/>
        <w:spacing w:line="360" w:lineRule="auto"/>
        <w:ind w:firstLine="2560" w:firstLineChars="800"/>
        <w:rPr>
          <w:rFonts w:ascii="宋体" w:hAnsi="宋体" w:eastAsia="宋体" w:cs="宋体"/>
          <w:color w:val="auto"/>
          <w:sz w:val="32"/>
          <w:szCs w:val="32"/>
          <w:highlight w:val="none"/>
        </w:rPr>
      </w:pPr>
    </w:p>
    <w:p w14:paraId="73F7BE0D">
      <w:pPr>
        <w:rPr>
          <w:rFonts w:ascii="宋体" w:hAnsi="宋体" w:eastAsia="宋体" w:cs="宋体"/>
          <w:color w:val="auto"/>
          <w:sz w:val="32"/>
          <w:szCs w:val="32"/>
          <w:highlight w:val="none"/>
        </w:rPr>
      </w:pPr>
    </w:p>
    <w:p w14:paraId="3764474C">
      <w:pPr>
        <w:rPr>
          <w:rStyle w:val="237"/>
          <w:rFonts w:ascii="宋体" w:hAnsi="宋体" w:eastAsia="宋体" w:cs="宋体"/>
          <w:b/>
          <w:bCs/>
          <w:color w:val="auto"/>
          <w:szCs w:val="21"/>
          <w:highlight w:val="none"/>
          <w:u w:val="none"/>
        </w:rPr>
      </w:pPr>
    </w:p>
    <w:p w14:paraId="67D7440C">
      <w:pPr>
        <w:snapToGrid w:val="0"/>
        <w:spacing w:line="360" w:lineRule="auto"/>
        <w:ind w:firstLine="1200" w:firstLineChars="400"/>
        <w:rPr>
          <w:rFonts w:ascii="宋体" w:hAnsi="宋体" w:eastAsia="宋体" w:cs="宋体"/>
          <w:color w:val="auto"/>
          <w:sz w:val="30"/>
          <w:szCs w:val="30"/>
          <w:highlight w:val="none"/>
        </w:rPr>
      </w:pPr>
    </w:p>
    <w:p w14:paraId="56FF3BF2">
      <w:pPr>
        <w:pStyle w:val="46"/>
        <w:snapToGrid w:val="0"/>
        <w:spacing w:line="360" w:lineRule="auto"/>
        <w:rPr>
          <w:rFonts w:hAnsi="宋体" w:eastAsia="宋体" w:cs="宋体"/>
          <w:color w:val="auto"/>
          <w:highlight w:val="none"/>
        </w:rPr>
      </w:pPr>
    </w:p>
    <w:p w14:paraId="49AA297F">
      <w:pPr>
        <w:snapToGrid w:val="0"/>
        <w:spacing w:line="360" w:lineRule="auto"/>
        <w:ind w:firstLine="641" w:firstLineChars="213"/>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u w:val="none"/>
        </w:rPr>
        <w:t>招标人：</w:t>
      </w:r>
      <w:r>
        <w:rPr>
          <w:rFonts w:hint="eastAsia" w:ascii="宋体" w:hAnsi="宋体" w:eastAsia="宋体" w:cs="宋体"/>
          <w:b/>
          <w:bCs/>
          <w:color w:val="auto"/>
          <w:sz w:val="30"/>
          <w:szCs w:val="30"/>
          <w:highlight w:val="none"/>
          <w:u w:val="single"/>
        </w:rPr>
        <w:t>广州开发区财政投资建设项目管理中心</w:t>
      </w:r>
    </w:p>
    <w:p w14:paraId="1285498B">
      <w:pPr>
        <w:snapToGrid w:val="0"/>
        <w:spacing w:line="360" w:lineRule="auto"/>
        <w:ind w:firstLine="641" w:firstLineChars="213"/>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招标代理机构：</w:t>
      </w:r>
      <w:r>
        <w:rPr>
          <w:rFonts w:hint="eastAsia" w:ascii="宋体" w:hAnsi="宋体" w:eastAsia="宋体" w:cs="宋体"/>
          <w:b/>
          <w:bCs/>
          <w:color w:val="auto"/>
          <w:sz w:val="30"/>
          <w:szCs w:val="30"/>
          <w:highlight w:val="none"/>
          <w:u w:val="single"/>
        </w:rPr>
        <w:t>广州万安建设监理有限公司</w:t>
      </w:r>
    </w:p>
    <w:p w14:paraId="72FD3F02">
      <w:pPr>
        <w:snapToGrid w:val="0"/>
        <w:spacing w:line="360" w:lineRule="auto"/>
        <w:ind w:firstLine="641" w:firstLineChars="213"/>
        <w:rPr>
          <w:rFonts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日期：</w:t>
      </w:r>
      <w:r>
        <w:rPr>
          <w:rFonts w:ascii="宋体" w:hAnsi="宋体" w:eastAsia="宋体" w:cs="宋体"/>
          <w:b/>
          <w:bCs/>
          <w:color w:val="auto"/>
          <w:sz w:val="30"/>
          <w:szCs w:val="30"/>
          <w:highlight w:val="none"/>
          <w:u w:val="single"/>
        </w:rPr>
        <w:t>2025年</w:t>
      </w:r>
      <w:r>
        <w:rPr>
          <w:rFonts w:hint="eastAsia" w:ascii="宋体" w:hAnsi="宋体" w:eastAsia="宋体" w:cs="宋体"/>
          <w:b/>
          <w:bCs/>
          <w:color w:val="auto"/>
          <w:sz w:val="30"/>
          <w:szCs w:val="30"/>
          <w:highlight w:val="none"/>
          <w:u w:val="single"/>
          <w:lang w:val="en-US" w:eastAsia="zh-CN"/>
        </w:rPr>
        <w:t>8</w:t>
      </w:r>
      <w:r>
        <w:rPr>
          <w:rFonts w:hint="eastAsia" w:ascii="宋体" w:hAnsi="宋体" w:eastAsia="宋体" w:cs="宋体"/>
          <w:b/>
          <w:bCs/>
          <w:color w:val="auto"/>
          <w:sz w:val="30"/>
          <w:szCs w:val="30"/>
          <w:highlight w:val="none"/>
          <w:u w:val="single"/>
        </w:rPr>
        <w:t>月</w:t>
      </w:r>
    </w:p>
    <w:p w14:paraId="3B582485">
      <w:pPr>
        <w:pStyle w:val="2"/>
        <w:tabs>
          <w:tab w:val="right" w:leader="dot" w:pos="9060"/>
        </w:tabs>
        <w:ind w:left="0" w:leftChars="0"/>
        <w:rPr>
          <w:rFonts w:ascii="宋体" w:hAnsi="宋体" w:eastAsia="宋体" w:cs="宋体"/>
          <w:color w:val="auto"/>
          <w:szCs w:val="21"/>
          <w:highlight w:val="none"/>
        </w:rPr>
      </w:pPr>
    </w:p>
    <w:p w14:paraId="3F03B681">
      <w:pPr>
        <w:snapToGrid w:val="0"/>
        <w:rPr>
          <w:rStyle w:val="237"/>
          <w:rFonts w:ascii="宋体" w:hAnsi="宋体" w:eastAsia="宋体" w:cs="宋体"/>
          <w:b/>
          <w:bCs/>
          <w:color w:val="auto"/>
          <w:szCs w:val="21"/>
          <w:highlight w:val="none"/>
          <w:u w:val="none"/>
        </w:rPr>
        <w:sectPr>
          <w:footerReference r:id="rId6" w:type="first"/>
          <w:footerReference r:id="rId4" w:type="default"/>
          <w:headerReference r:id="rId3" w:type="even"/>
          <w:footerReference r:id="rId5" w:type="even"/>
          <w:endnotePr>
            <w:numFmt w:val="decimal"/>
          </w:endnotePr>
          <w:pgSz w:w="11906" w:h="16838"/>
          <w:pgMar w:top="1440" w:right="1440" w:bottom="1440" w:left="1440" w:header="851" w:footer="992" w:gutter="0"/>
          <w:pgNumType w:fmt="decimal"/>
          <w:cols w:space="425" w:num="1"/>
          <w:titlePg/>
          <w:docGrid w:type="lines" w:linePitch="312" w:charSpace="0"/>
        </w:sectPr>
      </w:pPr>
    </w:p>
    <w:p w14:paraId="01EE1521">
      <w:pPr>
        <w:snapToGrid w:val="0"/>
        <w:rPr>
          <w:rStyle w:val="237"/>
          <w:rFonts w:ascii="宋体" w:hAnsi="宋体" w:eastAsia="宋体" w:cs="宋体"/>
          <w:b/>
          <w:bCs/>
          <w:color w:val="auto"/>
          <w:szCs w:val="21"/>
          <w:highlight w:val="none"/>
          <w:u w:val="none"/>
        </w:rPr>
      </w:pPr>
    </w:p>
    <w:p w14:paraId="1DB7BC50">
      <w:pPr>
        <w:snapToGrid w:val="0"/>
        <w:spacing w:line="360" w:lineRule="auto"/>
        <w:jc w:val="center"/>
        <w:rPr>
          <w:rStyle w:val="237"/>
          <w:rFonts w:ascii="宋体" w:hAnsi="宋体" w:eastAsia="宋体" w:cs="宋体"/>
          <w:b/>
          <w:bCs/>
          <w:color w:val="auto"/>
          <w:sz w:val="36"/>
          <w:szCs w:val="36"/>
          <w:highlight w:val="none"/>
        </w:rPr>
      </w:pPr>
      <w:r>
        <w:rPr>
          <w:rStyle w:val="237"/>
          <w:rFonts w:hint="eastAsia" w:ascii="宋体" w:hAnsi="宋体" w:eastAsia="宋体" w:cs="宋体"/>
          <w:b/>
          <w:bCs/>
          <w:color w:val="auto"/>
          <w:sz w:val="36"/>
          <w:szCs w:val="36"/>
          <w:highlight w:val="none"/>
          <w:u w:val="none"/>
        </w:rPr>
        <w:t>目</w:t>
      </w:r>
      <w:r>
        <w:rPr>
          <w:rStyle w:val="237"/>
          <w:rFonts w:ascii="宋体" w:hAnsi="宋体" w:eastAsia="宋体" w:cs="宋体"/>
          <w:b/>
          <w:bCs/>
          <w:color w:val="auto"/>
          <w:sz w:val="36"/>
          <w:szCs w:val="36"/>
          <w:highlight w:val="none"/>
          <w:u w:val="none"/>
        </w:rPr>
        <w:t xml:space="preserve">  </w:t>
      </w:r>
      <w:r>
        <w:rPr>
          <w:rStyle w:val="237"/>
          <w:rFonts w:hint="eastAsia" w:ascii="宋体" w:hAnsi="宋体" w:eastAsia="宋体" w:cs="宋体"/>
          <w:b/>
          <w:bCs/>
          <w:color w:val="auto"/>
          <w:sz w:val="36"/>
          <w:szCs w:val="36"/>
          <w:highlight w:val="none"/>
          <w:u w:val="none"/>
        </w:rPr>
        <w:t>录</w:t>
      </w:r>
    </w:p>
    <w:p w14:paraId="7CA269DE">
      <w:pPr>
        <w:snapToGrid w:val="0"/>
        <w:spacing w:line="360" w:lineRule="auto"/>
        <w:jc w:val="center"/>
        <w:rPr>
          <w:rFonts w:ascii="宋体" w:hAnsi="宋体" w:eastAsia="宋体" w:cs="宋体"/>
          <w:b/>
          <w:caps/>
          <w:color w:val="auto"/>
          <w:kern w:val="0"/>
          <w:sz w:val="36"/>
          <w:szCs w:val="36"/>
          <w:highlight w:val="none"/>
        </w:rPr>
      </w:pPr>
    </w:p>
    <w:p w14:paraId="11E5DB87">
      <w:pPr>
        <w:pStyle w:val="60"/>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"_Toc6280"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第一章</w:t>
      </w:r>
      <w:r>
        <w:rPr>
          <w:rFonts w:ascii="宋体" w:hAnsi="宋体" w:eastAsia="宋体" w:cs="宋体"/>
          <w:bCs/>
          <w:color w:val="auto"/>
          <w:highlight w:val="none"/>
        </w:rPr>
        <w:t xml:space="preserve">  </w:t>
      </w:r>
      <w:r>
        <w:rPr>
          <w:rFonts w:hint="eastAsia" w:ascii="宋体" w:hAnsi="宋体" w:eastAsia="宋体" w:cs="宋体"/>
          <w:bCs/>
          <w:color w:val="auto"/>
          <w:highlight w:val="none"/>
        </w:rPr>
        <w:t>投标须知</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_Toc6280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FC8FBA">
      <w:pPr>
        <w:pStyle w:val="2"/>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"_Toc27735"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一、投标须知前附表</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_Toc27735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D97191">
      <w:pPr>
        <w:pStyle w:val="2"/>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"_Toc6608"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二、投标须知修改表</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_Toc6608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747726">
      <w:pPr>
        <w:pStyle w:val="2"/>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"_Toc31334"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三、投标须知通用条款</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_Toc31334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FBC0B7">
      <w:pPr>
        <w:pStyle w:val="45"/>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"_Toc12947"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（一）总则</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_Toc12947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47FBAC">
      <w:pPr>
        <w:pStyle w:val="45"/>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"_Toc32111"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（二）招标文件</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_Toc32111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90DF32">
      <w:pPr>
        <w:pStyle w:val="45"/>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"_Toc32542"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（三）投标文件的编制</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_Toc32542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9A1184">
      <w:pPr>
        <w:pStyle w:val="45"/>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（四）投标文件的提交</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D892F8">
      <w:pPr>
        <w:pStyle w:val="45"/>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"_Toc13732"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（五）开标、评标、定标及合同签定</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_Toc13732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27BA18">
      <w:pPr>
        <w:pStyle w:val="60"/>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"_Toc12835"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第二章</w:t>
      </w:r>
      <w:r>
        <w:rPr>
          <w:rFonts w:ascii="宋体" w:hAnsi="宋体" w:eastAsia="宋体" w:cs="宋体"/>
          <w:bCs/>
          <w:color w:val="auto"/>
          <w:highlight w:val="none"/>
        </w:rPr>
        <w:t xml:space="preserve">  </w:t>
      </w:r>
      <w:r>
        <w:rPr>
          <w:rFonts w:hint="eastAsia" w:ascii="宋体" w:hAnsi="宋体" w:eastAsia="宋体" w:cs="宋体"/>
          <w:bCs/>
          <w:color w:val="auto"/>
          <w:highlight w:val="none"/>
        </w:rPr>
        <w:t>开标、评标及定标办法</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_Toc12835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300747">
      <w:pPr>
        <w:pStyle w:val="2"/>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"_Toc20882"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一、开标、评标及定标办法修改表</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_Toc20882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919FF9">
      <w:pPr>
        <w:pStyle w:val="2"/>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"_Toc5678"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二、开标、评标及定标办法</w:t>
      </w:r>
      <w:r>
        <w:rPr>
          <w:rFonts w:hint="eastAsia" w:ascii="宋体" w:hAnsi="宋体" w:eastAsia="宋体" w:cs="宋体"/>
          <w:color w:val="auto"/>
          <w:szCs w:val="30"/>
          <w:highlight w:val="none"/>
        </w:rPr>
        <w:t>通用条款</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_Toc5678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F2F7C3">
      <w:pPr>
        <w:pStyle w:val="45"/>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"_Toc31373"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（一）总则</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_Toc31373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89BB552">
      <w:pPr>
        <w:pStyle w:val="45"/>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"_Toc9740"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（二）开标评标办法程序和细则</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_Toc9740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1F9D3A">
      <w:pPr>
        <w:pStyle w:val="45"/>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"_Toc3121"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可选办法八（适合经评审的最低投标价法，技术标与经济标同时开启）</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_Toc3121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0BEEEE">
      <w:pPr>
        <w:pStyle w:val="60"/>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"_Toc5789"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44"/>
          <w:highlight w:val="none"/>
        </w:rPr>
        <w:t>第三章</w:t>
      </w:r>
      <w:r>
        <w:rPr>
          <w:rFonts w:ascii="宋体" w:hAnsi="宋体" w:eastAsia="宋体" w:cs="宋体"/>
          <w:color w:val="auto"/>
          <w:szCs w:val="44"/>
          <w:highlight w:val="none"/>
        </w:rPr>
        <w:t xml:space="preserve">  </w:t>
      </w:r>
      <w:r>
        <w:rPr>
          <w:rFonts w:hint="eastAsia" w:ascii="宋体" w:hAnsi="宋体" w:eastAsia="宋体" w:cs="宋体"/>
          <w:color w:val="auto"/>
          <w:szCs w:val="44"/>
          <w:highlight w:val="none"/>
        </w:rPr>
        <w:t>合同条款</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_Toc5789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73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6F3528">
      <w:pPr>
        <w:pStyle w:val="60"/>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"_Toc30083"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w:t>
      </w:r>
      <w:r>
        <w:rPr>
          <w:rFonts w:ascii="宋体" w:hAnsi="宋体" w:eastAsia="宋体" w:cs="宋体"/>
          <w:color w:val="auto"/>
          <w:highlight w:val="none"/>
        </w:rPr>
        <w:t xml:space="preserve">  </w:t>
      </w:r>
      <w:r>
        <w:rPr>
          <w:rFonts w:hint="eastAsia" w:ascii="宋体" w:hAnsi="宋体" w:eastAsia="宋体" w:cs="宋体"/>
          <w:color w:val="auto"/>
          <w:highlight w:val="none"/>
        </w:rPr>
        <w:t>投标文件格式</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_Toc30083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143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CB8A5A">
      <w:pPr>
        <w:pStyle w:val="60"/>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"_Toc9312"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w:t>
      </w:r>
      <w:r>
        <w:rPr>
          <w:rFonts w:ascii="宋体" w:hAnsi="宋体" w:eastAsia="宋体" w:cs="宋体"/>
          <w:color w:val="auto"/>
          <w:highlight w:val="none"/>
        </w:rPr>
        <w:t xml:space="preserve">  </w:t>
      </w:r>
      <w:r>
        <w:rPr>
          <w:rFonts w:hint="eastAsia" w:ascii="宋体" w:hAnsi="宋体" w:eastAsia="宋体" w:cs="宋体"/>
          <w:color w:val="auto"/>
          <w:highlight w:val="none"/>
        </w:rPr>
        <w:t>技术条件（工程建设标准）</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_Toc9312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163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CB7159">
      <w:pPr>
        <w:pStyle w:val="60"/>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"_Toc9353"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w:t>
      </w:r>
      <w:r>
        <w:rPr>
          <w:rFonts w:ascii="宋体" w:hAnsi="宋体" w:eastAsia="宋体" w:cs="宋体"/>
          <w:color w:val="auto"/>
          <w:highlight w:val="none"/>
        </w:rPr>
        <w:t xml:space="preserve">  </w:t>
      </w:r>
      <w:r>
        <w:rPr>
          <w:rFonts w:hint="eastAsia" w:ascii="宋体" w:hAnsi="宋体" w:eastAsia="宋体" w:cs="宋体"/>
          <w:color w:val="auto"/>
          <w:highlight w:val="none"/>
        </w:rPr>
        <w:t>图纸及勘察资料</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_Toc9353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166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B109C0">
      <w:pPr>
        <w:pStyle w:val="60"/>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"_Toc22481"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第七章</w:t>
      </w:r>
      <w:r>
        <w:rPr>
          <w:rFonts w:ascii="宋体" w:hAnsi="宋体" w:eastAsia="宋体" w:cs="宋体"/>
          <w:color w:val="auto"/>
          <w:highlight w:val="none"/>
        </w:rPr>
        <w:t xml:space="preserve">  </w:t>
      </w:r>
      <w:r>
        <w:rPr>
          <w:rFonts w:hint="eastAsia" w:ascii="宋体" w:hAnsi="宋体" w:eastAsia="宋体" w:cs="宋体"/>
          <w:color w:val="auto"/>
          <w:highlight w:val="none"/>
        </w:rPr>
        <w:t>工程量清单</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_Toc22481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167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A4B5E8">
      <w:pPr>
        <w:pStyle w:val="60"/>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HYPERLINK \l "_Toc3710"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第八章</w:t>
      </w:r>
      <w:r>
        <w:rPr>
          <w:rFonts w:ascii="宋体" w:hAnsi="宋体" w:eastAsia="宋体" w:cs="宋体"/>
          <w:color w:val="auto"/>
          <w:highlight w:val="none"/>
        </w:rPr>
        <w:t xml:space="preserve">  </w:t>
      </w:r>
      <w:r>
        <w:rPr>
          <w:rFonts w:hint="eastAsia" w:ascii="宋体" w:hAnsi="宋体" w:eastAsia="宋体" w:cs="宋体"/>
          <w:color w:val="auto"/>
          <w:highlight w:val="none"/>
        </w:rPr>
        <w:t>最高投标限价</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_Toc3710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168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460BF8">
      <w:pPr>
        <w:pStyle w:val="86"/>
        <w:ind w:firstLine="210"/>
        <w:rPr>
          <w:rFonts w:ascii="宋体" w:hAnsi="宋体" w:eastAsia="宋体" w:cs="宋体"/>
          <w:color w:val="auto"/>
          <w:highlight w:val="none"/>
        </w:rPr>
      </w:pPr>
      <w:r>
        <w:rPr>
          <w:rFonts w:hint="eastAsia" w:ascii="宋体" w:hAnsi="宋体" w:eastAsia="宋体" w:cs="宋体"/>
          <w:color w:val="auto"/>
          <w:highlight w:val="none"/>
        </w:rPr>
        <w:fldChar w:fldCharType="end"/>
      </w:r>
    </w:p>
    <w:p w14:paraId="6B527E1F">
      <w:pPr>
        <w:snapToGrid w:val="0"/>
        <w:spacing w:line="360" w:lineRule="auto"/>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br w:type="page"/>
      </w:r>
    </w:p>
    <w:p w14:paraId="7761B23C">
      <w:pPr>
        <w:pStyle w:val="4"/>
        <w:tabs>
          <w:tab w:val="left" w:pos="0"/>
        </w:tabs>
        <w:snapToGrid w:val="0"/>
        <w:spacing w:before="0" w:after="0"/>
        <w:jc w:val="center"/>
        <w:rPr>
          <w:rFonts w:ascii="宋体" w:hAnsi="宋体" w:eastAsia="宋体" w:cs="宋体"/>
          <w:color w:val="auto"/>
          <w:sz w:val="32"/>
          <w:szCs w:val="32"/>
          <w:highlight w:val="none"/>
        </w:rPr>
      </w:pPr>
      <w:bookmarkStart w:id="0" w:name="_Toc6280"/>
      <w:r>
        <w:rPr>
          <w:rFonts w:hint="eastAsia" w:ascii="宋体" w:hAnsi="宋体" w:eastAsia="宋体" w:cs="宋体"/>
          <w:b/>
          <w:color w:val="auto"/>
          <w:kern w:val="44"/>
          <w:sz w:val="32"/>
          <w:szCs w:val="32"/>
          <w:highlight w:val="none"/>
        </w:rPr>
        <w:t>第一章</w:t>
      </w:r>
      <w:r>
        <w:rPr>
          <w:rFonts w:ascii="宋体" w:hAnsi="宋体" w:eastAsia="宋体" w:cs="宋体"/>
          <w:b/>
          <w:color w:val="auto"/>
          <w:kern w:val="44"/>
          <w:sz w:val="32"/>
          <w:szCs w:val="32"/>
          <w:highlight w:val="none"/>
        </w:rPr>
        <w:t xml:space="preserve">  </w:t>
      </w:r>
      <w:r>
        <w:rPr>
          <w:rFonts w:hint="eastAsia" w:ascii="宋体" w:hAnsi="宋体" w:eastAsia="宋体" w:cs="宋体"/>
          <w:b/>
          <w:color w:val="auto"/>
          <w:kern w:val="44"/>
          <w:sz w:val="32"/>
          <w:szCs w:val="32"/>
          <w:highlight w:val="none"/>
        </w:rPr>
        <w:t>投标须知</w:t>
      </w:r>
      <w:bookmarkEnd w:id="0"/>
    </w:p>
    <w:p w14:paraId="02DB6E64">
      <w:pPr>
        <w:pStyle w:val="5"/>
        <w:tabs>
          <w:tab w:val="left" w:pos="0"/>
        </w:tabs>
        <w:snapToGrid w:val="0"/>
        <w:spacing w:before="0" w:after="0" w:line="360" w:lineRule="auto"/>
        <w:jc w:val="center"/>
        <w:rPr>
          <w:rFonts w:ascii="宋体" w:hAnsi="宋体" w:eastAsia="宋体" w:cs="宋体"/>
          <w:color w:val="auto"/>
          <w:highlight w:val="none"/>
        </w:rPr>
      </w:pPr>
      <w:bookmarkStart w:id="1" w:name="_Toc27735"/>
      <w:r>
        <w:rPr>
          <w:rFonts w:hint="eastAsia" w:ascii="宋体" w:hAnsi="宋体" w:eastAsia="宋体" w:cs="宋体"/>
          <w:color w:val="auto"/>
          <w:highlight w:val="none"/>
        </w:rPr>
        <w:t>一、投标须知前附表</w:t>
      </w:r>
      <w:bookmarkEnd w:id="1"/>
    </w:p>
    <w:p w14:paraId="62834101">
      <w:pPr>
        <w:pStyle w:val="22"/>
        <w:snapToGrid w:val="0"/>
        <w:spacing w:line="360" w:lineRule="auto"/>
        <w:ind w:firstLine="422"/>
        <w:rPr>
          <w:rFonts w:ascii="宋体" w:hAnsi="宋体" w:eastAsia="宋体" w:cs="宋体"/>
          <w:b/>
          <w:color w:val="auto"/>
          <w:szCs w:val="21"/>
          <w:highlight w:val="none"/>
        </w:rPr>
      </w:pPr>
      <w:r>
        <w:rPr>
          <w:rFonts w:hint="eastAsia" w:ascii="宋体" w:hAnsi="宋体" w:eastAsia="宋体" w:cs="宋体"/>
          <w:b/>
          <w:color w:val="auto"/>
          <w:szCs w:val="21"/>
          <w:highlight w:val="none"/>
        </w:rPr>
        <w:t>声明：本投标须知前附表使用</w:t>
      </w:r>
      <w:r>
        <w:rPr>
          <w:rFonts w:ascii="宋体" w:hAnsi="宋体" w:eastAsia="宋体" w:cs="宋体"/>
          <w:b/>
          <w:color w:val="auto"/>
          <w:szCs w:val="21"/>
          <w:highlight w:val="none"/>
        </w:rPr>
        <w:t>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88"/>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826"/>
        <w:gridCol w:w="1259"/>
        <w:gridCol w:w="6662"/>
      </w:tblGrid>
      <w:tr w14:paraId="2FB298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68" w:type="pct"/>
            <w:tcBorders>
              <w:top w:val="double" w:color="auto" w:sz="4" w:space="0"/>
              <w:left w:val="double" w:color="auto" w:sz="4" w:space="0"/>
            </w:tcBorders>
            <w:noWrap/>
            <w:vAlign w:val="center"/>
          </w:tcPr>
          <w:p w14:paraId="06723C84">
            <w:pPr>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 w:val="21"/>
                <w:szCs w:val="21"/>
                <w:highlight w:val="none"/>
              </w:rPr>
              <w:t>项目</w:t>
            </w:r>
          </w:p>
        </w:tc>
        <w:tc>
          <w:tcPr>
            <w:tcW w:w="447" w:type="pct"/>
            <w:tcBorders>
              <w:top w:val="double" w:color="auto" w:sz="4" w:space="0"/>
            </w:tcBorders>
            <w:noWrap/>
            <w:vAlign w:val="center"/>
          </w:tcPr>
          <w:p w14:paraId="202C2866">
            <w:pPr>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 w:val="21"/>
                <w:szCs w:val="21"/>
                <w:highlight w:val="none"/>
              </w:rPr>
              <w:t>条款号</w:t>
            </w:r>
          </w:p>
        </w:tc>
        <w:tc>
          <w:tcPr>
            <w:tcW w:w="681" w:type="pct"/>
            <w:tcBorders>
              <w:top w:val="double" w:color="auto" w:sz="4" w:space="0"/>
            </w:tcBorders>
            <w:noWrap/>
            <w:vAlign w:val="center"/>
          </w:tcPr>
          <w:p w14:paraId="3215BB84">
            <w:pPr>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 w:val="21"/>
                <w:szCs w:val="21"/>
                <w:highlight w:val="none"/>
              </w:rPr>
              <w:t>内容</w:t>
            </w:r>
          </w:p>
        </w:tc>
        <w:tc>
          <w:tcPr>
            <w:tcW w:w="3603" w:type="pct"/>
            <w:tcBorders>
              <w:top w:val="double" w:color="auto" w:sz="4" w:space="0"/>
              <w:right w:val="double" w:color="auto" w:sz="4" w:space="0"/>
            </w:tcBorders>
            <w:noWrap/>
            <w:vAlign w:val="center"/>
          </w:tcPr>
          <w:p w14:paraId="59AA6221">
            <w:pPr>
              <w:pStyle w:val="51"/>
              <w:snapToGrid w:val="0"/>
              <w:spacing w:line="288" w:lineRule="auto"/>
              <w:ind w:left="0" w:leftChars="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说明与要求</w:t>
            </w:r>
          </w:p>
        </w:tc>
      </w:tr>
      <w:tr w14:paraId="677F51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631A02EA">
            <w:pPr>
              <w:snapToGrid w:val="0"/>
              <w:spacing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w:t>
            </w:r>
          </w:p>
        </w:tc>
        <w:tc>
          <w:tcPr>
            <w:tcW w:w="447" w:type="pct"/>
            <w:noWrap/>
            <w:vAlign w:val="center"/>
          </w:tcPr>
          <w:p w14:paraId="56079CCB">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w:t>
            </w:r>
          </w:p>
        </w:tc>
        <w:tc>
          <w:tcPr>
            <w:tcW w:w="681" w:type="pct"/>
            <w:noWrap/>
            <w:vAlign w:val="center"/>
          </w:tcPr>
          <w:p w14:paraId="4D431D50">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定义</w:t>
            </w:r>
          </w:p>
        </w:tc>
        <w:tc>
          <w:tcPr>
            <w:tcW w:w="3603" w:type="pct"/>
            <w:tcBorders>
              <w:right w:val="double" w:color="auto" w:sz="4" w:space="0"/>
            </w:tcBorders>
            <w:noWrap/>
            <w:vAlign w:val="center"/>
          </w:tcPr>
          <w:p w14:paraId="7A147166">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招标人（即发包人）：</w:t>
            </w:r>
            <w:r>
              <w:rPr>
                <w:rFonts w:hint="eastAsia" w:ascii="宋体" w:hAnsi="宋体" w:eastAsia="宋体" w:cs="宋体"/>
                <w:b w:val="0"/>
                <w:color w:val="auto"/>
                <w:sz w:val="21"/>
                <w:szCs w:val="21"/>
                <w:highlight w:val="none"/>
                <w:u w:val="single"/>
              </w:rPr>
              <w:t>广州开发区财政投资建设项目管理中心</w:t>
            </w:r>
          </w:p>
          <w:p w14:paraId="5F8ED04E">
            <w:pPr>
              <w:snapToGrid w:val="0"/>
              <w:spacing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招标代理：</w:t>
            </w:r>
            <w:r>
              <w:rPr>
                <w:rFonts w:hint="eastAsia" w:ascii="宋体" w:hAnsi="宋体" w:eastAsia="宋体" w:cs="宋体"/>
                <w:b w:val="0"/>
                <w:color w:val="auto"/>
                <w:sz w:val="21"/>
                <w:szCs w:val="21"/>
                <w:highlight w:val="none"/>
                <w:u w:val="single"/>
              </w:rPr>
              <w:t>广州万安建设监理有限公司</w:t>
            </w:r>
          </w:p>
          <w:p w14:paraId="7DECFAA2">
            <w:pPr>
              <w:snapToGrid w:val="0"/>
              <w:spacing w:line="288" w:lineRule="auto"/>
              <w:rPr>
                <w:rFonts w:hint="default" w:ascii="宋体" w:hAnsi="宋体" w:eastAsia="宋体" w:cs="宋体"/>
                <w:color w:val="auto"/>
                <w:szCs w:val="21"/>
                <w:highlight w:val="none"/>
                <w:u w:val="single"/>
                <w:lang w:val="en-US" w:eastAsia="zh-CN"/>
              </w:rPr>
            </w:pPr>
            <w:r>
              <w:rPr>
                <w:rFonts w:hint="eastAsia" w:ascii="宋体" w:hAnsi="宋体" w:eastAsia="宋体" w:cs="宋体"/>
                <w:b w:val="0"/>
                <w:color w:val="auto"/>
                <w:sz w:val="21"/>
                <w:szCs w:val="21"/>
                <w:highlight w:val="none"/>
              </w:rPr>
              <w:t>设计单位：</w:t>
            </w:r>
            <w:r>
              <w:rPr>
                <w:rFonts w:hint="eastAsia" w:ascii="宋体" w:hAnsi="宋体" w:eastAsia="宋体" w:cs="宋体"/>
                <w:b w:val="0"/>
                <w:color w:val="auto"/>
                <w:sz w:val="21"/>
                <w:szCs w:val="21"/>
                <w:highlight w:val="none"/>
                <w:u w:val="single"/>
                <w:lang w:val="en-US" w:eastAsia="zh-CN"/>
              </w:rPr>
              <w:t>中恒建筑设计院（广州）有限公司</w:t>
            </w:r>
          </w:p>
          <w:p w14:paraId="600CE7E6">
            <w:pPr>
              <w:snapToGrid w:val="0"/>
              <w:spacing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监理单位：</w:t>
            </w:r>
            <w:r>
              <w:rPr>
                <w:rFonts w:ascii="宋体" w:hAnsi="宋体" w:eastAsia="宋体" w:cs="宋体"/>
                <w:b w:val="0"/>
                <w:color w:val="auto"/>
                <w:sz w:val="21"/>
                <w:szCs w:val="21"/>
                <w:highlight w:val="none"/>
                <w:u w:val="single"/>
              </w:rPr>
              <w:t xml:space="preserve"> / </w:t>
            </w:r>
          </w:p>
          <w:p w14:paraId="462BDE07">
            <w:pPr>
              <w:snapToGrid w:val="0"/>
              <w:spacing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检测机构：</w:t>
            </w:r>
            <w:r>
              <w:rPr>
                <w:rFonts w:ascii="宋体" w:hAnsi="宋体" w:eastAsia="宋体" w:cs="宋体"/>
                <w:b w:val="0"/>
                <w:color w:val="auto"/>
                <w:sz w:val="21"/>
                <w:szCs w:val="21"/>
                <w:highlight w:val="none"/>
                <w:u w:val="single"/>
              </w:rPr>
              <w:t xml:space="preserve"> / </w:t>
            </w:r>
          </w:p>
        </w:tc>
      </w:tr>
      <w:tr w14:paraId="4264B8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2E8EEF32">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w:t>
            </w:r>
          </w:p>
        </w:tc>
        <w:tc>
          <w:tcPr>
            <w:tcW w:w="447" w:type="pct"/>
            <w:noWrap/>
            <w:vAlign w:val="center"/>
          </w:tcPr>
          <w:p w14:paraId="7489DE5D">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2.2</w:t>
            </w:r>
          </w:p>
        </w:tc>
        <w:tc>
          <w:tcPr>
            <w:tcW w:w="681" w:type="pct"/>
            <w:noWrap/>
            <w:vAlign w:val="center"/>
          </w:tcPr>
          <w:p w14:paraId="42548E8C">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工程名称</w:t>
            </w:r>
          </w:p>
        </w:tc>
        <w:tc>
          <w:tcPr>
            <w:tcW w:w="3603" w:type="pct"/>
            <w:tcBorders>
              <w:right w:val="double" w:color="auto" w:sz="4" w:space="0"/>
            </w:tcBorders>
            <w:noWrap/>
            <w:vAlign w:val="center"/>
          </w:tcPr>
          <w:p w14:paraId="730CD118">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广州科学城质子治疗中心新建项目施工总承包</w:t>
            </w:r>
          </w:p>
        </w:tc>
      </w:tr>
      <w:tr w14:paraId="5B3F17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4359AFFA">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w:t>
            </w:r>
          </w:p>
        </w:tc>
        <w:tc>
          <w:tcPr>
            <w:tcW w:w="447" w:type="pct"/>
            <w:noWrap/>
            <w:vAlign w:val="center"/>
          </w:tcPr>
          <w:p w14:paraId="399F79D8">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2.2</w:t>
            </w:r>
          </w:p>
        </w:tc>
        <w:tc>
          <w:tcPr>
            <w:tcW w:w="681" w:type="pct"/>
            <w:noWrap/>
            <w:vAlign w:val="center"/>
          </w:tcPr>
          <w:p w14:paraId="1937F3A5">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建设地点</w:t>
            </w:r>
          </w:p>
        </w:tc>
        <w:tc>
          <w:tcPr>
            <w:tcW w:w="3603" w:type="pct"/>
            <w:tcBorders>
              <w:right w:val="double" w:color="auto" w:sz="4" w:space="0"/>
            </w:tcBorders>
            <w:noWrap/>
            <w:vAlign w:val="center"/>
          </w:tcPr>
          <w:p w14:paraId="30E15555">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广州市黄埔区</w:t>
            </w:r>
          </w:p>
        </w:tc>
      </w:tr>
      <w:tr w14:paraId="78B7AE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7283DEDF">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4</w:t>
            </w:r>
          </w:p>
        </w:tc>
        <w:tc>
          <w:tcPr>
            <w:tcW w:w="447" w:type="pct"/>
            <w:noWrap/>
            <w:vAlign w:val="center"/>
          </w:tcPr>
          <w:p w14:paraId="147BA2A5">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2.2</w:t>
            </w:r>
          </w:p>
        </w:tc>
        <w:tc>
          <w:tcPr>
            <w:tcW w:w="681" w:type="pct"/>
            <w:noWrap/>
            <w:vAlign w:val="center"/>
          </w:tcPr>
          <w:p w14:paraId="4DB66BDB">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建设规模</w:t>
            </w:r>
          </w:p>
        </w:tc>
        <w:tc>
          <w:tcPr>
            <w:tcW w:w="3603" w:type="pct"/>
            <w:tcBorders>
              <w:right w:val="double" w:color="auto" w:sz="4" w:space="0"/>
            </w:tcBorders>
            <w:noWrap/>
            <w:vAlign w:val="center"/>
          </w:tcPr>
          <w:p w14:paraId="222A5160">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详见本工程招标公告，具体以工程量清单及图纸为准。</w:t>
            </w:r>
          </w:p>
        </w:tc>
      </w:tr>
      <w:tr w14:paraId="7CA47C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0F20E664">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5</w:t>
            </w:r>
          </w:p>
        </w:tc>
        <w:tc>
          <w:tcPr>
            <w:tcW w:w="447" w:type="pct"/>
            <w:noWrap/>
            <w:vAlign w:val="center"/>
          </w:tcPr>
          <w:p w14:paraId="740000CD">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2.2</w:t>
            </w:r>
          </w:p>
        </w:tc>
        <w:tc>
          <w:tcPr>
            <w:tcW w:w="681" w:type="pct"/>
            <w:noWrap/>
            <w:vAlign w:val="center"/>
          </w:tcPr>
          <w:p w14:paraId="5C5432ED">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承包方式</w:t>
            </w:r>
          </w:p>
        </w:tc>
        <w:tc>
          <w:tcPr>
            <w:tcW w:w="3603" w:type="pct"/>
            <w:tcBorders>
              <w:right w:val="double" w:color="auto" w:sz="4" w:space="0"/>
            </w:tcBorders>
            <w:noWrap/>
            <w:vAlign w:val="center"/>
          </w:tcPr>
          <w:p w14:paraId="5EBA8D44">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包工、包料、包工期、包质量、包安全、包文明施工、包验收、包保修。综合单价包干；措施项目费（除施工围蔽费用外）包干，施工围蔽清单综合单价包干，工程量按实计量。</w:t>
            </w:r>
          </w:p>
        </w:tc>
      </w:tr>
      <w:tr w14:paraId="59C30C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2E891757">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6</w:t>
            </w:r>
          </w:p>
        </w:tc>
        <w:tc>
          <w:tcPr>
            <w:tcW w:w="447" w:type="pct"/>
            <w:noWrap/>
            <w:vAlign w:val="center"/>
          </w:tcPr>
          <w:p w14:paraId="16E7D26B">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2.2</w:t>
            </w:r>
          </w:p>
        </w:tc>
        <w:tc>
          <w:tcPr>
            <w:tcW w:w="681" w:type="pct"/>
            <w:noWrap/>
            <w:vAlign w:val="center"/>
          </w:tcPr>
          <w:p w14:paraId="1A3252A0">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质量标准</w:t>
            </w:r>
          </w:p>
        </w:tc>
        <w:tc>
          <w:tcPr>
            <w:tcW w:w="3603" w:type="pct"/>
            <w:tcBorders>
              <w:right w:val="double" w:color="auto" w:sz="4" w:space="0"/>
            </w:tcBorders>
            <w:noWrap/>
            <w:vAlign w:val="center"/>
          </w:tcPr>
          <w:p w14:paraId="69877966">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工程质量达到国家或行业质量检验评定的合格标准。</w:t>
            </w:r>
          </w:p>
          <w:p w14:paraId="53362D84">
            <w:pPr>
              <w:snapToGrid w:val="0"/>
              <w:spacing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注：本工程正式签署合同时，质量标准按中标人投标文件承诺质量标准。</w:t>
            </w:r>
          </w:p>
        </w:tc>
      </w:tr>
      <w:tr w14:paraId="7B0588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08386A0A">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7</w:t>
            </w:r>
          </w:p>
        </w:tc>
        <w:tc>
          <w:tcPr>
            <w:tcW w:w="447" w:type="pct"/>
            <w:noWrap/>
            <w:vAlign w:val="center"/>
          </w:tcPr>
          <w:p w14:paraId="5C83FCF5">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2.2</w:t>
            </w:r>
          </w:p>
        </w:tc>
        <w:tc>
          <w:tcPr>
            <w:tcW w:w="681" w:type="pct"/>
            <w:noWrap/>
            <w:vAlign w:val="center"/>
          </w:tcPr>
          <w:p w14:paraId="0AF63C10">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招标范围</w:t>
            </w:r>
          </w:p>
        </w:tc>
        <w:tc>
          <w:tcPr>
            <w:tcW w:w="3603" w:type="pct"/>
            <w:tcBorders>
              <w:right w:val="double" w:color="auto" w:sz="4" w:space="0"/>
            </w:tcBorders>
            <w:noWrap/>
            <w:vAlign w:val="center"/>
          </w:tcPr>
          <w:p w14:paraId="0743FE35">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详见本工程招标公告，具体以工程量清单及图纸为准。</w:t>
            </w:r>
          </w:p>
        </w:tc>
      </w:tr>
      <w:tr w14:paraId="7CC24D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7F7E3ED9">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8</w:t>
            </w:r>
          </w:p>
        </w:tc>
        <w:tc>
          <w:tcPr>
            <w:tcW w:w="447" w:type="pct"/>
            <w:noWrap/>
            <w:vAlign w:val="center"/>
          </w:tcPr>
          <w:p w14:paraId="535D9CEA">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2.2</w:t>
            </w:r>
          </w:p>
        </w:tc>
        <w:tc>
          <w:tcPr>
            <w:tcW w:w="681" w:type="pct"/>
            <w:noWrap/>
            <w:vAlign w:val="center"/>
          </w:tcPr>
          <w:p w14:paraId="5963856D">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工期要求</w:t>
            </w:r>
          </w:p>
        </w:tc>
        <w:tc>
          <w:tcPr>
            <w:tcW w:w="3603" w:type="pct"/>
            <w:tcBorders>
              <w:right w:val="double" w:color="auto" w:sz="4" w:space="0"/>
            </w:tcBorders>
            <w:noWrap/>
            <w:vAlign w:val="center"/>
          </w:tcPr>
          <w:p w14:paraId="25F68E4C">
            <w:pPr>
              <w:snapToGrid w:val="0"/>
              <w:spacing w:after="120" w:line="288" w:lineRule="auto"/>
              <w:rPr>
                <w:rFonts w:ascii="宋体" w:hAnsi="宋体" w:eastAsia="宋体" w:cs="宋体"/>
                <w:color w:val="auto"/>
                <w:szCs w:val="21"/>
                <w:highlight w:val="none"/>
              </w:rPr>
            </w:pPr>
            <w:r>
              <w:rPr>
                <w:rFonts w:ascii="宋体" w:hAnsi="宋体" w:eastAsia="宋体" w:cs="宋体"/>
                <w:b w:val="0"/>
                <w:color w:val="auto"/>
                <w:sz w:val="21"/>
                <w:szCs w:val="21"/>
                <w:highlight w:val="none"/>
                <w:u w:val="single"/>
              </w:rPr>
              <w:t>2025</w:t>
            </w:r>
            <w:r>
              <w:rPr>
                <w:rFonts w:hint="eastAsia" w:ascii="宋体" w:hAnsi="宋体" w:eastAsia="宋体" w:cs="宋体"/>
                <w:b w:val="0"/>
                <w:color w:val="auto"/>
                <w:sz w:val="21"/>
                <w:szCs w:val="21"/>
                <w:highlight w:val="none"/>
              </w:rPr>
              <w:t>年</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月</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日计划开工，施工总期：</w:t>
            </w:r>
            <w:r>
              <w:rPr>
                <w:rFonts w:hint="eastAsia" w:ascii="宋体" w:hAnsi="宋体" w:eastAsia="宋体" w:cs="宋体"/>
                <w:b w:val="0"/>
                <w:color w:val="auto"/>
                <w:sz w:val="21"/>
                <w:szCs w:val="21"/>
                <w:highlight w:val="none"/>
                <w:u w:val="single"/>
                <w:lang w:val="en-US" w:eastAsia="zh-CN"/>
              </w:rPr>
              <w:t>180</w:t>
            </w:r>
            <w:r>
              <w:rPr>
                <w:rFonts w:hint="eastAsia" w:ascii="宋体" w:hAnsi="宋体" w:eastAsia="宋体" w:cs="宋体"/>
                <w:b w:val="0"/>
                <w:color w:val="auto"/>
                <w:sz w:val="21"/>
                <w:szCs w:val="21"/>
                <w:highlight w:val="none"/>
              </w:rPr>
              <w:t>日历天。</w:t>
            </w:r>
          </w:p>
          <w:p w14:paraId="2C7A49A7">
            <w:pPr>
              <w:snapToGrid w:val="0"/>
              <w:spacing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注：本工程正式签署合同时，施工工期按中标投标文件承诺工期。</w:t>
            </w:r>
          </w:p>
        </w:tc>
      </w:tr>
      <w:tr w14:paraId="68638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00D4EAB3">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9</w:t>
            </w:r>
          </w:p>
        </w:tc>
        <w:tc>
          <w:tcPr>
            <w:tcW w:w="447" w:type="pct"/>
            <w:noWrap/>
            <w:vAlign w:val="center"/>
          </w:tcPr>
          <w:p w14:paraId="5BC03CFC">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3.1</w:t>
            </w:r>
          </w:p>
        </w:tc>
        <w:tc>
          <w:tcPr>
            <w:tcW w:w="681" w:type="pct"/>
            <w:noWrap/>
            <w:vAlign w:val="center"/>
          </w:tcPr>
          <w:p w14:paraId="57561FBD">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资金来源</w:t>
            </w:r>
          </w:p>
        </w:tc>
        <w:tc>
          <w:tcPr>
            <w:tcW w:w="3603" w:type="pct"/>
            <w:tcBorders>
              <w:right w:val="double" w:color="auto" w:sz="4" w:space="0"/>
            </w:tcBorders>
            <w:noWrap/>
            <w:vAlign w:val="center"/>
          </w:tcPr>
          <w:p w14:paraId="50444DA3">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区财政资金</w:t>
            </w:r>
          </w:p>
        </w:tc>
      </w:tr>
      <w:tr w14:paraId="0722FF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6293BCE1">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10</w:t>
            </w:r>
          </w:p>
        </w:tc>
        <w:tc>
          <w:tcPr>
            <w:tcW w:w="447" w:type="pct"/>
            <w:noWrap/>
            <w:vAlign w:val="center"/>
          </w:tcPr>
          <w:p w14:paraId="3DB1F48E">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4.1</w:t>
            </w:r>
          </w:p>
        </w:tc>
        <w:tc>
          <w:tcPr>
            <w:tcW w:w="681" w:type="pct"/>
            <w:noWrap/>
            <w:vAlign w:val="center"/>
          </w:tcPr>
          <w:p w14:paraId="088F0E40">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投标人资质等级及项目负责人等级要求</w:t>
            </w:r>
          </w:p>
        </w:tc>
        <w:tc>
          <w:tcPr>
            <w:tcW w:w="3603" w:type="pct"/>
            <w:tcBorders>
              <w:right w:val="double" w:color="auto" w:sz="4" w:space="0"/>
            </w:tcBorders>
            <w:noWrap/>
            <w:vAlign w:val="center"/>
          </w:tcPr>
          <w:p w14:paraId="6E9B9F27">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详见本工程招标公告。</w:t>
            </w:r>
          </w:p>
        </w:tc>
      </w:tr>
      <w:tr w14:paraId="2A526E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642C5126">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11</w:t>
            </w:r>
          </w:p>
        </w:tc>
        <w:tc>
          <w:tcPr>
            <w:tcW w:w="447" w:type="pct"/>
            <w:noWrap/>
            <w:vAlign w:val="center"/>
          </w:tcPr>
          <w:p w14:paraId="7AE9C525">
            <w:pPr>
              <w:snapToGrid w:val="0"/>
              <w:spacing w:line="288" w:lineRule="auto"/>
              <w:ind w:firstLine="458"/>
              <w:jc w:val="center"/>
              <w:rPr>
                <w:rFonts w:ascii="宋体" w:hAnsi="宋体" w:eastAsia="宋体" w:cs="宋体"/>
                <w:color w:val="auto"/>
                <w:szCs w:val="21"/>
                <w:highlight w:val="none"/>
              </w:rPr>
            </w:pPr>
          </w:p>
        </w:tc>
        <w:tc>
          <w:tcPr>
            <w:tcW w:w="681" w:type="pct"/>
            <w:noWrap/>
            <w:vAlign w:val="center"/>
          </w:tcPr>
          <w:p w14:paraId="0D5FE5A5">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资格审查方式</w:t>
            </w:r>
          </w:p>
        </w:tc>
        <w:tc>
          <w:tcPr>
            <w:tcW w:w="3603" w:type="pct"/>
            <w:tcBorders>
              <w:right w:val="double" w:color="auto" w:sz="4" w:space="0"/>
            </w:tcBorders>
            <w:noWrap/>
            <w:vAlign w:val="center"/>
          </w:tcPr>
          <w:p w14:paraId="6804B5D0">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详见本工程招标公告。</w:t>
            </w:r>
          </w:p>
        </w:tc>
      </w:tr>
      <w:tr w14:paraId="6B5251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1CA06FA3">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12</w:t>
            </w:r>
          </w:p>
        </w:tc>
        <w:tc>
          <w:tcPr>
            <w:tcW w:w="447" w:type="pct"/>
            <w:noWrap/>
            <w:vAlign w:val="center"/>
          </w:tcPr>
          <w:p w14:paraId="1C9BB83C">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13.1</w:t>
            </w:r>
          </w:p>
        </w:tc>
        <w:tc>
          <w:tcPr>
            <w:tcW w:w="681" w:type="pct"/>
            <w:noWrap/>
            <w:vAlign w:val="center"/>
          </w:tcPr>
          <w:p w14:paraId="20C9B28B">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报价以及单价和总价计算方式</w:t>
            </w:r>
          </w:p>
        </w:tc>
        <w:tc>
          <w:tcPr>
            <w:tcW w:w="3603" w:type="pct"/>
            <w:tcBorders>
              <w:right w:val="double" w:color="auto" w:sz="4" w:space="0"/>
            </w:tcBorders>
            <w:noWrap/>
            <w:vAlign w:val="center"/>
          </w:tcPr>
          <w:p w14:paraId="05ABA5B2">
            <w:pPr>
              <w:snapToGrid w:val="0"/>
              <w:spacing w:after="120" w:line="288" w:lineRule="auto"/>
              <w:rPr>
                <w:rFonts w:ascii="宋体" w:hAnsi="宋体" w:eastAsia="宋体" w:cs="宋体"/>
                <w:color w:val="auto"/>
                <w:szCs w:val="21"/>
                <w:highlight w:val="none"/>
              </w:rPr>
            </w:pPr>
            <w:bookmarkStart w:id="2" w:name="EBdfd7e3fe86a241738f1c1d356c309534"/>
            <w:r>
              <w:rPr>
                <w:rFonts w:hint="eastAsia" w:ascii="宋体" w:hAnsi="宋体" w:eastAsia="宋体" w:cs="宋体"/>
                <w:b w:val="0"/>
                <w:color w:val="auto"/>
                <w:sz w:val="21"/>
                <w:szCs w:val="21"/>
                <w:highlight w:val="none"/>
              </w:rPr>
              <w:t>工程量清单计价</w:t>
            </w:r>
            <w:r>
              <w:rPr>
                <w:rFonts w:hint="eastAsia" w:ascii="宋体" w:hAnsi="宋体" w:eastAsia="宋体" w:cs="宋体"/>
                <w:b w:val="0"/>
                <w:color w:val="auto"/>
                <w:sz w:val="21"/>
                <w:szCs w:val="21"/>
                <w:highlight w:val="none"/>
                <w:u w:val="single"/>
              </w:rPr>
              <w:t>，按国家、省有关计价规范执行。纳入年度审计项目计划的政府投资项目，审计机关出具的审计结果应当作为该政府投资项目价款结算的依据（适用于纳入年度审计项目计划的项目）。</w:t>
            </w:r>
            <w:bookmarkEnd w:id="2"/>
          </w:p>
        </w:tc>
      </w:tr>
      <w:tr w14:paraId="5B3CD1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62A20DAF">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13</w:t>
            </w:r>
          </w:p>
        </w:tc>
        <w:tc>
          <w:tcPr>
            <w:tcW w:w="447" w:type="pct"/>
            <w:noWrap/>
            <w:vAlign w:val="center"/>
          </w:tcPr>
          <w:p w14:paraId="360347FD">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15.1</w:t>
            </w:r>
          </w:p>
        </w:tc>
        <w:tc>
          <w:tcPr>
            <w:tcW w:w="681" w:type="pct"/>
            <w:noWrap/>
            <w:vAlign w:val="center"/>
          </w:tcPr>
          <w:p w14:paraId="73871653">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投标有效期</w:t>
            </w:r>
          </w:p>
        </w:tc>
        <w:tc>
          <w:tcPr>
            <w:tcW w:w="3603" w:type="pct"/>
            <w:tcBorders>
              <w:right w:val="double" w:color="auto" w:sz="4" w:space="0"/>
            </w:tcBorders>
            <w:noWrap/>
            <w:vAlign w:val="center"/>
          </w:tcPr>
          <w:p w14:paraId="6684BA6E">
            <w:pPr>
              <w:snapToGrid w:val="0"/>
              <w:spacing w:after="120" w:line="288" w:lineRule="auto"/>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90</w:t>
            </w:r>
            <w:r>
              <w:rPr>
                <w:rFonts w:hint="eastAsia" w:ascii="宋体" w:hAnsi="宋体" w:eastAsia="宋体" w:cs="宋体"/>
                <w:b w:val="0"/>
                <w:color w:val="auto"/>
                <w:sz w:val="21"/>
                <w:szCs w:val="21"/>
                <w:highlight w:val="none"/>
              </w:rPr>
              <w:t>日历天。（从投标截止之日计起）。</w:t>
            </w:r>
            <w:r>
              <w:rPr>
                <w:rFonts w:hint="eastAsia" w:ascii="宋体" w:hAnsi="宋体" w:eastAsia="宋体" w:cs="宋体"/>
                <w:b w:val="0"/>
                <w:color w:val="auto"/>
                <w:sz w:val="21"/>
                <w:szCs w:val="21"/>
                <w:highlight w:val="none"/>
                <w:u w:val="single"/>
              </w:rPr>
              <w:t>如投标有效期内发生异议或投诉的，则投标有效期自动延长至异议或投诉处理结束后</w:t>
            </w:r>
            <w:r>
              <w:rPr>
                <w:rFonts w:ascii="宋体" w:hAnsi="宋体" w:eastAsia="宋体" w:cs="宋体"/>
                <w:b w:val="0"/>
                <w:color w:val="auto"/>
                <w:sz w:val="21"/>
                <w:szCs w:val="21"/>
                <w:highlight w:val="none"/>
                <w:u w:val="single"/>
              </w:rPr>
              <w:t>90日历天。中标人的投标有效期自动延期至合同履行完毕。</w:t>
            </w:r>
          </w:p>
        </w:tc>
      </w:tr>
      <w:tr w14:paraId="66801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3665B30B">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14</w:t>
            </w:r>
          </w:p>
        </w:tc>
        <w:tc>
          <w:tcPr>
            <w:tcW w:w="447" w:type="pct"/>
            <w:noWrap/>
            <w:vAlign w:val="center"/>
          </w:tcPr>
          <w:p w14:paraId="352F36E3">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16.1</w:t>
            </w:r>
          </w:p>
        </w:tc>
        <w:tc>
          <w:tcPr>
            <w:tcW w:w="681" w:type="pct"/>
            <w:noWrap/>
            <w:vAlign w:val="center"/>
          </w:tcPr>
          <w:p w14:paraId="0BB2CD6D">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投标保证金</w:t>
            </w:r>
          </w:p>
        </w:tc>
        <w:tc>
          <w:tcPr>
            <w:tcW w:w="3603" w:type="pct"/>
            <w:tcBorders>
              <w:right w:val="double" w:color="auto" w:sz="4" w:space="0"/>
            </w:tcBorders>
            <w:noWrap/>
            <w:vAlign w:val="center"/>
          </w:tcPr>
          <w:p w14:paraId="59C45841">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本项目不收投标保证金。</w:t>
            </w:r>
          </w:p>
        </w:tc>
      </w:tr>
      <w:tr w14:paraId="6CAC8B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50918A30">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15</w:t>
            </w:r>
          </w:p>
        </w:tc>
        <w:tc>
          <w:tcPr>
            <w:tcW w:w="447" w:type="pct"/>
            <w:noWrap/>
            <w:vAlign w:val="center"/>
          </w:tcPr>
          <w:p w14:paraId="0DCD110D">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5</w:t>
            </w:r>
          </w:p>
        </w:tc>
        <w:tc>
          <w:tcPr>
            <w:tcW w:w="681" w:type="pct"/>
            <w:noWrap/>
            <w:vAlign w:val="center"/>
          </w:tcPr>
          <w:p w14:paraId="29024E33">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踏勘现场</w:t>
            </w:r>
          </w:p>
        </w:tc>
        <w:tc>
          <w:tcPr>
            <w:tcW w:w="3603" w:type="pct"/>
            <w:tcBorders>
              <w:right w:val="double" w:color="auto" w:sz="4" w:space="0"/>
            </w:tcBorders>
            <w:noWrap/>
            <w:vAlign w:val="center"/>
          </w:tcPr>
          <w:p w14:paraId="1B691DBD">
            <w:pPr>
              <w:spacing w:after="120" w:line="48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自行踏勘，投标人不进行踏勘的，视为已熟知现场条件，自行承担相关风险。</w:t>
            </w:r>
          </w:p>
        </w:tc>
      </w:tr>
      <w:tr w14:paraId="54A718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286CFAAE">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16</w:t>
            </w:r>
          </w:p>
        </w:tc>
        <w:tc>
          <w:tcPr>
            <w:tcW w:w="447" w:type="pct"/>
            <w:noWrap/>
            <w:vAlign w:val="center"/>
          </w:tcPr>
          <w:p w14:paraId="0DD08C3D">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8</w:t>
            </w:r>
          </w:p>
        </w:tc>
        <w:tc>
          <w:tcPr>
            <w:tcW w:w="681" w:type="pct"/>
            <w:noWrap/>
            <w:vAlign w:val="center"/>
          </w:tcPr>
          <w:p w14:paraId="7C74D5F8">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投标答疑</w:t>
            </w:r>
          </w:p>
        </w:tc>
        <w:tc>
          <w:tcPr>
            <w:tcW w:w="3603" w:type="pct"/>
            <w:tcBorders>
              <w:right w:val="double" w:color="auto" w:sz="4" w:space="0"/>
            </w:tcBorders>
            <w:noWrap/>
            <w:vAlign w:val="center"/>
          </w:tcPr>
          <w:p w14:paraId="64FEA3E4">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疑问提交时间：</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年</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月</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日</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时</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分前；</w:t>
            </w:r>
            <w:r>
              <w:rPr>
                <w:rFonts w:ascii="宋体" w:hAnsi="宋体" w:eastAsia="宋体" w:cs="宋体"/>
                <w:b w:val="0"/>
                <w:color w:val="auto"/>
                <w:sz w:val="21"/>
                <w:szCs w:val="21"/>
                <w:highlight w:val="none"/>
                <w:u w:val="single"/>
              </w:rPr>
              <w:t>(在递交投标文件截止日期前18日)</w:t>
            </w:r>
          </w:p>
          <w:p w14:paraId="69D1D593">
            <w:pPr>
              <w:snapToGrid w:val="0"/>
              <w:spacing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形式：投标人的疑问通过</w:t>
            </w:r>
            <w:r>
              <w:rPr>
                <w:rFonts w:hint="eastAsia" w:ascii="宋体" w:hAnsi="宋体" w:eastAsia="宋体" w:cs="宋体"/>
                <w:b w:val="0"/>
                <w:color w:val="auto"/>
                <w:sz w:val="21"/>
                <w:szCs w:val="21"/>
                <w:highlight w:val="none"/>
                <w:u w:val="single"/>
              </w:rPr>
              <w:t>广州交易集团有限公司（广州公共资源交易中心）</w:t>
            </w:r>
            <w:r>
              <w:rPr>
                <w:rFonts w:hint="eastAsia" w:ascii="宋体" w:hAnsi="宋体" w:eastAsia="宋体" w:cs="宋体"/>
                <w:b w:val="0"/>
                <w:color w:val="auto"/>
                <w:sz w:val="21"/>
                <w:szCs w:val="21"/>
                <w:highlight w:val="none"/>
              </w:rPr>
              <w:t>交易平台提交。</w:t>
            </w:r>
          </w:p>
          <w:p w14:paraId="4FF7CBF6">
            <w:pPr>
              <w:snapToGrid w:val="0"/>
              <w:spacing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具体要求：按照</w:t>
            </w:r>
            <w:r>
              <w:rPr>
                <w:rFonts w:hint="eastAsia" w:ascii="宋体" w:hAnsi="宋体" w:eastAsia="宋体" w:cs="宋体"/>
                <w:b w:val="0"/>
                <w:color w:val="auto"/>
                <w:sz w:val="21"/>
                <w:szCs w:val="21"/>
                <w:highlight w:val="none"/>
                <w:u w:val="single"/>
              </w:rPr>
              <w:t>广州交易集团有限公司（广州公共资源交易中心）</w:t>
            </w:r>
            <w:r>
              <w:rPr>
                <w:rFonts w:hint="eastAsia" w:ascii="宋体" w:hAnsi="宋体" w:eastAsia="宋体" w:cs="宋体"/>
                <w:b w:val="0"/>
                <w:color w:val="auto"/>
                <w:sz w:val="21"/>
                <w:szCs w:val="21"/>
                <w:highlight w:val="none"/>
              </w:rPr>
              <w:t>交易平台关于全流程电子化项目的相关指南进行操作，详见：</w:t>
            </w:r>
            <w:r>
              <w:rPr>
                <w:rFonts w:hint="eastAsia" w:ascii="宋体" w:hAnsi="宋体" w:eastAsia="宋体" w:cs="宋体"/>
                <w:b w:val="0"/>
                <w:color w:val="auto"/>
                <w:sz w:val="21"/>
                <w:szCs w:val="21"/>
                <w:highlight w:val="none"/>
                <w:u w:val="single"/>
              </w:rPr>
              <w:t>广州交易集团有限公司（广州公共资源交易中心）最新指引</w:t>
            </w:r>
            <w:r>
              <w:rPr>
                <w:rFonts w:hint="eastAsia" w:ascii="宋体" w:hAnsi="宋体" w:eastAsia="宋体" w:cs="宋体"/>
                <w:b w:val="0"/>
                <w:color w:val="auto"/>
                <w:sz w:val="21"/>
                <w:szCs w:val="21"/>
                <w:highlight w:val="none"/>
              </w:rPr>
              <w:t>。提问一律不得署名。</w:t>
            </w:r>
          </w:p>
        </w:tc>
      </w:tr>
      <w:tr w14:paraId="7783D1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13055F85">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17</w:t>
            </w:r>
          </w:p>
        </w:tc>
        <w:tc>
          <w:tcPr>
            <w:tcW w:w="447" w:type="pct"/>
            <w:noWrap/>
            <w:vAlign w:val="center"/>
          </w:tcPr>
          <w:p w14:paraId="47F63EA4">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20.1</w:t>
            </w:r>
          </w:p>
        </w:tc>
        <w:tc>
          <w:tcPr>
            <w:tcW w:w="681" w:type="pct"/>
            <w:noWrap/>
            <w:vAlign w:val="center"/>
          </w:tcPr>
          <w:p w14:paraId="0F948D49">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投标截止时间</w:t>
            </w:r>
          </w:p>
        </w:tc>
        <w:tc>
          <w:tcPr>
            <w:tcW w:w="3603" w:type="pct"/>
            <w:tcBorders>
              <w:right w:val="double" w:color="auto" w:sz="4" w:space="0"/>
            </w:tcBorders>
            <w:noWrap/>
            <w:vAlign w:val="center"/>
          </w:tcPr>
          <w:p w14:paraId="48A06405">
            <w:pPr>
              <w:snapToGrid w:val="0"/>
              <w:spacing w:after="120" w:line="288" w:lineRule="auto"/>
              <w:rPr>
                <w:rFonts w:ascii="宋体" w:hAnsi="宋体" w:eastAsia="宋体" w:cs="宋体"/>
                <w:strike/>
                <w:color w:val="auto"/>
                <w:szCs w:val="21"/>
                <w:highlight w:val="none"/>
              </w:rPr>
            </w:pP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年</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月</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日</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时</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分（北京时间）。</w:t>
            </w:r>
          </w:p>
        </w:tc>
      </w:tr>
      <w:tr w14:paraId="4A4D5F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35452EC0">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18</w:t>
            </w:r>
          </w:p>
        </w:tc>
        <w:tc>
          <w:tcPr>
            <w:tcW w:w="447" w:type="pct"/>
            <w:noWrap/>
            <w:vAlign w:val="center"/>
          </w:tcPr>
          <w:p w14:paraId="1D57A909">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20.1</w:t>
            </w:r>
          </w:p>
        </w:tc>
        <w:tc>
          <w:tcPr>
            <w:tcW w:w="681" w:type="pct"/>
            <w:noWrap/>
            <w:vAlign w:val="center"/>
          </w:tcPr>
          <w:p w14:paraId="709A7841">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开标开始时间和地点</w:t>
            </w:r>
          </w:p>
        </w:tc>
        <w:tc>
          <w:tcPr>
            <w:tcW w:w="3603" w:type="pct"/>
            <w:tcBorders>
              <w:right w:val="double" w:color="auto" w:sz="4" w:space="0"/>
            </w:tcBorders>
            <w:noWrap/>
            <w:vAlign w:val="center"/>
          </w:tcPr>
          <w:p w14:paraId="694F4955">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（技术标和经济标同时开标）</w:t>
            </w:r>
          </w:p>
          <w:p w14:paraId="7D2D49D5">
            <w:pPr>
              <w:snapToGrid w:val="0"/>
              <w:spacing w:line="288" w:lineRule="auto"/>
              <w:jc w:val="left"/>
              <w:rPr>
                <w:rFonts w:ascii="宋体" w:hAnsi="宋体" w:eastAsia="宋体" w:cs="宋体"/>
                <w:color w:val="auto"/>
                <w:szCs w:val="21"/>
                <w:highlight w:val="none"/>
              </w:rPr>
            </w:pPr>
            <w:r>
              <w:rPr>
                <w:rFonts w:ascii="宋体" w:hAnsi="宋体" w:eastAsia="宋体" w:cs="宋体"/>
                <w:b w:val="0"/>
                <w:color w:val="auto"/>
                <w:sz w:val="21"/>
                <w:szCs w:val="21"/>
                <w:highlight w:val="none"/>
              </w:rPr>
              <w:t>1、开标开始时间：</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年</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月</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日</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时</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分（与投标截止时间为同一时间），地点：</w:t>
            </w:r>
            <w:r>
              <w:rPr>
                <w:rFonts w:hint="eastAsia" w:ascii="宋体" w:hAnsi="宋体" w:eastAsia="宋体" w:cs="宋体"/>
                <w:b w:val="0"/>
                <w:color w:val="auto"/>
                <w:sz w:val="21"/>
                <w:szCs w:val="21"/>
                <w:highlight w:val="none"/>
                <w:u w:val="single"/>
              </w:rPr>
              <w:t>广州交易集团有限公司（广州公共资源交易中心）黄埔交易部指定开标室</w:t>
            </w:r>
            <w:r>
              <w:rPr>
                <w:rFonts w:hint="eastAsia" w:ascii="宋体" w:hAnsi="宋体" w:eastAsia="宋体" w:cs="宋体"/>
                <w:b w:val="0"/>
                <w:color w:val="auto"/>
                <w:sz w:val="21"/>
                <w:szCs w:val="21"/>
                <w:highlight w:val="none"/>
              </w:rPr>
              <w:t>。投标人也可选择参加在线开标，具体按照交易平台相关指南进行操作。详见：</w:t>
            </w:r>
            <w:r>
              <w:rPr>
                <w:rFonts w:hint="eastAsia" w:ascii="宋体" w:hAnsi="宋体" w:eastAsia="宋体" w:cs="宋体"/>
                <w:b w:val="0"/>
                <w:color w:val="auto"/>
                <w:sz w:val="21"/>
                <w:szCs w:val="21"/>
                <w:highlight w:val="none"/>
                <w:u w:val="single"/>
              </w:rPr>
              <w:t>广州交易集团有限公司（广州公共资源交易中心）网站最新指引</w:t>
            </w:r>
            <w:r>
              <w:rPr>
                <w:rFonts w:hint="eastAsia" w:ascii="宋体" w:hAnsi="宋体" w:eastAsia="宋体" w:cs="宋体"/>
                <w:b w:val="0"/>
                <w:color w:val="auto"/>
                <w:sz w:val="21"/>
                <w:szCs w:val="21"/>
                <w:highlight w:val="none"/>
              </w:rPr>
              <w:t>。</w:t>
            </w:r>
          </w:p>
          <w:p w14:paraId="710E9816">
            <w:pPr>
              <w:snapToGrid w:val="0"/>
              <w:spacing w:line="288" w:lineRule="auto"/>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注：投标文件解密问题。投标人只用执行一次解密，招标人执行解密次数根据招标文件开标次数确定。</w:t>
            </w:r>
          </w:p>
          <w:p w14:paraId="5192BFF6">
            <w:pPr>
              <w:snapToGrid w:val="0"/>
              <w:spacing w:line="288" w:lineRule="auto"/>
              <w:jc w:val="left"/>
              <w:rPr>
                <w:rFonts w:ascii="宋体" w:hAnsi="宋体" w:eastAsia="宋体" w:cs="宋体"/>
                <w:color w:val="auto"/>
                <w:szCs w:val="21"/>
                <w:highlight w:val="none"/>
              </w:rPr>
            </w:pPr>
            <w:r>
              <w:rPr>
                <w:rFonts w:ascii="宋体" w:hAnsi="宋体" w:eastAsia="宋体" w:cs="宋体"/>
                <w:b w:val="0"/>
                <w:color w:val="auto"/>
                <w:sz w:val="21"/>
                <w:szCs w:val="21"/>
                <w:highlight w:val="none"/>
              </w:rPr>
              <w:t>2、递交投标文件备用光盘时间：</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年</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月</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日</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时</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分至</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年</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月</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日</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时</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分；递交地点：</w:t>
            </w:r>
            <w:r>
              <w:rPr>
                <w:rFonts w:hint="eastAsia" w:ascii="宋体" w:hAnsi="宋体" w:eastAsia="宋体" w:cs="宋体"/>
                <w:b w:val="0"/>
                <w:color w:val="auto"/>
                <w:sz w:val="21"/>
                <w:szCs w:val="21"/>
                <w:highlight w:val="none"/>
                <w:u w:val="single"/>
              </w:rPr>
              <w:t>广州交易集团有限公司（广州公共资源交易中心）黄埔交易部指定开标室</w:t>
            </w:r>
            <w:r>
              <w:rPr>
                <w:rFonts w:hint="eastAsia" w:ascii="宋体" w:hAnsi="宋体" w:eastAsia="宋体" w:cs="宋体"/>
                <w:b w:val="0"/>
                <w:color w:val="auto"/>
                <w:sz w:val="21"/>
                <w:szCs w:val="21"/>
                <w:highlight w:val="none"/>
              </w:rPr>
              <w:t>。</w:t>
            </w:r>
          </w:p>
          <w:p w14:paraId="24D0382C">
            <w:pPr>
              <w:snapToGrid w:val="0"/>
              <w:spacing w:line="288" w:lineRule="auto"/>
              <w:jc w:val="left"/>
              <w:rPr>
                <w:rFonts w:ascii="宋体" w:hAnsi="宋体" w:eastAsia="宋体" w:cs="宋体"/>
                <w:color w:val="auto"/>
                <w:szCs w:val="21"/>
                <w:highlight w:val="none"/>
              </w:rPr>
            </w:pPr>
            <w:r>
              <w:rPr>
                <w:rFonts w:ascii="宋体" w:hAnsi="宋体" w:eastAsia="宋体" w:cs="宋体"/>
                <w:b w:val="0"/>
                <w:color w:val="auto"/>
                <w:sz w:val="21"/>
                <w:szCs w:val="21"/>
                <w:highlight w:val="none"/>
                <w:u w:val="single"/>
              </w:rPr>
              <w:t>3、投标人应在投标文件递交截止时间前通过广州交易集团有限公司（广州公共资源交易中心）电子招标投标交易平台递交电子投标文件。</w:t>
            </w:r>
          </w:p>
          <w:p w14:paraId="3E008797">
            <w:pPr>
              <w:snapToGrid w:val="0"/>
              <w:spacing w:line="288" w:lineRule="auto"/>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上述时间及地点是否有改变，请密切留意补充公告（如有）和招标澄清答疑纪要（如有）的相关信息。</w:t>
            </w:r>
          </w:p>
          <w:p w14:paraId="687F1C69">
            <w:pPr>
              <w:snapToGrid w:val="0"/>
              <w:spacing w:line="288" w:lineRule="auto"/>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本项目各项投标活动可通过广州交易集团有限公司（广州公共资源交易中心）网站查询具体的时间和场地安排。投标人可登录广州交易集团有限公司（广州公共资源交易中心）网站首页，点击“交易业务</w:t>
            </w:r>
            <w:r>
              <w:rPr>
                <w:rFonts w:ascii="宋体" w:hAnsi="宋体" w:eastAsia="宋体" w:cs="宋体"/>
                <w:b w:val="0"/>
                <w:color w:val="auto"/>
                <w:sz w:val="21"/>
                <w:szCs w:val="21"/>
                <w:highlight w:val="none"/>
              </w:rPr>
              <w:t>-建设工程”专栏中的“项目查询（日程安排、答疑纪要）”，输入项目编号或项目名称查询最新信息。</w:t>
            </w:r>
          </w:p>
        </w:tc>
      </w:tr>
      <w:tr w14:paraId="456943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59CE7F5E">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19</w:t>
            </w:r>
          </w:p>
        </w:tc>
        <w:tc>
          <w:tcPr>
            <w:tcW w:w="447" w:type="pct"/>
            <w:noWrap/>
            <w:vAlign w:val="center"/>
          </w:tcPr>
          <w:p w14:paraId="0A16C87E">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26</w:t>
            </w:r>
          </w:p>
        </w:tc>
        <w:tc>
          <w:tcPr>
            <w:tcW w:w="681" w:type="pct"/>
            <w:noWrap/>
            <w:vAlign w:val="center"/>
          </w:tcPr>
          <w:p w14:paraId="0991DB9E">
            <w:pPr>
              <w:pStyle w:val="86"/>
              <w:snapToGrid w:val="0"/>
              <w:spacing w:after="0" w:line="288" w:lineRule="auto"/>
              <w:ind w:firstLine="210"/>
              <w:jc w:val="center"/>
              <w:rPr>
                <w:rFonts w:ascii="宋体" w:hAnsi="宋体" w:eastAsia="宋体" w:cs="宋体"/>
                <w:color w:val="auto"/>
                <w:szCs w:val="21"/>
                <w:highlight w:val="none"/>
              </w:rPr>
            </w:pPr>
            <w:r>
              <w:rPr>
                <w:rFonts w:hint="eastAsia" w:ascii="宋体" w:hAnsi="宋体" w:eastAsia="宋体" w:cs="宋体"/>
                <w:b w:val="0"/>
                <w:color w:val="auto"/>
                <w:szCs w:val="21"/>
                <w:highlight w:val="none"/>
                <w:u w:val="single"/>
              </w:rPr>
              <w:t>评标办法采用评定分离</w:t>
            </w:r>
          </w:p>
        </w:tc>
        <w:tc>
          <w:tcPr>
            <w:tcW w:w="3603" w:type="pct"/>
            <w:tcBorders>
              <w:right w:val="double" w:color="auto" w:sz="4" w:space="0"/>
            </w:tcBorders>
            <w:noWrap/>
            <w:vAlign w:val="center"/>
          </w:tcPr>
          <w:p w14:paraId="3AC43166">
            <w:pPr>
              <w:pStyle w:val="86"/>
              <w:snapToGrid w:val="0"/>
              <w:spacing w:after="0" w:line="288" w:lineRule="auto"/>
              <w:ind w:firstLine="211"/>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本项目采用评定分离评标定标办法：</w:t>
            </w:r>
          </w:p>
          <w:p w14:paraId="0D8C683F">
            <w:pPr>
              <w:pStyle w:val="86"/>
              <w:snapToGrid w:val="0"/>
              <w:spacing w:after="0" w:line="288" w:lineRule="auto"/>
              <w:ind w:firstLine="0" w:firstLineChars="0"/>
              <w:rPr>
                <w:rFonts w:ascii="宋体" w:hAnsi="宋体" w:eastAsia="宋体" w:cs="宋体"/>
                <w:color w:val="auto"/>
                <w:szCs w:val="21"/>
                <w:highlight w:val="none"/>
              </w:rPr>
            </w:pPr>
            <w:r>
              <w:rPr>
                <w:rFonts w:ascii="宋体" w:hAnsi="宋体" w:eastAsia="宋体" w:cs="宋体"/>
                <w:b w:val="0"/>
                <w:color w:val="auto"/>
                <w:szCs w:val="21"/>
                <w:highlight w:val="none"/>
                <w:u w:val="single"/>
              </w:rPr>
              <w:t>1、</w:t>
            </w:r>
            <w:r>
              <w:rPr>
                <w:rFonts w:hint="eastAsia" w:ascii="宋体" w:hAnsi="宋体" w:eastAsia="宋体" w:cs="宋体"/>
                <w:b w:val="0"/>
                <w:color w:val="auto"/>
                <w:szCs w:val="21"/>
                <w:highlight w:val="none"/>
                <w:u w:val="single"/>
              </w:rPr>
              <w:t>评标方式</w:t>
            </w:r>
            <w:r>
              <w:rPr>
                <w:rFonts w:hint="eastAsia" w:ascii="宋体" w:hAnsi="宋体" w:eastAsia="宋体" w:cs="宋体"/>
                <w:b w:val="0"/>
                <w:color w:val="auto"/>
                <w:szCs w:val="21"/>
                <w:highlight w:val="none"/>
              </w:rPr>
              <w:t>选用：</w:t>
            </w:r>
            <w:r>
              <w:rPr>
                <w:rFonts w:hint="eastAsia" w:ascii="宋体" w:hAnsi="宋体" w:eastAsia="宋体" w:cs="宋体"/>
                <w:b w:val="0"/>
                <w:color w:val="auto"/>
                <w:szCs w:val="21"/>
                <w:highlight w:val="none"/>
                <w:u w:val="single"/>
              </w:rPr>
              <w:t>选取方法八</w:t>
            </w:r>
            <w:r>
              <w:rPr>
                <w:rFonts w:ascii="宋体" w:hAnsi="宋体" w:eastAsia="宋体" w:cs="宋体"/>
                <w:b w:val="0"/>
                <w:color w:val="auto"/>
                <w:szCs w:val="21"/>
                <w:highlight w:val="none"/>
                <w:u w:val="single"/>
              </w:rPr>
              <w:t>(经评审的最低投标价法</w:t>
            </w:r>
            <w:r>
              <w:rPr>
                <w:rFonts w:hint="eastAsia" w:ascii="宋体" w:hAnsi="宋体" w:eastAsia="宋体" w:cs="宋体"/>
                <w:b w:val="0"/>
                <w:color w:val="auto"/>
                <w:szCs w:val="21"/>
                <w:highlight w:val="none"/>
                <w:u w:val="single"/>
              </w:rPr>
              <w:t>，经济标与技术标同时开启</w:t>
            </w:r>
            <w:r>
              <w:rPr>
                <w:rFonts w:ascii="宋体" w:hAnsi="宋体" w:eastAsia="宋体" w:cs="宋体"/>
                <w:b w:val="0"/>
                <w:color w:val="auto"/>
                <w:szCs w:val="21"/>
                <w:highlight w:val="none"/>
                <w:u w:val="single"/>
              </w:rPr>
              <w:t>)</w:t>
            </w:r>
            <w:r>
              <w:rPr>
                <w:rFonts w:hint="eastAsia" w:ascii="宋体" w:hAnsi="宋体" w:eastAsia="宋体" w:cs="宋体"/>
                <w:b w:val="0"/>
                <w:color w:val="auto"/>
                <w:szCs w:val="21"/>
                <w:highlight w:val="none"/>
              </w:rPr>
              <w:t>，内容如下：</w:t>
            </w:r>
          </w:p>
          <w:p w14:paraId="08D4AB7C">
            <w:pPr>
              <w:pStyle w:val="86"/>
              <w:snapToGrid w:val="0"/>
              <w:spacing w:after="0" w:line="288" w:lineRule="auto"/>
              <w:ind w:firstLine="0" w:firstLineChars="0"/>
              <w:rPr>
                <w:rFonts w:ascii="宋体" w:hAnsi="宋体" w:eastAsia="宋体" w:cs="宋体"/>
                <w:color w:val="auto"/>
                <w:szCs w:val="21"/>
                <w:highlight w:val="none"/>
              </w:rPr>
            </w:pPr>
            <w:r>
              <w:rPr>
                <w:rFonts w:hint="eastAsia" w:ascii="宋体" w:hAnsi="宋体" w:eastAsia="宋体" w:cs="宋体"/>
                <w:b w:val="0"/>
                <w:color w:val="auto"/>
                <w:szCs w:val="21"/>
                <w:highlight w:val="none"/>
              </w:rPr>
              <w:t>只有满足招标文件实质性要求的投标人才能进入详细评审。通过投标人的信用情况（即按投标人在广州市住房和城乡建设局信用建设专栏诚信评价专栏投标截止当日公布的</w:t>
            </w:r>
            <w:r>
              <w:rPr>
                <w:rFonts w:hint="eastAsia" w:ascii="宋体" w:hAnsi="宋体" w:eastAsia="宋体" w:cs="宋体"/>
                <w:b/>
                <w:bCs/>
                <w:color w:val="auto"/>
                <w:szCs w:val="21"/>
                <w:highlight w:val="none"/>
              </w:rPr>
              <w:t>“施工</w:t>
            </w:r>
            <w:r>
              <w:rPr>
                <w:rFonts w:ascii="宋体" w:hAnsi="宋体" w:eastAsia="宋体" w:cs="宋体"/>
                <w:b/>
                <w:bCs/>
                <w:color w:val="auto"/>
                <w:szCs w:val="21"/>
                <w:highlight w:val="none"/>
              </w:rPr>
              <w:t>-房建排名”【即“施工企业房建诚信评价排名”】</w:t>
            </w:r>
            <w:r>
              <w:rPr>
                <w:rFonts w:ascii="宋体" w:hAnsi="宋体" w:eastAsia="宋体" w:cs="宋体"/>
                <w:b w:val="0"/>
                <w:color w:val="auto"/>
                <w:szCs w:val="21"/>
                <w:highlight w:val="none"/>
              </w:rPr>
              <w:t>表中的“60日诚信分”）对其投标报价进行折算</w:t>
            </w:r>
            <w:r>
              <w:rPr>
                <w:rFonts w:hint="eastAsia" w:ascii="宋体" w:hAnsi="宋体" w:eastAsia="宋体" w:cs="宋体"/>
                <w:b/>
                <w:color w:val="auto"/>
                <w:sz w:val="21"/>
                <w:szCs w:val="22"/>
                <w:highlight w:val="none"/>
                <w:u w:val="single"/>
              </w:rPr>
              <w:t>（折算规则详见招标文件第二章附件《投标报价折算标准表》），得到各投标人经评审的投标报价。以所有经评审的投标报价中金额最小的投标报价作为经评审的最低投标价，并以经评审的最低投标价作为推荐合格中标候选人的依据，按照经评审的投标报价（包含经评审的最低投标价）由低至高进行排序</w:t>
            </w:r>
            <w:r>
              <w:rPr>
                <w:rFonts w:hint="eastAsia" w:ascii="宋体" w:hAnsi="宋体" w:eastAsia="宋体" w:cs="宋体"/>
                <w:b w:val="0"/>
                <w:color w:val="auto"/>
                <w:szCs w:val="21"/>
                <w:highlight w:val="none"/>
              </w:rPr>
              <w:t>。</w:t>
            </w:r>
          </w:p>
          <w:p w14:paraId="1DF3A218">
            <w:pPr>
              <w:spacing w:line="276" w:lineRule="auto"/>
              <w:rPr>
                <w:rFonts w:ascii="宋体" w:hAnsi="宋体" w:eastAsia="宋体" w:cs="宋体"/>
                <w:color w:val="auto"/>
                <w:szCs w:val="21"/>
                <w:highlight w:val="none"/>
              </w:rPr>
            </w:pPr>
            <w:r>
              <w:rPr>
                <w:rFonts w:hint="eastAsia" w:ascii="宋体" w:hAnsi="宋体" w:eastAsia="宋体" w:cs="宋体"/>
                <w:b w:val="0"/>
                <w:color w:val="auto"/>
                <w:sz w:val="21"/>
                <w:szCs w:val="22"/>
                <w:highlight w:val="none"/>
                <w:u w:val="single"/>
              </w:rPr>
              <w:t>注：若投标人经评审的投标报价相同，则以</w:t>
            </w:r>
            <w:r>
              <w:rPr>
                <w:rFonts w:hint="eastAsia" w:ascii="宋体" w:hAnsi="宋体" w:eastAsia="宋体" w:cs="宋体"/>
                <w:b w:val="0"/>
                <w:color w:val="auto"/>
                <w:sz w:val="21"/>
                <w:szCs w:val="22"/>
                <w:highlight w:val="none"/>
                <w:u w:val="single"/>
                <w:lang w:eastAsia="zh-CN"/>
              </w:rPr>
              <w:t>诚信综合评分</w:t>
            </w:r>
            <w:r>
              <w:rPr>
                <w:rFonts w:hint="eastAsia" w:ascii="宋体" w:hAnsi="宋体" w:eastAsia="宋体" w:cs="宋体"/>
                <w:b w:val="0"/>
                <w:color w:val="auto"/>
                <w:sz w:val="21"/>
                <w:szCs w:val="22"/>
                <w:highlight w:val="none"/>
                <w:u w:val="single"/>
              </w:rPr>
              <w:t>得分较高的排前；若经评审的投标报价、</w:t>
            </w:r>
            <w:r>
              <w:rPr>
                <w:rFonts w:hint="eastAsia" w:ascii="宋体" w:hAnsi="宋体" w:eastAsia="宋体" w:cs="宋体"/>
                <w:b w:val="0"/>
                <w:color w:val="auto"/>
                <w:sz w:val="21"/>
                <w:szCs w:val="22"/>
                <w:highlight w:val="none"/>
                <w:u w:val="single"/>
                <w:lang w:eastAsia="zh-CN"/>
              </w:rPr>
              <w:t>诚信综合评分</w:t>
            </w:r>
            <w:r>
              <w:rPr>
                <w:rFonts w:hint="eastAsia" w:ascii="宋体" w:hAnsi="宋体" w:eastAsia="宋体" w:cs="宋体"/>
                <w:b w:val="0"/>
                <w:color w:val="auto"/>
                <w:sz w:val="21"/>
                <w:szCs w:val="22"/>
                <w:highlight w:val="none"/>
                <w:u w:val="single"/>
              </w:rPr>
              <w:t>得分均相同，则对具有相同情况的投标人，按入围合格中标候选人数量规定，由评标委员会采用记名投票方式，确定投标人的排序，并确定推荐进入定标阶段的合格中标候选人。记名投票方式确定排序的具体操作步骤为：由评标委员会对出现该情况的投标人采取记名投票的方式确定，按得票数高低进行排序，以得票数高的排前，根据得票数高低确定投标人排序。</w:t>
            </w:r>
          </w:p>
          <w:p w14:paraId="61CEFFDC">
            <w:pPr>
              <w:spacing w:line="276" w:lineRule="auto"/>
              <w:rPr>
                <w:rFonts w:ascii="宋体" w:hAnsi="宋体" w:eastAsia="宋体" w:cs="宋体"/>
                <w:color w:val="auto"/>
                <w:szCs w:val="22"/>
                <w:highlight w:val="none"/>
                <w:u w:val="single"/>
              </w:rPr>
            </w:pPr>
          </w:p>
          <w:p w14:paraId="5041A610">
            <w:pPr>
              <w:spacing w:line="276" w:lineRule="auto"/>
              <w:rPr>
                <w:rFonts w:ascii="宋体" w:hAnsi="宋体" w:eastAsia="宋体" w:cs="宋体"/>
                <w:color w:val="auto"/>
                <w:szCs w:val="22"/>
                <w:highlight w:val="none"/>
                <w:u w:val="single"/>
              </w:rPr>
            </w:pPr>
            <w:r>
              <w:rPr>
                <w:rFonts w:ascii="宋体" w:hAnsi="宋体" w:eastAsia="宋体" w:cs="宋体"/>
                <w:b w:val="0"/>
                <w:color w:val="auto"/>
                <w:sz w:val="21"/>
                <w:szCs w:val="22"/>
                <w:highlight w:val="none"/>
                <w:u w:val="single"/>
              </w:rPr>
              <w:t>2、</w:t>
            </w:r>
            <w:r>
              <w:rPr>
                <w:rFonts w:hint="eastAsia" w:ascii="宋体" w:hAnsi="宋体" w:eastAsia="宋体" w:cs="宋体"/>
                <w:b/>
                <w:bCs/>
                <w:color w:val="auto"/>
                <w:sz w:val="21"/>
                <w:szCs w:val="22"/>
                <w:highlight w:val="none"/>
                <w:u w:val="single"/>
              </w:rPr>
              <w:t>在评标评审完成后，评标委员会编写评标报告，评标委员会采用“有限数量制评审法”推荐不超过</w:t>
            </w:r>
            <w:r>
              <w:rPr>
                <w:rFonts w:ascii="宋体" w:hAnsi="宋体" w:eastAsia="宋体" w:cs="宋体"/>
                <w:b/>
                <w:bCs/>
                <w:color w:val="auto"/>
                <w:sz w:val="21"/>
                <w:szCs w:val="22"/>
                <w:highlight w:val="none"/>
                <w:u w:val="single"/>
              </w:rPr>
              <w:t>5家（经评审的投标报价介于经评审的最低投标价（含本数）与工程</w:t>
            </w:r>
            <w:r>
              <w:rPr>
                <w:rFonts w:hint="eastAsia" w:ascii="宋体" w:hAnsi="宋体" w:eastAsia="宋体" w:cs="宋体"/>
                <w:b/>
                <w:bCs/>
                <w:color w:val="auto"/>
                <w:sz w:val="21"/>
                <w:szCs w:val="22"/>
                <w:highlight w:val="none"/>
                <w:u w:val="single"/>
                <w:lang w:eastAsia="zh-CN"/>
              </w:rPr>
              <w:t>成本警示价</w:t>
            </w:r>
            <w:r>
              <w:rPr>
                <w:rFonts w:ascii="宋体" w:hAnsi="宋体" w:eastAsia="宋体" w:cs="宋体"/>
                <w:b/>
                <w:bCs/>
                <w:color w:val="auto"/>
                <w:sz w:val="21"/>
                <w:szCs w:val="22"/>
                <w:highlight w:val="none"/>
                <w:u w:val="single"/>
              </w:rPr>
              <w:t>（含本数）之间的投标人数量≥5家时除外）不排序的合格中标候选人进入定标阶段</w:t>
            </w:r>
            <w:r>
              <w:rPr>
                <w:rFonts w:hint="eastAsia" w:ascii="宋体" w:hAnsi="宋体" w:eastAsia="宋体" w:cs="宋体"/>
                <w:b w:val="0"/>
                <w:color w:val="auto"/>
                <w:sz w:val="21"/>
                <w:szCs w:val="22"/>
                <w:highlight w:val="none"/>
                <w:u w:val="single"/>
              </w:rPr>
              <w:t>。推荐规则如下：</w:t>
            </w:r>
          </w:p>
          <w:p w14:paraId="7A6C5112">
            <w:pPr>
              <w:spacing w:line="276" w:lineRule="auto"/>
              <w:rPr>
                <w:rFonts w:ascii="宋体" w:hAnsi="宋体" w:eastAsia="宋体" w:cs="宋体"/>
                <w:color w:val="auto"/>
                <w:szCs w:val="22"/>
                <w:highlight w:val="none"/>
                <w:u w:val="single"/>
              </w:rPr>
            </w:pPr>
            <w:r>
              <w:rPr>
                <w:rFonts w:hint="eastAsia" w:ascii="宋体" w:hAnsi="宋体" w:eastAsia="宋体" w:cs="宋体"/>
                <w:b w:val="0"/>
                <w:color w:val="auto"/>
                <w:sz w:val="21"/>
                <w:szCs w:val="22"/>
                <w:highlight w:val="none"/>
                <w:u w:val="single"/>
              </w:rPr>
              <w:t>（</w:t>
            </w:r>
            <w:r>
              <w:rPr>
                <w:rFonts w:ascii="宋体" w:hAnsi="宋体" w:eastAsia="宋体" w:cs="宋体"/>
                <w:b w:val="0"/>
                <w:color w:val="auto"/>
                <w:sz w:val="21"/>
                <w:szCs w:val="22"/>
                <w:highlight w:val="none"/>
                <w:u w:val="single"/>
              </w:rPr>
              <w:t>1）当通过有效性审查的投标人数＜3家时，招标人应重新招标。</w:t>
            </w:r>
          </w:p>
          <w:p w14:paraId="74C12EC7">
            <w:pPr>
              <w:spacing w:line="276" w:lineRule="auto"/>
              <w:rPr>
                <w:rFonts w:ascii="宋体" w:hAnsi="宋体" w:eastAsia="宋体" w:cs="宋体"/>
                <w:color w:val="auto"/>
                <w:szCs w:val="22"/>
                <w:highlight w:val="none"/>
                <w:u w:val="single"/>
              </w:rPr>
            </w:pPr>
            <w:r>
              <w:rPr>
                <w:rFonts w:hint="eastAsia" w:ascii="宋体" w:hAnsi="宋体" w:eastAsia="宋体" w:cs="宋体"/>
                <w:b w:val="0"/>
                <w:color w:val="auto"/>
                <w:sz w:val="21"/>
                <w:szCs w:val="22"/>
                <w:highlight w:val="none"/>
                <w:u w:val="single"/>
              </w:rPr>
              <w:t>（</w:t>
            </w:r>
            <w:r>
              <w:rPr>
                <w:rFonts w:ascii="宋体" w:hAnsi="宋体" w:eastAsia="宋体" w:cs="宋体"/>
                <w:b w:val="0"/>
                <w:color w:val="auto"/>
                <w:sz w:val="21"/>
                <w:szCs w:val="22"/>
                <w:highlight w:val="none"/>
                <w:u w:val="single"/>
              </w:rPr>
              <w:t>2）当通过有效性审查的投标人数≥3家且＜5家时，则通过有效性审查的所有投标人全部进入定标阶段。</w:t>
            </w:r>
          </w:p>
          <w:p w14:paraId="7C680FE4">
            <w:pPr>
              <w:spacing w:line="276" w:lineRule="auto"/>
              <w:rPr>
                <w:rFonts w:ascii="宋体" w:hAnsi="宋体" w:eastAsia="宋体" w:cs="宋体"/>
                <w:color w:val="auto"/>
                <w:szCs w:val="22"/>
                <w:highlight w:val="none"/>
                <w:u w:val="single"/>
              </w:rPr>
            </w:pPr>
            <w:r>
              <w:rPr>
                <w:rFonts w:hint="eastAsia" w:ascii="宋体" w:hAnsi="宋体" w:eastAsia="宋体" w:cs="宋体"/>
                <w:b w:val="0"/>
                <w:color w:val="auto"/>
                <w:sz w:val="21"/>
                <w:szCs w:val="22"/>
                <w:highlight w:val="none"/>
                <w:u w:val="single"/>
              </w:rPr>
              <w:t>（</w:t>
            </w:r>
            <w:r>
              <w:rPr>
                <w:rFonts w:ascii="宋体" w:hAnsi="宋体" w:eastAsia="宋体" w:cs="宋体"/>
                <w:b w:val="0"/>
                <w:color w:val="auto"/>
                <w:sz w:val="21"/>
                <w:szCs w:val="22"/>
                <w:highlight w:val="none"/>
                <w:u w:val="single"/>
              </w:rPr>
              <w:t>3）当通过有效性审查的投标人数≥5家时，则：</w:t>
            </w:r>
          </w:p>
          <w:p w14:paraId="6AC85C92">
            <w:pPr>
              <w:spacing w:line="276" w:lineRule="auto"/>
              <w:rPr>
                <w:rFonts w:ascii="宋体" w:hAnsi="宋体" w:eastAsia="宋体" w:cs="宋体"/>
                <w:color w:val="auto"/>
                <w:szCs w:val="22"/>
                <w:highlight w:val="none"/>
                <w:u w:val="single"/>
              </w:rPr>
            </w:pPr>
            <w:r>
              <w:rPr>
                <w:rFonts w:hint="eastAsia" w:ascii="宋体" w:hAnsi="宋体" w:eastAsia="宋体" w:cs="宋体"/>
                <w:b w:val="0"/>
                <w:color w:val="auto"/>
                <w:sz w:val="21"/>
                <w:szCs w:val="22"/>
                <w:highlight w:val="none"/>
                <w:u w:val="single"/>
              </w:rPr>
              <w:t>①若经评审的投标报价介于经评审的最低投标价（含本数）与工程</w:t>
            </w:r>
            <w:r>
              <w:rPr>
                <w:rFonts w:hint="eastAsia" w:ascii="宋体" w:hAnsi="宋体" w:eastAsia="宋体" w:cs="宋体"/>
                <w:b w:val="0"/>
                <w:color w:val="auto"/>
                <w:sz w:val="21"/>
                <w:szCs w:val="22"/>
                <w:highlight w:val="none"/>
                <w:u w:val="single"/>
                <w:lang w:eastAsia="zh-CN"/>
              </w:rPr>
              <w:t>成本警示价</w:t>
            </w:r>
            <w:r>
              <w:rPr>
                <w:rFonts w:hint="eastAsia" w:ascii="宋体" w:hAnsi="宋体" w:eastAsia="宋体" w:cs="宋体"/>
                <w:b w:val="0"/>
                <w:color w:val="auto"/>
                <w:sz w:val="21"/>
                <w:szCs w:val="22"/>
                <w:highlight w:val="none"/>
                <w:u w:val="single"/>
              </w:rPr>
              <w:t>（含本数）之间的数量≥</w:t>
            </w:r>
            <w:r>
              <w:rPr>
                <w:rFonts w:ascii="宋体" w:hAnsi="宋体" w:eastAsia="宋体" w:cs="宋体"/>
                <w:b w:val="0"/>
                <w:color w:val="auto"/>
                <w:sz w:val="21"/>
                <w:szCs w:val="22"/>
                <w:highlight w:val="none"/>
                <w:u w:val="single"/>
              </w:rPr>
              <w:t>5家时,则经评审的投标报价介于经评审的最低投标价（含本数）与工程</w:t>
            </w:r>
            <w:r>
              <w:rPr>
                <w:rFonts w:hint="eastAsia" w:ascii="宋体" w:hAnsi="宋体" w:eastAsia="宋体" w:cs="宋体"/>
                <w:b w:val="0"/>
                <w:color w:val="auto"/>
                <w:sz w:val="21"/>
                <w:szCs w:val="22"/>
                <w:highlight w:val="none"/>
                <w:u w:val="single"/>
                <w:lang w:eastAsia="zh-CN"/>
              </w:rPr>
              <w:t>成本警示价</w:t>
            </w:r>
            <w:r>
              <w:rPr>
                <w:rFonts w:ascii="宋体" w:hAnsi="宋体" w:eastAsia="宋体" w:cs="宋体"/>
                <w:b w:val="0"/>
                <w:color w:val="auto"/>
                <w:sz w:val="21"/>
                <w:szCs w:val="22"/>
                <w:highlight w:val="none"/>
                <w:u w:val="single"/>
              </w:rPr>
              <w:t>（含本数）之间的投标人全部进入定标阶段;</w:t>
            </w:r>
          </w:p>
          <w:p w14:paraId="426A031F">
            <w:pPr>
              <w:spacing w:line="276" w:lineRule="auto"/>
              <w:rPr>
                <w:rFonts w:ascii="宋体" w:hAnsi="宋体" w:eastAsia="宋体" w:cs="宋体"/>
                <w:color w:val="auto"/>
                <w:szCs w:val="22"/>
                <w:highlight w:val="none"/>
                <w:u w:val="single"/>
              </w:rPr>
            </w:pPr>
            <w:r>
              <w:rPr>
                <w:rFonts w:hint="eastAsia" w:ascii="宋体" w:hAnsi="宋体" w:eastAsia="宋体" w:cs="宋体"/>
                <w:b w:val="0"/>
                <w:color w:val="auto"/>
                <w:sz w:val="21"/>
                <w:szCs w:val="22"/>
                <w:highlight w:val="none"/>
                <w:u w:val="single"/>
              </w:rPr>
              <w:t>②若经评审的投标报价介于经评审的最低投标价（含本数）与工程</w:t>
            </w:r>
            <w:r>
              <w:rPr>
                <w:rFonts w:hint="eastAsia" w:ascii="宋体" w:hAnsi="宋体" w:eastAsia="宋体" w:cs="宋体"/>
                <w:b w:val="0"/>
                <w:color w:val="auto"/>
                <w:sz w:val="21"/>
                <w:szCs w:val="22"/>
                <w:highlight w:val="none"/>
                <w:u w:val="single"/>
                <w:lang w:eastAsia="zh-CN"/>
              </w:rPr>
              <w:t>成本警示价</w:t>
            </w:r>
            <w:r>
              <w:rPr>
                <w:rFonts w:hint="eastAsia" w:ascii="宋体" w:hAnsi="宋体" w:eastAsia="宋体" w:cs="宋体"/>
                <w:b w:val="0"/>
                <w:color w:val="auto"/>
                <w:sz w:val="21"/>
                <w:szCs w:val="22"/>
                <w:highlight w:val="none"/>
                <w:u w:val="single"/>
              </w:rPr>
              <w:t>（含本数）之间的数量＜</w:t>
            </w:r>
            <w:r>
              <w:rPr>
                <w:rFonts w:ascii="宋体" w:hAnsi="宋体" w:eastAsia="宋体" w:cs="宋体"/>
                <w:b w:val="0"/>
                <w:color w:val="auto"/>
                <w:sz w:val="21"/>
                <w:szCs w:val="22"/>
                <w:highlight w:val="none"/>
                <w:u w:val="single"/>
              </w:rPr>
              <w:t>5家时,则按经评审的投标报价由低到高选取5家不排序的合格中标候选人进入定标阶段。</w:t>
            </w:r>
          </w:p>
          <w:p w14:paraId="2AE42D8A">
            <w:pPr>
              <w:spacing w:line="276" w:lineRule="auto"/>
              <w:rPr>
                <w:rFonts w:ascii="宋体" w:hAnsi="宋体" w:eastAsia="宋体" w:cs="宋体"/>
                <w:color w:val="auto"/>
                <w:szCs w:val="22"/>
                <w:highlight w:val="none"/>
                <w:u w:val="single"/>
              </w:rPr>
            </w:pPr>
            <w:r>
              <w:rPr>
                <w:rFonts w:hint="eastAsia" w:ascii="宋体" w:hAnsi="宋体" w:eastAsia="宋体" w:cs="宋体"/>
                <w:b w:val="0"/>
                <w:color w:val="auto"/>
                <w:sz w:val="21"/>
                <w:szCs w:val="22"/>
                <w:highlight w:val="none"/>
                <w:u w:val="single"/>
              </w:rPr>
              <w:t>注：进入定标阶段的合格中标候选人不排序【按统一社会信用代码后</w:t>
            </w:r>
            <w:r>
              <w:rPr>
                <w:rFonts w:ascii="宋体" w:hAnsi="宋体" w:eastAsia="宋体" w:cs="宋体"/>
                <w:b w:val="0"/>
                <w:color w:val="auto"/>
                <w:sz w:val="21"/>
                <w:szCs w:val="22"/>
                <w:highlight w:val="none"/>
                <w:u w:val="single"/>
              </w:rPr>
              <w:t>4位(除校验码外)大小排位，如统一社会信用代码后4位出现字母情况的，字母以“0”进行代替大小排位;如出现后4位(除校验码外)大小一致的，则随机排位(联合体投标的按联合体主办方的统一社会信用代码排位)】。</w:t>
            </w:r>
          </w:p>
          <w:p w14:paraId="20E2E251">
            <w:pPr>
              <w:pStyle w:val="86"/>
              <w:snapToGrid w:val="0"/>
              <w:spacing w:after="0" w:line="288" w:lineRule="auto"/>
              <w:ind w:firstLine="210"/>
              <w:rPr>
                <w:rFonts w:ascii="宋体" w:hAnsi="宋体" w:eastAsia="宋体" w:cs="宋体"/>
                <w:color w:val="auto"/>
                <w:szCs w:val="21"/>
                <w:highlight w:val="none"/>
              </w:rPr>
            </w:pPr>
          </w:p>
          <w:p w14:paraId="1064677F">
            <w:pPr>
              <w:pStyle w:val="86"/>
              <w:snapToGrid w:val="0"/>
              <w:spacing w:after="0" w:line="288" w:lineRule="auto"/>
              <w:ind w:firstLine="210"/>
              <w:rPr>
                <w:rFonts w:ascii="宋体" w:hAnsi="宋体" w:eastAsia="宋体" w:cs="宋体"/>
                <w:color w:val="auto"/>
                <w:szCs w:val="21"/>
                <w:highlight w:val="none"/>
              </w:rPr>
            </w:pPr>
            <w:r>
              <w:rPr>
                <w:rFonts w:ascii="宋体" w:hAnsi="宋体" w:eastAsia="宋体" w:cs="宋体"/>
                <w:b w:val="0"/>
                <w:color w:val="auto"/>
                <w:szCs w:val="21"/>
                <w:highlight w:val="none"/>
              </w:rPr>
              <w:t>3、</w:t>
            </w:r>
            <w:r>
              <w:rPr>
                <w:rFonts w:hint="eastAsia" w:ascii="宋体" w:hAnsi="宋体" w:eastAsia="宋体" w:cs="宋体"/>
                <w:b w:val="0"/>
                <w:color w:val="auto"/>
                <w:szCs w:val="21"/>
                <w:highlight w:val="none"/>
              </w:rPr>
              <w:t>定标办法：采用“方案因素＋价格因素评分法”</w:t>
            </w:r>
          </w:p>
          <w:p w14:paraId="17043F68">
            <w:pPr>
              <w:pStyle w:val="86"/>
              <w:snapToGrid w:val="0"/>
              <w:spacing w:after="0" w:line="288" w:lineRule="auto"/>
              <w:ind w:firstLine="210"/>
              <w:rPr>
                <w:rFonts w:ascii="宋体" w:hAnsi="宋体" w:eastAsia="宋体" w:cs="宋体"/>
                <w:color w:val="auto"/>
                <w:szCs w:val="21"/>
                <w:highlight w:val="none"/>
              </w:rPr>
            </w:pPr>
            <w:r>
              <w:rPr>
                <w:rFonts w:ascii="宋体" w:hAnsi="宋体" w:eastAsia="宋体" w:cs="宋体"/>
                <w:b w:val="0"/>
                <w:color w:val="auto"/>
                <w:szCs w:val="21"/>
                <w:highlight w:val="none"/>
              </w:rPr>
              <w:t>4、</w:t>
            </w:r>
            <w:r>
              <w:rPr>
                <w:rFonts w:hint="eastAsia" w:ascii="宋体" w:hAnsi="宋体" w:eastAsia="宋体" w:cs="宋体"/>
                <w:b w:val="0"/>
                <w:color w:val="auto"/>
                <w:szCs w:val="21"/>
                <w:highlight w:val="none"/>
              </w:rPr>
              <w:t>定标因素：详见《定标因素表（定标阶段用表）》（附表六）</w:t>
            </w:r>
          </w:p>
        </w:tc>
      </w:tr>
      <w:tr w14:paraId="2FF08F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4C9BC3CA">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20</w:t>
            </w:r>
          </w:p>
        </w:tc>
        <w:tc>
          <w:tcPr>
            <w:tcW w:w="447" w:type="pct"/>
            <w:noWrap/>
            <w:vAlign w:val="center"/>
          </w:tcPr>
          <w:p w14:paraId="62A5A758">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29.1</w:t>
            </w:r>
          </w:p>
        </w:tc>
        <w:tc>
          <w:tcPr>
            <w:tcW w:w="681" w:type="pct"/>
            <w:noWrap/>
            <w:vAlign w:val="center"/>
          </w:tcPr>
          <w:p w14:paraId="5C9984FE">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履约担保</w:t>
            </w:r>
          </w:p>
        </w:tc>
        <w:tc>
          <w:tcPr>
            <w:tcW w:w="3603" w:type="pct"/>
            <w:tcBorders>
              <w:right w:val="double" w:color="auto" w:sz="4" w:space="0"/>
            </w:tcBorders>
            <w:noWrap/>
            <w:vAlign w:val="center"/>
          </w:tcPr>
          <w:p w14:paraId="4FFC5F96">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方式一：中标人提供的履约担保金额为中标价款的</w:t>
            </w:r>
            <w:r>
              <w:rPr>
                <w:rFonts w:ascii="宋体" w:hAnsi="宋体" w:eastAsia="宋体" w:cs="宋体"/>
                <w:b w:val="0"/>
                <w:color w:val="auto"/>
                <w:sz w:val="21"/>
                <w:szCs w:val="21"/>
                <w:highlight w:val="none"/>
              </w:rPr>
              <w:t>10%。</w:t>
            </w:r>
          </w:p>
        </w:tc>
      </w:tr>
      <w:tr w14:paraId="11FB23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62693BC3">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21</w:t>
            </w:r>
          </w:p>
        </w:tc>
        <w:tc>
          <w:tcPr>
            <w:tcW w:w="447" w:type="pct"/>
            <w:noWrap/>
            <w:vAlign w:val="center"/>
          </w:tcPr>
          <w:p w14:paraId="7FDD5E69">
            <w:pPr>
              <w:snapToGrid w:val="0"/>
              <w:spacing w:line="288" w:lineRule="auto"/>
              <w:jc w:val="center"/>
              <w:rPr>
                <w:rFonts w:ascii="宋体" w:hAnsi="宋体" w:eastAsia="宋体" w:cs="宋体"/>
                <w:color w:val="auto"/>
                <w:szCs w:val="21"/>
                <w:highlight w:val="none"/>
              </w:rPr>
            </w:pPr>
          </w:p>
        </w:tc>
        <w:tc>
          <w:tcPr>
            <w:tcW w:w="681" w:type="pct"/>
            <w:noWrap/>
            <w:vAlign w:val="center"/>
          </w:tcPr>
          <w:p w14:paraId="4FE748DD">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最高投标限价</w:t>
            </w:r>
          </w:p>
        </w:tc>
        <w:tc>
          <w:tcPr>
            <w:tcW w:w="3603" w:type="pct"/>
            <w:tcBorders>
              <w:right w:val="double" w:color="auto" w:sz="4" w:space="0"/>
            </w:tcBorders>
            <w:noWrap/>
            <w:vAlign w:val="center"/>
          </w:tcPr>
          <w:p w14:paraId="6418ECA0">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本项目最高投标限价为人民币</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rPr>
              <w:t>19883690.80</w:t>
            </w:r>
            <w:r>
              <w:rPr>
                <w:rFonts w:hint="eastAsia" w:ascii="宋体" w:hAnsi="宋体" w:eastAsia="宋体" w:cs="宋体"/>
                <w:b w:val="0"/>
                <w:color w:val="auto"/>
                <w:sz w:val="21"/>
                <w:szCs w:val="21"/>
                <w:highlight w:val="none"/>
              </w:rPr>
              <w:t>元。</w:t>
            </w:r>
            <w:r>
              <w:rPr>
                <w:rFonts w:hint="eastAsia" w:ascii="宋体" w:hAnsi="宋体" w:eastAsia="宋体" w:cs="宋体"/>
                <w:b w:val="0"/>
                <w:color w:val="auto"/>
                <w:sz w:val="21"/>
                <w:szCs w:val="21"/>
                <w:highlight w:val="none"/>
                <w:u w:val="single"/>
              </w:rPr>
              <w:t>详见招标人最终发出的《最高投标限价公布函》，投标总报价超过最高投标限价的投标文件将被拒绝。</w:t>
            </w:r>
          </w:p>
        </w:tc>
      </w:tr>
      <w:tr w14:paraId="5FC202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782B0DBB">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22</w:t>
            </w:r>
          </w:p>
        </w:tc>
        <w:tc>
          <w:tcPr>
            <w:tcW w:w="447" w:type="pct"/>
            <w:noWrap/>
            <w:vAlign w:val="center"/>
          </w:tcPr>
          <w:p w14:paraId="2F0BD4A8">
            <w:pPr>
              <w:snapToGrid w:val="0"/>
              <w:spacing w:line="288" w:lineRule="auto"/>
              <w:jc w:val="center"/>
              <w:rPr>
                <w:rFonts w:ascii="宋体" w:hAnsi="宋体" w:eastAsia="宋体" w:cs="宋体"/>
                <w:color w:val="auto"/>
                <w:szCs w:val="21"/>
                <w:highlight w:val="none"/>
              </w:rPr>
            </w:pPr>
          </w:p>
        </w:tc>
        <w:tc>
          <w:tcPr>
            <w:tcW w:w="681" w:type="pct"/>
            <w:noWrap/>
            <w:vAlign w:val="center"/>
          </w:tcPr>
          <w:p w14:paraId="075BFA17">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非竞争费用</w:t>
            </w:r>
          </w:p>
        </w:tc>
        <w:tc>
          <w:tcPr>
            <w:tcW w:w="3603" w:type="pct"/>
            <w:tcBorders>
              <w:right w:val="double" w:color="auto" w:sz="4" w:space="0"/>
            </w:tcBorders>
            <w:noWrap/>
            <w:vAlign w:val="center"/>
          </w:tcPr>
          <w:p w14:paraId="1B9F0B22">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本项目绿色施工安全防护措施费为</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rPr>
              <w:t>732751.53</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元（扬尘污染防治费用、使用封闭式外脚手架金属防护网费用和绿色施工围蔽费用等纳入绿色施工安全防护措施费），暂列金额为</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rPr>
              <w:t>1502594.41</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元，暂估价为</w:t>
            </w:r>
            <w:r>
              <w:rPr>
                <w:rFonts w:ascii="宋体" w:hAnsi="宋体" w:eastAsia="宋体" w:cs="宋体"/>
                <w:b w:val="0"/>
                <w:color w:val="auto"/>
                <w:sz w:val="21"/>
                <w:szCs w:val="21"/>
                <w:highlight w:val="none"/>
                <w:u w:val="single"/>
              </w:rPr>
              <w:t xml:space="preserve">  /  </w:t>
            </w:r>
            <w:r>
              <w:rPr>
                <w:rFonts w:hint="eastAsia" w:ascii="宋体" w:hAnsi="宋体" w:eastAsia="宋体" w:cs="宋体"/>
                <w:b w:val="0"/>
                <w:color w:val="auto"/>
                <w:sz w:val="21"/>
                <w:szCs w:val="21"/>
                <w:highlight w:val="none"/>
              </w:rPr>
              <w:t>元。（未按招标文件规定的金额填写的，由评标委员会按照招标文件规定的金额进行修正）</w:t>
            </w:r>
          </w:p>
        </w:tc>
      </w:tr>
      <w:tr w14:paraId="32260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0A499137">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23</w:t>
            </w:r>
          </w:p>
        </w:tc>
        <w:tc>
          <w:tcPr>
            <w:tcW w:w="447" w:type="pct"/>
            <w:noWrap/>
            <w:vAlign w:val="center"/>
          </w:tcPr>
          <w:p w14:paraId="5B3F10E4">
            <w:pPr>
              <w:snapToGrid w:val="0"/>
              <w:spacing w:line="288" w:lineRule="auto"/>
              <w:jc w:val="center"/>
              <w:rPr>
                <w:rFonts w:ascii="宋体" w:hAnsi="宋体" w:eastAsia="宋体" w:cs="宋体"/>
                <w:color w:val="auto"/>
                <w:szCs w:val="21"/>
                <w:highlight w:val="none"/>
              </w:rPr>
            </w:pPr>
          </w:p>
        </w:tc>
        <w:tc>
          <w:tcPr>
            <w:tcW w:w="681" w:type="pct"/>
            <w:noWrap/>
            <w:vAlign w:val="center"/>
          </w:tcPr>
          <w:p w14:paraId="11BF435B">
            <w:pPr>
              <w:pStyle w:val="86"/>
              <w:snapToGrid w:val="0"/>
              <w:spacing w:after="0" w:line="288" w:lineRule="auto"/>
              <w:ind w:firstLine="210"/>
              <w:jc w:val="center"/>
              <w:rPr>
                <w:rFonts w:ascii="宋体" w:hAnsi="宋体" w:eastAsia="宋体" w:cs="宋体"/>
                <w:color w:val="auto"/>
                <w:szCs w:val="21"/>
                <w:highlight w:val="none"/>
              </w:rPr>
            </w:pPr>
            <w:r>
              <w:rPr>
                <w:rFonts w:hint="eastAsia" w:ascii="宋体" w:hAnsi="宋体" w:eastAsia="宋体" w:cs="宋体"/>
                <w:b w:val="0"/>
                <w:color w:val="auto"/>
                <w:szCs w:val="21"/>
                <w:highlight w:val="none"/>
              </w:rPr>
              <w:t>保修期</w:t>
            </w:r>
          </w:p>
        </w:tc>
        <w:tc>
          <w:tcPr>
            <w:tcW w:w="3603" w:type="pct"/>
            <w:tcBorders>
              <w:right w:val="double" w:color="auto" w:sz="4" w:space="0"/>
            </w:tcBorders>
            <w:noWrap/>
            <w:vAlign w:val="center"/>
          </w:tcPr>
          <w:p w14:paraId="07DB5F2A">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按照《建设工程质量管理条例》规定。</w:t>
            </w:r>
          </w:p>
        </w:tc>
      </w:tr>
      <w:tr w14:paraId="6C615F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1E041E4F">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24</w:t>
            </w:r>
          </w:p>
        </w:tc>
        <w:tc>
          <w:tcPr>
            <w:tcW w:w="447" w:type="pct"/>
            <w:noWrap/>
            <w:vAlign w:val="center"/>
          </w:tcPr>
          <w:p w14:paraId="172DFC0C">
            <w:pPr>
              <w:snapToGrid w:val="0"/>
              <w:spacing w:line="288" w:lineRule="auto"/>
              <w:jc w:val="center"/>
              <w:rPr>
                <w:rFonts w:ascii="宋体" w:hAnsi="宋体" w:eastAsia="宋体" w:cs="宋体"/>
                <w:color w:val="auto"/>
                <w:szCs w:val="21"/>
                <w:highlight w:val="none"/>
              </w:rPr>
            </w:pPr>
          </w:p>
        </w:tc>
        <w:tc>
          <w:tcPr>
            <w:tcW w:w="681" w:type="pct"/>
            <w:noWrap/>
            <w:vAlign w:val="center"/>
          </w:tcPr>
          <w:p w14:paraId="20DBB663">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strike/>
                <w:color w:val="auto"/>
                <w:sz w:val="21"/>
                <w:szCs w:val="21"/>
                <w:highlight w:val="none"/>
              </w:rPr>
              <w:t>计算评标参考价的等分点值</w:t>
            </w:r>
          </w:p>
        </w:tc>
        <w:tc>
          <w:tcPr>
            <w:tcW w:w="3603" w:type="pct"/>
            <w:tcBorders>
              <w:right w:val="double" w:color="auto" w:sz="4" w:space="0"/>
            </w:tcBorders>
            <w:noWrap/>
            <w:vAlign w:val="center"/>
          </w:tcPr>
          <w:p w14:paraId="5D890A22">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本款不适用。</w:t>
            </w:r>
          </w:p>
        </w:tc>
      </w:tr>
      <w:tr w14:paraId="5984F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3044914C">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25</w:t>
            </w:r>
          </w:p>
        </w:tc>
        <w:tc>
          <w:tcPr>
            <w:tcW w:w="447" w:type="pct"/>
            <w:noWrap/>
            <w:vAlign w:val="center"/>
          </w:tcPr>
          <w:p w14:paraId="27DE525C">
            <w:pPr>
              <w:snapToGrid w:val="0"/>
              <w:spacing w:line="288" w:lineRule="auto"/>
              <w:ind w:firstLine="458"/>
              <w:rPr>
                <w:rFonts w:ascii="宋体" w:hAnsi="宋体" w:eastAsia="宋体" w:cs="宋体"/>
                <w:color w:val="auto"/>
                <w:szCs w:val="21"/>
                <w:highlight w:val="none"/>
              </w:rPr>
            </w:pPr>
          </w:p>
        </w:tc>
        <w:tc>
          <w:tcPr>
            <w:tcW w:w="681" w:type="pct"/>
            <w:noWrap/>
            <w:vAlign w:val="center"/>
          </w:tcPr>
          <w:p w14:paraId="4E90A780">
            <w:pPr>
              <w:snapToGrid w:val="0"/>
              <w:spacing w:after="120" w:line="288" w:lineRule="auto"/>
              <w:jc w:val="center"/>
              <w:rPr>
                <w:rFonts w:ascii="宋体" w:hAnsi="宋体" w:eastAsia="宋体" w:cs="宋体"/>
                <w:strike/>
                <w:color w:val="auto"/>
                <w:szCs w:val="21"/>
                <w:highlight w:val="none"/>
              </w:rPr>
            </w:pPr>
            <w:r>
              <w:rPr>
                <w:rFonts w:hint="eastAsia" w:ascii="宋体" w:hAnsi="宋体" w:eastAsia="宋体" w:cs="宋体"/>
                <w:b w:val="0"/>
                <w:strike/>
                <w:color w:val="auto"/>
                <w:sz w:val="21"/>
                <w:szCs w:val="21"/>
                <w:highlight w:val="none"/>
              </w:rPr>
              <w:t>进入第二阶段评审的家数</w:t>
            </w:r>
          </w:p>
        </w:tc>
        <w:tc>
          <w:tcPr>
            <w:tcW w:w="3603" w:type="pct"/>
            <w:tcBorders>
              <w:right w:val="double" w:color="auto" w:sz="4" w:space="0"/>
            </w:tcBorders>
            <w:noWrap/>
            <w:vAlign w:val="center"/>
          </w:tcPr>
          <w:p w14:paraId="2F28F701">
            <w:pPr>
              <w:snapToGrid w:val="0"/>
              <w:spacing w:after="120" w:line="288" w:lineRule="auto"/>
              <w:rPr>
                <w:rFonts w:ascii="宋体" w:hAnsi="宋体" w:eastAsia="宋体" w:cs="宋体"/>
                <w:strike/>
                <w:color w:val="auto"/>
                <w:szCs w:val="21"/>
                <w:highlight w:val="none"/>
              </w:rPr>
            </w:pPr>
            <w:r>
              <w:rPr>
                <w:rFonts w:hint="eastAsia" w:ascii="宋体" w:hAnsi="宋体" w:eastAsia="宋体" w:cs="宋体"/>
                <w:b w:val="0"/>
                <w:color w:val="auto"/>
                <w:sz w:val="21"/>
                <w:szCs w:val="21"/>
                <w:highlight w:val="none"/>
                <w:u w:val="single"/>
              </w:rPr>
              <w:t>本款不适用。</w:t>
            </w:r>
          </w:p>
        </w:tc>
      </w:tr>
      <w:tr w14:paraId="25309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14F09441">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26</w:t>
            </w:r>
          </w:p>
        </w:tc>
        <w:tc>
          <w:tcPr>
            <w:tcW w:w="447" w:type="pct"/>
            <w:noWrap/>
            <w:vAlign w:val="center"/>
          </w:tcPr>
          <w:p w14:paraId="024329D1">
            <w:pPr>
              <w:snapToGrid w:val="0"/>
              <w:spacing w:line="288" w:lineRule="auto"/>
              <w:jc w:val="center"/>
              <w:rPr>
                <w:rFonts w:ascii="宋体" w:hAnsi="宋体" w:eastAsia="宋体" w:cs="宋体"/>
                <w:color w:val="auto"/>
                <w:szCs w:val="21"/>
                <w:highlight w:val="none"/>
              </w:rPr>
            </w:pPr>
          </w:p>
        </w:tc>
        <w:tc>
          <w:tcPr>
            <w:tcW w:w="681" w:type="pct"/>
            <w:noWrap/>
            <w:vAlign w:val="center"/>
          </w:tcPr>
          <w:p w14:paraId="4AFC778E">
            <w:pPr>
              <w:snapToGrid w:val="0"/>
              <w:spacing w:after="120" w:line="288" w:lineRule="auto"/>
              <w:jc w:val="center"/>
              <w:rPr>
                <w:rFonts w:hint="eastAsia" w:ascii="宋体" w:hAnsi="宋体" w:eastAsia="宋体" w:cs="宋体"/>
                <w:color w:val="auto"/>
                <w:szCs w:val="21"/>
                <w:highlight w:val="none"/>
                <w:lang w:eastAsia="zh-CN"/>
              </w:rPr>
            </w:pPr>
            <w:r>
              <w:rPr>
                <w:rFonts w:hint="eastAsia" w:ascii="宋体" w:hAnsi="宋体" w:eastAsia="宋体" w:cs="宋体"/>
                <w:b w:val="0"/>
                <w:color w:val="auto"/>
                <w:sz w:val="21"/>
                <w:szCs w:val="21"/>
                <w:highlight w:val="none"/>
              </w:rPr>
              <w:t>工程</w:t>
            </w:r>
            <w:r>
              <w:rPr>
                <w:rFonts w:hint="eastAsia" w:ascii="宋体" w:hAnsi="宋体" w:eastAsia="宋体" w:cs="宋体"/>
                <w:b w:val="0"/>
                <w:color w:val="auto"/>
                <w:sz w:val="21"/>
                <w:szCs w:val="21"/>
                <w:highlight w:val="none"/>
                <w:lang w:eastAsia="zh-CN"/>
              </w:rPr>
              <w:t>成本警示价</w:t>
            </w:r>
          </w:p>
        </w:tc>
        <w:tc>
          <w:tcPr>
            <w:tcW w:w="3603" w:type="pct"/>
            <w:tcBorders>
              <w:right w:val="double" w:color="auto" w:sz="4" w:space="0"/>
            </w:tcBorders>
            <w:noWrap/>
            <w:vAlign w:val="center"/>
          </w:tcPr>
          <w:p w14:paraId="04859D6F">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工程</w:t>
            </w:r>
            <w:r>
              <w:rPr>
                <w:rFonts w:hint="eastAsia" w:ascii="宋体" w:hAnsi="宋体" w:eastAsia="宋体" w:cs="宋体"/>
                <w:b w:val="0"/>
                <w:color w:val="auto"/>
                <w:sz w:val="21"/>
                <w:szCs w:val="21"/>
                <w:highlight w:val="none"/>
                <w:lang w:eastAsia="zh-CN"/>
              </w:rPr>
              <w:t>成本警示价</w:t>
            </w:r>
            <w:r>
              <w:rPr>
                <w:rFonts w:hint="eastAsia" w:ascii="宋体" w:hAnsi="宋体" w:eastAsia="宋体" w:cs="宋体"/>
                <w:b w:val="0"/>
                <w:color w:val="auto"/>
                <w:sz w:val="21"/>
                <w:szCs w:val="21"/>
                <w:highlight w:val="none"/>
              </w:rPr>
              <w:t>按为</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rPr>
              <w:t>16901137.18</w:t>
            </w:r>
            <w:r>
              <w:rPr>
                <w:rFonts w:ascii="宋体" w:hAnsi="宋体" w:eastAsia="宋体" w:cs="宋体"/>
                <w:color w:val="auto"/>
                <w:szCs w:val="21"/>
                <w:highlight w:val="none"/>
                <w:u w:val="single"/>
              </w:rPr>
              <w:t xml:space="preserve"> </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元。对低于该</w:t>
            </w:r>
            <w:r>
              <w:rPr>
                <w:rFonts w:hint="eastAsia" w:ascii="宋体" w:hAnsi="宋体" w:eastAsia="宋体" w:cs="宋体"/>
                <w:b w:val="0"/>
                <w:color w:val="auto"/>
                <w:sz w:val="21"/>
                <w:szCs w:val="21"/>
                <w:highlight w:val="none"/>
                <w:lang w:val="en-US" w:eastAsia="zh-CN"/>
              </w:rPr>
              <w:t>警示</w:t>
            </w:r>
            <w:r>
              <w:rPr>
                <w:rFonts w:hint="eastAsia" w:ascii="宋体" w:hAnsi="宋体" w:eastAsia="宋体" w:cs="宋体"/>
                <w:b w:val="0"/>
                <w:color w:val="auto"/>
                <w:sz w:val="21"/>
                <w:szCs w:val="21"/>
                <w:highlight w:val="none"/>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eastAsia="宋体" w:cs="宋体"/>
                <w:b w:val="0"/>
                <w:color w:val="auto"/>
                <w:sz w:val="21"/>
                <w:szCs w:val="21"/>
                <w:highlight w:val="none"/>
                <w:lang w:eastAsia="zh-CN"/>
              </w:rPr>
              <w:t>成本警示价</w:t>
            </w:r>
            <w:r>
              <w:rPr>
                <w:rFonts w:hint="eastAsia" w:ascii="宋体" w:hAnsi="宋体" w:eastAsia="宋体" w:cs="宋体"/>
                <w:b w:val="0"/>
                <w:color w:val="auto"/>
                <w:sz w:val="21"/>
                <w:szCs w:val="21"/>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BF622B3">
            <w:pPr>
              <w:snapToGrid w:val="0"/>
              <w:spacing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注：为充分体现招标人意愿及落实项目招标人负责制，</w:t>
            </w:r>
            <w:r>
              <w:rPr>
                <w:rFonts w:hint="eastAsia" w:ascii="宋体" w:hAnsi="宋体" w:eastAsia="宋体" w:cs="宋体"/>
                <w:b w:val="0"/>
                <w:color w:val="auto"/>
                <w:sz w:val="21"/>
                <w:szCs w:val="21"/>
                <w:highlight w:val="none"/>
                <w:lang w:val="en-US" w:eastAsia="zh-CN"/>
              </w:rPr>
              <w:t>警示</w:t>
            </w:r>
            <w:r>
              <w:rPr>
                <w:rFonts w:hint="eastAsia" w:ascii="宋体" w:hAnsi="宋体" w:eastAsia="宋体" w:cs="宋体"/>
                <w:b w:val="0"/>
                <w:color w:val="auto"/>
                <w:sz w:val="21"/>
                <w:szCs w:val="21"/>
                <w:highlight w:val="none"/>
              </w:rPr>
              <w:t>价由招标人决定。</w:t>
            </w:r>
          </w:p>
        </w:tc>
      </w:tr>
      <w:tr w14:paraId="1CF8E6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349530AB">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27</w:t>
            </w:r>
          </w:p>
        </w:tc>
        <w:tc>
          <w:tcPr>
            <w:tcW w:w="447" w:type="pct"/>
            <w:noWrap/>
            <w:vAlign w:val="center"/>
          </w:tcPr>
          <w:p w14:paraId="4C4D0BA4">
            <w:pPr>
              <w:snapToGrid w:val="0"/>
              <w:spacing w:line="288" w:lineRule="auto"/>
              <w:jc w:val="center"/>
              <w:rPr>
                <w:rFonts w:ascii="宋体" w:hAnsi="宋体" w:eastAsia="宋体" w:cs="宋体"/>
                <w:color w:val="auto"/>
                <w:szCs w:val="21"/>
                <w:highlight w:val="none"/>
              </w:rPr>
            </w:pPr>
          </w:p>
        </w:tc>
        <w:tc>
          <w:tcPr>
            <w:tcW w:w="681" w:type="pct"/>
            <w:noWrap/>
            <w:vAlign w:val="center"/>
          </w:tcPr>
          <w:p w14:paraId="43FC24B9">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各分值的权重</w:t>
            </w:r>
          </w:p>
        </w:tc>
        <w:tc>
          <w:tcPr>
            <w:tcW w:w="3603" w:type="pct"/>
            <w:tcBorders>
              <w:right w:val="double" w:color="auto" w:sz="4" w:space="0"/>
            </w:tcBorders>
            <w:noWrap/>
            <w:vAlign w:val="center"/>
          </w:tcPr>
          <w:p w14:paraId="3459D4A2">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本款不适用。</w:t>
            </w:r>
          </w:p>
        </w:tc>
      </w:tr>
      <w:tr w14:paraId="3985D1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vMerge w:val="restart"/>
            <w:tcBorders>
              <w:left w:val="double" w:color="auto" w:sz="4" w:space="0"/>
            </w:tcBorders>
            <w:noWrap/>
            <w:vAlign w:val="center"/>
          </w:tcPr>
          <w:p w14:paraId="6DCB77FD">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28</w:t>
            </w:r>
          </w:p>
        </w:tc>
        <w:tc>
          <w:tcPr>
            <w:tcW w:w="447" w:type="pct"/>
            <w:vMerge w:val="restart"/>
            <w:noWrap/>
            <w:vAlign w:val="center"/>
          </w:tcPr>
          <w:p w14:paraId="7021F70D">
            <w:pPr>
              <w:snapToGrid w:val="0"/>
              <w:spacing w:line="288" w:lineRule="auto"/>
              <w:jc w:val="center"/>
              <w:rPr>
                <w:rFonts w:ascii="宋体" w:hAnsi="宋体" w:eastAsia="宋体" w:cs="宋体"/>
                <w:color w:val="auto"/>
                <w:szCs w:val="21"/>
                <w:highlight w:val="none"/>
              </w:rPr>
            </w:pPr>
          </w:p>
        </w:tc>
        <w:tc>
          <w:tcPr>
            <w:tcW w:w="681" w:type="pct"/>
            <w:noWrap/>
            <w:vAlign w:val="center"/>
          </w:tcPr>
          <w:p w14:paraId="27A05012">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评标委员会人数</w:t>
            </w:r>
          </w:p>
        </w:tc>
        <w:tc>
          <w:tcPr>
            <w:tcW w:w="3603" w:type="pct"/>
            <w:tcBorders>
              <w:right w:val="double" w:color="auto" w:sz="4" w:space="0"/>
            </w:tcBorders>
            <w:noWrap/>
            <w:vAlign w:val="center"/>
          </w:tcPr>
          <w:p w14:paraId="73CACA31">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评标委员会由招标人依法组建。</w:t>
            </w:r>
          </w:p>
          <w:p w14:paraId="137153DE">
            <w:pPr>
              <w:snapToGrid w:val="0"/>
              <w:spacing w:line="288" w:lineRule="auto"/>
              <w:rPr>
                <w:rFonts w:ascii="宋体" w:hAnsi="宋体" w:eastAsia="宋体" w:cs="宋体"/>
                <w:color w:val="auto"/>
                <w:szCs w:val="21"/>
                <w:highlight w:val="none"/>
              </w:rPr>
            </w:pPr>
            <w:r>
              <w:rPr>
                <w:rFonts w:hint="eastAsia" w:ascii="宋体" w:hAnsi="宋体" w:eastAsia="宋体" w:cs="宋体"/>
                <w:b w:val="0"/>
                <w:snapToGrid w:val="0"/>
                <w:color w:val="auto"/>
                <w:kern w:val="0"/>
                <w:szCs w:val="21"/>
                <w:highlight w:val="none"/>
                <w:u w:val="single"/>
              </w:rPr>
              <w:t>招标代理机构应严格按照《广东省政务服务和数据管理局关于印发广东省综合评标评审专家库评标专家劳务报酬管理办法的通知》（粤政数〔</w:t>
            </w:r>
            <w:r>
              <w:rPr>
                <w:rFonts w:ascii="宋体" w:hAnsi="宋体" w:eastAsia="宋体" w:cs="宋体"/>
                <w:b w:val="0"/>
                <w:snapToGrid w:val="0"/>
                <w:color w:val="auto"/>
                <w:kern w:val="0"/>
                <w:szCs w:val="21"/>
                <w:highlight w:val="none"/>
                <w:u w:val="single"/>
              </w:rPr>
              <w:t xml:space="preserve">2025〕11 </w:t>
            </w:r>
            <w:r>
              <w:rPr>
                <w:rFonts w:hint="eastAsia" w:ascii="宋体" w:hAnsi="宋体" w:eastAsia="宋体" w:cs="宋体"/>
                <w:b w:val="0"/>
                <w:snapToGrid w:val="0"/>
                <w:color w:val="auto"/>
                <w:kern w:val="0"/>
                <w:szCs w:val="21"/>
                <w:highlight w:val="none"/>
                <w:u w:val="single"/>
              </w:rPr>
              <w:t>号）的规定向评标专家支付酬金，不得额外支付费用。评标专家对符合《广东省综合评标评审专家库评标专家劳务报酬管理办法》的规定计取的专家报酬不得有异议。</w:t>
            </w:r>
            <w:r>
              <w:rPr>
                <w:rFonts w:hint="eastAsia" w:ascii="宋体" w:hAnsi="宋体" w:eastAsia="宋体" w:cs="宋体"/>
                <w:b w:val="0"/>
                <w:color w:val="auto"/>
                <w:szCs w:val="21"/>
                <w:highlight w:val="none"/>
              </w:rPr>
              <w:t>（如有最新规定按新规执行）</w:t>
            </w:r>
          </w:p>
        </w:tc>
      </w:tr>
      <w:tr w14:paraId="3D0E8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vMerge w:val="continue"/>
            <w:tcBorders>
              <w:left w:val="double" w:color="auto" w:sz="4" w:space="0"/>
            </w:tcBorders>
            <w:noWrap/>
            <w:vAlign w:val="center"/>
          </w:tcPr>
          <w:p w14:paraId="1D1ED2E7">
            <w:pPr>
              <w:snapToGrid w:val="0"/>
              <w:spacing w:line="288" w:lineRule="auto"/>
              <w:jc w:val="center"/>
              <w:rPr>
                <w:rFonts w:ascii="宋体" w:hAnsi="宋体" w:eastAsia="宋体" w:cs="宋体"/>
                <w:color w:val="auto"/>
                <w:szCs w:val="21"/>
                <w:highlight w:val="none"/>
              </w:rPr>
            </w:pPr>
          </w:p>
        </w:tc>
        <w:tc>
          <w:tcPr>
            <w:tcW w:w="447" w:type="pct"/>
            <w:vMerge w:val="continue"/>
            <w:noWrap/>
            <w:vAlign w:val="center"/>
          </w:tcPr>
          <w:p w14:paraId="0C670080">
            <w:pPr>
              <w:snapToGrid w:val="0"/>
              <w:spacing w:line="288" w:lineRule="auto"/>
              <w:jc w:val="center"/>
              <w:rPr>
                <w:rFonts w:ascii="宋体" w:hAnsi="宋体" w:eastAsia="宋体" w:cs="宋体"/>
                <w:color w:val="auto"/>
                <w:szCs w:val="21"/>
                <w:highlight w:val="none"/>
              </w:rPr>
            </w:pPr>
          </w:p>
        </w:tc>
        <w:tc>
          <w:tcPr>
            <w:tcW w:w="681" w:type="pct"/>
            <w:noWrap/>
            <w:vAlign w:val="center"/>
          </w:tcPr>
          <w:p w14:paraId="0CDB7C4B">
            <w:pPr>
              <w:snapToGrid w:val="0"/>
              <w:spacing w:after="120" w:line="288" w:lineRule="auto"/>
              <w:jc w:val="center"/>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定标委员会人数</w:t>
            </w:r>
          </w:p>
        </w:tc>
        <w:tc>
          <w:tcPr>
            <w:tcW w:w="3603" w:type="pct"/>
            <w:tcBorders>
              <w:right w:val="double" w:color="auto" w:sz="4" w:space="0"/>
            </w:tcBorders>
            <w:noWrap/>
            <w:vAlign w:val="center"/>
          </w:tcPr>
          <w:p w14:paraId="77EDDAD0">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定标委员会由招标人依法组建，成员数量为</w:t>
            </w:r>
            <w:r>
              <w:rPr>
                <w:rFonts w:ascii="宋体" w:hAnsi="宋体" w:eastAsia="宋体" w:cs="宋体"/>
                <w:b w:val="0"/>
                <w:color w:val="auto"/>
                <w:sz w:val="21"/>
                <w:szCs w:val="21"/>
                <w:highlight w:val="none"/>
                <w:u w:val="single"/>
              </w:rPr>
              <w:t>5人。</w:t>
            </w:r>
          </w:p>
        </w:tc>
      </w:tr>
      <w:tr w14:paraId="796281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vMerge w:val="continue"/>
            <w:tcBorders>
              <w:left w:val="double" w:color="auto" w:sz="4" w:space="0"/>
            </w:tcBorders>
            <w:noWrap/>
            <w:vAlign w:val="center"/>
          </w:tcPr>
          <w:p w14:paraId="018DEC88">
            <w:pPr>
              <w:snapToGrid w:val="0"/>
              <w:spacing w:line="288" w:lineRule="auto"/>
              <w:jc w:val="center"/>
              <w:rPr>
                <w:rFonts w:ascii="宋体" w:hAnsi="宋体" w:eastAsia="宋体" w:cs="宋体"/>
                <w:color w:val="auto"/>
                <w:szCs w:val="21"/>
                <w:highlight w:val="none"/>
              </w:rPr>
            </w:pPr>
          </w:p>
        </w:tc>
        <w:tc>
          <w:tcPr>
            <w:tcW w:w="447" w:type="pct"/>
            <w:vMerge w:val="continue"/>
            <w:noWrap/>
            <w:vAlign w:val="center"/>
          </w:tcPr>
          <w:p w14:paraId="21CB2B77">
            <w:pPr>
              <w:snapToGrid w:val="0"/>
              <w:spacing w:line="288" w:lineRule="auto"/>
              <w:jc w:val="center"/>
              <w:rPr>
                <w:rFonts w:ascii="宋体" w:hAnsi="宋体" w:eastAsia="宋体" w:cs="宋体"/>
                <w:color w:val="auto"/>
                <w:szCs w:val="21"/>
                <w:highlight w:val="none"/>
              </w:rPr>
            </w:pPr>
          </w:p>
        </w:tc>
        <w:tc>
          <w:tcPr>
            <w:tcW w:w="681" w:type="pct"/>
            <w:noWrap/>
            <w:vAlign w:val="center"/>
          </w:tcPr>
          <w:p w14:paraId="7BE9F8FD">
            <w:pPr>
              <w:snapToGrid w:val="0"/>
              <w:spacing w:after="120" w:line="288" w:lineRule="auto"/>
              <w:jc w:val="center"/>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监督小组人数</w:t>
            </w:r>
          </w:p>
        </w:tc>
        <w:tc>
          <w:tcPr>
            <w:tcW w:w="3603" w:type="pct"/>
            <w:tcBorders>
              <w:right w:val="double" w:color="auto" w:sz="4" w:space="0"/>
            </w:tcBorders>
            <w:noWrap/>
            <w:vAlign w:val="center"/>
          </w:tcPr>
          <w:p w14:paraId="2C057A87">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定标监督小组由招标人组建，人数为</w:t>
            </w:r>
            <w:r>
              <w:rPr>
                <w:rFonts w:ascii="宋体" w:hAnsi="宋体" w:eastAsia="宋体" w:cs="宋体"/>
                <w:b w:val="0"/>
                <w:color w:val="auto"/>
                <w:sz w:val="21"/>
                <w:szCs w:val="21"/>
                <w:highlight w:val="none"/>
                <w:u w:val="single"/>
              </w:rPr>
              <w:t>2</w:t>
            </w:r>
            <w:r>
              <w:rPr>
                <w:rFonts w:hint="eastAsia" w:ascii="宋体" w:hAnsi="宋体" w:eastAsia="宋体" w:cs="宋体"/>
                <w:b w:val="0"/>
                <w:color w:val="auto"/>
                <w:sz w:val="21"/>
                <w:szCs w:val="21"/>
                <w:highlight w:val="none"/>
                <w:u w:val="single"/>
              </w:rPr>
              <w:t>人。</w:t>
            </w:r>
          </w:p>
        </w:tc>
      </w:tr>
      <w:tr w14:paraId="4E0ECB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730434EB">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29</w:t>
            </w:r>
          </w:p>
        </w:tc>
        <w:tc>
          <w:tcPr>
            <w:tcW w:w="447" w:type="pct"/>
            <w:noWrap/>
            <w:vAlign w:val="center"/>
          </w:tcPr>
          <w:p w14:paraId="7F616E4D">
            <w:pPr>
              <w:snapToGrid w:val="0"/>
              <w:spacing w:line="288" w:lineRule="auto"/>
              <w:jc w:val="center"/>
              <w:rPr>
                <w:rFonts w:ascii="宋体" w:hAnsi="宋体" w:eastAsia="宋体" w:cs="宋体"/>
                <w:color w:val="auto"/>
                <w:szCs w:val="21"/>
                <w:highlight w:val="none"/>
              </w:rPr>
            </w:pPr>
          </w:p>
        </w:tc>
        <w:tc>
          <w:tcPr>
            <w:tcW w:w="681" w:type="pct"/>
            <w:noWrap/>
            <w:vAlign w:val="center"/>
          </w:tcPr>
          <w:p w14:paraId="670C73F6">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企业综合诚信评价分数</w:t>
            </w:r>
          </w:p>
        </w:tc>
        <w:tc>
          <w:tcPr>
            <w:tcW w:w="3603" w:type="pct"/>
            <w:tcBorders>
              <w:right w:val="double" w:color="auto" w:sz="4" w:space="0"/>
            </w:tcBorders>
            <w:noWrap/>
            <w:vAlign w:val="center"/>
          </w:tcPr>
          <w:p w14:paraId="462B9C97">
            <w:pPr>
              <w:snapToGrid w:val="0"/>
              <w:spacing w:after="120" w:line="288" w:lineRule="auto"/>
              <w:jc w:val="left"/>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本项目通过投标人的诚信评价“广州交易集团有限公司门户网站</w:t>
            </w:r>
            <w:r>
              <w:rPr>
                <w:rFonts w:ascii="宋体" w:hAnsi="宋体" w:eastAsia="宋体" w:cs="宋体"/>
                <w:b w:val="0"/>
                <w:color w:val="auto"/>
                <w:sz w:val="21"/>
                <w:szCs w:val="21"/>
                <w:highlight w:val="none"/>
                <w:u w:val="single"/>
              </w:rPr>
              <w:t>-信用信息-广州市住房和城乡建设局信用建设专栏诚信评价</w:t>
            </w:r>
            <w:r>
              <w:rPr>
                <w:rFonts w:hint="eastAsia" w:ascii="宋体" w:hAnsi="宋体" w:eastAsia="宋体" w:cs="宋体"/>
                <w:b w:val="0"/>
                <w:color w:val="auto"/>
                <w:sz w:val="21"/>
                <w:szCs w:val="21"/>
                <w:highlight w:val="none"/>
                <w:u w:val="single"/>
              </w:rPr>
              <w:t>中“施工企业”专栏（</w:t>
            </w:r>
            <w:r>
              <w:rPr>
                <w:rFonts w:ascii="宋体" w:hAnsi="宋体" w:eastAsia="宋体" w:cs="宋体"/>
                <w:b w:val="0"/>
                <w:color w:val="auto"/>
                <w:sz w:val="21"/>
                <w:szCs w:val="21"/>
                <w:highlight w:val="none"/>
                <w:u w:val="single"/>
              </w:rPr>
              <w:t>http://121.8.226.218:8081/eval/evalGateWay/list?typeCode=CONSTRUCTION</w:t>
            </w:r>
            <w:r>
              <w:rPr>
                <w:rFonts w:hint="eastAsia" w:ascii="宋体" w:hAnsi="宋体" w:eastAsia="宋体" w:cs="宋体"/>
                <w:b w:val="0"/>
                <w:color w:val="auto"/>
                <w:sz w:val="21"/>
                <w:szCs w:val="21"/>
                <w:highlight w:val="none"/>
                <w:u w:val="single"/>
              </w:rPr>
              <w:t>）上投标截止当日查询的公布的“施工</w:t>
            </w:r>
            <w:r>
              <w:rPr>
                <w:rFonts w:ascii="宋体" w:hAnsi="宋体" w:eastAsia="宋体" w:cs="宋体"/>
                <w:b w:val="0"/>
                <w:color w:val="auto"/>
                <w:sz w:val="21"/>
                <w:szCs w:val="21"/>
                <w:highlight w:val="none"/>
                <w:u w:val="single"/>
              </w:rPr>
              <w:t>-房建排名”【即“施工企业房建诚信评价排名”】</w:t>
            </w:r>
            <w:r>
              <w:rPr>
                <w:rFonts w:hint="eastAsia" w:ascii="宋体" w:hAnsi="宋体" w:eastAsia="宋体" w:cs="宋体"/>
                <w:b w:val="0"/>
                <w:color w:val="auto"/>
                <w:sz w:val="21"/>
                <w:szCs w:val="21"/>
                <w:highlight w:val="none"/>
                <w:u w:val="single"/>
              </w:rPr>
              <w:t>中“</w:t>
            </w:r>
            <w:r>
              <w:rPr>
                <w:rFonts w:ascii="宋体" w:hAnsi="宋体" w:eastAsia="宋体" w:cs="宋体"/>
                <w:b w:val="0"/>
                <w:color w:val="auto"/>
                <w:sz w:val="21"/>
                <w:szCs w:val="21"/>
                <w:highlight w:val="none"/>
                <w:u w:val="single"/>
              </w:rPr>
              <w:t>60日诚信分</w:t>
            </w:r>
            <w:r>
              <w:rPr>
                <w:rFonts w:hint="eastAsia" w:ascii="宋体" w:hAnsi="宋体" w:eastAsia="宋体" w:cs="宋体"/>
                <w:b w:val="0"/>
                <w:color w:val="auto"/>
                <w:sz w:val="21"/>
                <w:szCs w:val="21"/>
                <w:highlight w:val="none"/>
                <w:u w:val="single"/>
              </w:rPr>
              <w:t>”为准。</w:t>
            </w:r>
          </w:p>
          <w:p w14:paraId="5FC5B801">
            <w:pPr>
              <w:snapToGrid w:val="0"/>
              <w:spacing w:line="288" w:lineRule="auto"/>
              <w:rPr>
                <w:rFonts w:ascii="宋体" w:hAnsi="宋体" w:eastAsia="宋体" w:cs="宋体"/>
                <w:color w:val="auto"/>
                <w:szCs w:val="21"/>
                <w:highlight w:val="none"/>
              </w:rPr>
            </w:pPr>
            <w:r>
              <w:rPr>
                <w:rFonts w:ascii="宋体" w:hAnsi="宋体" w:eastAsia="宋体" w:cs="宋体"/>
                <w:b w:val="0"/>
                <w:color w:val="auto"/>
                <w:sz w:val="21"/>
                <w:szCs w:val="21"/>
                <w:highlight w:val="none"/>
                <w:u w:val="single"/>
              </w:rPr>
              <w:t>2.</w:t>
            </w:r>
            <w:r>
              <w:rPr>
                <w:rFonts w:hint="eastAsia" w:ascii="宋体" w:hAnsi="宋体" w:eastAsia="宋体" w:cs="宋体"/>
                <w:b w:val="0"/>
                <w:color w:val="auto"/>
                <w:sz w:val="21"/>
                <w:szCs w:val="21"/>
                <w:highlight w:val="none"/>
                <w:u w:val="single"/>
              </w:rPr>
              <w:t>联合体投标的，按联合体主办方的企业信用评价分数计取。</w:t>
            </w:r>
          </w:p>
        </w:tc>
      </w:tr>
      <w:tr w14:paraId="4A1F09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5E8902E5">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30</w:t>
            </w:r>
          </w:p>
        </w:tc>
        <w:tc>
          <w:tcPr>
            <w:tcW w:w="447" w:type="pct"/>
            <w:noWrap/>
            <w:vAlign w:val="center"/>
          </w:tcPr>
          <w:p w14:paraId="753116DF">
            <w:pPr>
              <w:snapToGrid w:val="0"/>
              <w:spacing w:line="288" w:lineRule="auto"/>
              <w:ind w:firstLine="458"/>
              <w:rPr>
                <w:rFonts w:ascii="宋体" w:hAnsi="宋体" w:eastAsia="宋体" w:cs="宋体"/>
                <w:color w:val="auto"/>
                <w:szCs w:val="21"/>
                <w:highlight w:val="none"/>
              </w:rPr>
            </w:pPr>
          </w:p>
        </w:tc>
        <w:tc>
          <w:tcPr>
            <w:tcW w:w="681" w:type="pct"/>
            <w:noWrap/>
            <w:vAlign w:val="center"/>
          </w:tcPr>
          <w:p w14:paraId="6160BB58">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第二阶段投标人名次的排序方法（适用于办法一、办法二）</w:t>
            </w:r>
          </w:p>
        </w:tc>
        <w:tc>
          <w:tcPr>
            <w:tcW w:w="3603" w:type="pct"/>
            <w:tcBorders>
              <w:right w:val="double" w:color="auto" w:sz="4" w:space="0"/>
            </w:tcBorders>
            <w:noWrap/>
            <w:vAlign w:val="center"/>
          </w:tcPr>
          <w:p w14:paraId="23AE90E7">
            <w:pPr>
              <w:snapToGrid w:val="0"/>
              <w:spacing w:after="120" w:line="288" w:lineRule="auto"/>
              <w:rPr>
                <w:rFonts w:ascii="宋体" w:hAnsi="宋体" w:eastAsia="宋体" w:cs="宋体"/>
                <w:strike/>
                <w:color w:val="auto"/>
                <w:szCs w:val="21"/>
                <w:highlight w:val="none"/>
              </w:rPr>
            </w:pPr>
            <w:r>
              <w:rPr>
                <w:rFonts w:hint="eastAsia" w:ascii="宋体" w:hAnsi="宋体" w:eastAsia="宋体" w:cs="宋体"/>
                <w:b w:val="0"/>
                <w:color w:val="auto"/>
                <w:sz w:val="21"/>
                <w:szCs w:val="21"/>
                <w:highlight w:val="none"/>
                <w:u w:val="single"/>
              </w:rPr>
              <w:t>本款不适用。</w:t>
            </w:r>
          </w:p>
        </w:tc>
      </w:tr>
      <w:tr w14:paraId="7FBB69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1852C7AB">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31</w:t>
            </w:r>
          </w:p>
        </w:tc>
        <w:tc>
          <w:tcPr>
            <w:tcW w:w="447" w:type="pct"/>
            <w:noWrap/>
            <w:vAlign w:val="center"/>
          </w:tcPr>
          <w:p w14:paraId="16481E52">
            <w:pPr>
              <w:snapToGrid w:val="0"/>
              <w:spacing w:line="288" w:lineRule="auto"/>
              <w:ind w:firstLine="458"/>
              <w:rPr>
                <w:rFonts w:ascii="宋体" w:hAnsi="宋体" w:eastAsia="宋体" w:cs="宋体"/>
                <w:color w:val="auto"/>
                <w:szCs w:val="21"/>
                <w:highlight w:val="none"/>
              </w:rPr>
            </w:pPr>
          </w:p>
        </w:tc>
        <w:tc>
          <w:tcPr>
            <w:tcW w:w="681" w:type="pct"/>
            <w:noWrap/>
            <w:vAlign w:val="center"/>
          </w:tcPr>
          <w:p w14:paraId="334F4C98">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经济分相同情况下的排序方法（适用于办法三、办法四）</w:t>
            </w:r>
          </w:p>
        </w:tc>
        <w:tc>
          <w:tcPr>
            <w:tcW w:w="3603" w:type="pct"/>
            <w:tcBorders>
              <w:right w:val="double" w:color="auto" w:sz="4" w:space="0"/>
            </w:tcBorders>
            <w:noWrap/>
            <w:vAlign w:val="center"/>
          </w:tcPr>
          <w:p w14:paraId="213788E9">
            <w:pPr>
              <w:snapToGrid w:val="0"/>
              <w:spacing w:after="120" w:line="288" w:lineRule="auto"/>
              <w:rPr>
                <w:rFonts w:ascii="宋体" w:hAnsi="宋体" w:eastAsia="宋体" w:cs="宋体"/>
                <w:strike/>
                <w:color w:val="auto"/>
                <w:szCs w:val="21"/>
                <w:highlight w:val="none"/>
              </w:rPr>
            </w:pPr>
            <w:r>
              <w:rPr>
                <w:rFonts w:hint="eastAsia" w:ascii="宋体" w:hAnsi="宋体" w:eastAsia="宋体" w:cs="宋体"/>
                <w:b w:val="0"/>
                <w:color w:val="auto"/>
                <w:sz w:val="21"/>
                <w:szCs w:val="21"/>
                <w:highlight w:val="none"/>
                <w:u w:val="single"/>
              </w:rPr>
              <w:t>本款不适用。</w:t>
            </w:r>
          </w:p>
        </w:tc>
      </w:tr>
      <w:tr w14:paraId="667E3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141AFB9E">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32</w:t>
            </w:r>
          </w:p>
        </w:tc>
        <w:tc>
          <w:tcPr>
            <w:tcW w:w="447" w:type="pct"/>
            <w:noWrap/>
            <w:vAlign w:val="center"/>
          </w:tcPr>
          <w:p w14:paraId="670E03F6">
            <w:pPr>
              <w:snapToGrid w:val="0"/>
              <w:spacing w:line="288" w:lineRule="auto"/>
              <w:ind w:firstLine="458"/>
              <w:rPr>
                <w:rFonts w:ascii="宋体" w:hAnsi="宋体" w:eastAsia="宋体" w:cs="宋体"/>
                <w:color w:val="auto"/>
                <w:szCs w:val="21"/>
                <w:highlight w:val="none"/>
              </w:rPr>
            </w:pPr>
          </w:p>
        </w:tc>
        <w:tc>
          <w:tcPr>
            <w:tcW w:w="681" w:type="pct"/>
            <w:noWrap/>
            <w:vAlign w:val="center"/>
          </w:tcPr>
          <w:p w14:paraId="58898615">
            <w:pPr>
              <w:snapToGrid w:val="0"/>
              <w:spacing w:after="120"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第二阶段投标人名次的排序方法（适用于办法五、办法六）</w:t>
            </w:r>
          </w:p>
        </w:tc>
        <w:tc>
          <w:tcPr>
            <w:tcW w:w="3603" w:type="pct"/>
            <w:tcBorders>
              <w:right w:val="double" w:color="auto" w:sz="4" w:space="0"/>
            </w:tcBorders>
            <w:noWrap/>
            <w:vAlign w:val="center"/>
          </w:tcPr>
          <w:p w14:paraId="5D15F32E">
            <w:pPr>
              <w:snapToGrid w:val="0"/>
              <w:spacing w:after="120" w:line="288" w:lineRule="auto"/>
              <w:rPr>
                <w:rFonts w:ascii="宋体" w:hAnsi="宋体" w:eastAsia="宋体" w:cs="宋体"/>
                <w:strike/>
                <w:color w:val="auto"/>
                <w:szCs w:val="21"/>
                <w:highlight w:val="none"/>
              </w:rPr>
            </w:pPr>
            <w:r>
              <w:rPr>
                <w:rFonts w:hint="eastAsia" w:ascii="宋体" w:hAnsi="宋体" w:eastAsia="宋体" w:cs="宋体"/>
                <w:b w:val="0"/>
                <w:color w:val="auto"/>
                <w:sz w:val="21"/>
                <w:szCs w:val="21"/>
                <w:highlight w:val="none"/>
                <w:u w:val="single"/>
              </w:rPr>
              <w:t>本款不适用。</w:t>
            </w:r>
          </w:p>
        </w:tc>
      </w:tr>
      <w:tr w14:paraId="37DAD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0E43B089">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33</w:t>
            </w:r>
          </w:p>
        </w:tc>
        <w:tc>
          <w:tcPr>
            <w:tcW w:w="447" w:type="pct"/>
            <w:noWrap/>
            <w:vAlign w:val="center"/>
          </w:tcPr>
          <w:p w14:paraId="73C45AC3">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13.4、13.5.2</w:t>
            </w:r>
          </w:p>
        </w:tc>
        <w:tc>
          <w:tcPr>
            <w:tcW w:w="681" w:type="pct"/>
            <w:noWrap/>
            <w:vAlign w:val="center"/>
          </w:tcPr>
          <w:p w14:paraId="47510AC4">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合同价款的调整办法</w:t>
            </w:r>
          </w:p>
        </w:tc>
        <w:tc>
          <w:tcPr>
            <w:tcW w:w="3603" w:type="pct"/>
            <w:tcBorders>
              <w:right w:val="double" w:color="auto" w:sz="4" w:space="0"/>
            </w:tcBorders>
            <w:noWrap/>
            <w:vAlign w:val="center"/>
          </w:tcPr>
          <w:p w14:paraId="7E3C0F22">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详见招标文件及相关合同条款。</w:t>
            </w:r>
          </w:p>
        </w:tc>
      </w:tr>
      <w:tr w14:paraId="0627B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505F55BB">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34</w:t>
            </w:r>
          </w:p>
        </w:tc>
        <w:tc>
          <w:tcPr>
            <w:tcW w:w="447" w:type="pct"/>
            <w:noWrap/>
            <w:vAlign w:val="center"/>
          </w:tcPr>
          <w:p w14:paraId="51F615BD">
            <w:pPr>
              <w:snapToGrid w:val="0"/>
              <w:spacing w:line="288" w:lineRule="auto"/>
              <w:jc w:val="center"/>
              <w:rPr>
                <w:rFonts w:ascii="宋体" w:hAnsi="宋体" w:eastAsia="宋体" w:cs="宋体"/>
                <w:color w:val="auto"/>
                <w:szCs w:val="21"/>
                <w:highlight w:val="none"/>
              </w:rPr>
            </w:pPr>
          </w:p>
        </w:tc>
        <w:tc>
          <w:tcPr>
            <w:tcW w:w="681" w:type="pct"/>
            <w:noWrap/>
            <w:vAlign w:val="center"/>
          </w:tcPr>
          <w:p w14:paraId="64475411">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kern w:val="0"/>
                <w:sz w:val="21"/>
                <w:szCs w:val="21"/>
                <w:highlight w:val="none"/>
              </w:rPr>
              <w:t>建设工程质量检测单位</w:t>
            </w:r>
          </w:p>
        </w:tc>
        <w:tc>
          <w:tcPr>
            <w:tcW w:w="3603" w:type="pct"/>
            <w:tcBorders>
              <w:right w:val="double" w:color="auto" w:sz="4" w:space="0"/>
            </w:tcBorders>
            <w:noWrap/>
            <w:vAlign w:val="center"/>
          </w:tcPr>
          <w:p w14:paraId="4AC5CB9D">
            <w:pPr>
              <w:snapToGrid w:val="0"/>
              <w:spacing w:after="120" w:line="288" w:lineRule="auto"/>
              <w:rPr>
                <w:rFonts w:ascii="宋体" w:hAnsi="宋体" w:eastAsia="宋体" w:cs="宋体"/>
                <w:color w:val="auto"/>
                <w:kern w:val="0"/>
                <w:szCs w:val="21"/>
                <w:highlight w:val="none"/>
                <w:lang w:val="zh-CN"/>
              </w:rPr>
            </w:pPr>
            <w:r>
              <w:rPr>
                <w:rFonts w:hint="eastAsia" w:ascii="宋体" w:hAnsi="宋体" w:eastAsia="宋体" w:cs="宋体"/>
                <w:b w:val="0"/>
                <w:color w:val="auto"/>
                <w:kern w:val="0"/>
                <w:sz w:val="21"/>
                <w:szCs w:val="21"/>
                <w:highlight w:val="none"/>
              </w:rPr>
              <w:t>建设单位和中标人均不得委托近二年（从招标公告发布年度起逆推</w:t>
            </w:r>
            <w:r>
              <w:rPr>
                <w:rFonts w:ascii="宋体" w:hAnsi="宋体" w:eastAsia="宋体" w:cs="宋体"/>
                <w:b w:val="0"/>
                <w:color w:val="auto"/>
                <w:kern w:val="0"/>
                <w:sz w:val="21"/>
                <w:szCs w:val="21"/>
                <w:highlight w:val="none"/>
              </w:rPr>
              <w:t>2年的1月1日起至投标截止时间止）因伪造检测数据、出具虚假检测报告被各级建设行政主管部门或市场监督管理部门行政处罚或通报的检测单位负责本项目的检测工作。</w:t>
            </w:r>
          </w:p>
        </w:tc>
      </w:tr>
      <w:tr w14:paraId="5AA78E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7ED1E81F">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35</w:t>
            </w:r>
          </w:p>
        </w:tc>
        <w:tc>
          <w:tcPr>
            <w:tcW w:w="447" w:type="pct"/>
            <w:noWrap/>
            <w:vAlign w:val="center"/>
          </w:tcPr>
          <w:p w14:paraId="2B35ADFC">
            <w:pPr>
              <w:snapToGrid w:val="0"/>
              <w:spacing w:line="288" w:lineRule="auto"/>
              <w:jc w:val="center"/>
              <w:rPr>
                <w:rFonts w:ascii="宋体" w:hAnsi="宋体" w:eastAsia="宋体" w:cs="宋体"/>
                <w:color w:val="auto"/>
                <w:szCs w:val="21"/>
                <w:highlight w:val="none"/>
              </w:rPr>
            </w:pPr>
          </w:p>
        </w:tc>
        <w:tc>
          <w:tcPr>
            <w:tcW w:w="681" w:type="pct"/>
            <w:noWrap/>
            <w:vAlign w:val="center"/>
          </w:tcPr>
          <w:p w14:paraId="31504DE9">
            <w:pPr>
              <w:snapToGrid w:val="0"/>
              <w:spacing w:after="120" w:line="288" w:lineRule="auto"/>
              <w:jc w:val="center"/>
              <w:rPr>
                <w:rFonts w:ascii="宋体" w:hAnsi="宋体" w:eastAsia="宋体" w:cs="宋体"/>
                <w:color w:val="auto"/>
                <w:kern w:val="0"/>
                <w:szCs w:val="21"/>
                <w:highlight w:val="none"/>
                <w:lang w:val="zh-CN"/>
              </w:rPr>
            </w:pPr>
            <w:r>
              <w:rPr>
                <w:rFonts w:hint="eastAsia" w:ascii="宋体" w:hAnsi="宋体" w:eastAsia="宋体" w:cs="宋体"/>
                <w:b w:val="0"/>
                <w:color w:val="auto"/>
                <w:kern w:val="0"/>
                <w:sz w:val="21"/>
                <w:szCs w:val="21"/>
                <w:highlight w:val="none"/>
                <w:lang w:val="zh-CN"/>
              </w:rPr>
              <w:t>分包</w:t>
            </w:r>
          </w:p>
        </w:tc>
        <w:tc>
          <w:tcPr>
            <w:tcW w:w="3603" w:type="pct"/>
            <w:tcBorders>
              <w:right w:val="double" w:color="auto" w:sz="4" w:space="0"/>
            </w:tcBorders>
            <w:noWrap/>
            <w:vAlign w:val="center"/>
          </w:tcPr>
          <w:p w14:paraId="0C3BD4CB">
            <w:pPr>
              <w:snapToGrid w:val="0"/>
              <w:spacing w:after="120" w:line="288" w:lineRule="auto"/>
              <w:rPr>
                <w:rFonts w:ascii="宋体" w:hAnsi="宋体" w:eastAsia="宋体" w:cs="宋体"/>
                <w:color w:val="auto"/>
                <w:kern w:val="0"/>
                <w:szCs w:val="21"/>
                <w:highlight w:val="none"/>
                <w:lang w:val="zh-CN"/>
              </w:rPr>
            </w:pPr>
            <w:r>
              <w:rPr>
                <w:rFonts w:hint="eastAsia" w:ascii="宋体" w:hAnsi="宋体" w:eastAsia="宋体" w:cs="宋体"/>
                <w:b w:val="0"/>
                <w:color w:val="auto"/>
                <w:kern w:val="0"/>
                <w:sz w:val="21"/>
                <w:szCs w:val="21"/>
                <w:highlight w:val="none"/>
                <w:lang w:val="zh-CN"/>
              </w:rPr>
              <w:t>□不允许分包；</w:t>
            </w:r>
          </w:p>
          <w:p w14:paraId="077FAE2F">
            <w:pPr>
              <w:snapToGrid w:val="0"/>
              <w:spacing w:line="288" w:lineRule="auto"/>
              <w:rPr>
                <w:rFonts w:ascii="宋体" w:hAnsi="宋体" w:eastAsia="宋体" w:cs="宋体"/>
                <w:color w:val="auto"/>
                <w:kern w:val="0"/>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kern w:val="0"/>
                <w:sz w:val="21"/>
                <w:szCs w:val="21"/>
                <w:highlight w:val="none"/>
                <w:lang w:val="zh-CN"/>
              </w:rPr>
              <w:t>允许：</w:t>
            </w:r>
            <w:r>
              <w:rPr>
                <w:rFonts w:hint="eastAsia" w:ascii="宋体" w:hAnsi="宋体" w:eastAsia="宋体" w:cs="宋体"/>
                <w:b w:val="0"/>
                <w:color w:val="auto"/>
                <w:kern w:val="0"/>
                <w:sz w:val="21"/>
                <w:szCs w:val="21"/>
                <w:highlight w:val="none"/>
                <w:u w:val="single"/>
              </w:rPr>
              <w:t>允许非主体、非关键性工程进行分包。</w:t>
            </w:r>
          </w:p>
          <w:p w14:paraId="3D2EDA9E">
            <w:pPr>
              <w:snapToGrid w:val="0"/>
              <w:spacing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分包内容要求：</w:t>
            </w:r>
            <w:r>
              <w:rPr>
                <w:rFonts w:hint="eastAsia" w:ascii="宋体" w:hAnsi="宋体" w:eastAsia="宋体" w:cs="宋体"/>
                <w:b w:val="0"/>
                <w:color w:val="auto"/>
                <w:sz w:val="21"/>
                <w:szCs w:val="21"/>
                <w:highlight w:val="none"/>
                <w:u w:val="single"/>
              </w:rPr>
              <w:t>经监理工程师及发包人同意后可依法分包。</w:t>
            </w:r>
          </w:p>
          <w:p w14:paraId="5959EA85">
            <w:pPr>
              <w:snapToGrid w:val="0"/>
              <w:spacing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分包金额要求：</w:t>
            </w:r>
            <w:r>
              <w:rPr>
                <w:rFonts w:hint="eastAsia" w:ascii="宋体" w:hAnsi="宋体" w:eastAsia="宋体" w:cs="宋体"/>
                <w:b w:val="0"/>
                <w:color w:val="auto"/>
                <w:sz w:val="21"/>
                <w:szCs w:val="21"/>
                <w:highlight w:val="none"/>
                <w:u w:val="single"/>
              </w:rPr>
              <w:t>无</w:t>
            </w:r>
          </w:p>
          <w:p w14:paraId="49EE687C">
            <w:pPr>
              <w:snapToGrid w:val="0"/>
              <w:spacing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对分包人的资质要求：</w:t>
            </w:r>
            <w:r>
              <w:rPr>
                <w:rFonts w:hint="eastAsia" w:ascii="宋体" w:hAnsi="宋体" w:eastAsia="宋体" w:cs="宋体"/>
                <w:b w:val="0"/>
                <w:color w:val="auto"/>
                <w:sz w:val="21"/>
                <w:szCs w:val="21"/>
                <w:highlight w:val="none"/>
                <w:u w:val="single"/>
              </w:rPr>
              <w:t>符合有关法律法规和文件规定，并不得再次分包。</w:t>
            </w:r>
          </w:p>
          <w:p w14:paraId="1C5C48A2">
            <w:pPr>
              <w:snapToGrid w:val="0"/>
              <w:spacing w:line="288" w:lineRule="auto"/>
              <w:rPr>
                <w:rFonts w:ascii="宋体" w:hAnsi="宋体" w:eastAsia="宋体" w:cs="宋体"/>
                <w:color w:val="auto"/>
                <w:kern w:val="0"/>
                <w:szCs w:val="21"/>
                <w:highlight w:val="none"/>
                <w:lang w:val="zh-CN"/>
              </w:rPr>
            </w:pPr>
            <w:r>
              <w:rPr>
                <w:rFonts w:hint="eastAsia" w:ascii="宋体" w:hAnsi="宋体" w:eastAsia="宋体" w:cs="宋体"/>
                <w:b w:val="0"/>
                <w:color w:val="auto"/>
                <w:sz w:val="21"/>
                <w:szCs w:val="21"/>
                <w:highlight w:val="none"/>
              </w:rPr>
              <w:t>对分包人的其他要求：</w:t>
            </w:r>
            <w:r>
              <w:rPr>
                <w:rFonts w:hint="eastAsia" w:ascii="宋体" w:hAnsi="宋体" w:eastAsia="宋体" w:cs="宋体"/>
                <w:b w:val="0"/>
                <w:color w:val="auto"/>
                <w:sz w:val="21"/>
                <w:szCs w:val="21"/>
                <w:highlight w:val="none"/>
                <w:u w:val="single"/>
              </w:rPr>
              <w:t>无。</w:t>
            </w:r>
          </w:p>
        </w:tc>
      </w:tr>
      <w:tr w14:paraId="69FFDB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41BEAB40">
            <w:pPr>
              <w:snapToGrid w:val="0"/>
              <w:spacing w:after="120" w:line="288"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36</w:t>
            </w:r>
          </w:p>
        </w:tc>
        <w:tc>
          <w:tcPr>
            <w:tcW w:w="447" w:type="pct"/>
            <w:noWrap/>
            <w:vAlign w:val="center"/>
          </w:tcPr>
          <w:p w14:paraId="53C7506B">
            <w:pPr>
              <w:snapToGrid w:val="0"/>
              <w:spacing w:line="288" w:lineRule="auto"/>
              <w:jc w:val="center"/>
              <w:rPr>
                <w:rFonts w:ascii="宋体" w:hAnsi="宋体" w:eastAsia="宋体" w:cs="宋体"/>
                <w:color w:val="auto"/>
                <w:szCs w:val="21"/>
                <w:highlight w:val="none"/>
              </w:rPr>
            </w:pPr>
          </w:p>
        </w:tc>
        <w:tc>
          <w:tcPr>
            <w:tcW w:w="681" w:type="pct"/>
            <w:noWrap/>
            <w:vAlign w:val="center"/>
          </w:tcPr>
          <w:p w14:paraId="4790F18A">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电子招标投标解密失败及突发情况的补救</w:t>
            </w:r>
          </w:p>
        </w:tc>
        <w:tc>
          <w:tcPr>
            <w:tcW w:w="3603" w:type="pct"/>
            <w:tcBorders>
              <w:right w:val="double" w:color="auto" w:sz="4" w:space="0"/>
            </w:tcBorders>
            <w:noWrap/>
            <w:vAlign w:val="center"/>
          </w:tcPr>
          <w:p w14:paraId="6557B9D5">
            <w:pPr>
              <w:snapToGrid w:val="0"/>
              <w:spacing w:after="120" w:line="288"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1、按照广州交易集团有限公司（广州公共资源交易中心）交易平台关于全流程电子化项目的相关指南进行操作。详见：</w:t>
            </w:r>
            <w:r>
              <w:rPr>
                <w:rFonts w:hint="eastAsia" w:ascii="宋体" w:hAnsi="宋体" w:eastAsia="宋体" w:cs="宋体"/>
                <w:b w:val="0"/>
                <w:color w:val="auto"/>
                <w:sz w:val="21"/>
                <w:szCs w:val="21"/>
                <w:highlight w:val="none"/>
                <w:u w:val="single"/>
              </w:rPr>
              <w:t>广州交易集团有限公司（广州公共资源交易中心）网站最新指引。</w:t>
            </w:r>
          </w:p>
          <w:p w14:paraId="77022921">
            <w:pPr>
              <w:snapToGrid w:val="0"/>
              <w:spacing w:line="288"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2、提交投标文件光盘备用</w:t>
            </w:r>
          </w:p>
          <w:p w14:paraId="70E3BE6D">
            <w:pPr>
              <w:snapToGrid w:val="0"/>
              <w:spacing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投标人可制作非加密的电子投标文件（</w:t>
            </w:r>
            <w:r>
              <w:rPr>
                <w:rFonts w:ascii="宋体" w:hAnsi="宋体" w:eastAsia="宋体" w:cs="宋体"/>
                <w:b w:val="0"/>
                <w:color w:val="auto"/>
                <w:sz w:val="21"/>
                <w:szCs w:val="21"/>
                <w:highlight w:val="none"/>
              </w:rPr>
              <w:t>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4EE639E">
            <w:pPr>
              <w:snapToGrid w:val="0"/>
              <w:spacing w:line="288"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3、补救方案</w:t>
            </w:r>
          </w:p>
          <w:p w14:paraId="0A7C2B19">
            <w:pPr>
              <w:snapToGrid w:val="0"/>
              <w:spacing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1）投标文件解密失败的补救方案：</w:t>
            </w:r>
          </w:p>
          <w:p w14:paraId="4FF4427E">
            <w:pPr>
              <w:snapToGrid w:val="0"/>
              <w:spacing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在规定时间内，因投标人之外原因</w:t>
            </w:r>
            <w:r>
              <w:rPr>
                <w:rFonts w:ascii="宋体" w:hAnsi="宋体" w:eastAsia="宋体" w:cs="宋体"/>
                <w:b w:val="0"/>
                <w:color w:val="auto"/>
                <w:sz w:val="21"/>
                <w:szCs w:val="21"/>
                <w:highlight w:val="none"/>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037121F">
            <w:pPr>
              <w:snapToGrid w:val="0"/>
              <w:spacing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2）评标时突发情况的补救方案</w:t>
            </w:r>
          </w:p>
          <w:p w14:paraId="6C706C99">
            <w:pPr>
              <w:snapToGrid w:val="0"/>
              <w:spacing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7BD36E8E">
            <w:pPr>
              <w:snapToGrid w:val="0"/>
              <w:spacing w:line="288"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3）除发生上述情况外，开标评标均以投标人通过广州交易集团有限公司（广州公共资源交易中心）交易平台网上递交的电子投标文件为准。</w:t>
            </w:r>
          </w:p>
        </w:tc>
      </w:tr>
      <w:tr w14:paraId="625576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74A28CF0">
            <w:pPr>
              <w:snapToGrid w:val="0"/>
              <w:spacing w:after="120" w:line="288" w:lineRule="auto"/>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37</w:t>
            </w:r>
          </w:p>
        </w:tc>
        <w:tc>
          <w:tcPr>
            <w:tcW w:w="447" w:type="pct"/>
            <w:noWrap/>
            <w:vAlign w:val="center"/>
          </w:tcPr>
          <w:p w14:paraId="20500949">
            <w:pPr>
              <w:snapToGrid w:val="0"/>
              <w:spacing w:line="288" w:lineRule="auto"/>
              <w:jc w:val="center"/>
              <w:rPr>
                <w:rFonts w:ascii="宋体" w:hAnsi="宋体" w:eastAsia="宋体" w:cs="宋体"/>
                <w:color w:val="auto"/>
                <w:szCs w:val="21"/>
                <w:highlight w:val="none"/>
              </w:rPr>
            </w:pPr>
          </w:p>
        </w:tc>
        <w:tc>
          <w:tcPr>
            <w:tcW w:w="681" w:type="pct"/>
            <w:noWrap/>
            <w:vAlign w:val="center"/>
          </w:tcPr>
          <w:p w14:paraId="6320ED67">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招标人拒绝接收投标文件备用光盘的情况</w:t>
            </w:r>
          </w:p>
        </w:tc>
        <w:tc>
          <w:tcPr>
            <w:tcW w:w="3603" w:type="pct"/>
            <w:tcBorders>
              <w:right w:val="double" w:color="auto" w:sz="4" w:space="0"/>
            </w:tcBorders>
            <w:noWrap/>
            <w:vAlign w:val="center"/>
          </w:tcPr>
          <w:p w14:paraId="3899907C">
            <w:pPr>
              <w:snapToGrid w:val="0"/>
              <w:spacing w:after="120" w:line="288" w:lineRule="auto"/>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1、在投标截止期后逾期或未在指定地点递交投标文件备用光盘的；</w:t>
            </w:r>
          </w:p>
          <w:p w14:paraId="3DBFC6EE">
            <w:pPr>
              <w:snapToGrid w:val="0"/>
              <w:spacing w:line="288" w:lineRule="auto"/>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2、投标文件备用光盘未按招标文件要求密封或未在密封处盖章的；</w:t>
            </w:r>
          </w:p>
          <w:p w14:paraId="51EC2D93">
            <w:pPr>
              <w:snapToGrid w:val="0"/>
              <w:spacing w:line="288" w:lineRule="auto"/>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3、投标人代表未凭法定代表人证明书（原件）、授权委托书原件（仅限于非法定代表人）、本人身份证原件</w:t>
            </w:r>
            <w:r>
              <w:rPr>
                <w:rFonts w:hint="eastAsia" w:ascii="宋体" w:hAnsi="宋体" w:eastAsia="宋体" w:cs="宋体"/>
                <w:b w:val="0"/>
                <w:color w:val="auto"/>
                <w:sz w:val="21"/>
                <w:szCs w:val="21"/>
                <w:highlight w:val="none"/>
                <w:u w:val="single"/>
              </w:rPr>
              <w:t>、委托投标的还应提供授权委托人的离投标截止时间最近的至少1个月（</w:t>
            </w:r>
            <w:r>
              <w:rPr>
                <w:rFonts w:hint="eastAsia" w:ascii="宋体" w:hAnsi="宋体" w:eastAsia="宋体" w:cs="宋体"/>
                <w:b w:val="0"/>
                <w:color w:val="auto"/>
                <w:sz w:val="21"/>
                <w:szCs w:val="21"/>
                <w:highlight w:val="none"/>
                <w:u w:val="single"/>
                <w:lang w:eastAsia="zh-CN"/>
              </w:rPr>
              <w:t>2025年8月或7月</w:t>
            </w:r>
            <w:r>
              <w:rPr>
                <w:rFonts w:hint="eastAsia" w:ascii="宋体" w:hAnsi="宋体" w:eastAsia="宋体" w:cs="宋体"/>
                <w:b w:val="0"/>
                <w:color w:val="auto"/>
                <w:sz w:val="21"/>
                <w:szCs w:val="21"/>
                <w:highlight w:val="none"/>
                <w:u w:val="single"/>
              </w:rPr>
              <w:t>）在本单位缴纳社保的社保证明文件递交投标文件备用光盘的。</w:t>
            </w:r>
          </w:p>
        </w:tc>
      </w:tr>
      <w:tr w14:paraId="21CAAA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4C235FBF">
            <w:pPr>
              <w:snapToGrid w:val="0"/>
              <w:spacing w:after="120" w:line="288" w:lineRule="auto"/>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38</w:t>
            </w:r>
          </w:p>
        </w:tc>
        <w:tc>
          <w:tcPr>
            <w:tcW w:w="447" w:type="pct"/>
            <w:noWrap/>
            <w:vAlign w:val="center"/>
          </w:tcPr>
          <w:p w14:paraId="2CC2FEC3">
            <w:pPr>
              <w:snapToGrid w:val="0"/>
              <w:spacing w:line="288" w:lineRule="auto"/>
              <w:jc w:val="center"/>
              <w:rPr>
                <w:rFonts w:ascii="宋体" w:hAnsi="宋体" w:eastAsia="宋体" w:cs="宋体"/>
                <w:color w:val="auto"/>
                <w:szCs w:val="21"/>
                <w:highlight w:val="none"/>
              </w:rPr>
            </w:pPr>
          </w:p>
        </w:tc>
        <w:tc>
          <w:tcPr>
            <w:tcW w:w="681" w:type="pct"/>
            <w:noWrap/>
            <w:vAlign w:val="center"/>
          </w:tcPr>
          <w:p w14:paraId="309F6A7F">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中标公示后中标单位提交投标文件要求</w:t>
            </w:r>
          </w:p>
        </w:tc>
        <w:tc>
          <w:tcPr>
            <w:tcW w:w="3603" w:type="pct"/>
            <w:tcBorders>
              <w:right w:val="double" w:color="auto" w:sz="4" w:space="0"/>
            </w:tcBorders>
            <w:noWrap/>
            <w:vAlign w:val="center"/>
          </w:tcPr>
          <w:p w14:paraId="77C370AC">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中标人在签订合同前需向招标人另行提供与投标递交的电子标书一致且加盖单位公章的纸质投标文件（含投标人须知</w:t>
            </w:r>
            <w:r>
              <w:rPr>
                <w:rFonts w:ascii="宋体" w:hAnsi="宋体" w:eastAsia="宋体" w:cs="宋体"/>
                <w:b w:val="0"/>
                <w:color w:val="auto"/>
                <w:sz w:val="21"/>
                <w:szCs w:val="21"/>
                <w:highlight w:val="none"/>
                <w:u w:val="single"/>
              </w:rPr>
              <w:t xml:space="preserve">11.3列表明细包含的所有工程量清单报价表）4份及电子文件1份（不用生成投标书；包括用Microsoft Excel </w:t>
            </w:r>
            <w:r>
              <w:rPr>
                <w:rFonts w:hint="eastAsia" w:ascii="宋体" w:hAnsi="宋体" w:eastAsia="宋体" w:cs="宋体"/>
                <w:b w:val="0"/>
                <w:color w:val="auto"/>
                <w:sz w:val="21"/>
                <w:szCs w:val="21"/>
                <w:highlight w:val="none"/>
                <w:u w:val="single"/>
              </w:rPr>
              <w:t>软件或广州交易集团有限公司（广州公共资源交易中心）提供的投标书制作软件制作的工程量清单报价表和单价分析表，用</w:t>
            </w:r>
            <w:r>
              <w:rPr>
                <w:rFonts w:ascii="宋体" w:hAnsi="宋体" w:eastAsia="宋体" w:cs="宋体"/>
                <w:b w:val="0"/>
                <w:color w:val="auto"/>
                <w:sz w:val="21"/>
                <w:szCs w:val="21"/>
                <w:highlight w:val="none"/>
                <w:u w:val="single"/>
              </w:rPr>
              <w:t xml:space="preserve"> Microsoft Word </w:t>
            </w:r>
            <w:r>
              <w:rPr>
                <w:rFonts w:hint="eastAsia" w:ascii="宋体" w:hAnsi="宋体" w:eastAsia="宋体" w:cs="宋体"/>
                <w:b w:val="0"/>
                <w:color w:val="auto"/>
                <w:sz w:val="21"/>
                <w:szCs w:val="21"/>
                <w:highlight w:val="none"/>
                <w:u w:val="single"/>
              </w:rPr>
              <w:t>软件或广州交易集团有限公司（广州公共资源交易中心）提供的投标书制作软件制作的经济投标文件其他部分。电子文件介质使用</w:t>
            </w:r>
            <w:r>
              <w:rPr>
                <w:rFonts w:ascii="宋体" w:hAnsi="宋体" w:eastAsia="宋体" w:cs="宋体"/>
                <w:b w:val="0"/>
                <w:color w:val="auto"/>
                <w:sz w:val="21"/>
                <w:szCs w:val="21"/>
                <w:highlight w:val="none"/>
                <w:u w:val="single"/>
              </w:rPr>
              <w:t>CD-R光盘，所有电子文件不能采用压缩处理）。</w:t>
            </w:r>
          </w:p>
        </w:tc>
      </w:tr>
      <w:tr w14:paraId="266838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4232407C">
            <w:pPr>
              <w:snapToGrid w:val="0"/>
              <w:spacing w:after="120" w:line="288" w:lineRule="auto"/>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39</w:t>
            </w:r>
          </w:p>
        </w:tc>
        <w:tc>
          <w:tcPr>
            <w:tcW w:w="447" w:type="pct"/>
            <w:noWrap/>
            <w:vAlign w:val="center"/>
          </w:tcPr>
          <w:p w14:paraId="724AF43C">
            <w:pPr>
              <w:snapToGrid w:val="0"/>
              <w:spacing w:line="288" w:lineRule="auto"/>
              <w:jc w:val="center"/>
              <w:rPr>
                <w:rFonts w:ascii="宋体" w:hAnsi="宋体" w:eastAsia="宋体" w:cs="宋体"/>
                <w:color w:val="auto"/>
                <w:szCs w:val="21"/>
                <w:highlight w:val="none"/>
              </w:rPr>
            </w:pPr>
          </w:p>
        </w:tc>
        <w:tc>
          <w:tcPr>
            <w:tcW w:w="681" w:type="pct"/>
            <w:noWrap/>
            <w:vAlign w:val="center"/>
          </w:tcPr>
          <w:p w14:paraId="71FE6EEC">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安全生产责任保险</w:t>
            </w:r>
          </w:p>
        </w:tc>
        <w:tc>
          <w:tcPr>
            <w:tcW w:w="3603" w:type="pct"/>
            <w:tcBorders>
              <w:right w:val="double" w:color="auto" w:sz="4" w:space="0"/>
            </w:tcBorders>
            <w:noWrap/>
            <w:vAlign w:val="center"/>
          </w:tcPr>
          <w:p w14:paraId="178F72E8">
            <w:pPr>
              <w:snapToGrid w:val="0"/>
              <w:spacing w:after="120" w:line="288" w:lineRule="auto"/>
              <w:rPr>
                <w:rFonts w:ascii="宋体" w:hAnsi="宋体" w:eastAsia="宋体" w:cs="宋体"/>
                <w:color w:val="auto"/>
                <w:kern w:val="0"/>
                <w:szCs w:val="21"/>
                <w:highlight w:val="none"/>
                <w:u w:val="single"/>
                <w:lang w:val="zh-CN"/>
              </w:rPr>
            </w:pPr>
            <w:r>
              <w:rPr>
                <w:rFonts w:hint="eastAsia" w:ascii="宋体" w:hAnsi="宋体" w:eastAsia="宋体" w:cs="宋体"/>
                <w:b w:val="0"/>
                <w:color w:val="auto"/>
                <w:sz w:val="21"/>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14:paraId="753B3B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4C3A862B">
            <w:pPr>
              <w:snapToGrid w:val="0"/>
              <w:spacing w:after="120" w:line="288" w:lineRule="auto"/>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40</w:t>
            </w:r>
          </w:p>
        </w:tc>
        <w:tc>
          <w:tcPr>
            <w:tcW w:w="447" w:type="pct"/>
            <w:noWrap/>
            <w:vAlign w:val="center"/>
          </w:tcPr>
          <w:p w14:paraId="2351FDB7">
            <w:pPr>
              <w:snapToGrid w:val="0"/>
              <w:spacing w:line="288" w:lineRule="auto"/>
              <w:jc w:val="center"/>
              <w:rPr>
                <w:rFonts w:ascii="宋体" w:hAnsi="宋体" w:eastAsia="宋体" w:cs="宋体"/>
                <w:color w:val="auto"/>
                <w:szCs w:val="21"/>
                <w:highlight w:val="none"/>
              </w:rPr>
            </w:pPr>
          </w:p>
        </w:tc>
        <w:tc>
          <w:tcPr>
            <w:tcW w:w="681" w:type="pct"/>
            <w:noWrap/>
            <w:vAlign w:val="center"/>
          </w:tcPr>
          <w:p w14:paraId="70F0D35D">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绿色发展理念</w:t>
            </w:r>
          </w:p>
        </w:tc>
        <w:tc>
          <w:tcPr>
            <w:tcW w:w="3603" w:type="pct"/>
            <w:tcBorders>
              <w:right w:val="double" w:color="auto" w:sz="4" w:space="0"/>
            </w:tcBorders>
            <w:noWrap/>
            <w:vAlign w:val="center"/>
          </w:tcPr>
          <w:p w14:paraId="41E83F39">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为贯彻绿色发展理念，本项目应积极使用氢燃料电池泥头车等新能源工程车，要求投入的新能源工程车占投入的建筑垃圾自卸车（渣土车）总数比例不低于</w:t>
            </w:r>
            <w:r>
              <w:rPr>
                <w:rFonts w:ascii="宋体" w:hAnsi="宋体" w:eastAsia="宋体" w:cs="宋体"/>
                <w:b w:val="0"/>
                <w:color w:val="auto"/>
                <w:sz w:val="21"/>
                <w:szCs w:val="21"/>
                <w:highlight w:val="none"/>
                <w:u w:val="single"/>
              </w:rPr>
              <w:t>40%。一旦中标，必须全部到位，否则按合同违约处理。</w:t>
            </w:r>
          </w:p>
        </w:tc>
      </w:tr>
      <w:tr w14:paraId="631A8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tcBorders>
            <w:noWrap/>
            <w:vAlign w:val="center"/>
          </w:tcPr>
          <w:p w14:paraId="4C6EBE5F">
            <w:pPr>
              <w:snapToGrid w:val="0"/>
              <w:spacing w:after="120" w:line="288" w:lineRule="auto"/>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41</w:t>
            </w:r>
          </w:p>
        </w:tc>
        <w:tc>
          <w:tcPr>
            <w:tcW w:w="447" w:type="pct"/>
            <w:noWrap/>
            <w:vAlign w:val="center"/>
          </w:tcPr>
          <w:p w14:paraId="52B26637">
            <w:pPr>
              <w:snapToGrid w:val="0"/>
              <w:spacing w:line="288" w:lineRule="auto"/>
              <w:jc w:val="center"/>
              <w:rPr>
                <w:rFonts w:ascii="宋体" w:hAnsi="宋体" w:eastAsia="宋体" w:cs="宋体"/>
                <w:color w:val="auto"/>
                <w:szCs w:val="21"/>
                <w:highlight w:val="none"/>
              </w:rPr>
            </w:pPr>
          </w:p>
        </w:tc>
        <w:tc>
          <w:tcPr>
            <w:tcW w:w="681" w:type="pct"/>
            <w:noWrap/>
            <w:vAlign w:val="center"/>
          </w:tcPr>
          <w:p w14:paraId="2C732AD9">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rPr>
              <w:t>招标人对中标人参与“百千万工程”的具体要求</w:t>
            </w:r>
          </w:p>
        </w:tc>
        <w:tc>
          <w:tcPr>
            <w:tcW w:w="3603" w:type="pct"/>
            <w:tcBorders>
              <w:right w:val="double" w:color="auto" w:sz="4" w:space="0"/>
            </w:tcBorders>
            <w:noWrap/>
            <w:vAlign w:val="center"/>
          </w:tcPr>
          <w:p w14:paraId="11623684">
            <w:pPr>
              <w:spacing w:after="120" w:line="288" w:lineRule="auto"/>
              <w:rPr>
                <w:rFonts w:ascii="宋体" w:hAnsi="宋体" w:eastAsia="宋体" w:cs="宋体"/>
                <w:color w:val="auto"/>
                <w:szCs w:val="21"/>
                <w:highlight w:val="none"/>
                <w:u w:val="single"/>
              </w:rPr>
            </w:pPr>
            <w:r>
              <w:rPr>
                <w:rFonts w:hint="eastAsia" w:ascii="宋体" w:hAnsi="宋体" w:eastAsia="宋体" w:cs="宋体"/>
                <w:b w:val="0"/>
                <w:color w:val="auto"/>
                <w:szCs w:val="21"/>
                <w:highlight w:val="none"/>
                <w:u w:val="single"/>
              </w:rPr>
              <w:t>说明与要求：</w:t>
            </w:r>
          </w:p>
          <w:p w14:paraId="7F6FECBF">
            <w:pPr>
              <w:spacing w:line="288" w:lineRule="auto"/>
              <w:rPr>
                <w:rFonts w:ascii="宋体" w:hAnsi="宋体" w:eastAsia="宋体" w:cs="宋体"/>
                <w:color w:val="auto"/>
                <w:szCs w:val="21"/>
                <w:highlight w:val="none"/>
              </w:rPr>
            </w:pPr>
            <w:r>
              <w:rPr>
                <w:rFonts w:hint="eastAsia" w:ascii="宋体" w:hAnsi="宋体" w:eastAsia="宋体" w:cs="宋体"/>
                <w:b w:val="0"/>
                <w:color w:val="auto"/>
                <w:szCs w:val="21"/>
                <w:highlight w:val="none"/>
                <w:u w:val="single"/>
              </w:rPr>
              <w:t>具体要求在中标后按照投标承诺和招标人的要求执行。</w:t>
            </w:r>
          </w:p>
          <w:p w14:paraId="28C31F4B">
            <w:pPr>
              <w:snapToGrid w:val="0"/>
              <w:spacing w:line="288" w:lineRule="auto"/>
              <w:rPr>
                <w:rFonts w:ascii="宋体" w:hAnsi="宋体" w:eastAsia="宋体" w:cs="宋体"/>
                <w:color w:val="auto"/>
                <w:szCs w:val="21"/>
                <w:highlight w:val="none"/>
                <w:u w:val="single"/>
              </w:rPr>
            </w:pPr>
            <w:r>
              <w:rPr>
                <w:rFonts w:hint="eastAsia" w:ascii="宋体" w:hAnsi="宋体" w:eastAsia="宋体" w:cs="宋体"/>
                <w:b/>
                <w:color w:val="auto"/>
                <w:szCs w:val="21"/>
                <w:highlight w:val="none"/>
                <w:u w:val="single"/>
              </w:rPr>
              <w:t>如政府部门有“百千万工程”相关要求，中标人须无条件配合。</w:t>
            </w:r>
          </w:p>
        </w:tc>
      </w:tr>
      <w:tr w14:paraId="017B1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 w:type="pct"/>
            <w:tcBorders>
              <w:left w:val="double" w:color="auto" w:sz="4" w:space="0"/>
              <w:bottom w:val="double" w:color="auto" w:sz="4" w:space="0"/>
            </w:tcBorders>
            <w:noWrap/>
            <w:vAlign w:val="center"/>
          </w:tcPr>
          <w:p w14:paraId="17266091">
            <w:pPr>
              <w:snapToGrid w:val="0"/>
              <w:spacing w:after="120" w:line="288" w:lineRule="auto"/>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42</w:t>
            </w:r>
          </w:p>
        </w:tc>
        <w:tc>
          <w:tcPr>
            <w:tcW w:w="447" w:type="pct"/>
            <w:tcBorders>
              <w:bottom w:val="double" w:color="auto" w:sz="4" w:space="0"/>
            </w:tcBorders>
            <w:noWrap/>
            <w:vAlign w:val="center"/>
          </w:tcPr>
          <w:p w14:paraId="1FE4E009">
            <w:pPr>
              <w:snapToGrid w:val="0"/>
              <w:spacing w:line="288" w:lineRule="auto"/>
              <w:jc w:val="center"/>
              <w:rPr>
                <w:rFonts w:ascii="宋体" w:hAnsi="宋体" w:eastAsia="宋体" w:cs="宋体"/>
                <w:color w:val="auto"/>
                <w:szCs w:val="21"/>
                <w:highlight w:val="none"/>
              </w:rPr>
            </w:pPr>
          </w:p>
        </w:tc>
        <w:tc>
          <w:tcPr>
            <w:tcW w:w="681" w:type="pct"/>
            <w:tcBorders>
              <w:bottom w:val="double" w:color="auto" w:sz="4" w:space="0"/>
            </w:tcBorders>
            <w:noWrap/>
            <w:vAlign w:val="center"/>
          </w:tcPr>
          <w:p w14:paraId="196BDD43">
            <w:pPr>
              <w:snapToGrid w:val="0"/>
              <w:spacing w:after="120" w:line="288" w:lineRule="auto"/>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u w:val="single"/>
              </w:rPr>
              <w:t>是否授权评标委员会确定中标人</w:t>
            </w:r>
          </w:p>
        </w:tc>
        <w:tc>
          <w:tcPr>
            <w:tcW w:w="3603" w:type="pct"/>
            <w:tcBorders>
              <w:bottom w:val="double" w:color="auto" w:sz="4" w:space="0"/>
              <w:right w:val="double" w:color="auto" w:sz="4" w:space="0"/>
            </w:tcBorders>
            <w:noWrap/>
            <w:vAlign w:val="center"/>
          </w:tcPr>
          <w:p w14:paraId="6F2DFB32">
            <w:pPr>
              <w:snapToGrid w:val="0"/>
              <w:spacing w:after="120" w:line="288" w:lineRule="auto"/>
              <w:rPr>
                <w:rFonts w:ascii="宋体" w:hAnsi="宋体" w:eastAsia="宋体" w:cs="宋体"/>
                <w:b/>
                <w:color w:val="auto"/>
                <w:szCs w:val="21"/>
                <w:highlight w:val="none"/>
                <w:u w:val="single"/>
              </w:rPr>
            </w:pPr>
            <w:r>
              <w:rPr>
                <w:rFonts w:hint="eastAsia" w:ascii="宋体" w:hAnsi="宋体" w:eastAsia="宋体" w:cs="宋体"/>
                <w:bCs/>
                <w:color w:val="auto"/>
                <w:szCs w:val="21"/>
                <w:highlight w:val="none"/>
                <w:u w:val="single"/>
              </w:rPr>
              <w:t>否</w:t>
            </w:r>
          </w:p>
        </w:tc>
      </w:tr>
    </w:tbl>
    <w:p w14:paraId="19A83DF8">
      <w:pPr>
        <w:snapToGrid w:val="0"/>
        <w:spacing w:line="360" w:lineRule="auto"/>
        <w:rPr>
          <w:rFonts w:ascii="宋体" w:hAnsi="宋体" w:eastAsia="宋体" w:cs="宋体"/>
          <w:strike/>
          <w:color w:val="auto"/>
          <w:szCs w:val="21"/>
          <w:highlight w:val="none"/>
        </w:rPr>
      </w:pPr>
      <w:r>
        <w:rPr>
          <w:rFonts w:hint="eastAsia" w:ascii="宋体" w:hAnsi="宋体" w:eastAsia="宋体" w:cs="宋体"/>
          <w:b w:val="0"/>
          <w:strike/>
          <w:color w:val="auto"/>
          <w:sz w:val="24"/>
          <w:highlight w:val="none"/>
        </w:rPr>
        <w:t>注：企业综合诚信评价得分即企业综合诚信评价</w:t>
      </w:r>
      <w:r>
        <w:rPr>
          <w:rFonts w:ascii="宋体" w:hAnsi="宋体" w:eastAsia="宋体" w:cs="宋体"/>
          <w:b w:val="0"/>
          <w:strike/>
          <w:color w:val="auto"/>
          <w:sz w:val="24"/>
          <w:highlight w:val="none"/>
        </w:rPr>
        <w:t>60日诚信分，以下同。</w:t>
      </w:r>
    </w:p>
    <w:p w14:paraId="75169D6D">
      <w:pPr>
        <w:pStyle w:val="5"/>
        <w:tabs>
          <w:tab w:val="left" w:pos="0"/>
        </w:tabs>
        <w:snapToGrid w:val="0"/>
        <w:spacing w:before="0" w:after="0" w:line="360" w:lineRule="auto"/>
        <w:jc w:val="center"/>
        <w:rPr>
          <w:rFonts w:ascii="宋体" w:hAnsi="宋体" w:eastAsia="宋体" w:cs="宋体"/>
          <w:color w:val="auto"/>
          <w:szCs w:val="32"/>
          <w:highlight w:val="none"/>
        </w:rPr>
      </w:pPr>
      <w:r>
        <w:rPr>
          <w:rFonts w:ascii="宋体" w:hAnsi="宋体" w:eastAsia="宋体" w:cs="宋体"/>
          <w:strike/>
          <w:color w:val="auto"/>
          <w:highlight w:val="none"/>
        </w:rPr>
        <w:br w:type="page"/>
      </w:r>
      <w:bookmarkStart w:id="3" w:name="_Toc6608"/>
      <w:r>
        <w:rPr>
          <w:rFonts w:hint="eastAsia" w:ascii="宋体" w:hAnsi="宋体" w:eastAsia="宋体" w:cs="宋体"/>
          <w:color w:val="auto"/>
          <w:szCs w:val="32"/>
          <w:highlight w:val="none"/>
        </w:rPr>
        <w:t>二、投标须知修改表</w:t>
      </w:r>
      <w:bookmarkEnd w:id="3"/>
    </w:p>
    <w:p w14:paraId="66971DBB">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声明：本投标须知使用</w:t>
      </w:r>
      <w:r>
        <w:rPr>
          <w:rFonts w:ascii="宋体" w:hAnsi="宋体" w:eastAsia="宋体" w:cs="宋体"/>
          <w:b/>
          <w:color w:val="auto"/>
          <w:sz w:val="21"/>
          <w:szCs w:val="21"/>
          <w:highlight w:val="none"/>
        </w:rPr>
        <w:t>GZZB2018-3招标文件范本的投标须知通用条款，与该通用条款不同之处，均在本表中列明，并以现文为准，原文不再有效。本招标文件中不再转录投标须知通用条款，请投标人自行到广州市住房和城乡建设局网站（网址：</w:t>
      </w:r>
      <w:r>
        <w:rPr>
          <w:rStyle w:val="231"/>
          <w:rFonts w:hint="eastAsia" w:ascii="宋体" w:hAnsi="宋体" w:eastAsia="宋体" w:cs="宋体"/>
          <w:b/>
          <w:color w:val="auto"/>
          <w:szCs w:val="21"/>
          <w:highlight w:val="none"/>
          <w:u w:val="none"/>
        </w:rPr>
        <w:fldChar w:fldCharType="begin"/>
      </w:r>
      <w:r>
        <w:rPr>
          <w:rFonts w:ascii="宋体" w:hAnsi="宋体" w:eastAsia="宋体" w:cs="宋体"/>
          <w:b/>
          <w:color w:val="auto"/>
          <w:sz w:val="21"/>
          <w:szCs w:val="21"/>
          <w:highlight w:val="none"/>
        </w:rPr>
        <w:instrText xml:space="preserve"> HYPERLINK "http://zfcj.gz.gov.cn/）下载查阅。" </w:instrText>
      </w:r>
      <w:r>
        <w:rPr>
          <w:rStyle w:val="231"/>
          <w:rFonts w:hint="eastAsia" w:ascii="宋体" w:hAnsi="宋体" w:eastAsia="宋体" w:cs="宋体"/>
          <w:b/>
          <w:color w:val="auto"/>
          <w:szCs w:val="21"/>
          <w:highlight w:val="none"/>
          <w:u w:val="none"/>
        </w:rPr>
        <w:fldChar w:fldCharType="separate"/>
      </w:r>
      <w:r>
        <w:rPr>
          <w:rStyle w:val="231"/>
          <w:rFonts w:ascii="宋体" w:hAnsi="宋体" w:eastAsia="宋体" w:cs="宋体"/>
          <w:b/>
          <w:color w:val="auto"/>
          <w:szCs w:val="21"/>
          <w:highlight w:val="none"/>
          <w:u w:val="none"/>
        </w:rPr>
        <w:t>http</w:t>
      </w:r>
      <w:r>
        <w:rPr>
          <w:rStyle w:val="231"/>
          <w:rFonts w:hint="eastAsia" w:ascii="宋体" w:hAnsi="宋体" w:eastAsia="宋体" w:cs="宋体"/>
          <w:b/>
          <w:color w:val="auto"/>
          <w:szCs w:val="21"/>
          <w:highlight w:val="none"/>
          <w:u w:val="none"/>
        </w:rPr>
        <w:t>：</w:t>
      </w:r>
      <w:r>
        <w:rPr>
          <w:rStyle w:val="231"/>
          <w:rFonts w:ascii="宋体" w:hAnsi="宋体" w:eastAsia="宋体" w:cs="宋体"/>
          <w:b/>
          <w:color w:val="auto"/>
          <w:szCs w:val="21"/>
          <w:highlight w:val="none"/>
          <w:u w:val="none"/>
        </w:rPr>
        <w:t>//zfcj.gz.gov.cn/）下载查阅。</w:t>
      </w:r>
      <w:r>
        <w:rPr>
          <w:rStyle w:val="231"/>
          <w:rFonts w:hint="eastAsia" w:ascii="宋体" w:hAnsi="宋体" w:eastAsia="宋体" w:cs="宋体"/>
          <w:b/>
          <w:color w:val="auto"/>
          <w:szCs w:val="21"/>
          <w:highlight w:val="none"/>
          <w:u w:val="none"/>
        </w:rPr>
        <w:fldChar w:fldCharType="end"/>
      </w:r>
    </w:p>
    <w:p w14:paraId="68CF9E9C">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2.5                          </w:t>
      </w:r>
      <w:r>
        <w:rPr>
          <w:rFonts w:hint="eastAsia" w:ascii="宋体" w:hAnsi="宋体" w:eastAsia="宋体" w:cs="宋体"/>
          <w:b/>
          <w:color w:val="auto"/>
          <w:sz w:val="21"/>
          <w:szCs w:val="21"/>
          <w:highlight w:val="none"/>
        </w:rPr>
        <w:t>修改类型：增加</w:t>
      </w:r>
    </w:p>
    <w:p w14:paraId="3FF819D0">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2.5</w:t>
      </w:r>
      <w:r>
        <w:rPr>
          <w:rFonts w:hint="eastAsia" w:ascii="宋体" w:hAnsi="宋体" w:eastAsia="宋体" w:cs="宋体"/>
          <w:b w:val="0"/>
          <w:bCs/>
          <w:color w:val="auto"/>
          <w:kern w:val="0"/>
          <w:sz w:val="21"/>
          <w:szCs w:val="21"/>
          <w:highlight w:val="none"/>
        </w:rPr>
        <w:t>建设单位和中标人均不得委托近二年（从招标公告发布年度起逆推</w:t>
      </w:r>
      <w:r>
        <w:rPr>
          <w:rFonts w:ascii="宋体" w:hAnsi="宋体" w:eastAsia="宋体" w:cs="宋体"/>
          <w:b w:val="0"/>
          <w:bCs/>
          <w:color w:val="auto"/>
          <w:kern w:val="0"/>
          <w:sz w:val="21"/>
          <w:szCs w:val="21"/>
          <w:highlight w:val="none"/>
        </w:rPr>
        <w:t>2年的1月1日起至投标截止时间止）因伪造检测数据、出具虚假检测报告被各级建设行政主管部门或市场监督管理部门行政处罚或通报的检测单位负责本项目的检测工作。</w:t>
      </w:r>
    </w:p>
    <w:p w14:paraId="4D6AA169">
      <w:pP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5.1                          </w:t>
      </w:r>
      <w:r>
        <w:rPr>
          <w:rFonts w:hint="eastAsia" w:ascii="宋体" w:hAnsi="宋体" w:eastAsia="宋体" w:cs="宋体"/>
          <w:b/>
          <w:color w:val="auto"/>
          <w:sz w:val="21"/>
          <w:szCs w:val="21"/>
          <w:highlight w:val="none"/>
        </w:rPr>
        <w:t>修改类型：修改</w:t>
      </w:r>
    </w:p>
    <w:p w14:paraId="25B40F92">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7B830FE0">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b w:val="0"/>
          <w:color w:val="auto"/>
          <w:sz w:val="21"/>
          <w:szCs w:val="21"/>
          <w:highlight w:val="none"/>
          <w:u w:val="single"/>
        </w:rPr>
        <w:t>，投标人不进行踏勘的，视为已熟知现场条件，自行承担相关风险</w:t>
      </w:r>
      <w:r>
        <w:rPr>
          <w:rFonts w:hint="eastAsia" w:ascii="宋体" w:hAnsi="宋体" w:eastAsia="宋体" w:cs="宋体"/>
          <w:b w:val="0"/>
          <w:color w:val="auto"/>
          <w:sz w:val="21"/>
          <w:szCs w:val="21"/>
          <w:highlight w:val="none"/>
        </w:rPr>
        <w:t>。一旦中标，这种考察即被认为其结果已在中标文件中得到充分反映。</w:t>
      </w:r>
      <w:r>
        <w:rPr>
          <w:rFonts w:hint="eastAsia" w:ascii="宋体" w:hAnsi="宋体" w:eastAsia="宋体" w:cs="宋体"/>
          <w:b w:val="0"/>
          <w:color w:val="auto"/>
          <w:sz w:val="21"/>
          <w:szCs w:val="21"/>
          <w:highlight w:val="none"/>
          <w:u w:val="single"/>
        </w:rPr>
        <w:t>招标人不受理因投标人缺乏对现场条件的了解或掌握而提出的任何索赔。</w:t>
      </w:r>
      <w:r>
        <w:rPr>
          <w:rFonts w:hint="eastAsia" w:ascii="宋体" w:hAnsi="宋体" w:eastAsia="宋体" w:cs="宋体"/>
          <w:b w:val="0"/>
          <w:color w:val="auto"/>
          <w:sz w:val="21"/>
          <w:szCs w:val="21"/>
          <w:highlight w:val="none"/>
        </w:rPr>
        <w:t>考察现场的费用由投标人自己承担。</w:t>
      </w:r>
    </w:p>
    <w:p w14:paraId="0545CFAD">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8.1                           </w:t>
      </w:r>
      <w:r>
        <w:rPr>
          <w:rFonts w:hint="eastAsia" w:ascii="宋体" w:hAnsi="宋体" w:eastAsia="宋体" w:cs="宋体"/>
          <w:b/>
          <w:color w:val="auto"/>
          <w:sz w:val="21"/>
          <w:szCs w:val="21"/>
          <w:highlight w:val="none"/>
        </w:rPr>
        <w:t>修改类型：修改</w:t>
      </w:r>
    </w:p>
    <w:p w14:paraId="6C17DD46">
      <w:pPr>
        <w:pStyle w:val="86"/>
        <w:pBdr>
          <w:bottom w:val="single" w:color="auto" w:sz="6" w:space="1"/>
        </w:pBdr>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val="0"/>
          <w:color w:val="auto"/>
          <w:szCs w:val="21"/>
          <w:highlight w:val="none"/>
        </w:rPr>
        <w:t xml:space="preserve">8.1 </w:t>
      </w:r>
      <w:r>
        <w:rPr>
          <w:rFonts w:hint="eastAsia" w:ascii="宋体" w:hAnsi="宋体" w:eastAsia="宋体" w:cs="宋体"/>
          <w:b w:val="0"/>
          <w:color w:val="auto"/>
          <w:szCs w:val="21"/>
          <w:highlight w:val="none"/>
        </w:rPr>
        <w:t>投标人若对招标文件（包括招标图纸）中有疑问，可以书面形式通过</w:t>
      </w:r>
      <w:r>
        <w:rPr>
          <w:rFonts w:ascii="宋体" w:hAnsi="宋体" w:eastAsia="宋体" w:cs="宋体"/>
          <w:b w:val="0"/>
          <w:color w:val="auto"/>
          <w:szCs w:val="21"/>
          <w:highlight w:val="none"/>
          <w:u w:val="single"/>
        </w:rPr>
        <w:t xml:space="preserve">        </w:t>
      </w:r>
      <w:r>
        <w:rPr>
          <w:rFonts w:hint="eastAsia" w:ascii="宋体" w:hAnsi="宋体" w:eastAsia="宋体" w:cs="宋体"/>
          <w:b w:val="0"/>
          <w:color w:val="auto"/>
          <w:szCs w:val="21"/>
          <w:highlight w:val="none"/>
        </w:rPr>
        <w:t>交易平台提交给招标人或招标代理人，提交形式见本须知前附表第</w:t>
      </w:r>
      <w:r>
        <w:rPr>
          <w:rFonts w:ascii="宋体" w:hAnsi="宋体" w:eastAsia="宋体" w:cs="宋体"/>
          <w:b w:val="0"/>
          <w:color w:val="auto"/>
          <w:szCs w:val="21"/>
          <w:highlight w:val="none"/>
        </w:rPr>
        <w:t>16项。</w:t>
      </w:r>
    </w:p>
    <w:p w14:paraId="67181F02">
      <w:pPr>
        <w:pStyle w:val="86"/>
        <w:pBdr>
          <w:bottom w:val="single" w:color="auto" w:sz="6" w:space="1"/>
        </w:pBdr>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val="0"/>
          <w:color w:val="auto"/>
          <w:szCs w:val="21"/>
          <w:highlight w:val="none"/>
        </w:rPr>
        <w:t>8.1</w:t>
      </w:r>
      <w:r>
        <w:rPr>
          <w:rFonts w:hint="eastAsia" w:ascii="宋体" w:hAnsi="宋体" w:eastAsia="宋体" w:cs="宋体"/>
          <w:b w:val="0"/>
          <w:bCs/>
          <w:color w:val="auto"/>
          <w:szCs w:val="21"/>
          <w:highlight w:val="none"/>
          <w:u w:val="single"/>
        </w:rPr>
        <w:t>投标人若对招标文件（包括招标图纸、清单、最高投标限价）中有疑问，采用网上答疑方式进行，详见本须知前附表第</w:t>
      </w:r>
      <w:r>
        <w:rPr>
          <w:rFonts w:ascii="宋体" w:hAnsi="宋体" w:eastAsia="宋体" w:cs="宋体"/>
          <w:b w:val="0"/>
          <w:bCs/>
          <w:color w:val="auto"/>
          <w:szCs w:val="21"/>
          <w:highlight w:val="none"/>
          <w:u w:val="single"/>
        </w:rPr>
        <w:t>16项。</w:t>
      </w:r>
    </w:p>
    <w:p w14:paraId="6D91CF06">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8.2                          </w:t>
      </w:r>
      <w:r>
        <w:rPr>
          <w:rFonts w:hint="eastAsia" w:ascii="宋体" w:hAnsi="宋体" w:eastAsia="宋体" w:cs="宋体"/>
          <w:b/>
          <w:color w:val="auto"/>
          <w:sz w:val="21"/>
          <w:szCs w:val="21"/>
          <w:highlight w:val="none"/>
        </w:rPr>
        <w:t>修改类型：修改</w:t>
      </w:r>
    </w:p>
    <w:p w14:paraId="5309F524">
      <w:pPr>
        <w:pStyle w:val="86"/>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val="0"/>
          <w:bCs/>
          <w:color w:val="auto"/>
          <w:szCs w:val="21"/>
          <w:highlight w:val="none"/>
        </w:rPr>
        <w:t>8.2</w:t>
      </w:r>
      <w:r>
        <w:rPr>
          <w:rFonts w:hint="eastAsia" w:ascii="宋体" w:hAnsi="宋体" w:eastAsia="宋体" w:cs="宋体"/>
          <w:b w:val="0"/>
          <w:color w:val="auto"/>
          <w:szCs w:val="21"/>
          <w:highlight w:val="none"/>
        </w:rPr>
        <w:t>招标答疑会会议纪要将在提交投标文件截止时间</w:t>
      </w:r>
      <w:r>
        <w:rPr>
          <w:rFonts w:ascii="宋体" w:hAnsi="宋体" w:eastAsia="宋体" w:cs="宋体"/>
          <w:b w:val="0"/>
          <w:color w:val="auto"/>
          <w:szCs w:val="21"/>
          <w:highlight w:val="none"/>
        </w:rPr>
        <w:t>15日前在</w:t>
      </w:r>
      <w:r>
        <w:rPr>
          <w:rFonts w:ascii="宋体" w:hAnsi="宋体" w:eastAsia="宋体" w:cs="宋体"/>
          <w:b w:val="0"/>
          <w:color w:val="auto"/>
          <w:szCs w:val="21"/>
          <w:highlight w:val="none"/>
          <w:u w:val="single"/>
        </w:rPr>
        <w:t xml:space="preserve">        </w:t>
      </w:r>
      <w:r>
        <w:rPr>
          <w:rFonts w:hint="eastAsia" w:ascii="宋体" w:hAnsi="宋体" w:eastAsia="宋体" w:cs="宋体"/>
          <w:b w:val="0"/>
          <w:color w:val="auto"/>
          <w:szCs w:val="21"/>
          <w:highlight w:val="none"/>
        </w:rPr>
        <w:t>交易平台“项目答疑纪要”专区公开发布。答疑纪要一经在</w:t>
      </w:r>
      <w:r>
        <w:rPr>
          <w:rFonts w:ascii="宋体" w:hAnsi="宋体" w:eastAsia="宋体" w:cs="宋体"/>
          <w:b w:val="0"/>
          <w:color w:val="auto"/>
          <w:szCs w:val="21"/>
          <w:highlight w:val="none"/>
          <w:u w:val="single"/>
        </w:rPr>
        <w:t xml:space="preserve">        </w:t>
      </w:r>
      <w:r>
        <w:rPr>
          <w:rFonts w:hint="eastAsia" w:ascii="宋体" w:hAnsi="宋体" w:eastAsia="宋体" w:cs="宋体"/>
          <w:b w:val="0"/>
          <w:color w:val="auto"/>
          <w:szCs w:val="21"/>
          <w:highlight w:val="none"/>
        </w:rPr>
        <w:t>交易平台发布，视作已发放给所有投标人。</w:t>
      </w:r>
    </w:p>
    <w:p w14:paraId="4370D666">
      <w:pPr>
        <w:pStyle w:val="86"/>
        <w:pBdr>
          <w:bottom w:val="single" w:color="auto" w:sz="4" w:space="1"/>
        </w:pBdr>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val="0"/>
          <w:color w:val="auto"/>
          <w:szCs w:val="21"/>
          <w:highlight w:val="none"/>
        </w:rPr>
        <w:t>8.2</w:t>
      </w:r>
      <w:r>
        <w:rPr>
          <w:rFonts w:hint="eastAsia" w:ascii="宋体" w:hAnsi="宋体" w:eastAsia="宋体" w:cs="宋体"/>
          <w:b w:val="0"/>
          <w:color w:val="auto"/>
          <w:szCs w:val="21"/>
          <w:highlight w:val="none"/>
          <w:u w:val="single"/>
        </w:rPr>
        <w:t>招标答疑纪要</w:t>
      </w:r>
      <w:r>
        <w:rPr>
          <w:rFonts w:hint="eastAsia" w:ascii="宋体" w:hAnsi="宋体" w:eastAsia="宋体" w:cs="宋体"/>
          <w:b w:val="0"/>
          <w:color w:val="auto"/>
          <w:szCs w:val="21"/>
          <w:highlight w:val="none"/>
        </w:rPr>
        <w:t>将在提交投标文件截止时间</w:t>
      </w:r>
      <w:r>
        <w:rPr>
          <w:rFonts w:ascii="宋体" w:hAnsi="宋体" w:eastAsia="宋体" w:cs="宋体"/>
          <w:b w:val="0"/>
          <w:color w:val="auto"/>
          <w:szCs w:val="21"/>
          <w:highlight w:val="none"/>
        </w:rPr>
        <w:t>15日前</w:t>
      </w:r>
      <w:r>
        <w:rPr>
          <w:rFonts w:hint="eastAsia" w:ascii="宋体" w:hAnsi="宋体" w:eastAsia="宋体" w:cs="宋体"/>
          <w:b w:val="0"/>
          <w:color w:val="auto"/>
          <w:szCs w:val="21"/>
          <w:highlight w:val="none"/>
          <w:u w:val="single"/>
        </w:rPr>
        <w:t>在广州交易集团有限公司（广州公共资源交易中心）网站“项目查询（日程安排、答疑纪要）”</w:t>
      </w:r>
      <w:r>
        <w:rPr>
          <w:rFonts w:hint="eastAsia" w:ascii="宋体" w:hAnsi="宋体" w:eastAsia="宋体" w:cs="宋体"/>
          <w:b w:val="0"/>
          <w:color w:val="auto"/>
          <w:szCs w:val="21"/>
          <w:highlight w:val="none"/>
        </w:rPr>
        <w:t>专区公开发布。答疑纪要一经</w:t>
      </w:r>
      <w:r>
        <w:rPr>
          <w:rFonts w:hint="eastAsia" w:ascii="宋体" w:hAnsi="宋体" w:eastAsia="宋体" w:cs="宋体"/>
          <w:b w:val="0"/>
          <w:color w:val="auto"/>
          <w:szCs w:val="21"/>
          <w:highlight w:val="none"/>
          <w:u w:val="single"/>
        </w:rPr>
        <w:t>在广州交易集团有限公司（广州公共资源交易中心）网站</w:t>
      </w:r>
      <w:r>
        <w:rPr>
          <w:rFonts w:hint="eastAsia" w:ascii="宋体" w:hAnsi="宋体" w:eastAsia="宋体" w:cs="宋体"/>
          <w:b w:val="0"/>
          <w:color w:val="auto"/>
          <w:szCs w:val="21"/>
          <w:highlight w:val="none"/>
        </w:rPr>
        <w:t>发布，视作已发放给所有投标人。</w:t>
      </w:r>
    </w:p>
    <w:p w14:paraId="3190D41E">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8.4修改类型：修改</w:t>
      </w:r>
    </w:p>
    <w:p w14:paraId="03E35A20">
      <w:pPr>
        <w:pStyle w:val="86"/>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val="0"/>
          <w:color w:val="auto"/>
          <w:szCs w:val="21"/>
          <w:highlight w:val="none"/>
        </w:rPr>
        <w:t>8.4若招标答疑会会议纪要与招标文件有矛盾，以答疑会议纪要最后发出的书面形式的文件为准。</w:t>
      </w:r>
    </w:p>
    <w:p w14:paraId="5C70E1AC">
      <w:pPr>
        <w:pStyle w:val="86"/>
        <w:pBdr>
          <w:bottom w:val="single" w:color="auto" w:sz="4" w:space="1"/>
        </w:pBdr>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val="0"/>
          <w:color w:val="auto"/>
          <w:szCs w:val="21"/>
          <w:highlight w:val="none"/>
        </w:rPr>
        <w:t>8.4</w:t>
      </w:r>
      <w:r>
        <w:rPr>
          <w:rFonts w:hint="eastAsia" w:ascii="宋体" w:hAnsi="宋体" w:eastAsia="宋体" w:cs="宋体"/>
          <w:b w:val="0"/>
          <w:color w:val="auto"/>
          <w:szCs w:val="21"/>
          <w:highlight w:val="none"/>
          <w:u w:val="single"/>
        </w:rPr>
        <w:t>若招标答疑纪要与招标文件有矛盾，以广州交易集团有限公司（广州公共资源交易中心）网站最后发布的答疑纪要为准</w:t>
      </w:r>
      <w:r>
        <w:rPr>
          <w:rFonts w:hint="eastAsia" w:ascii="宋体" w:hAnsi="宋体" w:eastAsia="宋体" w:cs="宋体"/>
          <w:b w:val="0"/>
          <w:color w:val="auto"/>
          <w:szCs w:val="21"/>
          <w:highlight w:val="none"/>
        </w:rPr>
        <w:t>。</w:t>
      </w:r>
    </w:p>
    <w:p w14:paraId="77AD45F9">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9.2                          </w:t>
      </w:r>
      <w:r>
        <w:rPr>
          <w:rFonts w:hint="eastAsia" w:ascii="宋体" w:hAnsi="宋体" w:eastAsia="宋体" w:cs="宋体"/>
          <w:b/>
          <w:color w:val="auto"/>
          <w:sz w:val="21"/>
          <w:szCs w:val="21"/>
          <w:highlight w:val="none"/>
        </w:rPr>
        <w:t>修改类型：修改</w:t>
      </w:r>
    </w:p>
    <w:p w14:paraId="2F274CFE">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9.2招标文件的澄清或修改将在</w:t>
      </w:r>
      <w:r>
        <w:rPr>
          <w:rFonts w:ascii="宋体" w:hAnsi="宋体" w:eastAsia="宋体" w:cs="宋体"/>
          <w:b w:val="0"/>
          <w:color w:val="auto"/>
          <w:szCs w:val="21"/>
          <w:highlight w:val="none"/>
          <w:u w:val="single"/>
        </w:rPr>
        <w:t xml:space="preserve">        </w:t>
      </w:r>
      <w:r>
        <w:rPr>
          <w:rFonts w:hint="eastAsia" w:ascii="宋体" w:hAnsi="宋体" w:eastAsia="宋体" w:cs="宋体"/>
          <w:b w:val="0"/>
          <w:color w:val="auto"/>
          <w:sz w:val="21"/>
          <w:szCs w:val="21"/>
          <w:highlight w:val="none"/>
        </w:rPr>
        <w:t>交易平台“项目答疑纪要”专区公开发布。答疑纪要一经在</w:t>
      </w:r>
      <w:r>
        <w:rPr>
          <w:rFonts w:ascii="宋体" w:hAnsi="宋体" w:eastAsia="宋体" w:cs="宋体"/>
          <w:b w:val="0"/>
          <w:color w:val="auto"/>
          <w:szCs w:val="21"/>
          <w:highlight w:val="none"/>
          <w:u w:val="single"/>
        </w:rPr>
        <w:t xml:space="preserve">        </w:t>
      </w:r>
      <w:r>
        <w:rPr>
          <w:rFonts w:hint="eastAsia" w:ascii="宋体" w:hAnsi="宋体" w:eastAsia="宋体" w:cs="宋体"/>
          <w:b w:val="0"/>
          <w:color w:val="auto"/>
          <w:sz w:val="21"/>
          <w:szCs w:val="21"/>
          <w:highlight w:val="none"/>
        </w:rPr>
        <w:t>交易平台发布，视作已发放给所有投标人，以</w:t>
      </w:r>
      <w:r>
        <w:rPr>
          <w:rFonts w:ascii="宋体" w:hAnsi="宋体" w:eastAsia="宋体" w:cs="宋体"/>
          <w:b w:val="0"/>
          <w:color w:val="auto"/>
          <w:szCs w:val="21"/>
          <w:highlight w:val="none"/>
          <w:u w:val="single"/>
        </w:rPr>
        <w:t xml:space="preserve">        </w:t>
      </w:r>
      <w:r>
        <w:rPr>
          <w:rFonts w:hint="eastAsia" w:ascii="宋体" w:hAnsi="宋体" w:eastAsia="宋体" w:cs="宋体"/>
          <w:b w:val="0"/>
          <w:color w:val="auto"/>
          <w:sz w:val="21"/>
          <w:szCs w:val="21"/>
          <w:highlight w:val="none"/>
        </w:rPr>
        <w:t>交易平台上网发布时间作为送达时间。</w:t>
      </w:r>
    </w:p>
    <w:p w14:paraId="3FCF740B">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9.2招标文件的澄清或修改</w:t>
      </w:r>
      <w:r>
        <w:rPr>
          <w:rFonts w:hint="eastAsia" w:ascii="宋体" w:hAnsi="宋体" w:eastAsia="宋体" w:cs="宋体"/>
          <w:b w:val="0"/>
          <w:color w:val="auto"/>
          <w:sz w:val="21"/>
          <w:szCs w:val="21"/>
          <w:highlight w:val="none"/>
          <w:u w:val="single"/>
        </w:rPr>
        <w:t>在广州交易集团有限公司（广州公共资源交易中心）网站“项目查询（日程安排、答疑纪要）”</w:t>
      </w:r>
      <w:r>
        <w:rPr>
          <w:rFonts w:hint="eastAsia" w:ascii="宋体" w:hAnsi="宋体" w:eastAsia="宋体" w:cs="宋体"/>
          <w:b w:val="0"/>
          <w:color w:val="auto"/>
          <w:sz w:val="21"/>
          <w:szCs w:val="21"/>
          <w:highlight w:val="none"/>
        </w:rPr>
        <w:t>专区公开发布。答疑纪要一经在</w:t>
      </w:r>
      <w:r>
        <w:rPr>
          <w:rFonts w:hint="eastAsia" w:ascii="宋体" w:hAnsi="宋体" w:eastAsia="宋体" w:cs="宋体"/>
          <w:b w:val="0"/>
          <w:color w:val="auto"/>
          <w:sz w:val="21"/>
          <w:szCs w:val="21"/>
          <w:highlight w:val="none"/>
          <w:u w:val="single"/>
        </w:rPr>
        <w:t>广州交易集团有限公司（广州公共资源交易中心）网站</w:t>
      </w:r>
      <w:r>
        <w:rPr>
          <w:rFonts w:hint="eastAsia" w:ascii="宋体" w:hAnsi="宋体" w:eastAsia="宋体" w:cs="宋体"/>
          <w:b w:val="0"/>
          <w:color w:val="auto"/>
          <w:sz w:val="21"/>
          <w:szCs w:val="21"/>
          <w:highlight w:val="none"/>
        </w:rPr>
        <w:t>发布，视作已发放给所有投标人，以</w:t>
      </w:r>
      <w:r>
        <w:rPr>
          <w:rFonts w:hint="eastAsia" w:ascii="宋体" w:hAnsi="宋体" w:eastAsia="宋体" w:cs="宋体"/>
          <w:b w:val="0"/>
          <w:color w:val="auto"/>
          <w:sz w:val="21"/>
          <w:szCs w:val="21"/>
          <w:highlight w:val="none"/>
          <w:u w:val="single"/>
        </w:rPr>
        <w:t>广州交易集团有限公司（广州公共资源交易中心）网站</w:t>
      </w:r>
      <w:r>
        <w:rPr>
          <w:rFonts w:hint="eastAsia" w:ascii="宋体" w:hAnsi="宋体" w:eastAsia="宋体" w:cs="宋体"/>
          <w:b w:val="0"/>
          <w:color w:val="auto"/>
          <w:sz w:val="21"/>
          <w:szCs w:val="21"/>
          <w:highlight w:val="none"/>
        </w:rPr>
        <w:t>发布时间作为送达时间。</w:t>
      </w:r>
    </w:p>
    <w:p w14:paraId="3571249C">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9.4             </w:t>
      </w:r>
      <w:r>
        <w:rPr>
          <w:rFonts w:hint="eastAsia" w:ascii="宋体" w:hAnsi="宋体" w:eastAsia="宋体" w:cs="宋体"/>
          <w:b/>
          <w:color w:val="auto"/>
          <w:sz w:val="21"/>
          <w:szCs w:val="21"/>
          <w:highlight w:val="none"/>
        </w:rPr>
        <w:t>修改类型：修改</w:t>
      </w:r>
    </w:p>
    <w:p w14:paraId="25911E2E">
      <w:pPr>
        <w:pStyle w:val="86"/>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val="0"/>
          <w:color w:val="auto"/>
          <w:szCs w:val="21"/>
          <w:highlight w:val="none"/>
        </w:rPr>
        <w:t xml:space="preserve"> 9.4招标文件的澄清或修改均以书面形式明确的内容为准。当招标文件的澄清、修改、补充等在同一内容的表述不一致时，以最后发出的书面形式的文件为准。</w:t>
      </w:r>
    </w:p>
    <w:p w14:paraId="6A3C8DDB">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9.4招标文件的澄清或修改均以</w:t>
      </w:r>
      <w:r>
        <w:rPr>
          <w:rFonts w:hint="eastAsia" w:ascii="宋体" w:hAnsi="宋体" w:eastAsia="宋体" w:cs="宋体"/>
          <w:b w:val="0"/>
          <w:color w:val="auto"/>
          <w:sz w:val="21"/>
          <w:szCs w:val="21"/>
          <w:highlight w:val="none"/>
          <w:u w:val="single"/>
        </w:rPr>
        <w:t>广州交易集团有限公司（广州公共资源交易中心）网上答疑公布</w:t>
      </w:r>
      <w:r>
        <w:rPr>
          <w:rFonts w:hint="eastAsia" w:ascii="宋体" w:hAnsi="宋体" w:eastAsia="宋体" w:cs="宋体"/>
          <w:b w:val="0"/>
          <w:color w:val="auto"/>
          <w:sz w:val="21"/>
          <w:szCs w:val="21"/>
          <w:highlight w:val="none"/>
        </w:rPr>
        <w:t>的内容为准。当招标文件的澄清、修改、补充等在同一内容的表述不一致时，以</w:t>
      </w:r>
      <w:r>
        <w:rPr>
          <w:rFonts w:hint="eastAsia" w:ascii="宋体" w:hAnsi="宋体" w:eastAsia="宋体" w:cs="宋体"/>
          <w:b w:val="0"/>
          <w:color w:val="auto"/>
          <w:sz w:val="21"/>
          <w:szCs w:val="21"/>
          <w:highlight w:val="none"/>
          <w:u w:val="single"/>
        </w:rPr>
        <w:t>广州交易集团有限公司（广州公共资源交易中心）网站</w:t>
      </w:r>
      <w:r>
        <w:rPr>
          <w:rFonts w:hint="eastAsia" w:ascii="宋体" w:hAnsi="宋体" w:eastAsia="宋体" w:cs="宋体"/>
          <w:b w:val="0"/>
          <w:color w:val="auto"/>
          <w:sz w:val="21"/>
          <w:szCs w:val="21"/>
          <w:highlight w:val="none"/>
        </w:rPr>
        <w:t>最后发出的</w:t>
      </w:r>
      <w:r>
        <w:rPr>
          <w:rFonts w:hint="eastAsia" w:ascii="宋体" w:hAnsi="宋体" w:eastAsia="宋体" w:cs="宋体"/>
          <w:b w:val="0"/>
          <w:color w:val="auto"/>
          <w:sz w:val="21"/>
          <w:szCs w:val="21"/>
          <w:highlight w:val="none"/>
          <w:u w:val="single"/>
        </w:rPr>
        <w:t>文件</w:t>
      </w:r>
      <w:r>
        <w:rPr>
          <w:rFonts w:hint="eastAsia" w:ascii="宋体" w:hAnsi="宋体" w:eastAsia="宋体" w:cs="宋体"/>
          <w:b w:val="0"/>
          <w:color w:val="auto"/>
          <w:sz w:val="21"/>
          <w:szCs w:val="21"/>
          <w:highlight w:val="none"/>
        </w:rPr>
        <w:t>为准。</w:t>
      </w:r>
    </w:p>
    <w:p w14:paraId="3336C5F6">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11.2                        </w:t>
      </w:r>
      <w:r>
        <w:rPr>
          <w:rFonts w:hint="eastAsia" w:ascii="宋体" w:hAnsi="宋体" w:eastAsia="宋体" w:cs="宋体"/>
          <w:b/>
          <w:color w:val="auto"/>
          <w:sz w:val="21"/>
          <w:szCs w:val="21"/>
          <w:highlight w:val="none"/>
        </w:rPr>
        <w:t>修改类型：修改</w:t>
      </w:r>
    </w:p>
    <w:p w14:paraId="2499A526">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原文：</w:t>
      </w:r>
    </w:p>
    <w:p w14:paraId="44A34C62">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 w:val="0"/>
          <w:bCs/>
          <w:color w:val="auto"/>
          <w:sz w:val="21"/>
          <w:szCs w:val="21"/>
          <w:highlight w:val="none"/>
        </w:rPr>
        <w:t>11.2投标文件技术标部分主要包括下列内容：</w:t>
      </w:r>
    </w:p>
    <w:p w14:paraId="7060248E">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 w:val="0"/>
          <w:bCs/>
          <w:color w:val="auto"/>
          <w:sz w:val="21"/>
          <w:szCs w:val="21"/>
          <w:highlight w:val="none"/>
        </w:rPr>
        <w:t xml:space="preserve">11.2.1 </w:t>
      </w:r>
      <w:r>
        <w:rPr>
          <w:rFonts w:hint="eastAsia" w:ascii="宋体" w:hAnsi="宋体" w:eastAsia="宋体" w:cs="宋体"/>
          <w:b w:val="0"/>
          <w:bCs/>
          <w:color w:val="auto"/>
          <w:sz w:val="21"/>
          <w:szCs w:val="21"/>
          <w:highlight w:val="none"/>
        </w:rPr>
        <w:t>技术投标文件</w:t>
      </w:r>
      <w:r>
        <w:rPr>
          <w:rFonts w:ascii="宋体" w:hAnsi="宋体" w:eastAsia="宋体" w:cs="宋体"/>
          <w:b w:val="0"/>
          <w:color w:val="auto"/>
          <w:sz w:val="21"/>
          <w:szCs w:val="21"/>
          <w:highlight w:val="none"/>
        </w:rPr>
        <w:t>(按招标文件的要求填写)</w:t>
      </w:r>
      <w:r>
        <w:rPr>
          <w:rFonts w:hint="eastAsia" w:ascii="宋体" w:hAnsi="宋体" w:eastAsia="宋体" w:cs="宋体"/>
          <w:b w:val="0"/>
          <w:bCs/>
          <w:color w:val="auto"/>
          <w:sz w:val="21"/>
          <w:szCs w:val="21"/>
          <w:highlight w:val="none"/>
        </w:rPr>
        <w:t>；</w:t>
      </w:r>
    </w:p>
    <w:p w14:paraId="62C7B567">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 w:val="0"/>
          <w:bCs/>
          <w:color w:val="auto"/>
          <w:sz w:val="21"/>
          <w:szCs w:val="21"/>
          <w:highlight w:val="none"/>
        </w:rPr>
        <w:t xml:space="preserve">11.2.2 </w:t>
      </w:r>
      <w:r>
        <w:rPr>
          <w:rFonts w:hint="eastAsia" w:ascii="宋体" w:hAnsi="宋体" w:eastAsia="宋体" w:cs="宋体"/>
          <w:b w:val="0"/>
          <w:bCs/>
          <w:color w:val="auto"/>
          <w:sz w:val="21"/>
          <w:szCs w:val="21"/>
          <w:highlight w:val="none"/>
        </w:rPr>
        <w:t>资格审查文件：</w:t>
      </w:r>
    </w:p>
    <w:p w14:paraId="36F2A436">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1）投标人声明；</w:t>
      </w:r>
    </w:p>
    <w:p w14:paraId="3F1A3A10">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2）法定代表人证明书、法定代表人签字或盖章的本投标文件授权委托证明书；</w:t>
      </w:r>
    </w:p>
    <w:p w14:paraId="2D54BC81">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3）企业营业执照扫描件或电子证照；</w:t>
      </w:r>
    </w:p>
    <w:p w14:paraId="4F078770">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4）企业资质证书扫描件或电子证照；</w:t>
      </w:r>
    </w:p>
    <w:p w14:paraId="35C5096C">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5）建筑施工企业安全生产许可证扫描件或电子证照；</w:t>
      </w:r>
    </w:p>
    <w:p w14:paraId="6D31CBF6">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6）项目负责人（按网上投标登记时选择拟投标的项目负责人）；</w:t>
      </w:r>
    </w:p>
    <w:p w14:paraId="3529B4EA">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7）专职安全员（按网上投标登记时选择拟投标的专职安全员）；</w:t>
      </w:r>
    </w:p>
    <w:p w14:paraId="7B4688E3">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8）拟委派技术负责人的相关证书、资料（具体要求由招标人明确）；</w:t>
      </w:r>
    </w:p>
    <w:p w14:paraId="4724FE80">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9）拟委派项目负责人的有效期内的建造师注册证书扫描件或电子证书；</w:t>
      </w:r>
    </w:p>
    <w:p w14:paraId="15D53379">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10）项目负责人在有效期内的安全生产考核合格证书（B类）或建筑施工企业项目负责人安全生产考核合格证书扫描件或电子证书；</w:t>
      </w:r>
    </w:p>
    <w:p w14:paraId="13E51AD2">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11）专职安全员须具有在有效期内的安全生产考核合格证书（C类）或建筑施工企业专职安全生产管理人员安全生产考核合格证书扫描件或电子证书；</w:t>
      </w:r>
    </w:p>
    <w:p w14:paraId="1C478B85">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12）用于资格审查的业绩（设置业绩要求时选择此项，投标人须提供类似工程业绩的项目名称及项目编号，具体格式由招标人自定）；</w:t>
      </w:r>
    </w:p>
    <w:p w14:paraId="3EDBBF47">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13）资格审查前，投标人须在广州市住房和城乡建设局建立企业信用档案，拟担任本工程项目负责人、专职安全员须是本企业信用档案中的在册人员；</w:t>
      </w:r>
    </w:p>
    <w:p w14:paraId="24A4C0ED">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87A6B92">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注：</w:t>
      </w:r>
      <w:r>
        <w:rPr>
          <w:rFonts w:ascii="宋体" w:hAnsi="宋体" w:eastAsia="宋体" w:cs="宋体"/>
          <w:b w:val="0"/>
          <w:bCs/>
          <w:color w:val="auto"/>
          <w:sz w:val="21"/>
          <w:szCs w:val="21"/>
          <w:highlight w:val="none"/>
        </w:rPr>
        <w:t>1.相关电子证书按规定需打印后手写本人签名的，应按照规定手写本人签名后再扫描提交。</w:t>
      </w:r>
    </w:p>
    <w:p w14:paraId="160B0E2F">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 w:val="0"/>
          <w:bCs/>
          <w:color w:val="auto"/>
          <w:sz w:val="21"/>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46BCD7A">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11.2.3项目管理机构配备。</w:t>
      </w:r>
    </w:p>
    <w:p w14:paraId="25383A09">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1）投标人应列出该项目工程的施工组织机构构成和画出机构框架图及其负责人；</w:t>
      </w:r>
    </w:p>
    <w:p w14:paraId="4959B54A">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2）投标人应详细列出该施工组织机构中主要成员的名单、简历资料、职务职称和在本项目中拟担任的职务等资料，并附上有关证明材料扫描件；</w:t>
      </w:r>
    </w:p>
    <w:p w14:paraId="09F4E1D8">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3）其他辅助说明资料。</w:t>
      </w:r>
    </w:p>
    <w:p w14:paraId="55832FD3">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11.2.4投标人在广州市可使用适合本工程的机械设备（附：机械设备为自有或租赁的说明；及承诺机械设备如属于租赁的，其租赁是不属于重复租赁）。</w:t>
      </w:r>
    </w:p>
    <w:p w14:paraId="7BA4586E">
      <w:pPr>
        <w:tabs>
          <w:tab w:val="left" w:pos="1125"/>
        </w:tabs>
        <w:adjustRightInd w:val="0"/>
        <w:snapToGrid w:val="0"/>
        <w:spacing w:line="360" w:lineRule="auto"/>
        <w:ind w:firstLine="420" w:firstLineChars="200"/>
        <w:rPr>
          <w:rFonts w:ascii="宋体" w:hAnsi="宋体" w:eastAsia="宋体" w:cs="宋体"/>
          <w:bCs/>
          <w:color w:val="auto"/>
          <w:kern w:val="0"/>
          <w:szCs w:val="21"/>
          <w:highlight w:val="none"/>
        </w:rPr>
      </w:pPr>
      <w:r>
        <w:rPr>
          <w:rFonts w:ascii="宋体" w:hAnsi="宋体" w:eastAsia="宋体" w:cs="宋体"/>
          <w:b w:val="0"/>
          <w:bCs/>
          <w:color w:val="auto"/>
          <w:kern w:val="0"/>
          <w:sz w:val="21"/>
          <w:szCs w:val="21"/>
          <w:highlight w:val="none"/>
        </w:rPr>
        <w:t>11.2.5施工组织设计或施工方案。</w:t>
      </w:r>
    </w:p>
    <w:p w14:paraId="2882BAF8">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1）投标人在编制施工组织设计或施工方案时应按照招标人提出的施工现场建筑垃圾源头减量的具体要求以及建筑垃圾综合利用产品的使用要求提供相应措施。</w:t>
      </w:r>
    </w:p>
    <w:p w14:paraId="68532376">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2350955">
      <w:pPr>
        <w:tabs>
          <w:tab w:val="left" w:pos="1125"/>
        </w:tabs>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11.2.6按照</w:t>
      </w:r>
      <w:r>
        <w:rPr>
          <w:rFonts w:hint="eastAsia" w:ascii="宋体" w:hAnsi="宋体" w:eastAsia="宋体" w:cs="宋体"/>
          <w:b w:val="0"/>
          <w:bCs/>
          <w:color w:val="auto"/>
          <w:sz w:val="21"/>
          <w:szCs w:val="21"/>
          <w:highlight w:val="none"/>
        </w:rPr>
        <w:t>招标文件要求</w:t>
      </w:r>
      <w:r>
        <w:rPr>
          <w:rFonts w:hint="eastAsia" w:ascii="宋体" w:hAnsi="宋体" w:eastAsia="宋体" w:cs="宋体"/>
          <w:b w:val="0"/>
          <w:color w:val="auto"/>
          <w:sz w:val="21"/>
          <w:szCs w:val="21"/>
          <w:highlight w:val="none"/>
        </w:rPr>
        <w:t>填写的《参与编制技术标投标文件人员名单》。</w:t>
      </w:r>
    </w:p>
    <w:p w14:paraId="7D100DB3">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现文：</w:t>
      </w:r>
    </w:p>
    <w:p w14:paraId="53C01016">
      <w:pPr>
        <w:adjustRightInd w:val="0"/>
        <w:snapToGrid w:val="0"/>
        <w:spacing w:line="360" w:lineRule="auto"/>
        <w:ind w:firstLine="420" w:firstLineChars="200"/>
        <w:rPr>
          <w:rFonts w:ascii="宋体" w:hAnsi="宋体" w:eastAsia="宋体" w:cs="宋体"/>
          <w:b/>
          <w:color w:val="auto"/>
          <w:szCs w:val="21"/>
          <w:highlight w:val="none"/>
          <w:u w:val="single"/>
        </w:rPr>
      </w:pPr>
      <w:r>
        <w:rPr>
          <w:rFonts w:ascii="宋体" w:hAnsi="宋体" w:eastAsia="宋体" w:cs="宋体"/>
          <w:b w:val="0"/>
          <w:color w:val="auto"/>
          <w:sz w:val="21"/>
          <w:szCs w:val="21"/>
          <w:highlight w:val="none"/>
        </w:rPr>
        <w:t>11.2</w:t>
      </w:r>
      <w:r>
        <w:rPr>
          <w:rFonts w:hint="eastAsia" w:ascii="宋体" w:hAnsi="宋体" w:eastAsia="宋体" w:cs="宋体"/>
          <w:b/>
          <w:color w:val="auto"/>
          <w:sz w:val="21"/>
          <w:szCs w:val="21"/>
          <w:highlight w:val="none"/>
        </w:rPr>
        <w:t>投标文件技术标部分</w:t>
      </w:r>
      <w:r>
        <w:rPr>
          <w:rFonts w:hint="eastAsia" w:ascii="宋体" w:hAnsi="宋体" w:eastAsia="宋体" w:cs="宋体"/>
          <w:b/>
          <w:color w:val="auto"/>
          <w:sz w:val="21"/>
          <w:szCs w:val="21"/>
          <w:highlight w:val="none"/>
          <w:u w:val="single"/>
        </w:rPr>
        <w:t>（含资格审查文件）</w:t>
      </w:r>
      <w:r>
        <w:rPr>
          <w:rFonts w:hint="eastAsia" w:ascii="宋体" w:hAnsi="宋体" w:eastAsia="宋体" w:cs="宋体"/>
          <w:b w:val="0"/>
          <w:color w:val="auto"/>
          <w:sz w:val="21"/>
          <w:szCs w:val="21"/>
          <w:highlight w:val="none"/>
        </w:rPr>
        <w:t>主要包括下列内容</w:t>
      </w:r>
      <w:r>
        <w:rPr>
          <w:rFonts w:hint="eastAsia" w:ascii="宋体" w:hAnsi="宋体" w:eastAsia="宋体" w:cs="宋体"/>
          <w:b w:val="0"/>
          <w:color w:val="auto"/>
          <w:sz w:val="21"/>
          <w:szCs w:val="21"/>
          <w:highlight w:val="none"/>
          <w:u w:val="single"/>
        </w:rPr>
        <w:t>（除注明原件外，均为清晰扫描件（网页截图）即可）</w:t>
      </w:r>
      <w:r>
        <w:rPr>
          <w:rFonts w:hint="eastAsia" w:ascii="宋体" w:hAnsi="宋体" w:eastAsia="宋体" w:cs="宋体"/>
          <w:b w:val="0"/>
          <w:color w:val="auto"/>
          <w:sz w:val="21"/>
          <w:szCs w:val="21"/>
          <w:highlight w:val="none"/>
        </w:rPr>
        <w:t>：</w:t>
      </w:r>
    </w:p>
    <w:p w14:paraId="344A873F">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11.2.1广州建设工程施工招标投标书（技术标）</w:t>
      </w:r>
      <w:r>
        <w:rPr>
          <w:rFonts w:hint="eastAsia" w:ascii="宋体" w:hAnsi="宋体" w:eastAsia="宋体" w:cs="宋体"/>
          <w:b w:val="0"/>
          <w:bCs/>
          <w:color w:val="auto"/>
          <w:sz w:val="21"/>
          <w:szCs w:val="21"/>
          <w:highlight w:val="none"/>
          <w:u w:val="single"/>
        </w:rPr>
        <w:t>（格式见招标文件第四章，具体格式以《广州建设工程施工招标投标书（技术标）》为准；电子投标管理软件编制的“广州建设工程施工招标投标书”不作为否决投标的条件</w:t>
      </w:r>
      <w:r>
        <w:rPr>
          <w:rFonts w:ascii="宋体" w:hAnsi="宋体" w:eastAsia="宋体" w:cs="宋体"/>
          <w:b w:val="0"/>
          <w:bCs/>
          <w:color w:val="auto"/>
          <w:sz w:val="21"/>
          <w:szCs w:val="21"/>
          <w:highlight w:val="none"/>
          <w:u w:val="single"/>
        </w:rPr>
        <w:t>)</w:t>
      </w:r>
      <w:r>
        <w:rPr>
          <w:rFonts w:hint="eastAsia" w:ascii="宋体" w:hAnsi="宋体" w:eastAsia="宋体" w:cs="宋体"/>
          <w:b w:val="0"/>
          <w:color w:val="auto"/>
          <w:sz w:val="21"/>
          <w:szCs w:val="21"/>
          <w:highlight w:val="none"/>
        </w:rPr>
        <w:t>。</w:t>
      </w:r>
    </w:p>
    <w:p w14:paraId="21972C74">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bCs/>
          <w:color w:val="auto"/>
          <w:sz w:val="21"/>
          <w:szCs w:val="21"/>
          <w:highlight w:val="none"/>
        </w:rPr>
        <w:t xml:space="preserve">11.2.2 </w:t>
      </w:r>
      <w:r>
        <w:rPr>
          <w:rFonts w:hint="eastAsia" w:ascii="宋体" w:hAnsi="宋体" w:eastAsia="宋体" w:cs="宋体"/>
          <w:b w:val="0"/>
          <w:bCs/>
          <w:color w:val="auto"/>
          <w:sz w:val="21"/>
          <w:szCs w:val="21"/>
          <w:highlight w:val="none"/>
        </w:rPr>
        <w:t>资格审查文件：</w:t>
      </w:r>
    </w:p>
    <w:p w14:paraId="1E75B689">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1）投标人声明</w:t>
      </w:r>
      <w:r>
        <w:rPr>
          <w:rFonts w:hint="eastAsia" w:ascii="宋体" w:hAnsi="宋体" w:eastAsia="宋体" w:cs="宋体"/>
          <w:b w:val="0"/>
          <w:bCs/>
          <w:color w:val="auto"/>
          <w:sz w:val="21"/>
          <w:szCs w:val="21"/>
          <w:highlight w:val="none"/>
          <w:u w:val="single"/>
        </w:rPr>
        <w:t>扫描件（须按招标公告附件内容及格式要求编制）；</w:t>
      </w:r>
    </w:p>
    <w:p w14:paraId="57CD1AEC">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2）法定代表人证明书、法定代表人签字或盖章的本投标文件授权委托证明书</w:t>
      </w:r>
      <w:r>
        <w:rPr>
          <w:rFonts w:hint="eastAsia" w:ascii="宋体" w:hAnsi="宋体" w:eastAsia="宋体" w:cs="宋体"/>
          <w:b w:val="0"/>
          <w:bCs/>
          <w:color w:val="auto"/>
          <w:sz w:val="21"/>
          <w:szCs w:val="21"/>
          <w:highlight w:val="none"/>
          <w:u w:val="single"/>
        </w:rPr>
        <w:t>（若为联合体投标，由联合体主办方提供）扫描件；委托投标的还应提供授权委托人的离投标截止时间最近的至少</w:t>
      </w:r>
      <w:r>
        <w:rPr>
          <w:rFonts w:ascii="宋体" w:hAnsi="宋体" w:eastAsia="宋体" w:cs="宋体"/>
          <w:b w:val="0"/>
          <w:bCs/>
          <w:color w:val="auto"/>
          <w:sz w:val="21"/>
          <w:szCs w:val="21"/>
          <w:highlight w:val="none"/>
          <w:u w:val="single"/>
        </w:rPr>
        <w:t>1个月（</w:t>
      </w:r>
      <w:r>
        <w:rPr>
          <w:rFonts w:hint="eastAsia" w:ascii="宋体" w:hAnsi="宋体" w:eastAsia="宋体" w:cs="宋体"/>
          <w:b w:val="0"/>
          <w:bCs/>
          <w:color w:val="auto"/>
          <w:sz w:val="21"/>
          <w:szCs w:val="21"/>
          <w:highlight w:val="none"/>
          <w:u w:val="single"/>
          <w:lang w:eastAsia="zh-CN"/>
        </w:rPr>
        <w:t>2025年8月或7月</w:t>
      </w:r>
      <w:r>
        <w:rPr>
          <w:rFonts w:hint="eastAsia" w:ascii="宋体" w:hAnsi="宋体" w:eastAsia="宋体" w:cs="宋体"/>
          <w:b w:val="0"/>
          <w:bCs/>
          <w:color w:val="auto"/>
          <w:sz w:val="21"/>
          <w:szCs w:val="21"/>
          <w:highlight w:val="none"/>
          <w:u w:val="single"/>
        </w:rPr>
        <w:t>）在本单位缴纳的社保证明文件；</w:t>
      </w:r>
    </w:p>
    <w:p w14:paraId="6A50D348">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3）企业营业执照</w:t>
      </w:r>
      <w:r>
        <w:rPr>
          <w:rFonts w:hint="eastAsia" w:ascii="宋体" w:hAnsi="宋体" w:eastAsia="宋体" w:cs="宋体"/>
          <w:b w:val="0"/>
          <w:bCs/>
          <w:color w:val="auto"/>
          <w:sz w:val="21"/>
          <w:szCs w:val="21"/>
          <w:highlight w:val="none"/>
          <w:u w:val="single"/>
        </w:rPr>
        <w:t>（若为联合体投标，联合体各成员均需提供）</w:t>
      </w:r>
      <w:r>
        <w:rPr>
          <w:rFonts w:hint="eastAsia" w:ascii="宋体" w:hAnsi="宋体" w:eastAsia="宋体" w:cs="宋体"/>
          <w:b w:val="0"/>
          <w:bCs/>
          <w:color w:val="auto"/>
          <w:sz w:val="21"/>
          <w:szCs w:val="21"/>
          <w:highlight w:val="none"/>
        </w:rPr>
        <w:t>扫描件或电子证照；</w:t>
      </w:r>
    </w:p>
    <w:p w14:paraId="2D334B52">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4）企业资质证书</w:t>
      </w:r>
      <w:r>
        <w:rPr>
          <w:rFonts w:hint="eastAsia" w:ascii="宋体" w:hAnsi="宋体" w:eastAsia="宋体" w:cs="宋体"/>
          <w:b w:val="0"/>
          <w:bCs/>
          <w:color w:val="auto"/>
          <w:sz w:val="21"/>
          <w:szCs w:val="21"/>
          <w:highlight w:val="none"/>
          <w:u w:val="single"/>
        </w:rPr>
        <w:t>（若为联合体投标，联合体各成员均需提供）</w:t>
      </w:r>
      <w:r>
        <w:rPr>
          <w:rFonts w:hint="eastAsia" w:ascii="宋体" w:hAnsi="宋体" w:eastAsia="宋体" w:cs="宋体"/>
          <w:b w:val="0"/>
          <w:bCs/>
          <w:color w:val="auto"/>
          <w:sz w:val="21"/>
          <w:szCs w:val="21"/>
          <w:highlight w:val="none"/>
        </w:rPr>
        <w:t>扫描件或电子证照，</w:t>
      </w:r>
      <w:r>
        <w:rPr>
          <w:rFonts w:hint="eastAsia" w:ascii="宋体" w:hAnsi="宋体" w:eastAsia="宋体" w:cs="宋体"/>
          <w:b w:val="0"/>
          <w:bCs/>
          <w:color w:val="auto"/>
          <w:sz w:val="21"/>
          <w:szCs w:val="21"/>
          <w:highlight w:val="none"/>
          <w:u w:val="single"/>
        </w:rPr>
        <w:t>或符合招标公告规定的相关证明材料（如有）；</w:t>
      </w:r>
    </w:p>
    <w:p w14:paraId="52297675">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5）建筑施工企业安全生产许可证</w:t>
      </w:r>
      <w:r>
        <w:rPr>
          <w:rFonts w:hint="eastAsia" w:ascii="宋体" w:hAnsi="宋体" w:eastAsia="宋体" w:cs="宋体"/>
          <w:b w:val="0"/>
          <w:bCs/>
          <w:color w:val="auto"/>
          <w:sz w:val="21"/>
          <w:szCs w:val="21"/>
          <w:highlight w:val="none"/>
          <w:u w:val="single"/>
        </w:rPr>
        <w:t>（若为联合体投标，联合体各成员均需提供）</w:t>
      </w:r>
      <w:r>
        <w:rPr>
          <w:rFonts w:hint="eastAsia" w:ascii="宋体" w:hAnsi="宋体" w:eastAsia="宋体" w:cs="宋体"/>
          <w:b w:val="0"/>
          <w:bCs/>
          <w:color w:val="auto"/>
          <w:sz w:val="21"/>
          <w:szCs w:val="21"/>
          <w:highlight w:val="none"/>
        </w:rPr>
        <w:t>扫描件或电子证照；</w:t>
      </w:r>
    </w:p>
    <w:p w14:paraId="036B0E11">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6）项目负责人（按网上投标登记时选择拟投标的项目负责人）；</w:t>
      </w:r>
    </w:p>
    <w:p w14:paraId="6C9ABA80">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7）专职安全员（按网上投标登记时选择拟投标的专职安全员）；</w:t>
      </w:r>
    </w:p>
    <w:p w14:paraId="41B80399">
      <w:pPr>
        <w:adjustRightInd w:val="0"/>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8）拟委派技术负责人的</w:t>
      </w:r>
      <w:r>
        <w:rPr>
          <w:rFonts w:hint="eastAsia" w:ascii="宋体" w:hAnsi="宋体" w:eastAsia="宋体" w:cs="宋体"/>
          <w:b w:val="0"/>
          <w:bCs/>
          <w:color w:val="auto"/>
          <w:sz w:val="21"/>
          <w:szCs w:val="21"/>
          <w:highlight w:val="none"/>
          <w:u w:val="single"/>
        </w:rPr>
        <w:t>职称证书扫描件或电子证照；</w:t>
      </w:r>
    </w:p>
    <w:p w14:paraId="26A57D03">
      <w:pPr>
        <w:adjustRightInd w:val="0"/>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9）拟委派项目负责人的有效期内的建造师证书扫描件或电子证书；</w:t>
      </w:r>
    </w:p>
    <w:p w14:paraId="0BEDC685">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10）项目负责人在有效期内的安全生产考核合格证（B类）或建筑施工企业项目负责人安全生产考核合格证书扫描件或电子证书；</w:t>
      </w:r>
    </w:p>
    <w:p w14:paraId="1B5E131F">
      <w:pPr>
        <w:adjustRightInd w:val="0"/>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 w:val="0"/>
          <w:bCs/>
          <w:color w:val="auto"/>
          <w:sz w:val="21"/>
          <w:szCs w:val="21"/>
          <w:highlight w:val="none"/>
        </w:rPr>
        <w:t>（</w:t>
      </w:r>
      <w:r>
        <w:rPr>
          <w:rFonts w:ascii="宋体" w:hAnsi="宋体" w:eastAsia="宋体" w:cs="宋体"/>
          <w:b w:val="0"/>
          <w:bCs/>
          <w:color w:val="auto"/>
          <w:sz w:val="21"/>
          <w:szCs w:val="21"/>
          <w:highlight w:val="none"/>
        </w:rPr>
        <w:t>11）专职安全员须具有在有效期内的安全考核合格证书（C类）或建筑施工企业专职安全生产管理人员安全生产考核合格证书</w:t>
      </w:r>
      <w:r>
        <w:rPr>
          <w:rFonts w:hint="eastAsia" w:ascii="宋体" w:hAnsi="宋体" w:eastAsia="宋体" w:cs="宋体"/>
          <w:b w:val="0"/>
          <w:bCs/>
          <w:color w:val="auto"/>
          <w:sz w:val="21"/>
          <w:szCs w:val="21"/>
          <w:highlight w:val="none"/>
          <w:u w:val="single"/>
        </w:rPr>
        <w:t>（</w:t>
      </w:r>
      <w:r>
        <w:rPr>
          <w:rFonts w:ascii="宋体" w:hAnsi="宋体" w:eastAsia="宋体" w:cs="宋体"/>
          <w:b w:val="0"/>
          <w:bCs/>
          <w:color w:val="auto"/>
          <w:sz w:val="21"/>
          <w:szCs w:val="21"/>
          <w:highlight w:val="none"/>
          <w:u w:val="single"/>
        </w:rPr>
        <w:t>C3）</w:t>
      </w:r>
      <w:r>
        <w:rPr>
          <w:rFonts w:hint="eastAsia" w:ascii="宋体" w:hAnsi="宋体" w:eastAsia="宋体" w:cs="宋体"/>
          <w:b w:val="0"/>
          <w:bCs/>
          <w:color w:val="auto"/>
          <w:sz w:val="21"/>
          <w:szCs w:val="21"/>
          <w:highlight w:val="none"/>
        </w:rPr>
        <w:t>扫描件或电子证书；</w:t>
      </w:r>
    </w:p>
    <w:p w14:paraId="06489951">
      <w:pPr>
        <w:wordWrap w:val="0"/>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 w:val="0"/>
          <w:bCs/>
          <w:color w:val="auto"/>
          <w:sz w:val="21"/>
          <w:szCs w:val="21"/>
          <w:highlight w:val="none"/>
          <w:u w:val="single"/>
        </w:rPr>
        <w:t>（</w:t>
      </w:r>
      <w:r>
        <w:rPr>
          <w:rFonts w:ascii="宋体" w:hAnsi="宋体" w:eastAsia="宋体" w:cs="宋体"/>
          <w:b w:val="0"/>
          <w:bCs/>
          <w:color w:val="auto"/>
          <w:sz w:val="21"/>
          <w:szCs w:val="21"/>
          <w:highlight w:val="none"/>
          <w:u w:val="single"/>
        </w:rPr>
        <w:t>12）资格审查前，投标人（若为联合体投标，联合体各成员）须在广州市住房和城乡建设局建立企业信用档案，拟担任本工程项目负责人、专职安全员须是联合体主办方企业信用档案中的在册人员</w:t>
      </w:r>
      <w:r>
        <w:rPr>
          <w:rFonts w:hint="eastAsia" w:ascii="宋体" w:hAnsi="宋体" w:eastAsia="宋体" w:cs="宋体"/>
          <w:b w:val="0"/>
          <w:bCs/>
          <w:color w:val="auto"/>
          <w:szCs w:val="21"/>
          <w:highlight w:val="none"/>
          <w:u w:val="single"/>
        </w:rPr>
        <w:t>（投标人无需提供证明材料）。</w:t>
      </w:r>
    </w:p>
    <w:p w14:paraId="75C88931">
      <w:pPr>
        <w:adjustRightInd w:val="0"/>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 w:val="0"/>
          <w:bCs/>
          <w:color w:val="auto"/>
          <w:sz w:val="21"/>
          <w:szCs w:val="21"/>
          <w:highlight w:val="none"/>
          <w:u w:val="single"/>
        </w:rPr>
        <w:t>（</w:t>
      </w:r>
      <w:r>
        <w:rPr>
          <w:rFonts w:ascii="宋体" w:hAnsi="宋体" w:eastAsia="宋体" w:cs="宋体"/>
          <w:b w:val="0"/>
          <w:bCs/>
          <w:color w:val="auto"/>
          <w:sz w:val="21"/>
          <w:szCs w:val="21"/>
          <w:highlight w:val="none"/>
          <w:u w:val="single"/>
        </w:rPr>
        <w:t>13</w:t>
      </w:r>
      <w:r>
        <w:rPr>
          <w:rFonts w:hint="eastAsia" w:ascii="宋体" w:hAnsi="宋体" w:eastAsia="宋体" w:cs="宋体"/>
          <w:b w:val="0"/>
          <w:bCs/>
          <w:color w:val="auto"/>
          <w:sz w:val="21"/>
          <w:szCs w:val="21"/>
          <w:highlight w:val="none"/>
          <w:u w:val="single"/>
        </w:rPr>
        <w:t>）按招标公告附件二要求编制的联合体工作协议（联合体投标时须提供）。</w:t>
      </w:r>
    </w:p>
    <w:p w14:paraId="1E3EFF9B">
      <w:pPr>
        <w:adjustRightInd w:val="0"/>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 w:val="0"/>
          <w:bCs/>
          <w:color w:val="auto"/>
          <w:sz w:val="21"/>
          <w:szCs w:val="21"/>
          <w:highlight w:val="none"/>
          <w:u w:val="single"/>
        </w:rPr>
        <w:t>（</w:t>
      </w:r>
      <w:r>
        <w:rPr>
          <w:rFonts w:ascii="宋体" w:hAnsi="宋体" w:eastAsia="宋体" w:cs="宋体"/>
          <w:b w:val="0"/>
          <w:bCs/>
          <w:color w:val="auto"/>
          <w:sz w:val="21"/>
          <w:szCs w:val="21"/>
          <w:highlight w:val="none"/>
          <w:u w:val="single"/>
        </w:rPr>
        <w:t>14</w:t>
      </w:r>
      <w:r>
        <w:rPr>
          <w:rFonts w:hint="eastAsia" w:ascii="宋体" w:hAnsi="宋体" w:eastAsia="宋体" w:cs="宋体"/>
          <w:b w:val="0"/>
          <w:bCs/>
          <w:color w:val="auto"/>
          <w:sz w:val="21"/>
          <w:szCs w:val="21"/>
          <w:highlight w:val="none"/>
          <w:u w:val="single"/>
        </w:rPr>
        <w:t>）投标人（若为联合体投标，指联合体各方）未出现以下情形：与其他投标人的单位负责人为同一人或者存在控股、管理关系的</w:t>
      </w:r>
      <w:r>
        <w:rPr>
          <w:rFonts w:hint="eastAsia" w:ascii="宋体" w:hAnsi="宋体" w:eastAsia="宋体" w:cs="宋体"/>
          <w:b w:val="0"/>
          <w:bCs/>
          <w:color w:val="auto"/>
          <w:sz w:val="21"/>
          <w:szCs w:val="21"/>
          <w:highlight w:val="none"/>
          <w:u w:val="single"/>
          <w:lang w:eastAsia="zh-CN"/>
        </w:rPr>
        <w:t>【</w:t>
      </w:r>
      <w:r>
        <w:rPr>
          <w:rFonts w:hint="eastAsia" w:ascii="宋体" w:hAnsi="宋体" w:eastAsia="宋体" w:cs="宋体"/>
          <w:b w:val="0"/>
          <w:bCs/>
          <w:color w:val="auto"/>
          <w:sz w:val="21"/>
          <w:szCs w:val="21"/>
          <w:highlight w:val="none"/>
          <w:u w:val="single"/>
        </w:rPr>
        <w:t>《投标人声明（适用于独立投标或联合体主办方）》第八条内容和《投标人声明（适用于联合体成员方）》第七条内容（若为联合体投标，成员方需提供；若为独立投标人，无需提供）进行评审</w:t>
      </w:r>
      <w:r>
        <w:rPr>
          <w:rFonts w:hint="eastAsia" w:ascii="宋体" w:hAnsi="宋体" w:eastAsia="宋体" w:cs="宋体"/>
          <w:b w:val="0"/>
          <w:bCs/>
          <w:color w:val="auto"/>
          <w:sz w:val="21"/>
          <w:szCs w:val="21"/>
          <w:highlight w:val="none"/>
          <w:u w:val="single"/>
          <w:lang w:eastAsia="zh-CN"/>
        </w:rPr>
        <w:t>】</w:t>
      </w:r>
      <w:r>
        <w:rPr>
          <w:rFonts w:ascii="宋体" w:hAnsi="宋体" w:eastAsia="宋体" w:cs="宋体"/>
          <w:b w:val="0"/>
          <w:bCs/>
          <w:color w:val="auto"/>
          <w:sz w:val="21"/>
          <w:szCs w:val="21"/>
          <w:highlight w:val="none"/>
          <w:u w:val="single"/>
        </w:rPr>
        <w:t>。如不同投标申请人出现单位负责人为同一人或者存在控股、管理关系的情形，则均按不符合投标人合格条件处理。</w:t>
      </w:r>
    </w:p>
    <w:p w14:paraId="1419EFFF">
      <w:pPr>
        <w:adjustRightInd w:val="0"/>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 w:val="0"/>
          <w:bCs/>
          <w:color w:val="auto"/>
          <w:sz w:val="21"/>
          <w:szCs w:val="21"/>
          <w:highlight w:val="none"/>
          <w:u w:val="single"/>
        </w:rPr>
        <w:t>（</w:t>
      </w:r>
      <w:r>
        <w:rPr>
          <w:rFonts w:ascii="宋体" w:hAnsi="宋体" w:eastAsia="宋体" w:cs="宋体"/>
          <w:b w:val="0"/>
          <w:bCs/>
          <w:color w:val="auto"/>
          <w:sz w:val="21"/>
          <w:szCs w:val="21"/>
          <w:highlight w:val="none"/>
          <w:u w:val="single"/>
        </w:rPr>
        <w:t>15</w:t>
      </w:r>
      <w:r>
        <w:rPr>
          <w:rFonts w:hint="eastAsia" w:ascii="宋体" w:hAnsi="宋体" w:eastAsia="宋体" w:cs="宋体"/>
          <w:b w:val="0"/>
          <w:bCs/>
          <w:color w:val="auto"/>
          <w:sz w:val="21"/>
          <w:szCs w:val="21"/>
          <w:highlight w:val="none"/>
          <w:u w:val="single"/>
        </w:rPr>
        <w:t>）投标人（若为联合体投标，联合体各成员）未被列入拖欠农民工工资失信联合惩戒对象名单；</w:t>
      </w:r>
    </w:p>
    <w:p w14:paraId="1B1983EA">
      <w:pPr>
        <w:adjustRightInd w:val="0"/>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 w:val="0"/>
          <w:bCs/>
          <w:color w:val="auto"/>
          <w:sz w:val="21"/>
          <w:szCs w:val="21"/>
          <w:highlight w:val="none"/>
          <w:u w:val="single"/>
        </w:rPr>
        <w:t>（</w:t>
      </w:r>
      <w:r>
        <w:rPr>
          <w:rFonts w:ascii="宋体" w:hAnsi="宋体" w:eastAsia="宋体" w:cs="宋体"/>
          <w:b w:val="0"/>
          <w:bCs/>
          <w:color w:val="auto"/>
          <w:sz w:val="21"/>
          <w:szCs w:val="21"/>
          <w:highlight w:val="none"/>
          <w:u w:val="single"/>
        </w:rPr>
        <w:t>16</w:t>
      </w:r>
      <w:r>
        <w:rPr>
          <w:rFonts w:hint="eastAsia" w:ascii="宋体" w:hAnsi="宋体" w:eastAsia="宋体" w:cs="宋体"/>
          <w:b w:val="0"/>
          <w:bCs/>
          <w:color w:val="auto"/>
          <w:sz w:val="21"/>
          <w:szCs w:val="21"/>
          <w:highlight w:val="none"/>
          <w:u w:val="single"/>
        </w:rPr>
        <w:t>）投标人（若为联合体投标，联合体各成员）未在以往工程中因不充分履约行为被本项目招标人书面拒绝投标的；</w:t>
      </w:r>
    </w:p>
    <w:p w14:paraId="54BB761C">
      <w:pPr>
        <w:adjustRightInd w:val="0"/>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 w:val="0"/>
          <w:bCs/>
          <w:color w:val="auto"/>
          <w:sz w:val="21"/>
          <w:szCs w:val="21"/>
          <w:highlight w:val="none"/>
          <w:u w:val="single"/>
        </w:rPr>
        <w:t>（</w:t>
      </w:r>
      <w:r>
        <w:rPr>
          <w:rFonts w:ascii="宋体" w:hAnsi="宋体" w:eastAsia="宋体" w:cs="宋体"/>
          <w:b w:val="0"/>
          <w:bCs/>
          <w:color w:val="auto"/>
          <w:sz w:val="21"/>
          <w:szCs w:val="21"/>
          <w:highlight w:val="none"/>
          <w:u w:val="single"/>
        </w:rPr>
        <w:t>17</w:t>
      </w:r>
      <w:r>
        <w:rPr>
          <w:rFonts w:hint="eastAsia" w:ascii="宋体" w:hAnsi="宋体" w:eastAsia="宋体" w:cs="宋体"/>
          <w:b w:val="0"/>
          <w:bCs/>
          <w:color w:val="auto"/>
          <w:sz w:val="21"/>
          <w:szCs w:val="21"/>
          <w:highlight w:val="none"/>
          <w:u w:val="single"/>
        </w:rPr>
        <w:t>）投标人认为应提供的其他资料（如有）。</w:t>
      </w:r>
    </w:p>
    <w:p w14:paraId="0F5F073D">
      <w:pP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注：</w:t>
      </w:r>
      <w:r>
        <w:rPr>
          <w:rFonts w:ascii="宋体" w:hAnsi="宋体" w:eastAsia="宋体" w:cs="宋体"/>
          <w:b w:val="0"/>
          <w:color w:val="auto"/>
          <w:sz w:val="21"/>
          <w:szCs w:val="21"/>
          <w:highlight w:val="none"/>
        </w:rPr>
        <w:t>1.</w:t>
      </w:r>
      <w:r>
        <w:rPr>
          <w:rFonts w:hint="eastAsia" w:ascii="宋体" w:hAnsi="宋体" w:eastAsia="宋体" w:cs="宋体"/>
          <w:b w:val="0"/>
          <w:color w:val="auto"/>
          <w:sz w:val="21"/>
          <w:szCs w:val="21"/>
          <w:highlight w:val="none"/>
        </w:rPr>
        <w:t>相关电子证书按规定需打印后手写本人签名的，应按照规定手写本人签名后再扫描提交。</w:t>
      </w:r>
    </w:p>
    <w:p w14:paraId="2F5DE0D2">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联合体主办方企业信用档案中的在册人员”的要求，投标人无需提供证明材料。</w:t>
      </w:r>
    </w:p>
    <w:p w14:paraId="3B467545">
      <w:pPr>
        <w:adjustRightInd w:val="0"/>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 w:val="0"/>
          <w:color w:val="auto"/>
          <w:sz w:val="21"/>
          <w:szCs w:val="21"/>
          <w:highlight w:val="none"/>
        </w:rPr>
        <w:t>3.</w:t>
      </w:r>
      <w:r>
        <w:rPr>
          <w:rFonts w:hint="eastAsia" w:ascii="宋体" w:hAnsi="宋体" w:eastAsia="宋体" w:cs="宋体"/>
          <w:b w:val="0"/>
          <w:color w:val="auto"/>
          <w:sz w:val="21"/>
          <w:szCs w:val="21"/>
          <w:highlight w:val="none"/>
          <w:u w:val="single"/>
        </w:rPr>
        <w:t>上述第</w:t>
      </w:r>
      <w:r>
        <w:rPr>
          <w:rFonts w:ascii="宋体" w:hAnsi="宋体" w:eastAsia="宋体" w:cs="宋体"/>
          <w:b w:val="0"/>
          <w:bCs/>
          <w:color w:val="auto"/>
          <w:sz w:val="21"/>
          <w:szCs w:val="21"/>
          <w:highlight w:val="none"/>
          <w:u w:val="single"/>
        </w:rPr>
        <w:t>11.2.2（1）—（14</w:t>
      </w:r>
      <w:r>
        <w:rPr>
          <w:rFonts w:hint="eastAsia" w:ascii="宋体" w:hAnsi="宋体" w:eastAsia="宋体" w:cs="宋体"/>
          <w:b w:val="0"/>
          <w:bCs/>
          <w:color w:val="auto"/>
          <w:sz w:val="21"/>
          <w:szCs w:val="21"/>
          <w:highlight w:val="none"/>
          <w:u w:val="single"/>
        </w:rPr>
        <w:t>）条没有要求提交的资料，不作为资格审查不合格的依据。</w:t>
      </w:r>
    </w:p>
    <w:p w14:paraId="0E2C2541">
      <w:pPr>
        <w:adjustRightInd w:val="0"/>
        <w:snapToGrid w:val="0"/>
        <w:spacing w:line="360" w:lineRule="auto"/>
        <w:ind w:firstLine="420" w:firstLineChars="200"/>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4.</w:t>
      </w:r>
      <w:r>
        <w:rPr>
          <w:rFonts w:hint="eastAsia" w:ascii="宋体" w:hAnsi="宋体" w:eastAsia="宋体" w:cs="宋体"/>
          <w:b w:val="0"/>
          <w:color w:val="auto"/>
          <w:sz w:val="21"/>
          <w:szCs w:val="21"/>
          <w:highlight w:val="none"/>
          <w:u w:val="single"/>
        </w:rPr>
        <w:t>上述第</w:t>
      </w:r>
      <w:r>
        <w:rPr>
          <w:rFonts w:ascii="宋体" w:hAnsi="宋体" w:eastAsia="宋体" w:cs="宋体"/>
          <w:b w:val="0"/>
          <w:bCs/>
          <w:color w:val="auto"/>
          <w:sz w:val="21"/>
          <w:szCs w:val="21"/>
          <w:highlight w:val="none"/>
          <w:u w:val="single"/>
        </w:rPr>
        <w:t>11.2.2</w:t>
      </w:r>
      <w:r>
        <w:rPr>
          <w:rFonts w:hint="eastAsia" w:ascii="宋体" w:hAnsi="宋体" w:eastAsia="宋体" w:cs="宋体"/>
          <w:b w:val="0"/>
          <w:color w:val="auto"/>
          <w:sz w:val="21"/>
          <w:szCs w:val="21"/>
          <w:highlight w:val="none"/>
          <w:u w:val="single"/>
        </w:rPr>
        <w:t>（</w:t>
      </w:r>
      <w:r>
        <w:rPr>
          <w:rFonts w:ascii="宋体" w:hAnsi="宋体" w:eastAsia="宋体" w:cs="宋体"/>
          <w:b w:val="0"/>
          <w:color w:val="auto"/>
          <w:sz w:val="21"/>
          <w:szCs w:val="21"/>
          <w:highlight w:val="none"/>
          <w:u w:val="single"/>
        </w:rPr>
        <w:t>15</w:t>
      </w:r>
      <w:r>
        <w:rPr>
          <w:rFonts w:hint="eastAsia" w:ascii="宋体" w:hAnsi="宋体" w:eastAsia="宋体" w:cs="宋体"/>
          <w:b w:val="0"/>
          <w:color w:val="auto"/>
          <w:sz w:val="21"/>
          <w:szCs w:val="21"/>
          <w:highlight w:val="none"/>
          <w:u w:val="single"/>
        </w:rPr>
        <w:t>）条，投标人无需提供资料，按投标截止时间广州交易集团有限公司（广州公共资源交易中心）交易系统比对的结果进行评审。</w:t>
      </w:r>
    </w:p>
    <w:p w14:paraId="64BF6BD1">
      <w:pPr>
        <w:adjustRightInd w:val="0"/>
        <w:snapToGrid w:val="0"/>
        <w:spacing w:line="360" w:lineRule="auto"/>
        <w:ind w:firstLine="420" w:firstLineChars="200"/>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5.</w:t>
      </w:r>
      <w:r>
        <w:rPr>
          <w:rFonts w:hint="eastAsia" w:ascii="宋体" w:hAnsi="宋体" w:eastAsia="宋体" w:cs="宋体"/>
          <w:b w:val="0"/>
          <w:color w:val="auto"/>
          <w:sz w:val="21"/>
          <w:szCs w:val="21"/>
          <w:highlight w:val="none"/>
          <w:u w:val="single"/>
        </w:rPr>
        <w:t>上述第</w:t>
      </w:r>
      <w:r>
        <w:rPr>
          <w:rFonts w:ascii="宋体" w:hAnsi="宋体" w:eastAsia="宋体" w:cs="宋体"/>
          <w:b w:val="0"/>
          <w:color w:val="auto"/>
          <w:sz w:val="21"/>
          <w:szCs w:val="21"/>
          <w:highlight w:val="none"/>
          <w:u w:val="single"/>
        </w:rPr>
        <w:t>11.2.2（16</w:t>
      </w:r>
      <w:r>
        <w:rPr>
          <w:rFonts w:hint="eastAsia" w:ascii="宋体" w:hAnsi="宋体" w:eastAsia="宋体" w:cs="宋体"/>
          <w:b w:val="0"/>
          <w:color w:val="auto"/>
          <w:sz w:val="21"/>
          <w:szCs w:val="21"/>
          <w:highlight w:val="none"/>
          <w:u w:val="single"/>
        </w:rPr>
        <w:t>）条，投标人无需提供资料，资格审查时，按招标公告附件三《被招标人拒绝投标的企业名单》进行评审。</w:t>
      </w:r>
    </w:p>
    <w:p w14:paraId="092DEF4C">
      <w:pPr>
        <w:adjustRightInd w:val="0"/>
        <w:snapToGrid w:val="0"/>
        <w:spacing w:line="360" w:lineRule="auto"/>
        <w:ind w:firstLine="420" w:firstLineChars="200"/>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11.2.3《投标函》、《标函承诺书》、《项目负责人驻场承诺书》、《投入项目负责人及专职安全员承诺书》</w:t>
      </w:r>
      <w:r>
        <w:rPr>
          <w:rFonts w:hint="eastAsia" w:ascii="宋体" w:hAnsi="宋体" w:eastAsia="宋体" w:cs="宋体"/>
          <w:b w:val="0"/>
          <w:color w:val="auto"/>
          <w:sz w:val="21"/>
          <w:szCs w:val="21"/>
          <w:highlight w:val="none"/>
          <w:u w:val="single"/>
        </w:rPr>
        <w:t>（格式见招标文件第四章）。</w:t>
      </w:r>
    </w:p>
    <w:p w14:paraId="204AF8E0">
      <w:pPr>
        <w:adjustRightInd w:val="0"/>
        <w:snapToGrid w:val="0"/>
        <w:spacing w:line="360" w:lineRule="auto"/>
        <w:ind w:firstLine="420" w:firstLineChars="200"/>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11.2.4《</w:t>
      </w:r>
      <w:r>
        <w:rPr>
          <w:rFonts w:hint="eastAsia" w:ascii="宋体" w:hAnsi="宋体" w:eastAsia="宋体" w:cs="宋体"/>
          <w:b w:val="0"/>
          <w:color w:val="auto"/>
          <w:sz w:val="21"/>
          <w:szCs w:val="21"/>
          <w:highlight w:val="none"/>
          <w:u w:val="single"/>
        </w:rPr>
        <w:t>施工项目管理团队人员信息表》、《主要人员简历表》（格式见招标文件第四章、投标人需按相应表格备注要求提供相关资料）。</w:t>
      </w:r>
    </w:p>
    <w:p w14:paraId="5B1CD8E3">
      <w:pPr>
        <w:adjustRightInd w:val="0"/>
        <w:snapToGrid w:val="0"/>
        <w:spacing w:line="360" w:lineRule="auto"/>
        <w:ind w:firstLine="420" w:firstLineChars="200"/>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11.2.5</w:t>
      </w:r>
      <w:r>
        <w:rPr>
          <w:rFonts w:hint="eastAsia" w:ascii="宋体" w:hAnsi="宋体" w:eastAsia="宋体" w:cs="宋体"/>
          <w:b w:val="0"/>
          <w:color w:val="auto"/>
          <w:sz w:val="21"/>
          <w:szCs w:val="21"/>
          <w:highlight w:val="none"/>
          <w:u w:val="single"/>
        </w:rPr>
        <w:t>《响应招标文件所附施工组织设计要点的承诺书》、《拟投入本工程施工的主要机械设备配备表》（格式见招标文件第四章）。</w:t>
      </w:r>
    </w:p>
    <w:p w14:paraId="46D9BADE">
      <w:pPr>
        <w:adjustRightInd w:val="0"/>
        <w:snapToGrid w:val="0"/>
        <w:spacing w:line="360" w:lineRule="auto"/>
        <w:ind w:firstLine="420" w:firstLineChars="200"/>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11.2.6</w:t>
      </w:r>
      <w:r>
        <w:rPr>
          <w:rFonts w:hint="eastAsia" w:ascii="宋体" w:hAnsi="宋体" w:eastAsia="宋体" w:cs="宋体"/>
          <w:b w:val="0"/>
          <w:color w:val="auto"/>
          <w:sz w:val="21"/>
          <w:szCs w:val="21"/>
          <w:highlight w:val="none"/>
          <w:u w:val="single"/>
        </w:rPr>
        <w:t>《危险性较大的分部分项工程安全管理措施》（格式见招标文件第四章）。</w:t>
      </w:r>
    </w:p>
    <w:p w14:paraId="082BD022">
      <w:pPr>
        <w:adjustRightInd w:val="0"/>
        <w:snapToGrid w:val="0"/>
        <w:spacing w:line="360" w:lineRule="auto"/>
        <w:ind w:firstLine="420" w:firstLineChars="200"/>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11.2.7</w:t>
      </w:r>
      <w:r>
        <w:rPr>
          <w:rFonts w:hint="eastAsia" w:ascii="宋体" w:hAnsi="宋体" w:eastAsia="宋体" w:cs="宋体"/>
          <w:b w:val="0"/>
          <w:color w:val="auto"/>
          <w:sz w:val="21"/>
          <w:szCs w:val="21"/>
          <w:highlight w:val="none"/>
          <w:u w:val="single"/>
        </w:rPr>
        <w:t>《参与编制技术标投标文件人员名单》（格式见招标文件第四章）。</w:t>
      </w:r>
    </w:p>
    <w:p w14:paraId="734CAF57">
      <w:pPr>
        <w:pBdr>
          <w:bottom w:val="single" w:color="auto" w:sz="4" w:space="0"/>
        </w:pBdr>
        <w:adjustRightInd w:val="0"/>
        <w:snapToGrid w:val="0"/>
        <w:spacing w:line="360" w:lineRule="auto"/>
        <w:ind w:firstLine="420" w:firstLineChars="200"/>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11.2.8</w:t>
      </w:r>
      <w:r>
        <w:rPr>
          <w:rFonts w:hint="eastAsia" w:ascii="宋体" w:hAnsi="宋体" w:eastAsia="宋体" w:cs="宋体"/>
          <w:b w:val="0"/>
          <w:color w:val="auto"/>
          <w:sz w:val="21"/>
          <w:szCs w:val="21"/>
          <w:highlight w:val="none"/>
          <w:u w:val="single"/>
        </w:rPr>
        <w:t>投标人认为应提供的其他技术标资料（如有）。</w:t>
      </w:r>
    </w:p>
    <w:p w14:paraId="49371136">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11.3                       修改类型：修改</w:t>
      </w:r>
    </w:p>
    <w:p w14:paraId="5E3A8E10">
      <w:pPr>
        <w:adjustRightInd w:val="0"/>
        <w:snapToGrid w:val="0"/>
        <w:spacing w:line="360" w:lineRule="auto"/>
        <w:ind w:firstLine="472" w:firstLineChars="224"/>
        <w:rPr>
          <w:rFonts w:ascii="宋体" w:hAnsi="宋体" w:eastAsia="宋体" w:cs="宋体"/>
          <w:bCs/>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bCs/>
          <w:color w:val="auto"/>
          <w:sz w:val="21"/>
          <w:szCs w:val="21"/>
          <w:highlight w:val="none"/>
        </w:rPr>
        <w:t xml:space="preserve">11.3 </w:t>
      </w:r>
      <w:r>
        <w:rPr>
          <w:rFonts w:hint="eastAsia" w:ascii="宋体" w:hAnsi="宋体" w:eastAsia="宋体" w:cs="宋体"/>
          <w:b w:val="0"/>
          <w:bCs/>
          <w:color w:val="auto"/>
          <w:sz w:val="21"/>
          <w:szCs w:val="21"/>
          <w:highlight w:val="none"/>
        </w:rPr>
        <w:t>经济部分投标文件主要包括下列内容：</w:t>
      </w:r>
    </w:p>
    <w:p w14:paraId="5AFFA7C7">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 w:val="0"/>
          <w:bCs/>
          <w:color w:val="auto"/>
          <w:sz w:val="21"/>
          <w:szCs w:val="21"/>
          <w:highlight w:val="none"/>
        </w:rPr>
        <w:t xml:space="preserve">11.3.1 </w:t>
      </w:r>
      <w:r>
        <w:rPr>
          <w:rFonts w:hint="eastAsia" w:ascii="宋体" w:hAnsi="宋体" w:eastAsia="宋体" w:cs="宋体"/>
          <w:b w:val="0"/>
          <w:bCs/>
          <w:color w:val="auto"/>
          <w:sz w:val="21"/>
          <w:szCs w:val="21"/>
          <w:highlight w:val="none"/>
        </w:rPr>
        <w:t>经济投标文件</w:t>
      </w:r>
      <w:r>
        <w:rPr>
          <w:rFonts w:ascii="宋体" w:hAnsi="宋体" w:eastAsia="宋体" w:cs="宋体"/>
          <w:b w:val="0"/>
          <w:bCs/>
          <w:color w:val="auto"/>
          <w:sz w:val="21"/>
          <w:szCs w:val="21"/>
          <w:highlight w:val="none"/>
        </w:rPr>
        <w:t>(按招标文件的要求填写)。</w:t>
      </w:r>
    </w:p>
    <w:p w14:paraId="7B9801D5">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24CD57DE">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1）投标总价封面、扉页；</w:t>
      </w:r>
    </w:p>
    <w:p w14:paraId="07E765F4">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2）总说明；</w:t>
      </w:r>
    </w:p>
    <w:p w14:paraId="169FF116">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3）工程项目投标报价汇总表；</w:t>
      </w:r>
    </w:p>
    <w:p w14:paraId="2A4CD6DA">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4）单项工程投标报价汇总表；</w:t>
      </w:r>
    </w:p>
    <w:p w14:paraId="6CB01766">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5）单位工程投标报价汇总表；</w:t>
      </w:r>
    </w:p>
    <w:p w14:paraId="3ABB63EE">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6）分部分项工程清单与计价表；</w:t>
      </w:r>
    </w:p>
    <w:p w14:paraId="61D0B48F">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7）单价措施项目清单与计价表；</w:t>
      </w:r>
    </w:p>
    <w:p w14:paraId="7C5295B6">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8）总价措施项目清单与计价表；</w:t>
      </w:r>
    </w:p>
    <w:p w14:paraId="02696F13">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9）综合单价分析表；</w:t>
      </w:r>
    </w:p>
    <w:p w14:paraId="4ECC30CB">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10）其他项目清单与计价汇总表；</w:t>
      </w:r>
    </w:p>
    <w:p w14:paraId="763BC1D5">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11）暂列金额明细表；</w:t>
      </w:r>
    </w:p>
    <w:p w14:paraId="7BA9B071">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12）材料（工程设备）暂估价明细表；</w:t>
      </w:r>
    </w:p>
    <w:p w14:paraId="578855BB">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13）专业工程暂估价明细表；</w:t>
      </w:r>
    </w:p>
    <w:p w14:paraId="09821F17">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14）计日工表；</w:t>
      </w:r>
    </w:p>
    <w:p w14:paraId="32B23607">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15）总承包服务计价表；</w:t>
      </w:r>
    </w:p>
    <w:p w14:paraId="015FC845">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16）规费和税金项目计价表；</w:t>
      </w:r>
    </w:p>
    <w:p w14:paraId="5B8E90E8">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17）人工、主要材料和设备一览表</w:t>
      </w:r>
    </w:p>
    <w:p w14:paraId="7FCBAC4E">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11.3.3按照招标文件要求填写的《参与编制经济标投标文件人员名单》。</w:t>
      </w:r>
    </w:p>
    <w:p w14:paraId="56995114">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11.3.4若投标人的投标报价低于工程成本警戒价的，投标人还须提供详细的施工组织设计、单价、措施性费用、单价分析表、主要材料价格表、投标人成本分析供评标委员会评审。</w:t>
      </w:r>
    </w:p>
    <w:p w14:paraId="05A4A1FC">
      <w:pP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 xml:space="preserve">11.3 </w:t>
      </w:r>
      <w:r>
        <w:rPr>
          <w:rFonts w:hint="eastAsia" w:ascii="宋体" w:hAnsi="宋体" w:eastAsia="宋体" w:cs="宋体"/>
          <w:b w:val="0"/>
          <w:color w:val="auto"/>
          <w:sz w:val="21"/>
          <w:szCs w:val="21"/>
          <w:highlight w:val="none"/>
        </w:rPr>
        <w:t>经济部分投标文件主要包括下列内容：</w:t>
      </w:r>
    </w:p>
    <w:p w14:paraId="7544CE3E">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11.3.1</w:t>
      </w:r>
      <w:r>
        <w:rPr>
          <w:rFonts w:hint="eastAsia" w:ascii="宋体" w:hAnsi="宋体" w:eastAsia="宋体" w:cs="宋体"/>
          <w:b w:val="0"/>
          <w:color w:val="auto"/>
          <w:sz w:val="21"/>
          <w:szCs w:val="21"/>
          <w:highlight w:val="none"/>
          <w:u w:val="single"/>
        </w:rPr>
        <w:t>广州建设工程施工招标投标书（经济标）（格式见招标文件第四章，具体格式以《广州建设工程施工招标投标书（经济标）》为准；电子投标管理软件编制的“广州建设工程施工招标投标书”不作为否决投标的条件</w:t>
      </w:r>
      <w:r>
        <w:rPr>
          <w:rFonts w:ascii="宋体" w:hAnsi="宋体" w:eastAsia="宋体" w:cs="宋体"/>
          <w:b w:val="0"/>
          <w:color w:val="auto"/>
          <w:sz w:val="21"/>
          <w:szCs w:val="21"/>
          <w:highlight w:val="none"/>
          <w:u w:val="single"/>
        </w:rPr>
        <w:t>)。</w:t>
      </w:r>
    </w:p>
    <w:p w14:paraId="14DF93BD">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70856637">
      <w:pPr>
        <w:numPr>
          <w:ilvl w:val="0"/>
          <w:numId w:val="14"/>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投标总价封面、扉页</w:t>
      </w:r>
    </w:p>
    <w:p w14:paraId="46D0F256">
      <w:pPr>
        <w:numPr>
          <w:ilvl w:val="0"/>
          <w:numId w:val="14"/>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总说明；</w:t>
      </w:r>
    </w:p>
    <w:p w14:paraId="526309DB">
      <w:pPr>
        <w:numPr>
          <w:ilvl w:val="0"/>
          <w:numId w:val="14"/>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工程量清单报价表及综合单价分析表的相关内容及格式要求（相关表格的内容及格式要求以招标人发出的最新版电子招标文件中的相应内容及格式为准）</w:t>
      </w:r>
      <w:r>
        <w:rPr>
          <w:rFonts w:hint="eastAsia" w:ascii="宋体" w:hAnsi="宋体" w:eastAsia="宋体" w:cs="宋体"/>
          <w:b w:val="0"/>
          <w:color w:val="auto"/>
          <w:sz w:val="21"/>
          <w:szCs w:val="21"/>
          <w:highlight w:val="none"/>
        </w:rPr>
        <w:t>；</w:t>
      </w:r>
    </w:p>
    <w:p w14:paraId="223EF42E">
      <w:pPr>
        <w:numPr>
          <w:ilvl w:val="0"/>
          <w:numId w:val="14"/>
        </w:num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其它辅助说明资料（包括但不限于招标文件要求填写的《对投标文件编制的承诺》，格式见招标文件第四章）</w:t>
      </w:r>
      <w:r>
        <w:rPr>
          <w:rFonts w:hint="eastAsia" w:ascii="宋体" w:hAnsi="宋体" w:eastAsia="宋体" w:cs="宋体"/>
          <w:b w:val="0"/>
          <w:color w:val="auto"/>
          <w:sz w:val="21"/>
          <w:szCs w:val="21"/>
          <w:highlight w:val="none"/>
        </w:rPr>
        <w:t>。</w:t>
      </w:r>
    </w:p>
    <w:p w14:paraId="2B114825">
      <w:pPr>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ascii="宋体" w:hAnsi="宋体" w:eastAsia="宋体" w:cs="宋体"/>
          <w:b w:val="0"/>
          <w:color w:val="auto"/>
          <w:sz w:val="21"/>
          <w:szCs w:val="21"/>
          <w:highlight w:val="none"/>
        </w:rPr>
        <w:t>11.3.3按照招标文件要求填写的《参与编制经济标投标文件人员名单》</w:t>
      </w:r>
      <w:r>
        <w:rPr>
          <w:rFonts w:hint="eastAsia" w:ascii="宋体" w:hAnsi="宋体" w:eastAsia="宋体" w:cs="宋体"/>
          <w:b w:val="0"/>
          <w:color w:val="auto"/>
          <w:sz w:val="21"/>
          <w:szCs w:val="21"/>
          <w:highlight w:val="none"/>
          <w:u w:val="single"/>
        </w:rPr>
        <w:t>（格式见招标文件第四章）</w:t>
      </w:r>
      <w:r>
        <w:rPr>
          <w:rFonts w:hint="eastAsia" w:ascii="宋体" w:hAnsi="宋体" w:eastAsia="宋体" w:cs="宋体"/>
          <w:b w:val="0"/>
          <w:color w:val="auto"/>
          <w:sz w:val="21"/>
          <w:szCs w:val="21"/>
          <w:highlight w:val="none"/>
        </w:rPr>
        <w:t>。</w:t>
      </w:r>
    </w:p>
    <w:p w14:paraId="2FABFC1A">
      <w:pPr>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ascii="宋体" w:hAnsi="宋体" w:eastAsia="宋体" w:cs="宋体"/>
          <w:b w:val="0"/>
          <w:color w:val="auto"/>
          <w:sz w:val="21"/>
          <w:szCs w:val="21"/>
          <w:highlight w:val="none"/>
        </w:rPr>
        <w:t>11.3.4若投标人的投标报价低于</w:t>
      </w:r>
      <w:r>
        <w:rPr>
          <w:rFonts w:ascii="宋体" w:hAnsi="宋体" w:eastAsia="宋体" w:cs="宋体"/>
          <w:b w:val="0"/>
          <w:color w:val="auto"/>
          <w:sz w:val="21"/>
          <w:szCs w:val="21"/>
          <w:highlight w:val="none"/>
          <w:u w:val="single"/>
        </w:rPr>
        <w:t>工程</w:t>
      </w:r>
      <w:r>
        <w:rPr>
          <w:rFonts w:hint="eastAsia" w:ascii="宋体" w:hAnsi="宋体" w:eastAsia="宋体" w:cs="宋体"/>
          <w:b w:val="0"/>
          <w:color w:val="auto"/>
          <w:sz w:val="21"/>
          <w:szCs w:val="21"/>
          <w:highlight w:val="none"/>
          <w:u w:val="single"/>
          <w:lang w:eastAsia="zh-CN"/>
        </w:rPr>
        <w:t>成本警示</w:t>
      </w:r>
      <w:r>
        <w:rPr>
          <w:rFonts w:hint="eastAsia" w:ascii="宋体" w:hAnsi="宋体" w:eastAsia="宋体" w:cs="宋体"/>
          <w:b w:val="0"/>
          <w:color w:val="auto"/>
          <w:sz w:val="21"/>
          <w:szCs w:val="21"/>
          <w:highlight w:val="none"/>
          <w:lang w:eastAsia="zh-CN"/>
        </w:rPr>
        <w:t>价</w:t>
      </w:r>
      <w:r>
        <w:rPr>
          <w:rFonts w:ascii="宋体" w:hAnsi="宋体" w:eastAsia="宋体" w:cs="宋体"/>
          <w:b w:val="0"/>
          <w:color w:val="auto"/>
          <w:sz w:val="21"/>
          <w:szCs w:val="21"/>
          <w:highlight w:val="none"/>
        </w:rPr>
        <w:t>的，投标人还须提供详细的施工组织设计、单价、措施性费用、单价分析表、主要材料价格表、投标人成本分析供评标委员会评审。</w:t>
      </w:r>
    </w:p>
    <w:p w14:paraId="2CE66A0D">
      <w:pPr>
        <w:pBdr>
          <w:bottom w:val="single" w:color="auto" w:sz="4" w:space="0"/>
        </w:pBdr>
        <w:adjustRightInd w:val="0"/>
        <w:snapToGrid w:val="0"/>
        <w:spacing w:line="360" w:lineRule="auto"/>
        <w:ind w:firstLine="420" w:firstLineChars="200"/>
        <w:textAlignment w:val="baseline"/>
        <w:rPr>
          <w:rFonts w:ascii="宋体" w:hAnsi="宋体" w:eastAsia="宋体" w:cs="宋体"/>
          <w:bCs/>
          <w:color w:val="auto"/>
          <w:szCs w:val="21"/>
          <w:highlight w:val="none"/>
          <w:u w:val="single"/>
        </w:rPr>
      </w:pPr>
      <w:r>
        <w:rPr>
          <w:rFonts w:ascii="宋体" w:hAnsi="宋体" w:eastAsia="宋体" w:cs="宋体"/>
          <w:b w:val="0"/>
          <w:color w:val="auto"/>
          <w:sz w:val="21"/>
          <w:szCs w:val="21"/>
          <w:highlight w:val="none"/>
        </w:rPr>
        <w:t>11.3.5</w:t>
      </w:r>
      <w:r>
        <w:rPr>
          <w:rFonts w:hint="eastAsia" w:ascii="宋体" w:hAnsi="宋体" w:eastAsia="宋体" w:cs="宋体"/>
          <w:b w:val="0"/>
          <w:color w:val="auto"/>
          <w:sz w:val="21"/>
          <w:szCs w:val="21"/>
          <w:highlight w:val="none"/>
          <w:u w:val="single"/>
        </w:rPr>
        <w:t>投标人认为应提供的其他经济标资料（如有）。</w:t>
      </w:r>
    </w:p>
    <w:p w14:paraId="139DD16D">
      <w:pPr>
        <w:pBdr>
          <w:bottom w:val="none" w:color="auto" w:sz="0" w:space="0"/>
        </w:pBdr>
        <w:adjustRightInd w:val="0"/>
        <w:snapToGrid w:val="0"/>
        <w:spacing w:line="360" w:lineRule="auto"/>
        <w:ind w:firstLine="527" w:firstLineChars="250"/>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ascii="宋体" w:hAnsi="宋体" w:eastAsia="宋体" w:cs="宋体"/>
          <w:b/>
          <w:bCs/>
          <w:color w:val="auto"/>
          <w:szCs w:val="21"/>
          <w:highlight w:val="none"/>
        </w:rPr>
        <w:t xml:space="preserve">11.4            </w:t>
      </w:r>
      <w:r>
        <w:rPr>
          <w:rFonts w:hint="eastAsia" w:ascii="宋体" w:hAnsi="宋体" w:eastAsia="宋体" w:cs="宋体"/>
          <w:b/>
          <w:bCs/>
          <w:color w:val="auto"/>
          <w:szCs w:val="21"/>
          <w:highlight w:val="none"/>
        </w:rPr>
        <w:t>修改类型：增加</w:t>
      </w:r>
    </w:p>
    <w:p w14:paraId="7430A99A">
      <w:pPr>
        <w:pBdr>
          <w:bottom w:val="none" w:color="auto" w:sz="0" w:space="0"/>
        </w:pBdr>
        <w:adjustRightInd w:val="0"/>
        <w:snapToGrid w:val="0"/>
        <w:spacing w:line="360" w:lineRule="auto"/>
        <w:ind w:firstLine="527" w:firstLineChars="250"/>
        <w:textAlignment w:val="baseline"/>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现文：</w:t>
      </w:r>
      <w:r>
        <w:rPr>
          <w:rFonts w:ascii="宋体" w:hAnsi="宋体" w:eastAsia="宋体" w:cs="宋体"/>
          <w:b/>
          <w:bCs/>
          <w:color w:val="auto"/>
          <w:szCs w:val="21"/>
          <w:highlight w:val="none"/>
          <w:u w:val="single"/>
        </w:rPr>
        <w:t>11.4定标文件主要包括下列内容：</w:t>
      </w:r>
    </w:p>
    <w:p w14:paraId="1AB27148">
      <w:pPr>
        <w:pBdr>
          <w:bottom w:val="single" w:color="auto" w:sz="4" w:space="0"/>
        </w:pBdr>
        <w:adjustRightInd w:val="0"/>
        <w:snapToGrid w:val="0"/>
        <w:spacing w:line="360" w:lineRule="auto"/>
        <w:ind w:firstLine="527" w:firstLineChars="250"/>
        <w:textAlignment w:val="baseline"/>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定标评审方案因素按投标人提交的定标方案进行评审，方案因素包含：①拟投入本项目的团队配置②本项目施工管理措施③本项目成本控制措施④本项目资金管理措施等内容。</w:t>
      </w:r>
      <w:r>
        <w:rPr>
          <w:rFonts w:hint="eastAsia" w:ascii="宋体" w:hAnsi="宋体" w:eastAsia="宋体" w:cs="宋体"/>
          <w:b/>
          <w:bCs/>
          <w:color w:val="auto"/>
          <w:szCs w:val="21"/>
          <w:highlight w:val="none"/>
          <w:u w:val="single"/>
          <w:lang w:val="en-US" w:eastAsia="zh-CN"/>
        </w:rPr>
        <w:t>定标评审的方案因素按投标人提交的定标文件进行评审，</w:t>
      </w:r>
      <w:r>
        <w:rPr>
          <w:rFonts w:hint="eastAsia" w:ascii="宋体" w:hAnsi="宋体" w:eastAsia="宋体" w:cs="宋体"/>
          <w:b/>
          <w:bCs/>
          <w:color w:val="auto"/>
          <w:szCs w:val="21"/>
          <w:highlight w:val="none"/>
          <w:u w:val="single"/>
        </w:rPr>
        <w:t>价格因素按定标委员会对合格的中标候选人投标报价进行</w:t>
      </w:r>
      <w:r>
        <w:rPr>
          <w:rFonts w:hint="eastAsia" w:ascii="宋体" w:hAnsi="宋体" w:eastAsia="宋体" w:cs="宋体"/>
          <w:b/>
          <w:bCs/>
          <w:color w:val="auto"/>
          <w:szCs w:val="21"/>
          <w:highlight w:val="none"/>
          <w:u w:val="single"/>
          <w:lang w:val="en-US" w:eastAsia="zh-CN"/>
        </w:rPr>
        <w:t>评审</w:t>
      </w:r>
      <w:r>
        <w:rPr>
          <w:rFonts w:hint="eastAsia" w:ascii="宋体" w:hAnsi="宋体" w:eastAsia="宋体" w:cs="宋体"/>
          <w:b/>
          <w:bCs/>
          <w:color w:val="auto"/>
          <w:szCs w:val="21"/>
          <w:highlight w:val="none"/>
          <w:u w:val="single"/>
        </w:rPr>
        <w:t>，不需要重复提交投标报价资料。</w:t>
      </w:r>
    </w:p>
    <w:p w14:paraId="640C272B">
      <w:pPr>
        <w:pBdr>
          <w:bottom w:val="none" w:color="auto" w:sz="0" w:space="0"/>
        </w:pBdr>
        <w:adjustRightInd w:val="0"/>
        <w:snapToGrid w:val="0"/>
        <w:spacing w:line="360" w:lineRule="auto"/>
        <w:ind w:firstLine="527" w:firstLineChars="250"/>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ascii="宋体" w:hAnsi="宋体" w:eastAsia="宋体" w:cs="宋体"/>
          <w:b/>
          <w:bCs/>
          <w:color w:val="auto"/>
          <w:szCs w:val="21"/>
          <w:highlight w:val="none"/>
        </w:rPr>
        <w:t>11.5           修改类型：增加</w:t>
      </w:r>
    </w:p>
    <w:p w14:paraId="4ABDF8F8">
      <w:pPr>
        <w:pBdr>
          <w:bottom w:val="none" w:color="auto" w:sz="0" w:space="0"/>
        </w:pBdr>
        <w:adjustRightInd w:val="0"/>
        <w:snapToGrid w:val="0"/>
        <w:spacing w:line="360" w:lineRule="auto"/>
        <w:ind w:firstLine="527" w:firstLineChars="250"/>
        <w:textAlignment w:val="baseline"/>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现文：</w:t>
      </w:r>
      <w:r>
        <w:rPr>
          <w:rFonts w:ascii="宋体" w:hAnsi="宋体" w:eastAsia="宋体" w:cs="宋体"/>
          <w:b/>
          <w:bCs/>
          <w:color w:val="auto"/>
          <w:szCs w:val="21"/>
          <w:highlight w:val="none"/>
          <w:u w:val="single"/>
        </w:rPr>
        <w:t>11.5</w:t>
      </w:r>
      <w:r>
        <w:rPr>
          <w:rFonts w:hint="eastAsia" w:ascii="宋体" w:hAnsi="宋体" w:eastAsia="宋体" w:cs="宋体"/>
          <w:b/>
          <w:bCs/>
          <w:color w:val="auto"/>
          <w:szCs w:val="21"/>
          <w:highlight w:val="none"/>
          <w:u w:val="single"/>
        </w:rPr>
        <w:t>投标文件重要提示：</w:t>
      </w:r>
    </w:p>
    <w:p w14:paraId="6B329153">
      <w:pPr>
        <w:pBdr>
          <w:bottom w:val="none" w:color="auto" w:sz="0" w:space="0"/>
        </w:pBdr>
        <w:adjustRightInd w:val="0"/>
        <w:snapToGrid w:val="0"/>
        <w:spacing w:line="360" w:lineRule="auto"/>
        <w:ind w:firstLine="527" w:firstLineChars="250"/>
        <w:textAlignment w:val="baseline"/>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投标人</w:t>
      </w:r>
      <w:r>
        <w:rPr>
          <w:rFonts w:ascii="宋体" w:hAnsi="宋体" w:eastAsia="宋体" w:cs="宋体"/>
          <w:b/>
          <w:bCs/>
          <w:color w:val="auto"/>
          <w:szCs w:val="21"/>
          <w:highlight w:val="none"/>
          <w:u w:val="single"/>
        </w:rPr>
        <w:t>在</w:t>
      </w:r>
      <w:r>
        <w:rPr>
          <w:rFonts w:hint="eastAsia" w:ascii="宋体" w:hAnsi="宋体" w:eastAsia="宋体" w:cs="宋体"/>
          <w:b/>
          <w:bCs/>
          <w:color w:val="auto"/>
          <w:szCs w:val="21"/>
          <w:highlight w:val="none"/>
          <w:u w:val="single"/>
        </w:rPr>
        <w:t>投标系统（交易平台）</w:t>
      </w:r>
      <w:r>
        <w:rPr>
          <w:rFonts w:ascii="宋体" w:hAnsi="宋体" w:eastAsia="宋体" w:cs="宋体"/>
          <w:b/>
          <w:bCs/>
          <w:color w:val="auto"/>
          <w:szCs w:val="21"/>
          <w:highlight w:val="none"/>
          <w:u w:val="single"/>
        </w:rPr>
        <w:t>上传</w:t>
      </w:r>
      <w:r>
        <w:rPr>
          <w:rFonts w:hint="eastAsia" w:ascii="宋体" w:hAnsi="宋体" w:eastAsia="宋体" w:cs="宋体"/>
          <w:b/>
          <w:bCs/>
          <w:color w:val="auto"/>
          <w:szCs w:val="21"/>
          <w:highlight w:val="none"/>
          <w:u w:val="single"/>
        </w:rPr>
        <w:t>电子</w:t>
      </w:r>
      <w:r>
        <w:rPr>
          <w:rFonts w:ascii="宋体" w:hAnsi="宋体" w:eastAsia="宋体" w:cs="宋体"/>
          <w:b/>
          <w:bCs/>
          <w:color w:val="auto"/>
          <w:szCs w:val="21"/>
          <w:highlight w:val="none"/>
          <w:u w:val="single"/>
        </w:rPr>
        <w:t>投标文件时，</w:t>
      </w:r>
      <w:r>
        <w:rPr>
          <w:rFonts w:hint="eastAsia" w:ascii="宋体" w:hAnsi="宋体" w:eastAsia="宋体" w:cs="宋体"/>
          <w:b/>
          <w:bCs/>
          <w:color w:val="auto"/>
          <w:szCs w:val="21"/>
          <w:highlight w:val="none"/>
          <w:u w:val="single"/>
        </w:rPr>
        <w:t>应按规定将</w:t>
      </w:r>
      <w:r>
        <w:rPr>
          <w:rFonts w:ascii="宋体" w:hAnsi="宋体" w:eastAsia="宋体" w:cs="宋体"/>
          <w:b/>
          <w:bCs/>
          <w:color w:val="auto"/>
          <w:szCs w:val="21"/>
          <w:highlight w:val="none"/>
          <w:u w:val="single"/>
        </w:rPr>
        <w:t>把</w:t>
      </w:r>
      <w:r>
        <w:rPr>
          <w:rFonts w:hint="eastAsia" w:ascii="宋体" w:hAnsi="宋体" w:eastAsia="宋体" w:cs="宋体"/>
          <w:b/>
          <w:bCs/>
          <w:color w:val="auto"/>
          <w:szCs w:val="21"/>
          <w:highlight w:val="none"/>
          <w:u w:val="single"/>
        </w:rPr>
        <w:t>技术标（含资格审查文件）和经济标文件</w:t>
      </w:r>
      <w:r>
        <w:rPr>
          <w:rFonts w:ascii="宋体" w:hAnsi="宋体" w:eastAsia="宋体" w:cs="宋体"/>
          <w:b/>
          <w:bCs/>
          <w:color w:val="auto"/>
          <w:szCs w:val="21"/>
          <w:highlight w:val="none"/>
          <w:u w:val="single"/>
        </w:rPr>
        <w:t>等内容，分别上传至</w:t>
      </w:r>
      <w:r>
        <w:rPr>
          <w:rFonts w:hint="eastAsia" w:ascii="宋体" w:hAnsi="宋体" w:eastAsia="宋体" w:cs="宋体"/>
          <w:b/>
          <w:bCs/>
          <w:color w:val="auto"/>
          <w:szCs w:val="21"/>
          <w:highlight w:val="none"/>
          <w:u w:val="single"/>
        </w:rPr>
        <w:t>投标系统（交易平台）</w:t>
      </w:r>
      <w:r>
        <w:rPr>
          <w:rFonts w:ascii="宋体" w:hAnsi="宋体" w:eastAsia="宋体" w:cs="宋体"/>
          <w:b/>
          <w:bCs/>
          <w:color w:val="auto"/>
          <w:szCs w:val="21"/>
          <w:highlight w:val="none"/>
          <w:u w:val="single"/>
        </w:rPr>
        <w:t>内对应的文件夹中，不要上传到定标文件夹中。定标文件夹中只上传定标文件。</w:t>
      </w:r>
    </w:p>
    <w:p w14:paraId="0326BCF3">
      <w:pPr>
        <w:pBdr>
          <w:bottom w:val="single" w:color="auto" w:sz="4" w:space="0"/>
        </w:pBdr>
        <w:adjustRightInd w:val="0"/>
        <w:snapToGrid w:val="0"/>
        <w:spacing w:line="360" w:lineRule="auto"/>
        <w:ind w:firstLine="527" w:firstLineChars="250"/>
        <w:textAlignment w:val="baseline"/>
        <w:rPr>
          <w:rFonts w:ascii="宋体" w:hAnsi="宋体" w:eastAsia="宋体" w:cs="宋体"/>
          <w:b/>
          <w:bCs/>
          <w:color w:val="auto"/>
          <w:szCs w:val="21"/>
          <w:highlight w:val="none"/>
          <w:u w:val="single"/>
        </w:rPr>
      </w:pPr>
      <w:r>
        <w:rPr>
          <w:rFonts w:ascii="宋体" w:hAnsi="宋体" w:eastAsia="宋体" w:cs="宋体"/>
          <w:b/>
          <w:bCs/>
          <w:color w:val="auto"/>
          <w:szCs w:val="21"/>
          <w:highlight w:val="none"/>
          <w:u w:val="single"/>
        </w:rPr>
        <w:t>注：因投标人未按招标文件要求提供规定的资料，而未能通过资格审查（或技术标有效性审查或经济标有效性审查）或影响评分的后果由投标人自行承担。</w:t>
      </w:r>
    </w:p>
    <w:p w14:paraId="70C22023">
      <w:pPr>
        <w:adjustRightInd w:val="0"/>
        <w:snapToGrid w:val="0"/>
        <w:spacing w:line="360" w:lineRule="auto"/>
        <w:ind w:firstLine="472" w:firstLineChars="224"/>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12.2                       </w:t>
      </w:r>
      <w:r>
        <w:rPr>
          <w:rFonts w:hint="eastAsia" w:ascii="宋体" w:hAnsi="宋体" w:eastAsia="宋体" w:cs="宋体"/>
          <w:b/>
          <w:color w:val="auto"/>
          <w:szCs w:val="21"/>
          <w:highlight w:val="none"/>
        </w:rPr>
        <w:t>修改类型：修改</w:t>
      </w:r>
    </w:p>
    <w:p w14:paraId="389F8AFB">
      <w:pPr>
        <w:pBdr>
          <w:bottom w:val="single" w:color="auto" w:sz="6" w:space="1"/>
        </w:pBdr>
        <w:adjustRightInd w:val="0"/>
        <w:snapToGrid w:val="0"/>
        <w:spacing w:line="360" w:lineRule="auto"/>
        <w:ind w:firstLine="527" w:firstLineChars="250"/>
        <w:textAlignment w:val="baseline"/>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12.2 投标文件全部采用电子文档，投标文件所附证书证件均为原件扫描件，并采用单位数字证书，</w:t>
      </w:r>
      <w:r>
        <w:rPr>
          <w:rFonts w:hint="eastAsia" w:ascii="宋体" w:hAnsi="宋体" w:eastAsia="宋体" w:cs="宋体"/>
          <w:b/>
          <w:bCs w:val="0"/>
          <w:color w:val="auto"/>
          <w:szCs w:val="21"/>
          <w:highlight w:val="none"/>
        </w:rPr>
        <w:t>对投标文件</w:t>
      </w:r>
      <w:r>
        <w:rPr>
          <w:rFonts w:hint="eastAsia" w:ascii="宋体" w:hAnsi="宋体" w:eastAsia="宋体" w:cs="宋体"/>
          <w:bCs/>
          <w:color w:val="auto"/>
          <w:szCs w:val="21"/>
          <w:highlight w:val="none"/>
        </w:rPr>
        <w:t>加盖电子印章。投标文件中需个人签字或盖章的，应加盖个人电子印章或在线下完成后扫描上传。按照交易平台关于全流程电子化项目的相关指南进行操作。详见：             。</w:t>
      </w:r>
    </w:p>
    <w:p w14:paraId="41FCCB61">
      <w:pPr>
        <w:pBdr>
          <w:bottom w:val="single" w:color="auto" w:sz="6" w:space="1"/>
        </w:pBdr>
        <w:adjustRightInd w:val="0"/>
        <w:snapToGrid w:val="0"/>
        <w:spacing w:line="360" w:lineRule="auto"/>
        <w:ind w:firstLine="525" w:firstLineChars="250"/>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注：投标文件电子文档需要投标人单位盖章的材料，投标人加盖电子印章即可，不得将投标人未对电子文档加盖实物印章作为否决投标的情形。</w:t>
      </w:r>
    </w:p>
    <w:p w14:paraId="5CD85AFD">
      <w:pPr>
        <w:pBdr>
          <w:bottom w:val="single" w:color="auto" w:sz="6" w:space="1"/>
        </w:pBdr>
        <w:adjustRightInd w:val="0"/>
        <w:snapToGrid w:val="0"/>
        <w:spacing w:line="360" w:lineRule="auto"/>
        <w:ind w:firstLine="527" w:firstLineChars="250"/>
        <w:textAlignment w:val="baseline"/>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12.2</w:t>
      </w:r>
      <w:r>
        <w:rPr>
          <w:rFonts w:hint="eastAsia" w:ascii="宋体" w:hAnsi="宋体" w:eastAsia="宋体" w:cs="宋体"/>
          <w:color w:val="auto"/>
          <w:szCs w:val="21"/>
          <w:highlight w:val="none"/>
          <w:u w:val="single"/>
        </w:rPr>
        <w:t>投标人应仔细阅读招标文件第四章投标文件格式的相关规定和要求。</w:t>
      </w:r>
      <w:r>
        <w:rPr>
          <w:rFonts w:hint="eastAsia" w:ascii="宋体" w:hAnsi="宋体" w:eastAsia="宋体" w:cs="宋体"/>
          <w:color w:val="auto"/>
          <w:szCs w:val="21"/>
          <w:highlight w:val="none"/>
        </w:rPr>
        <w:t>投标文件全部采用电子文档，投标文件所附证书证件均为扫描件或电子证照，并采用单位数字证书，</w:t>
      </w:r>
      <w:r>
        <w:rPr>
          <w:rFonts w:hint="eastAsia" w:ascii="宋体" w:hAnsi="宋体" w:eastAsia="宋体" w:cs="宋体"/>
          <w:b/>
          <w:bCs w:val="0"/>
          <w:color w:val="auto"/>
          <w:szCs w:val="21"/>
          <w:highlight w:val="none"/>
        </w:rPr>
        <w:t>对投标文件</w:t>
      </w:r>
      <w:r>
        <w:rPr>
          <w:rFonts w:hint="eastAsia" w:ascii="宋体" w:hAnsi="宋体" w:eastAsia="宋体" w:cs="宋体"/>
          <w:color w:val="auto"/>
          <w:szCs w:val="21"/>
          <w:highlight w:val="none"/>
        </w:rPr>
        <w:t>加盖电子印章。投标文件中需个人签字或盖章的，应加盖个人电子印章或在线下完成后原件扫描上传。按照</w:t>
      </w:r>
      <w:r>
        <w:rPr>
          <w:rFonts w:hint="eastAsia" w:ascii="宋体" w:hAnsi="宋体" w:eastAsia="宋体" w:cs="宋体"/>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u w:val="single"/>
        </w:rPr>
        <w:t>如联合体投标，投标文件中的“投标人”、“声明企业”、“投标单位”应填写联合体各成员的单位全称“（主）</w:t>
      </w:r>
      <w:r>
        <w:rPr>
          <w:rFonts w:ascii="宋体" w:hAnsi="宋体" w:eastAsia="宋体" w:cs="宋体"/>
          <w:b/>
          <w:bCs/>
          <w:color w:val="auto"/>
          <w:szCs w:val="21"/>
          <w:highlight w:val="none"/>
          <w:u w:val="single"/>
        </w:rPr>
        <w:t>***公司（成）***公司”。除投标文件中的联合体工作协议、投标人声明需联合体各成员按格式要求盖章或签字外，其他资料均由主办方盖章或签字即可</w:t>
      </w:r>
      <w:r>
        <w:rPr>
          <w:rFonts w:hint="eastAsia" w:ascii="宋体" w:hAnsi="宋体" w:eastAsia="宋体" w:cs="宋体"/>
          <w:color w:val="auto"/>
          <w:szCs w:val="21"/>
          <w:highlight w:val="none"/>
          <w:u w:val="single"/>
        </w:rPr>
        <w:t>。</w:t>
      </w:r>
    </w:p>
    <w:p w14:paraId="0E3F1274">
      <w:pPr>
        <w:pBdr>
          <w:bottom w:val="single" w:color="auto" w:sz="6" w:space="1"/>
        </w:pBdr>
        <w:adjustRightInd w:val="0"/>
        <w:snapToGrid w:val="0"/>
        <w:spacing w:line="360" w:lineRule="auto"/>
        <w:ind w:firstLine="525" w:firstLineChars="250"/>
        <w:textAlignment w:val="baseline"/>
        <w:rPr>
          <w:rFonts w:ascii="宋体" w:hAnsi="宋体" w:eastAsia="宋体" w:cs="宋体"/>
          <w:b/>
          <w:color w:val="auto"/>
          <w:szCs w:val="21"/>
          <w:highlight w:val="none"/>
        </w:rPr>
      </w:pPr>
      <w:r>
        <w:rPr>
          <w:rFonts w:hint="eastAsia" w:ascii="宋体" w:hAnsi="宋体" w:eastAsia="宋体" w:cs="宋体"/>
          <w:color w:val="auto"/>
          <w:szCs w:val="21"/>
          <w:highlight w:val="none"/>
        </w:rPr>
        <w:t>注释：投标文件电子文档需要投标人单位盖章的材料，投标人加盖电子印章即可，不得将投标人未对电子文档加盖实物印章作为否决投标的情形。</w:t>
      </w:r>
    </w:p>
    <w:p w14:paraId="123AF2B9">
      <w:pPr>
        <w:adjustRightInd w:val="0"/>
        <w:snapToGrid w:val="0"/>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12.3                       </w:t>
      </w:r>
      <w:r>
        <w:rPr>
          <w:rFonts w:hint="eastAsia" w:ascii="宋体" w:hAnsi="宋体" w:eastAsia="宋体" w:cs="宋体"/>
          <w:b/>
          <w:color w:val="auto"/>
          <w:szCs w:val="21"/>
          <w:highlight w:val="none"/>
        </w:rPr>
        <w:t>修改类型：修改</w:t>
      </w:r>
    </w:p>
    <w:p w14:paraId="50845E00">
      <w:pPr>
        <w:adjustRightInd w:val="0"/>
        <w:snapToGrid w:val="0"/>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 xml:space="preserve">12.3 </w:t>
      </w:r>
      <w:r>
        <w:rPr>
          <w:rFonts w:hint="eastAsia" w:ascii="宋体" w:hAnsi="宋体" w:eastAsia="宋体" w:cs="宋体"/>
          <w:bCs/>
          <w:color w:val="auto"/>
          <w:szCs w:val="21"/>
          <w:highlight w:val="none"/>
        </w:rPr>
        <w:t>投标文件应按</w:t>
      </w:r>
      <w:r>
        <w:rPr>
          <w:rFonts w:hint="eastAsia" w:ascii="宋体" w:hAnsi="宋体" w:eastAsia="宋体" w:cs="宋体"/>
          <w:color w:val="auto"/>
          <w:szCs w:val="21"/>
          <w:highlight w:val="none"/>
        </w:rPr>
        <w:t>照交易平台关于全流程电子化项目的相关指南进行编制，详见：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5B43F0">
      <w:pPr>
        <w:pBdr>
          <w:bottom w:val="single" w:color="auto" w:sz="6" w:space="1"/>
        </w:pBdr>
        <w:adjustRightInd w:val="0"/>
        <w:snapToGrid w:val="0"/>
        <w:spacing w:line="360" w:lineRule="auto"/>
        <w:ind w:firstLine="420" w:firstLineChars="200"/>
        <w:textAlignment w:val="baseline"/>
        <w:rPr>
          <w:rFonts w:ascii="宋体" w:hAnsi="宋体" w:eastAsia="宋体" w:cs="宋体"/>
          <w:b/>
          <w:color w:val="auto"/>
          <w:szCs w:val="21"/>
          <w:highlight w:val="none"/>
        </w:rPr>
      </w:pPr>
      <w:r>
        <w:rPr>
          <w:rFonts w:hint="eastAsia" w:ascii="宋体" w:hAnsi="宋体" w:eastAsia="宋体" w:cs="宋体"/>
          <w:bCs/>
          <w:color w:val="auto"/>
          <w:szCs w:val="21"/>
          <w:highlight w:val="none"/>
        </w:rPr>
        <w:t>如不按上述要求编制引起系统无法检索、读取相关信息的，其后果由投标人承担</w:t>
      </w:r>
      <w:r>
        <w:rPr>
          <w:rFonts w:hint="eastAsia" w:ascii="宋体" w:hAnsi="宋体" w:eastAsia="宋体" w:cs="宋体"/>
          <w:color w:val="auto"/>
          <w:szCs w:val="21"/>
          <w:highlight w:val="none"/>
        </w:rPr>
        <w:t>。</w:t>
      </w:r>
    </w:p>
    <w:p w14:paraId="114D329C">
      <w:pPr>
        <w:pBdr>
          <w:bottom w:val="single" w:color="auto" w:sz="6" w:space="1"/>
        </w:pBdr>
        <w:adjustRightInd w:val="0"/>
        <w:snapToGrid w:val="0"/>
        <w:spacing w:line="360" w:lineRule="auto"/>
        <w:ind w:firstLine="422" w:firstLineChars="200"/>
        <w:textAlignment w:val="baseline"/>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12.3</w:t>
      </w:r>
      <w:r>
        <w:rPr>
          <w:rFonts w:hint="eastAsia" w:ascii="宋体" w:hAnsi="宋体" w:eastAsia="宋体" w:cs="宋体"/>
          <w:bCs/>
          <w:color w:val="auto"/>
          <w:szCs w:val="21"/>
          <w:highlight w:val="none"/>
        </w:rPr>
        <w:t>投标文件应按</w:t>
      </w:r>
      <w:r>
        <w:rPr>
          <w:rFonts w:hint="eastAsia" w:ascii="宋体" w:hAnsi="宋体" w:eastAsia="宋体" w:cs="宋体"/>
          <w:color w:val="auto"/>
          <w:szCs w:val="21"/>
          <w:highlight w:val="none"/>
        </w:rPr>
        <w:t>照</w:t>
      </w:r>
      <w:r>
        <w:rPr>
          <w:rFonts w:hint="eastAsia" w:ascii="宋体" w:hAnsi="宋体" w:eastAsia="宋体" w:cs="宋体"/>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交易平台关于全流程电子化项目的相关指南进行编制，详见：</w:t>
      </w:r>
      <w:r>
        <w:rPr>
          <w:rFonts w:hint="eastAsia" w:ascii="宋体" w:hAnsi="宋体" w:eastAsia="宋体" w:cs="宋体"/>
          <w:bCs/>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bookmarkStart w:id="62" w:name="_GoBack"/>
      <w:bookmarkEnd w:id="62"/>
    </w:p>
    <w:p w14:paraId="1E2672C8">
      <w:pPr>
        <w:pBdr>
          <w:bottom w:val="single" w:color="auto" w:sz="6" w:space="1"/>
        </w:pBdr>
        <w:adjustRightInd w:val="0"/>
        <w:snapToGrid w:val="0"/>
        <w:spacing w:line="360" w:lineRule="auto"/>
        <w:ind w:firstLine="420" w:firstLineChars="200"/>
        <w:textAlignment w:val="baseline"/>
        <w:rPr>
          <w:rFonts w:ascii="宋体" w:hAnsi="宋体" w:eastAsia="宋体" w:cs="宋体"/>
          <w:b/>
          <w:color w:val="auto"/>
          <w:szCs w:val="21"/>
          <w:highlight w:val="none"/>
        </w:rPr>
      </w:pPr>
      <w:r>
        <w:rPr>
          <w:rFonts w:hint="eastAsia" w:ascii="宋体" w:hAnsi="宋体" w:eastAsia="宋体" w:cs="宋体"/>
          <w:bCs/>
          <w:color w:val="auto"/>
          <w:szCs w:val="21"/>
          <w:highlight w:val="none"/>
        </w:rPr>
        <w:t>如不按上述要求编制引起系统无法检索、读取相关信息的，其后果由投标人承担</w:t>
      </w:r>
      <w:r>
        <w:rPr>
          <w:rFonts w:hint="eastAsia" w:ascii="宋体" w:hAnsi="宋体" w:eastAsia="宋体" w:cs="宋体"/>
          <w:color w:val="auto"/>
          <w:szCs w:val="21"/>
          <w:highlight w:val="none"/>
        </w:rPr>
        <w:t>。</w:t>
      </w:r>
    </w:p>
    <w:p w14:paraId="3BE671BF">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                        </w:t>
      </w:r>
      <w:r>
        <w:rPr>
          <w:rFonts w:hint="eastAsia" w:ascii="宋体" w:hAnsi="宋体" w:eastAsia="宋体" w:cs="宋体"/>
          <w:b/>
          <w:color w:val="auto"/>
          <w:szCs w:val="21"/>
          <w:highlight w:val="none"/>
        </w:rPr>
        <w:t>修改类型：修改</w:t>
      </w:r>
    </w:p>
    <w:p w14:paraId="7712E759">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13.1本工程的投标报价采用投标须知前附表第12项所规定的方式。投标报价（含单价及总价）精确到“分”。</w:t>
      </w:r>
    </w:p>
    <w:p w14:paraId="212A5952">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 xml:space="preserve">13.1 </w:t>
      </w:r>
      <w:r>
        <w:rPr>
          <w:rFonts w:hint="eastAsia" w:ascii="宋体" w:hAnsi="宋体" w:eastAsia="宋体" w:cs="宋体"/>
          <w:color w:val="auto"/>
          <w:szCs w:val="21"/>
          <w:highlight w:val="none"/>
        </w:rPr>
        <w:t>本工程的投标报价采用投标须知前附表第</w:t>
      </w:r>
      <w:r>
        <w:rPr>
          <w:rFonts w:ascii="宋体" w:hAnsi="宋体" w:eastAsia="宋体" w:cs="宋体"/>
          <w:color w:val="auto"/>
          <w:szCs w:val="21"/>
          <w:highlight w:val="none"/>
        </w:rPr>
        <w:t>12项所规定的方式。</w:t>
      </w:r>
      <w:r>
        <w:rPr>
          <w:rFonts w:hint="eastAsia" w:ascii="宋体" w:hAnsi="宋体" w:eastAsia="宋体" w:cs="宋体"/>
          <w:color w:val="auto"/>
          <w:szCs w:val="21"/>
          <w:highlight w:val="none"/>
          <w:u w:val="single"/>
        </w:rPr>
        <w:t>投标文件中的大写金额和小写金额不一致的，以大写金额为准。</w:t>
      </w:r>
      <w:r>
        <w:rPr>
          <w:rFonts w:hint="eastAsia" w:ascii="宋体" w:hAnsi="宋体" w:eastAsia="宋体" w:cs="宋体"/>
          <w:color w:val="auto"/>
          <w:szCs w:val="21"/>
          <w:highlight w:val="none"/>
        </w:rPr>
        <w:t>投标报价（含单价及总价）精确到“分”。</w:t>
      </w:r>
    </w:p>
    <w:p w14:paraId="6FF3D559">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13.3                        </w:t>
      </w:r>
      <w:r>
        <w:rPr>
          <w:rFonts w:hint="eastAsia" w:ascii="宋体" w:hAnsi="宋体" w:eastAsia="宋体" w:cs="宋体"/>
          <w:b/>
          <w:color w:val="auto"/>
          <w:szCs w:val="21"/>
          <w:highlight w:val="none"/>
        </w:rPr>
        <w:t>修改类型：修改</w:t>
      </w:r>
    </w:p>
    <w:p w14:paraId="2541874B">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EC5E576">
      <w:pPr>
        <w:pBdr>
          <w:bottom w:val="single" w:color="auto" w:sz="6" w:space="1"/>
        </w:pBdr>
        <w:adjustRightInd w:val="0"/>
        <w:snapToGrid w:val="0"/>
        <w:spacing w:line="360" w:lineRule="auto"/>
        <w:ind w:firstLine="527" w:firstLineChars="25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eastAsia="宋体" w:cs="宋体"/>
          <w:color w:val="auto"/>
          <w:szCs w:val="21"/>
          <w:highlight w:val="none"/>
          <w:u w:val="single"/>
        </w:rPr>
        <w:t>提供的招标图纸（包括有关于本项目招标的相关资料）及</w:t>
      </w:r>
      <w:r>
        <w:rPr>
          <w:rFonts w:hint="eastAsia" w:ascii="宋体" w:hAnsi="宋体" w:eastAsia="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9AD2BBD">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13.4                         </w:t>
      </w:r>
      <w:r>
        <w:rPr>
          <w:rFonts w:hint="eastAsia" w:ascii="宋体" w:hAnsi="宋体" w:eastAsia="宋体" w:cs="宋体"/>
          <w:b/>
          <w:color w:val="auto"/>
          <w:szCs w:val="21"/>
          <w:highlight w:val="none"/>
        </w:rPr>
        <w:t>修改类型：修改</w:t>
      </w:r>
    </w:p>
    <w:p w14:paraId="3CBA83FD">
      <w:pPr>
        <w:pStyle w:val="86"/>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16A0B4B">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13.4投标人一旦中标，投标人对招标人提供的招标工程量清单中列出的工程项目所报出的综合单价</w:t>
      </w:r>
      <w:r>
        <w:rPr>
          <w:rFonts w:hint="eastAsia" w:ascii="宋体" w:hAnsi="宋体" w:eastAsia="宋体" w:cs="宋体"/>
          <w:color w:val="auto"/>
          <w:szCs w:val="21"/>
          <w:highlight w:val="none"/>
          <w:u w:val="single"/>
        </w:rPr>
        <w:t>和措施项目费（措施项目费必须单列，没有单独列出的，视为已经包含在投标报价中），在工程结算时，按招标文件第三章合同条款相关约定调整。</w:t>
      </w:r>
    </w:p>
    <w:p w14:paraId="66FB6FA9">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13.5                         </w:t>
      </w:r>
      <w:r>
        <w:rPr>
          <w:rFonts w:hint="eastAsia" w:ascii="宋体" w:hAnsi="宋体" w:eastAsia="宋体" w:cs="宋体"/>
          <w:b/>
          <w:color w:val="auto"/>
          <w:szCs w:val="21"/>
          <w:highlight w:val="none"/>
        </w:rPr>
        <w:t>修改类型：修改</w:t>
      </w:r>
    </w:p>
    <w:p w14:paraId="523C4994">
      <w:pPr>
        <w:pStyle w:val="86"/>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4F068D9">
      <w:pPr>
        <w:pStyle w:val="86"/>
        <w:adjustRightInd w:val="0"/>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13.5.1中标的投标文件工程量清单中已有相同项目的适用综合单价，则沿用；</w:t>
      </w:r>
    </w:p>
    <w:p w14:paraId="4190AB47">
      <w:pPr>
        <w:pStyle w:val="86"/>
        <w:adjustRightInd w:val="0"/>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21A5661">
      <w:pPr>
        <w:pStyle w:val="86"/>
        <w:adjustRightInd w:val="0"/>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13.5.3 </w:t>
      </w:r>
      <w:r>
        <w:rPr>
          <w:rFonts w:hint="eastAsia" w:ascii="宋体" w:hAnsi="宋体" w:eastAsia="宋体" w:cs="宋体"/>
          <w:color w:val="auto"/>
          <w:szCs w:val="21"/>
          <w:highlight w:val="none"/>
        </w:rPr>
        <w:t>中标的投标文件工程量清单中没有相同项目或类似项目的，如可套取相关定额，则以相关定额为基数下浮计算单价</w:t>
      </w:r>
      <w:r>
        <w:rPr>
          <w:rFonts w:ascii="宋体" w:hAnsi="宋体" w:eastAsia="宋体" w:cs="宋体"/>
          <w:color w:val="auto"/>
          <w:szCs w:val="21"/>
          <w:highlight w:val="none"/>
        </w:rPr>
        <w:t xml:space="preserve">,下浮率为中标价相对于最高投标限价的下浮率（下浮率=(最高投标限价-中标价)/ </w:t>
      </w:r>
      <w:r>
        <w:rPr>
          <w:rFonts w:hint="eastAsia" w:ascii="宋体" w:hAnsi="宋体" w:eastAsia="宋体" w:cs="宋体"/>
          <w:color w:val="auto"/>
          <w:szCs w:val="21"/>
          <w:highlight w:val="none"/>
        </w:rPr>
        <w:t>最高投标限价）。</w:t>
      </w:r>
    </w:p>
    <w:p w14:paraId="53B688B3">
      <w:pPr>
        <w:adjustRightInd w:val="0"/>
        <w:snapToGrid w:val="0"/>
        <w:spacing w:line="360" w:lineRule="auto"/>
        <w:ind w:firstLine="411" w:firstLineChars="196"/>
        <w:rPr>
          <w:rFonts w:ascii="宋体" w:hAnsi="宋体" w:eastAsia="宋体" w:cs="宋体"/>
          <w:color w:val="auto"/>
          <w:szCs w:val="21"/>
          <w:highlight w:val="none"/>
        </w:rPr>
      </w:pPr>
      <w:r>
        <w:rPr>
          <w:rFonts w:ascii="宋体" w:hAnsi="宋体" w:eastAsia="宋体" w:cs="宋体"/>
          <w:color w:val="auto"/>
          <w:szCs w:val="21"/>
          <w:highlight w:val="none"/>
        </w:rPr>
        <w:t xml:space="preserve">13.5.4 </w:t>
      </w:r>
      <w:r>
        <w:rPr>
          <w:rFonts w:hint="eastAsia" w:ascii="宋体" w:hAnsi="宋体" w:eastAsia="宋体" w:cs="宋体"/>
          <w:color w:val="auto"/>
          <w:szCs w:val="21"/>
          <w:highlight w:val="none"/>
        </w:rPr>
        <w:t>如相关定额没有相应子目的，其计价方式由招标人在本招标文件第三章中另行规定。未规定的，中标后双方协商约定。</w:t>
      </w:r>
    </w:p>
    <w:p w14:paraId="4A863367">
      <w:pPr>
        <w:adjustRightInd w:val="0"/>
        <w:snapToGrid w:val="0"/>
        <w:spacing w:line="360" w:lineRule="auto"/>
        <w:ind w:firstLine="413" w:firstLineChars="196"/>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13.5</w:t>
      </w:r>
      <w:r>
        <w:rPr>
          <w:rFonts w:hint="eastAsia" w:ascii="宋体" w:hAnsi="宋体" w:eastAsia="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14:paraId="4ADBF9EB">
      <w:pPr>
        <w:pBdr>
          <w:top w:val="single" w:color="auto" w:sz="4" w:space="1"/>
        </w:pBd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13.6.2                      </w:t>
      </w:r>
      <w:r>
        <w:rPr>
          <w:rFonts w:hint="eastAsia" w:ascii="宋体" w:hAnsi="宋体" w:eastAsia="宋体" w:cs="宋体"/>
          <w:b/>
          <w:color w:val="auto"/>
          <w:szCs w:val="21"/>
          <w:highlight w:val="none"/>
        </w:rPr>
        <w:t>修改类型：修改</w:t>
      </w:r>
    </w:p>
    <w:p w14:paraId="7153A6E4">
      <w:pPr>
        <w:adjustRightInd w:val="0"/>
        <w:snapToGrid w:val="0"/>
        <w:spacing w:line="360" w:lineRule="auto"/>
        <w:ind w:firstLine="413" w:firstLineChars="196"/>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2A9DAB4C">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eastAsia="宋体" w:cs="宋体"/>
          <w:color w:val="auto"/>
          <w:szCs w:val="21"/>
          <w:highlight w:val="none"/>
          <w:u w:val="single"/>
        </w:rPr>
        <w:t>应由招标人招标确定承包人和承包价格。</w:t>
      </w:r>
    </w:p>
    <w:p w14:paraId="4698EC44">
      <w:pP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13.6.4                      </w:t>
      </w:r>
      <w:r>
        <w:rPr>
          <w:rFonts w:hint="eastAsia" w:ascii="宋体" w:hAnsi="宋体" w:eastAsia="宋体" w:cs="宋体"/>
          <w:b/>
          <w:color w:val="auto"/>
          <w:szCs w:val="21"/>
          <w:highlight w:val="none"/>
        </w:rPr>
        <w:t>修改类型：修改</w:t>
      </w:r>
    </w:p>
    <w:p w14:paraId="2C5C27E6">
      <w:pP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314F26C3">
      <w:pPr>
        <w:pStyle w:val="86"/>
        <w:pBdr>
          <w:bottom w:val="single" w:color="auto" w:sz="6" w:space="1"/>
        </w:pBdr>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eastAsia="宋体" w:cs="宋体"/>
          <w:color w:val="auto"/>
          <w:szCs w:val="21"/>
          <w:highlight w:val="none"/>
          <w:u w:val="single"/>
        </w:rPr>
        <w:t>经发包人同意，</w:t>
      </w:r>
      <w:r>
        <w:rPr>
          <w:rFonts w:hint="eastAsia" w:ascii="宋体" w:hAnsi="宋体" w:eastAsia="宋体" w:cs="宋体"/>
          <w:color w:val="auto"/>
          <w:szCs w:val="21"/>
          <w:highlight w:val="none"/>
        </w:rPr>
        <w:t>承包人有法定的承包资格的，由承包人承包，承包人无法定的承包资格但有法定的分包权的，由承包人分包，招标人同承包人结算的价格按本投标须知</w:t>
      </w:r>
      <w:r>
        <w:rPr>
          <w:rFonts w:ascii="宋体" w:hAnsi="宋体" w:eastAsia="宋体" w:cs="宋体"/>
          <w:color w:val="auto"/>
          <w:szCs w:val="21"/>
          <w:highlight w:val="none"/>
        </w:rPr>
        <w:t>13.5款规定确定。</w:t>
      </w:r>
    </w:p>
    <w:p w14:paraId="2A541362">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13.8                         </w:t>
      </w:r>
      <w:r>
        <w:rPr>
          <w:rFonts w:hint="eastAsia" w:ascii="宋体" w:hAnsi="宋体" w:eastAsia="宋体" w:cs="宋体"/>
          <w:b/>
          <w:color w:val="auto"/>
          <w:szCs w:val="21"/>
          <w:highlight w:val="none"/>
        </w:rPr>
        <w:t>修改类型：修改</w:t>
      </w:r>
    </w:p>
    <w:p w14:paraId="3C497915">
      <w:pPr>
        <w:pStyle w:val="86"/>
        <w:adjustRightInd w:val="0"/>
        <w:snapToGrid w:val="0"/>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624F3429">
      <w:pPr>
        <w:pBdr>
          <w:bottom w:val="single" w:color="auto" w:sz="4" w:space="0"/>
        </w:pBd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13.8</w:t>
      </w:r>
      <w:r>
        <w:rPr>
          <w:rFonts w:hint="eastAsia" w:ascii="宋体" w:hAnsi="宋体" w:cs="宋体"/>
          <w:color w:val="auto"/>
          <w:szCs w:val="21"/>
          <w:highlight w:val="none"/>
          <w:u w:val="single"/>
        </w:rPr>
        <w:t>本工程采用的主要材料推荐选用本招标文件附件《参考品牌》的品牌、厂家或选用相当于该档次（或以上）的产品。</w:t>
      </w:r>
      <w:r>
        <w:rPr>
          <w:rFonts w:hint="eastAsia" w:ascii="宋体" w:hAnsi="宋体" w:eastAsia="宋体" w:cs="宋体"/>
          <w:color w:val="auto"/>
          <w:szCs w:val="21"/>
          <w:highlight w:val="none"/>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25BE6BD5">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13.10                         </w:t>
      </w:r>
      <w:r>
        <w:rPr>
          <w:rFonts w:hint="eastAsia" w:ascii="宋体" w:hAnsi="宋体" w:eastAsia="宋体" w:cs="宋体"/>
          <w:b/>
          <w:color w:val="auto"/>
          <w:szCs w:val="21"/>
          <w:highlight w:val="none"/>
        </w:rPr>
        <w:t>修改类型：增加</w:t>
      </w:r>
    </w:p>
    <w:p w14:paraId="1DE3F63A">
      <w:pPr>
        <w:adjustRightInd w:val="0"/>
        <w:snapToGrid w:val="0"/>
        <w:spacing w:line="360" w:lineRule="auto"/>
        <w:ind w:firstLine="413" w:firstLineChars="196"/>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bCs/>
          <w:color w:val="auto"/>
          <w:szCs w:val="21"/>
          <w:highlight w:val="none"/>
          <w:u w:val="single"/>
        </w:rPr>
        <w:t>13.10</w:t>
      </w:r>
      <w:r>
        <w:rPr>
          <w:rFonts w:hint="eastAsia" w:ascii="宋体" w:hAnsi="宋体" w:eastAsia="宋体" w:cs="宋体"/>
          <w:color w:val="auto"/>
          <w:szCs w:val="21"/>
          <w:highlight w:val="none"/>
          <w:u w:val="single"/>
        </w:rPr>
        <w:t>工程量清单报价中有关问题的说明：</w:t>
      </w:r>
    </w:p>
    <w:p w14:paraId="6E84E552">
      <w:pPr>
        <w:adjustRightInd w:val="0"/>
        <w:snapToGrid w:val="0"/>
        <w:spacing w:line="360" w:lineRule="auto"/>
        <w:ind w:firstLine="411" w:firstLineChars="196"/>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1）投标时</w:t>
      </w:r>
      <w:r>
        <w:rPr>
          <w:rFonts w:hint="eastAsia" w:ascii="宋体" w:hAnsi="宋体" w:eastAsia="宋体" w:cs="宋体"/>
          <w:color w:val="auto"/>
          <w:szCs w:val="21"/>
          <w:highlight w:val="none"/>
          <w:u w:val="single"/>
        </w:rPr>
        <w:t>，土方的弃运距离暂按</w:t>
      </w:r>
      <w:r>
        <w:rPr>
          <w:rFonts w:ascii="宋体" w:hAnsi="宋体" w:eastAsia="宋体" w:cs="宋体"/>
          <w:color w:val="auto"/>
          <w:szCs w:val="21"/>
          <w:highlight w:val="none"/>
          <w:u w:val="single"/>
        </w:rPr>
        <w:t>15km内考虑，超过15km按15km计算，结算时按招标人确认的实际运距计算</w:t>
      </w:r>
      <w:r>
        <w:rPr>
          <w:rFonts w:hint="eastAsia" w:ascii="宋体" w:hAnsi="宋体" w:eastAsia="宋体" w:cs="宋体"/>
          <w:color w:val="auto"/>
          <w:szCs w:val="21"/>
          <w:highlight w:val="none"/>
          <w:u w:val="single"/>
        </w:rPr>
        <w:t>，实际运距超过</w:t>
      </w:r>
      <w:r>
        <w:rPr>
          <w:rFonts w:ascii="宋体" w:hAnsi="宋体" w:eastAsia="宋体" w:cs="宋体"/>
          <w:color w:val="auto"/>
          <w:szCs w:val="21"/>
          <w:highlight w:val="none"/>
          <w:u w:val="single"/>
        </w:rPr>
        <w:t>15公里时，按15公里包干，弃运的土方单价按定额计算</w:t>
      </w:r>
      <w:r>
        <w:rPr>
          <w:rFonts w:hint="eastAsia" w:ascii="宋体" w:hAnsi="宋体" w:eastAsia="宋体" w:cs="宋体"/>
          <w:color w:val="auto"/>
          <w:szCs w:val="21"/>
          <w:highlight w:val="none"/>
        </w:rPr>
        <w:t>。</w:t>
      </w:r>
    </w:p>
    <w:p w14:paraId="7BE670A7">
      <w:pPr>
        <w:pBdr>
          <w:bottom w:val="single" w:color="auto" w:sz="4" w:space="0"/>
        </w:pBdr>
        <w:adjustRightInd w:val="0"/>
        <w:snapToGrid w:val="0"/>
        <w:spacing w:line="360" w:lineRule="auto"/>
        <w:ind w:firstLine="470" w:firstLineChars="224"/>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2）工程量清单中措施项目清单费计价表中的绿色施工安全防护措施费执行《广东省住房和城乡建设厅关于印发</w:t>
      </w:r>
      <w:r>
        <w:rPr>
          <w:rFonts w:hint="eastAsia" w:ascii="宋体" w:hAnsi="宋体" w:eastAsia="宋体" w:cs="宋体"/>
          <w:color w:val="auto"/>
          <w:szCs w:val="21"/>
          <w:highlight w:val="none"/>
          <w:u w:val="single"/>
        </w:rPr>
        <w:t>＜广东省建设工程计价依据（</w:t>
      </w:r>
      <w:r>
        <w:rPr>
          <w:rFonts w:ascii="宋体" w:hAnsi="宋体" w:eastAsia="宋体" w:cs="宋体"/>
          <w:color w:val="auto"/>
          <w:szCs w:val="21"/>
          <w:highlight w:val="none"/>
          <w:u w:val="single"/>
        </w:rPr>
        <w:t>2018)</w:t>
      </w:r>
      <w:r>
        <w:rPr>
          <w:rFonts w:hint="eastAsia" w:ascii="宋体" w:hAnsi="宋体" w:eastAsia="宋体" w:cs="宋体"/>
          <w:color w:val="auto"/>
          <w:szCs w:val="21"/>
          <w:highlight w:val="none"/>
          <w:u w:val="single"/>
        </w:rPr>
        <w:t>＞的通知》（穗建市〔</w:t>
      </w:r>
      <w:r>
        <w:rPr>
          <w:rFonts w:ascii="宋体" w:hAnsi="宋体" w:eastAsia="宋体" w:cs="宋体"/>
          <w:color w:val="auto"/>
          <w:szCs w:val="21"/>
          <w:highlight w:val="none"/>
          <w:u w:val="single"/>
        </w:rPr>
        <w:t>2019〕6号）文，绿色施工安全防护措施费按发包人公布的本工程招标控制价（最高投标限价）中的绿色施工安全防护措施费计取，作为非竞争费用，在投标报价中单列，不参与投标竞价，该费用从工程施工中标价中提取，专款专用</w:t>
      </w:r>
      <w:r>
        <w:rPr>
          <w:rFonts w:hint="eastAsia" w:ascii="宋体" w:hAnsi="宋体" w:eastAsia="宋体" w:cs="宋体"/>
          <w:color w:val="auto"/>
          <w:szCs w:val="21"/>
          <w:highlight w:val="none"/>
        </w:rPr>
        <w:t>。</w:t>
      </w:r>
    </w:p>
    <w:p w14:paraId="1FC7F66B">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13.11                          </w:t>
      </w:r>
      <w:r>
        <w:rPr>
          <w:rFonts w:hint="eastAsia" w:ascii="宋体" w:hAnsi="宋体" w:eastAsia="宋体" w:cs="宋体"/>
          <w:b/>
          <w:color w:val="auto"/>
          <w:szCs w:val="21"/>
          <w:highlight w:val="none"/>
        </w:rPr>
        <w:t>修改类型：增加</w:t>
      </w:r>
    </w:p>
    <w:p w14:paraId="5B8AEA23">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14:paraId="1A48E280">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13.12                          </w:t>
      </w:r>
      <w:r>
        <w:rPr>
          <w:rFonts w:hint="eastAsia" w:ascii="宋体" w:hAnsi="宋体" w:eastAsia="宋体" w:cs="宋体"/>
          <w:b/>
          <w:color w:val="auto"/>
          <w:szCs w:val="21"/>
          <w:highlight w:val="none"/>
        </w:rPr>
        <w:t>修改类型：增加</w:t>
      </w:r>
    </w:p>
    <w:p w14:paraId="1E3D0D2C">
      <w:pPr>
        <w:pBdr>
          <w:bottom w:val="single" w:color="auto" w:sz="4" w:space="0"/>
        </w:pBdr>
        <w:adjustRightInd w:val="0"/>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13.12</w:t>
      </w:r>
      <w:r>
        <w:rPr>
          <w:rFonts w:hint="eastAsia" w:ascii="宋体" w:hAnsi="宋体" w:eastAsia="宋体" w:cs="宋体"/>
          <w:color w:val="auto"/>
          <w:szCs w:val="21"/>
          <w:highlight w:val="none"/>
          <w:u w:val="singl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文件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4971E7C6">
      <w:pPr>
        <w:pBdr>
          <w:bottom w:val="none" w:color="auto" w:sz="0" w:space="1"/>
        </w:pBd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13.13                            </w:t>
      </w:r>
      <w:r>
        <w:rPr>
          <w:rFonts w:hint="eastAsia" w:ascii="宋体" w:hAnsi="宋体" w:eastAsia="宋体" w:cs="宋体"/>
          <w:b/>
          <w:color w:val="auto"/>
          <w:szCs w:val="21"/>
          <w:highlight w:val="none"/>
        </w:rPr>
        <w:t>修改类型：增加</w:t>
      </w:r>
    </w:p>
    <w:p w14:paraId="7EAEAA78">
      <w:pPr>
        <w:pBdr>
          <w:bottom w:val="none" w:color="auto" w:sz="0"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除围蔽费用除外）包干使用，且中标人不得以任何理由要求业主另行增加该部分费用（中标人要充分考虑最不利因素影响而采用的施工方案所需的费用）。</w:t>
      </w:r>
    </w:p>
    <w:p w14:paraId="1BD35DDD">
      <w:pPr>
        <w:pBdr>
          <w:top w:val="single" w:color="auto" w:sz="4" w:space="1"/>
          <w:bottom w:val="single" w:color="auto" w:sz="6" w:space="1"/>
        </w:pBd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13.14                             </w:t>
      </w:r>
      <w:r>
        <w:rPr>
          <w:rFonts w:hint="eastAsia" w:ascii="宋体" w:hAnsi="宋体" w:eastAsia="宋体" w:cs="宋体"/>
          <w:b/>
          <w:color w:val="auto"/>
          <w:szCs w:val="21"/>
          <w:highlight w:val="none"/>
        </w:rPr>
        <w:t>修改类型：增加</w:t>
      </w:r>
    </w:p>
    <w:p w14:paraId="5B06E2C5">
      <w:pPr>
        <w:pBdr>
          <w:top w:val="single" w:color="auto" w:sz="4" w:space="1"/>
          <w:bottom w:val="single" w:color="auto" w:sz="6" w:space="1"/>
        </w:pBdr>
        <w:adjustRightInd w:val="0"/>
        <w:snapToGrid w:val="0"/>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14:paraId="58B5B299">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13.15                             </w:t>
      </w:r>
      <w:r>
        <w:rPr>
          <w:rFonts w:hint="eastAsia" w:ascii="宋体" w:hAnsi="宋体" w:eastAsia="宋体" w:cs="宋体"/>
          <w:b/>
          <w:color w:val="auto"/>
          <w:szCs w:val="21"/>
          <w:highlight w:val="none"/>
        </w:rPr>
        <w:t>修改类型：增加</w:t>
      </w:r>
    </w:p>
    <w:p w14:paraId="27425C6F">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13.15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14:paraId="1ED9535D">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13.16                              </w:t>
      </w:r>
      <w:r>
        <w:rPr>
          <w:rFonts w:hint="eastAsia" w:ascii="宋体" w:hAnsi="宋体" w:eastAsia="宋体" w:cs="宋体"/>
          <w:b/>
          <w:color w:val="auto"/>
          <w:szCs w:val="21"/>
          <w:highlight w:val="none"/>
        </w:rPr>
        <w:t>修改类型：增加</w:t>
      </w:r>
    </w:p>
    <w:p w14:paraId="2CBF5803">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13.16中标人应使用绿色生产达标企业生产的混凝土，若不遵守承诺，自愿按不履行合同约定处理。</w:t>
      </w:r>
    </w:p>
    <w:p w14:paraId="795B8642">
      <w:pP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13.17                              </w:t>
      </w:r>
      <w:r>
        <w:rPr>
          <w:rFonts w:hint="eastAsia" w:ascii="宋体" w:hAnsi="宋体" w:eastAsia="宋体" w:cs="宋体"/>
          <w:b/>
          <w:color w:val="auto"/>
          <w:szCs w:val="21"/>
          <w:highlight w:val="none"/>
        </w:rPr>
        <w:t>修改类型：增加</w:t>
      </w:r>
    </w:p>
    <w:p w14:paraId="5DA5B76A">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13.17中标人应按有关规定协助建设业主完成公共排水设施竣工图纸备案工作。</w:t>
      </w:r>
    </w:p>
    <w:p w14:paraId="4F34DD2D">
      <w:pP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15.2                               修改类型：修改</w:t>
      </w:r>
    </w:p>
    <w:p w14:paraId="79E2B683">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369AC35C">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eastAsia="宋体" w:cs="宋体"/>
          <w:color w:val="auto"/>
          <w:szCs w:val="21"/>
          <w:highlight w:val="none"/>
          <w:u w:val="single"/>
        </w:rPr>
        <w:t>投标人可以拒绝招标人这种要求。同意延长投标有效期的投标人既不能要求也不允许修改其投标文件。</w:t>
      </w:r>
    </w:p>
    <w:p w14:paraId="4A7AD7A3">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16.投标保证金                      </w:t>
      </w:r>
      <w:r>
        <w:rPr>
          <w:rFonts w:hint="eastAsia" w:ascii="宋体" w:hAnsi="宋体" w:eastAsia="宋体" w:cs="宋体"/>
          <w:b/>
          <w:color w:val="auto"/>
          <w:szCs w:val="21"/>
          <w:highlight w:val="none"/>
        </w:rPr>
        <w:t>修改类型：修改</w:t>
      </w:r>
    </w:p>
    <w:p w14:paraId="1DCD998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7D43733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16.1.1 </w:t>
      </w:r>
      <w:r>
        <w:rPr>
          <w:rFonts w:hint="eastAsia" w:ascii="宋体" w:hAnsi="宋体" w:eastAsia="宋体" w:cs="宋体"/>
          <w:color w:val="auto"/>
          <w:szCs w:val="21"/>
          <w:highlight w:val="none"/>
        </w:rPr>
        <w:t>采用现金或者支票形式提交的，投标保证金须从投标人的银行基本账户转出。</w:t>
      </w:r>
    </w:p>
    <w:p w14:paraId="474B6542">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16.1.2 </w:t>
      </w:r>
      <w:r>
        <w:rPr>
          <w:rFonts w:hint="eastAsia" w:ascii="宋体" w:hAnsi="宋体" w:eastAsia="宋体" w:cs="宋体"/>
          <w:color w:val="auto"/>
          <w:szCs w:val="21"/>
          <w:highlight w:val="none"/>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eastAsia="宋体" w:cs="宋体"/>
          <w:color w:val="auto"/>
          <w:szCs w:val="21"/>
          <w:highlight w:val="none"/>
        </w:rPr>
        <w:t>16.4条款所列情形的，应将纸质原件提交给招标人。</w:t>
      </w:r>
    </w:p>
    <w:p w14:paraId="2897ED70">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16.1.3 </w:t>
      </w:r>
      <w:r>
        <w:rPr>
          <w:rFonts w:hint="eastAsia" w:ascii="宋体" w:hAnsi="宋体" w:eastAsia="宋体" w:cs="宋体"/>
          <w:color w:val="auto"/>
          <w:szCs w:val="21"/>
          <w:highlight w:val="none"/>
        </w:rPr>
        <w:t>采用电子形式的保函、担保或保证保险提交投标保证金的，应在招标文件中明确电子递交途径。</w:t>
      </w:r>
    </w:p>
    <w:p w14:paraId="7C82471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4906A60">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16.3投标保证金应依据法律法规的相关规定退还。</w:t>
      </w:r>
    </w:p>
    <w:p w14:paraId="2DEF43B3">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16.4如有下列情况之一的，招标人可以不予退还投标保证金（是否退还投标保证金由招标人在招标文件中规定）：</w:t>
      </w:r>
    </w:p>
    <w:p w14:paraId="28B21C8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16.4.1因投标人原因造成投标文件未解密的；</w:t>
      </w:r>
    </w:p>
    <w:p w14:paraId="10EFE8A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16.4.2投标人在投标有效期内撤销投标文件；</w:t>
      </w:r>
    </w:p>
    <w:p w14:paraId="6A6B1CC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16.4.3中标人未能在规定期限内按要求提交履约担保；</w:t>
      </w:r>
    </w:p>
    <w:p w14:paraId="19B2D793">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16.4.4中标人未能在规定期限内签署合同协议。</w:t>
      </w:r>
    </w:p>
    <w:p w14:paraId="3CE63B0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16.5投标人如存在下列情况之一的，将被拒绝在一定时期内参与招标人后续工程投标（拒绝时限需在招标文件中明确）：</w:t>
      </w:r>
    </w:p>
    <w:p w14:paraId="1D9A76C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16.5.1投标人存在16.4条款所列情形且投标人提交的保函、担保或保证保险无法兑付的；</w:t>
      </w:r>
    </w:p>
    <w:p w14:paraId="4A883C57">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16.5.2采用非电子形式提交投标保证金的投标人存在16.4条款所列情形，且未按招标人要求补交银行保函、专业工程担保公司担保或保证保险原件的；</w:t>
      </w:r>
    </w:p>
    <w:p w14:paraId="79D3F32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16.5.3按招标文件要求免于提供投标保证金的投标人存在16.4条款所列情形，且未按招标人要求补交投标保证金的；</w:t>
      </w:r>
    </w:p>
    <w:p w14:paraId="03F28430">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16.5.3按招标文件要求免于提供投标保证金的投标人存在16.4条款所列情形的。</w:t>
      </w:r>
    </w:p>
    <w:p w14:paraId="31AFDC55">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注：</w:t>
      </w:r>
      <w:r>
        <w:rPr>
          <w:rFonts w:ascii="宋体" w:hAnsi="宋体" w:eastAsia="宋体" w:cs="宋体"/>
          <w:color w:val="auto"/>
          <w:szCs w:val="21"/>
          <w:highlight w:val="none"/>
        </w:rPr>
        <w:t>16.5.3款由招标人二选一，需在招标文件中明确。</w:t>
      </w:r>
    </w:p>
    <w:p w14:paraId="19CFFDF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16.1</w:t>
      </w:r>
      <w:r>
        <w:rPr>
          <w:rFonts w:hint="eastAsia" w:ascii="宋体" w:hAnsi="宋体" w:eastAsia="宋体" w:cs="宋体"/>
          <w:color w:val="auto"/>
          <w:szCs w:val="21"/>
          <w:highlight w:val="none"/>
          <w:u w:val="single"/>
        </w:rPr>
        <w:t>本项目不收投标保证金。</w:t>
      </w:r>
    </w:p>
    <w:p w14:paraId="62DCE9F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strike/>
          <w:color w:val="auto"/>
          <w:szCs w:val="21"/>
          <w:highlight w:val="none"/>
        </w:rPr>
      </w:pPr>
      <w:r>
        <w:rPr>
          <w:rFonts w:ascii="宋体" w:hAnsi="宋体" w:eastAsia="宋体" w:cs="宋体"/>
          <w:strike/>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364883D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strike/>
          <w:color w:val="auto"/>
          <w:szCs w:val="21"/>
          <w:highlight w:val="none"/>
        </w:rPr>
        <w:t>16.3投标保证金应依据法律法规的相关规定退还。</w:t>
      </w:r>
    </w:p>
    <w:p w14:paraId="0B09A90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16.4如有下列情况之一的，</w:t>
      </w:r>
      <w:r>
        <w:rPr>
          <w:rFonts w:hint="eastAsia" w:ascii="宋体" w:hAnsi="宋体" w:eastAsia="宋体" w:cs="宋体"/>
          <w:color w:val="auto"/>
          <w:szCs w:val="21"/>
          <w:highlight w:val="none"/>
          <w:u w:val="single"/>
        </w:rPr>
        <w:t>将被拒绝在</w:t>
      </w:r>
      <w:r>
        <w:rPr>
          <w:rFonts w:ascii="宋体" w:hAnsi="宋体" w:eastAsia="宋体" w:cs="宋体"/>
          <w:color w:val="auto"/>
          <w:szCs w:val="21"/>
          <w:highlight w:val="none"/>
          <w:u w:val="single"/>
        </w:rPr>
        <w:t>3个月内参与招标人后续工程投标；</w:t>
      </w:r>
    </w:p>
    <w:p w14:paraId="7D807F5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16.4.1因投标人原因造成投标文件未解密的；</w:t>
      </w:r>
    </w:p>
    <w:p w14:paraId="48A4BF1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16.4.2投标人在投标有效期内撤销投标文件</w:t>
      </w:r>
      <w:r>
        <w:rPr>
          <w:rFonts w:hint="eastAsia" w:ascii="宋体" w:hAnsi="宋体" w:eastAsia="宋体" w:cs="宋体"/>
          <w:color w:val="auto"/>
          <w:szCs w:val="21"/>
          <w:highlight w:val="none"/>
          <w:u w:val="single"/>
        </w:rPr>
        <w:t>或放弃中标资格的</w:t>
      </w:r>
      <w:r>
        <w:rPr>
          <w:rFonts w:hint="eastAsia" w:ascii="宋体" w:hAnsi="宋体" w:eastAsia="宋体" w:cs="宋体"/>
          <w:color w:val="auto"/>
          <w:szCs w:val="21"/>
          <w:highlight w:val="none"/>
        </w:rPr>
        <w:t>；</w:t>
      </w:r>
    </w:p>
    <w:p w14:paraId="2470D272">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16.4.3中标人未能在规定期限内按要求提交履约担保；</w:t>
      </w:r>
    </w:p>
    <w:p w14:paraId="1E9C4C9D">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16.4.4中标人未能在规定期限内签署合同协议</w:t>
      </w:r>
      <w:r>
        <w:rPr>
          <w:rFonts w:hint="eastAsia" w:ascii="宋体" w:hAnsi="宋体" w:eastAsia="宋体" w:cs="宋体"/>
          <w:color w:val="auto"/>
          <w:szCs w:val="21"/>
          <w:highlight w:val="none"/>
          <w:u w:val="single"/>
        </w:rPr>
        <w:t>；</w:t>
      </w:r>
    </w:p>
    <w:p w14:paraId="4604289A">
      <w:pPr>
        <w:pBdr>
          <w:bottom w:val="single" w:color="auto" w:sz="6" w:space="1"/>
        </w:pBdr>
        <w:adjustRightInd w:val="0"/>
        <w:snapToGrid w:val="0"/>
        <w:spacing w:line="360" w:lineRule="auto"/>
        <w:ind w:firstLine="420" w:firstLineChars="200"/>
        <w:rPr>
          <w:rFonts w:ascii="宋体" w:hAnsi="宋体" w:eastAsia="宋体" w:cs="宋体"/>
          <w:b/>
          <w:color w:val="auto"/>
          <w:szCs w:val="21"/>
          <w:highlight w:val="none"/>
          <w:u w:val="single"/>
        </w:rPr>
      </w:pPr>
      <w:r>
        <w:rPr>
          <w:rFonts w:ascii="宋体" w:hAnsi="宋体" w:eastAsia="宋体" w:cs="宋体"/>
          <w:color w:val="auto"/>
          <w:szCs w:val="21"/>
          <w:highlight w:val="none"/>
          <w:u w:val="single"/>
        </w:rPr>
        <w:t>16.4.5投标人弄虚作假骗取中标的。</w:t>
      </w:r>
    </w:p>
    <w:p w14:paraId="26ADE1B4">
      <w:pPr>
        <w:pStyle w:val="86"/>
        <w:adjustRightInd w:val="0"/>
        <w:snapToGrid w:val="0"/>
        <w:spacing w:after="0"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bCs/>
          <w:color w:val="auto"/>
          <w:szCs w:val="21"/>
          <w:highlight w:val="none"/>
        </w:rPr>
        <w:t>17．</w:t>
      </w:r>
      <w:r>
        <w:rPr>
          <w:rFonts w:hint="eastAsia" w:ascii="宋体" w:hAnsi="宋体" w:eastAsia="宋体" w:cs="宋体"/>
          <w:b/>
          <w:color w:val="auto"/>
          <w:szCs w:val="21"/>
          <w:highlight w:val="none"/>
        </w:rPr>
        <w:t>投标文件的签署</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修改类型：修改</w:t>
      </w:r>
    </w:p>
    <w:p w14:paraId="27E53FC3">
      <w:pP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bCs/>
          <w:color w:val="auto"/>
          <w:szCs w:val="21"/>
          <w:highlight w:val="none"/>
        </w:rPr>
        <w:t>17．</w:t>
      </w:r>
      <w:r>
        <w:rPr>
          <w:rFonts w:hint="eastAsia" w:ascii="宋体" w:hAnsi="宋体" w:eastAsia="宋体" w:cs="宋体"/>
          <w:b/>
          <w:color w:val="auto"/>
          <w:szCs w:val="21"/>
          <w:highlight w:val="none"/>
        </w:rPr>
        <w:t>投标文件的签署</w:t>
      </w:r>
    </w:p>
    <w:p w14:paraId="09BCEEA2">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color w:val="auto"/>
          <w:szCs w:val="21"/>
          <w:highlight w:val="none"/>
        </w:rPr>
        <w:t>17.1</w:t>
      </w:r>
      <w:r>
        <w:rPr>
          <w:rFonts w:hint="eastAsia" w:ascii="宋体" w:hAnsi="宋体" w:eastAsia="宋体" w:cs="宋体"/>
          <w:bCs/>
          <w:color w:val="auto"/>
          <w:szCs w:val="21"/>
          <w:highlight w:val="none"/>
        </w:rPr>
        <w:t>投标人应采用单位数字证书，</w:t>
      </w:r>
      <w:r>
        <w:rPr>
          <w:rFonts w:hint="eastAsia" w:ascii="宋体" w:hAnsi="宋体" w:eastAsia="宋体" w:cs="宋体"/>
          <w:b/>
          <w:bCs/>
          <w:color w:val="auto"/>
          <w:kern w:val="0"/>
          <w:sz w:val="22"/>
          <w:szCs w:val="22"/>
          <w:highlight w:val="none"/>
        </w:rPr>
        <w:t>对投标文件</w:t>
      </w:r>
      <w:r>
        <w:rPr>
          <w:rFonts w:hint="eastAsia" w:ascii="宋体" w:hAnsi="宋体" w:eastAsia="宋体" w:cs="宋体"/>
          <w:bCs/>
          <w:color w:val="auto"/>
          <w:szCs w:val="21"/>
          <w:highlight w:val="none"/>
        </w:rPr>
        <w:t>加盖电子印章。投标文件中需个人签字或盖章的，应加盖个人电子印章或在线下完成后原件扫描上传。按照交易平台关于全流程电子化项目的相关指南进行操作。详见：</w:t>
      </w:r>
      <w:r>
        <w:rPr>
          <w:rFonts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w:t>
      </w:r>
    </w:p>
    <w:p w14:paraId="2583A462">
      <w:pP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color w:val="auto"/>
          <w:szCs w:val="21"/>
          <w:highlight w:val="none"/>
        </w:rPr>
        <w:t>17．投标文件的签署</w:t>
      </w:r>
      <w:r>
        <w:rPr>
          <w:rFonts w:hint="eastAsia" w:ascii="宋体" w:hAnsi="宋体" w:eastAsia="宋体" w:cs="宋体"/>
          <w:b/>
          <w:color w:val="auto"/>
          <w:szCs w:val="21"/>
          <w:highlight w:val="none"/>
          <w:u w:val="single"/>
        </w:rPr>
        <w:t>及份数</w:t>
      </w:r>
    </w:p>
    <w:p w14:paraId="7AFBDBC0">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17.1投标人应采用单位数字证书，</w:t>
      </w:r>
      <w:r>
        <w:rPr>
          <w:rFonts w:hint="eastAsia" w:ascii="宋体" w:hAnsi="宋体" w:eastAsia="宋体" w:cs="宋体"/>
          <w:b/>
          <w:bCs/>
          <w:color w:val="auto"/>
          <w:kern w:val="0"/>
          <w:sz w:val="22"/>
          <w:szCs w:val="22"/>
          <w:highlight w:val="none"/>
        </w:rPr>
        <w:t>对投标文件</w:t>
      </w:r>
      <w:r>
        <w:rPr>
          <w:rFonts w:ascii="宋体" w:hAnsi="宋体" w:eastAsia="宋体" w:cs="宋体"/>
          <w:color w:val="auto"/>
          <w:szCs w:val="21"/>
          <w:highlight w:val="none"/>
        </w:rPr>
        <w:t>加盖电子印章。投标文件中需个人签字或盖章的，应加盖个人电子印章或在线下完成后原件扫描上传。按照</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13EDE547">
      <w:pPr>
        <w:pBdr>
          <w:bottom w:val="single" w:color="auto" w:sz="4" w:space="0"/>
        </w:pBdr>
        <w:adjustRightInd w:val="0"/>
        <w:snapToGrid w:val="0"/>
        <w:spacing w:line="360" w:lineRule="auto"/>
        <w:ind w:firstLine="420" w:firstLineChars="200"/>
        <w:rPr>
          <w:rFonts w:ascii="宋体" w:hAnsi="宋体" w:eastAsia="宋体" w:cs="宋体"/>
          <w:b/>
          <w:color w:val="auto"/>
          <w:szCs w:val="21"/>
          <w:highlight w:val="none"/>
        </w:rPr>
      </w:pPr>
      <w:r>
        <w:rPr>
          <w:rFonts w:ascii="宋体" w:hAnsi="宋体" w:eastAsia="宋体" w:cs="宋体"/>
          <w:color w:val="auto"/>
          <w:szCs w:val="21"/>
          <w:highlight w:val="none"/>
          <w:u w:val="single"/>
        </w:rPr>
        <w:t xml:space="preserve">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w:t>
      </w:r>
      <w:r>
        <w:rPr>
          <w:rFonts w:hint="eastAsia" w:ascii="宋体" w:hAnsi="宋体" w:eastAsia="宋体" w:cs="宋体"/>
          <w:color w:val="auto"/>
          <w:szCs w:val="21"/>
          <w:highlight w:val="none"/>
          <w:u w:val="single"/>
        </w:rPr>
        <w:t>软件或广州交易集团有限公司（广州公共资源交易中心）提供的投标书制作软件制作的工程量清单报价表和单价分析表，用</w:t>
      </w:r>
      <w:r>
        <w:rPr>
          <w:rFonts w:ascii="宋体" w:hAnsi="宋体" w:eastAsia="宋体" w:cs="宋体"/>
          <w:color w:val="auto"/>
          <w:szCs w:val="21"/>
          <w:highlight w:val="none"/>
          <w:u w:val="single"/>
        </w:rPr>
        <w:t xml:space="preserve"> Microsoft Word </w:t>
      </w:r>
      <w:r>
        <w:rPr>
          <w:rFonts w:hint="eastAsia" w:ascii="宋体" w:hAnsi="宋体" w:eastAsia="宋体" w:cs="宋体"/>
          <w:color w:val="auto"/>
          <w:szCs w:val="21"/>
          <w:highlight w:val="none"/>
          <w:u w:val="single"/>
        </w:rPr>
        <w:t>软件或广州交易集团有限公司（广州公共资源交易中心）提供的投标书制作软件制作的经济投标文件其他部分。电子文件介质使用</w:t>
      </w:r>
      <w:r>
        <w:rPr>
          <w:rFonts w:ascii="宋体" w:hAnsi="宋体" w:eastAsia="宋体" w:cs="宋体"/>
          <w:color w:val="auto"/>
          <w:szCs w:val="21"/>
          <w:highlight w:val="none"/>
          <w:u w:val="single"/>
        </w:rPr>
        <w:t>CD-R光盘，所有电子文件不能采用压缩处理）。</w:t>
      </w:r>
    </w:p>
    <w:p w14:paraId="5E454EF5">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bCs/>
          <w:color w:val="auto"/>
          <w:szCs w:val="21"/>
          <w:highlight w:val="none"/>
        </w:rPr>
        <w:t xml:space="preserve">18.                          </w:t>
      </w:r>
      <w:r>
        <w:rPr>
          <w:rFonts w:hint="eastAsia" w:ascii="宋体" w:hAnsi="宋体" w:eastAsia="宋体" w:cs="宋体"/>
          <w:b/>
          <w:color w:val="auto"/>
          <w:szCs w:val="21"/>
          <w:highlight w:val="none"/>
        </w:rPr>
        <w:t>修改类型：修改</w:t>
      </w:r>
    </w:p>
    <w:p w14:paraId="5DE9F811">
      <w:pPr>
        <w:adjustRightInd w:val="0"/>
        <w:snapToGrid w:val="0"/>
        <w:spacing w:line="360" w:lineRule="auto"/>
        <w:ind w:firstLine="413" w:firstLineChars="196"/>
        <w:rPr>
          <w:rFonts w:ascii="宋体" w:hAnsi="宋体" w:eastAsia="宋体" w:cs="宋体"/>
          <w:b/>
          <w:bCs/>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color w:val="auto"/>
          <w:szCs w:val="21"/>
          <w:highlight w:val="none"/>
        </w:rPr>
        <w:t>18．投标文件的密封和标记</w:t>
      </w:r>
    </w:p>
    <w:p w14:paraId="04D69A33">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18.1递交的电子投标文件（不含备用光盘）必须进行加密。按照交易平台关于</w:t>
      </w:r>
      <w:r>
        <w:rPr>
          <w:rFonts w:hint="eastAsia" w:ascii="宋体" w:hAnsi="宋体" w:eastAsia="宋体" w:cs="宋体"/>
          <w:color w:val="auto"/>
          <w:szCs w:val="21"/>
          <w:highlight w:val="none"/>
        </w:rPr>
        <w:t>全流程电子化项目的相关指南进行操作。详见：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97987DD">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18.2 </w:t>
      </w:r>
      <w:r>
        <w:rPr>
          <w:rFonts w:hint="eastAsia" w:ascii="宋体" w:hAnsi="宋体" w:eastAsia="宋体" w:cs="宋体"/>
          <w:bCs/>
          <w:color w:val="auto"/>
          <w:szCs w:val="21"/>
          <w:highlight w:val="none"/>
        </w:rPr>
        <w:t>未按要求加密的投标文件，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w:t>
      </w:r>
      <w:r>
        <w:rPr>
          <w:rFonts w:hint="eastAsia" w:ascii="宋体" w:hAnsi="宋体" w:eastAsia="宋体" w:cs="宋体"/>
          <w:bCs/>
          <w:color w:val="auto"/>
          <w:szCs w:val="21"/>
          <w:highlight w:val="none"/>
        </w:rPr>
        <w:t>将予以拒收。</w:t>
      </w:r>
    </w:p>
    <w:p w14:paraId="67B3524E">
      <w:pPr>
        <w:pBdr>
          <w:bottom w:val="single" w:color="auto" w:sz="6" w:space="1"/>
        </w:pBd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color w:val="auto"/>
          <w:szCs w:val="21"/>
          <w:highlight w:val="none"/>
        </w:rPr>
        <w:t>18．投标文件的密封和标记</w:t>
      </w:r>
    </w:p>
    <w:p w14:paraId="755CD9C5">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rPr>
        <w:t>18.1</w:t>
      </w:r>
      <w:r>
        <w:rPr>
          <w:rFonts w:hint="eastAsia" w:ascii="宋体" w:hAnsi="宋体" w:eastAsia="宋体" w:cs="宋体"/>
          <w:bCs/>
          <w:color w:val="auto"/>
          <w:szCs w:val="21"/>
          <w:highlight w:val="none"/>
        </w:rPr>
        <w:t>递交的电子投标文件（不含备用光盘）必须进行加密。按照</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bCs/>
          <w:color w:val="auto"/>
          <w:szCs w:val="21"/>
          <w:highlight w:val="none"/>
        </w:rPr>
        <w:t>交易平台关于</w:t>
      </w:r>
      <w:r>
        <w:rPr>
          <w:rFonts w:hint="eastAsia" w:ascii="宋体" w:hAnsi="宋体" w:eastAsia="宋体" w:cs="宋体"/>
          <w:color w:val="auto"/>
          <w:szCs w:val="21"/>
          <w:highlight w:val="none"/>
        </w:rPr>
        <w:t>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4A510644">
      <w:pPr>
        <w:pBdr>
          <w:bottom w:val="single" w:color="auto" w:sz="6" w:space="1"/>
        </w:pBd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18.2未按要求加密的投标文件，</w:t>
      </w:r>
      <w:r>
        <w:rPr>
          <w:rFonts w:hint="eastAsia" w:ascii="宋体" w:hAnsi="宋体" w:eastAsia="宋体" w:cs="宋体"/>
          <w:bCs/>
          <w:color w:val="auto"/>
          <w:szCs w:val="21"/>
          <w:highlight w:val="none"/>
          <w:u w:val="single"/>
        </w:rPr>
        <w:t>广州交易集团有限公司（广州公共资源交易中心）</w:t>
      </w:r>
      <w:r>
        <w:rPr>
          <w:rFonts w:hint="eastAsia" w:ascii="宋体" w:hAnsi="宋体" w:eastAsia="宋体" w:cs="宋体"/>
          <w:bCs/>
          <w:color w:val="auto"/>
          <w:szCs w:val="21"/>
          <w:highlight w:val="none"/>
        </w:rPr>
        <w:t>交易平台将予以拒收。</w:t>
      </w:r>
    </w:p>
    <w:p w14:paraId="7E2A1403">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19</w:t>
      </w:r>
      <w:r>
        <w:rPr>
          <w:rFonts w:ascii="宋体" w:hAnsi="宋体" w:eastAsia="宋体" w:cs="宋体"/>
          <w:b/>
          <w:bCs/>
          <w:color w:val="auto"/>
          <w:szCs w:val="21"/>
          <w:highlight w:val="none"/>
        </w:rPr>
        <w:t>.</w:t>
      </w:r>
      <w:r>
        <w:rPr>
          <w:rFonts w:ascii="宋体" w:hAnsi="宋体" w:eastAsia="宋体" w:cs="宋体"/>
          <w:b/>
          <w:color w:val="auto"/>
          <w:szCs w:val="21"/>
          <w:highlight w:val="none"/>
        </w:rPr>
        <w:t xml:space="preserve">                         修改类型：修改</w:t>
      </w:r>
    </w:p>
    <w:p w14:paraId="5976BC4D">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color w:val="auto"/>
          <w:szCs w:val="21"/>
          <w:highlight w:val="none"/>
        </w:rPr>
        <w:t>19.投标文件的递交和接收</w:t>
      </w:r>
    </w:p>
    <w:p w14:paraId="036F29B2">
      <w:pPr>
        <w:pBdr>
          <w:bottom w:val="single" w:color="auto" w:sz="6" w:space="1"/>
        </w:pBd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19.1投标人通过</w:t>
      </w:r>
      <w:r>
        <w:rPr>
          <w:rFonts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交易平台递交电子投标文件。</w:t>
      </w:r>
    </w:p>
    <w:p w14:paraId="2AF044B7">
      <w:pPr>
        <w:pBdr>
          <w:bottom w:val="single" w:color="auto" w:sz="6" w:space="1"/>
        </w:pBd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19.2投标人完成电子投标文件上传后，</w:t>
      </w:r>
      <w:r>
        <w:rPr>
          <w:rFonts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交易平台即时向投标人发出递交回执通知。递交时间以递交回执通知载明的传输完成时间为准。</w:t>
      </w:r>
    </w:p>
    <w:p w14:paraId="274171C7">
      <w:pPr>
        <w:pBdr>
          <w:bottom w:val="single" w:color="auto" w:sz="6" w:space="1"/>
        </w:pBd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19.3逾期送达的电子投标文件，</w:t>
      </w:r>
      <w:r>
        <w:rPr>
          <w:rFonts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交易平台将予以拒收。</w:t>
      </w:r>
    </w:p>
    <w:p w14:paraId="2E52122D">
      <w:pPr>
        <w:pBdr>
          <w:bottom w:val="single" w:color="auto" w:sz="6" w:space="1"/>
        </w:pBd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19.4 </w:t>
      </w:r>
      <w:r>
        <w:rPr>
          <w:rFonts w:hint="eastAsia" w:ascii="宋体" w:hAnsi="宋体" w:eastAsia="宋体" w:cs="宋体"/>
          <w:bCs/>
          <w:color w:val="auto"/>
          <w:szCs w:val="21"/>
          <w:highlight w:val="none"/>
        </w:rPr>
        <w:t>投标截止前，招标人拒绝接收符合条件的投标文件，投标人可向招标投标监督机构投诉。</w:t>
      </w:r>
    </w:p>
    <w:p w14:paraId="2F0FD1CD">
      <w:pPr>
        <w:pBdr>
          <w:bottom w:val="single" w:color="auto" w:sz="6" w:space="1"/>
        </w:pBd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19.5如技术标和经济标先后分别开启，</w:t>
      </w:r>
      <w:r>
        <w:rPr>
          <w:rFonts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交易平台将按招标文件规定的时间分别开启技术标和经济标。</w:t>
      </w:r>
    </w:p>
    <w:p w14:paraId="78F93300">
      <w:pPr>
        <w:pBdr>
          <w:bottom w:val="single" w:color="auto" w:sz="6" w:space="1"/>
        </w:pBd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color w:val="auto"/>
          <w:szCs w:val="21"/>
          <w:highlight w:val="none"/>
        </w:rPr>
        <w:t>19.</w:t>
      </w:r>
      <w:r>
        <w:rPr>
          <w:rFonts w:hint="eastAsia" w:ascii="宋体" w:hAnsi="宋体" w:eastAsia="宋体" w:cs="宋体"/>
          <w:b/>
          <w:color w:val="auto"/>
          <w:szCs w:val="21"/>
          <w:highlight w:val="none"/>
          <w:u w:val="single"/>
        </w:rPr>
        <w:t>投标登记和</w:t>
      </w:r>
      <w:r>
        <w:rPr>
          <w:rFonts w:hint="eastAsia" w:ascii="宋体" w:hAnsi="宋体" w:eastAsia="宋体" w:cs="宋体"/>
          <w:b/>
          <w:color w:val="auto"/>
          <w:szCs w:val="21"/>
          <w:highlight w:val="none"/>
        </w:rPr>
        <w:t>投标文件的递交和接收</w:t>
      </w:r>
    </w:p>
    <w:p w14:paraId="2E1A93F8">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19.1</w:t>
      </w:r>
      <w:r>
        <w:rPr>
          <w:rFonts w:hint="eastAsia" w:ascii="宋体" w:hAnsi="宋体" w:eastAsia="宋体" w:cs="宋体"/>
          <w:bCs/>
          <w:color w:val="auto"/>
          <w:szCs w:val="21"/>
          <w:highlight w:val="none"/>
        </w:rPr>
        <w:t>投标人通过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交易平台递交电子投标文件。</w:t>
      </w:r>
    </w:p>
    <w:p w14:paraId="36590C4E">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19.2投标人完成电子投标文件上传后，</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交易平台即时向投标人发出递交回执通知。递交时间以递交回执通知载明的传输完成时间为准。</w:t>
      </w:r>
    </w:p>
    <w:p w14:paraId="4E6672D5">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19.3逾期送达的电子投标文件，</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交易平台将予以拒收。</w:t>
      </w:r>
    </w:p>
    <w:p w14:paraId="1D5AC823">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19.4投标截止前，招标人拒绝接收符合条件的投标文件，投标人可向招标投标监督机构投诉。</w:t>
      </w:r>
    </w:p>
    <w:p w14:paraId="613EAF65">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19.5</w:t>
      </w:r>
      <w:r>
        <w:rPr>
          <w:rFonts w:hint="eastAsia" w:ascii="宋体" w:hAnsi="宋体" w:eastAsia="宋体" w:cs="宋体"/>
          <w:color w:val="auto"/>
          <w:szCs w:val="21"/>
          <w:highlight w:val="none"/>
          <w:u w:val="single"/>
        </w:rPr>
        <w:t>广州交易集团有限公司（广州公共资源交易中心）交易平台将按招标文件规定的时间同时开启技术标（含资格审查文件）和经济标文件。</w:t>
      </w:r>
    </w:p>
    <w:p w14:paraId="58B5AD03">
      <w:pPr>
        <w:adjustRightInd w:val="0"/>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20.3                       </w:t>
      </w:r>
      <w:r>
        <w:rPr>
          <w:rFonts w:hint="eastAsia" w:ascii="宋体" w:hAnsi="宋体" w:eastAsia="宋体" w:cs="宋体"/>
          <w:b/>
          <w:color w:val="auto"/>
          <w:szCs w:val="21"/>
          <w:highlight w:val="none"/>
        </w:rPr>
        <w:t>修改类型：修改</w:t>
      </w:r>
    </w:p>
    <w:p w14:paraId="60CAD4E8">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74215889">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20.3</w:t>
      </w:r>
      <w:r>
        <w:rPr>
          <w:rFonts w:hint="eastAsia" w:ascii="宋体" w:hAnsi="宋体" w:eastAsia="宋体" w:cs="宋体"/>
          <w:color w:val="auto"/>
          <w:szCs w:val="21"/>
          <w:highlight w:val="none"/>
          <w:u w:val="single"/>
        </w:rPr>
        <w:t>到投标截止时间止，招标人收到的投标文件少于</w:t>
      </w:r>
      <w:r>
        <w:rPr>
          <w:rFonts w:ascii="宋体" w:hAnsi="宋体" w:eastAsia="宋体" w:cs="宋体"/>
          <w:color w:val="auto"/>
          <w:szCs w:val="21"/>
          <w:highlight w:val="none"/>
          <w:u w:val="single"/>
        </w:rPr>
        <w:t>3家的，招标人将重新组织招标。</w:t>
      </w:r>
    </w:p>
    <w:p w14:paraId="28CDA9C0">
      <w:pPr>
        <w:adjustRightInd w:val="0"/>
        <w:snapToGrid w:val="0"/>
        <w:spacing w:line="360" w:lineRule="auto"/>
        <w:ind w:firstLine="472" w:firstLineChars="224"/>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21.1                       </w:t>
      </w:r>
      <w:r>
        <w:rPr>
          <w:rFonts w:hint="eastAsia" w:ascii="宋体" w:hAnsi="宋体" w:eastAsia="宋体" w:cs="宋体"/>
          <w:b/>
          <w:color w:val="auto"/>
          <w:szCs w:val="21"/>
          <w:highlight w:val="none"/>
        </w:rPr>
        <w:t>修改类型：修改</w:t>
      </w:r>
    </w:p>
    <w:p w14:paraId="2EF6B57B">
      <w:pPr>
        <w:adjustRightInd w:val="0"/>
        <w:snapToGrid w:val="0"/>
        <w:spacing w:line="360" w:lineRule="auto"/>
        <w:ind w:firstLine="472" w:firstLineChars="224"/>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21.1本须知前附表第17项规定的投标截止时间</w:t>
      </w:r>
      <w:r>
        <w:rPr>
          <w:rFonts w:hint="eastAsia" w:ascii="宋体" w:hAnsi="宋体" w:eastAsia="宋体" w:cs="宋体"/>
          <w:bCs/>
          <w:color w:val="auto"/>
          <w:szCs w:val="21"/>
          <w:highlight w:val="none"/>
        </w:rPr>
        <w:t>后送达的电子投标文件，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14:paraId="54376A26">
      <w:pPr>
        <w:pBdr>
          <w:bottom w:val="single" w:color="auto" w:sz="6" w:space="1"/>
        </w:pBdr>
        <w:adjustRightInd w:val="0"/>
        <w:snapToGrid w:val="0"/>
        <w:spacing w:line="360" w:lineRule="auto"/>
        <w:ind w:firstLine="527" w:firstLineChars="250"/>
        <w:textAlignment w:val="baseline"/>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21.1本须知前附表第17项规定的投标截止时间</w:t>
      </w:r>
      <w:r>
        <w:rPr>
          <w:rFonts w:hint="eastAsia" w:ascii="宋体" w:hAnsi="宋体" w:eastAsia="宋体" w:cs="宋体"/>
          <w:bCs/>
          <w:color w:val="auto"/>
          <w:szCs w:val="21"/>
          <w:highlight w:val="none"/>
        </w:rPr>
        <w:t>后送达的电子投标文件，</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交易平台将予以拒收。</w:t>
      </w:r>
    </w:p>
    <w:p w14:paraId="10EE2B45">
      <w:pPr>
        <w:adjustRightInd w:val="0"/>
        <w:snapToGrid w:val="0"/>
        <w:spacing w:line="360" w:lineRule="auto"/>
        <w:ind w:firstLine="472" w:firstLineChars="224"/>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24                         修改类型：修改</w:t>
      </w:r>
    </w:p>
    <w:p w14:paraId="751DD3C3">
      <w:pPr>
        <w:adjustRightInd w:val="0"/>
        <w:snapToGrid w:val="0"/>
        <w:spacing w:line="360" w:lineRule="auto"/>
        <w:ind w:firstLine="472" w:firstLineChars="224"/>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color w:val="auto"/>
          <w:szCs w:val="21"/>
          <w:highlight w:val="none"/>
        </w:rPr>
        <w:t>24．评标过程的保密</w:t>
      </w:r>
    </w:p>
    <w:p w14:paraId="349A93EB">
      <w:pPr>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ascii="宋体" w:hAnsi="宋体" w:eastAsia="宋体" w:cs="宋体"/>
          <w:color w:val="auto"/>
          <w:szCs w:val="21"/>
          <w:highlight w:val="none"/>
        </w:rPr>
        <w:t>24.1开标后，直至中标公示为止，凡属于对投标文件的审查、澄清、评价和比较有关的资料以及中标候选人的推荐情况，与评标有关的其他任何情况均严格保密。</w:t>
      </w:r>
    </w:p>
    <w:p w14:paraId="6C9856E1">
      <w:pPr>
        <w:adjustRightInd w:val="0"/>
        <w:snapToGrid w:val="0"/>
        <w:spacing w:line="360" w:lineRule="auto"/>
        <w:ind w:firstLine="420" w:firstLineChars="200"/>
        <w:textAlignment w:val="baseline"/>
        <w:rPr>
          <w:rFonts w:ascii="宋体" w:hAnsi="宋体" w:eastAsia="宋体" w:cs="宋体"/>
          <w:b/>
          <w:color w:val="auto"/>
          <w:szCs w:val="21"/>
          <w:highlight w:val="none"/>
        </w:rPr>
      </w:pPr>
      <w:r>
        <w:rPr>
          <w:rFonts w:ascii="宋体" w:hAnsi="宋体" w:eastAsia="宋体" w:cs="宋体"/>
          <w:color w:val="auto"/>
          <w:szCs w:val="21"/>
          <w:highlight w:val="none"/>
        </w:rPr>
        <w:t>24.2在投标文件的评审和比较、中标候选人推荐以及授予合同的过程中，投标人向招标人和评标委员会施加不公正影响的任何行为，都将会导致其投标被拒绝。</w:t>
      </w:r>
    </w:p>
    <w:p w14:paraId="0D034495">
      <w:pPr>
        <w:pBdr>
          <w:bottom w:val="single" w:color="auto" w:sz="6" w:space="1"/>
        </w:pBdr>
        <w:adjustRightInd w:val="0"/>
        <w:snapToGrid w:val="0"/>
        <w:spacing w:line="360" w:lineRule="auto"/>
        <w:ind w:firstLine="527" w:firstLineChars="25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color w:val="auto"/>
          <w:szCs w:val="21"/>
          <w:highlight w:val="none"/>
        </w:rPr>
        <w:t>24．评标过程的保密</w:t>
      </w:r>
    </w:p>
    <w:p w14:paraId="52EF76D4">
      <w:pPr>
        <w:pBdr>
          <w:bottom w:val="single" w:color="auto" w:sz="6" w:space="1"/>
        </w:pBdr>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ascii="宋体" w:hAnsi="宋体" w:eastAsia="宋体" w:cs="宋体"/>
          <w:color w:val="auto"/>
          <w:szCs w:val="21"/>
          <w:highlight w:val="none"/>
        </w:rPr>
        <w:t>24.1开标后，直至</w:t>
      </w:r>
      <w:r>
        <w:rPr>
          <w:rFonts w:hint="eastAsia" w:ascii="宋体" w:hAnsi="宋体" w:eastAsia="宋体" w:cs="宋体"/>
          <w:color w:val="auto"/>
          <w:szCs w:val="21"/>
          <w:highlight w:val="none"/>
          <w:u w:val="single"/>
        </w:rPr>
        <w:t>合格的中标候选人</w:t>
      </w:r>
      <w:r>
        <w:rPr>
          <w:rFonts w:hint="eastAsia" w:ascii="宋体" w:hAnsi="宋体" w:eastAsia="宋体" w:cs="宋体"/>
          <w:color w:val="auto"/>
          <w:szCs w:val="21"/>
          <w:highlight w:val="none"/>
        </w:rPr>
        <w:t>公示为止，凡属于对投标文件的审查、澄清、评价和比较有关的资料以及</w:t>
      </w:r>
      <w:r>
        <w:rPr>
          <w:rFonts w:hint="eastAsia" w:ascii="宋体" w:hAnsi="宋体" w:eastAsia="宋体" w:cs="宋体"/>
          <w:color w:val="auto"/>
          <w:szCs w:val="21"/>
          <w:highlight w:val="none"/>
          <w:u w:val="single"/>
        </w:rPr>
        <w:t>合格的</w:t>
      </w:r>
      <w:r>
        <w:rPr>
          <w:rFonts w:hint="eastAsia" w:ascii="宋体" w:hAnsi="宋体" w:eastAsia="宋体" w:cs="宋体"/>
          <w:color w:val="auto"/>
          <w:szCs w:val="21"/>
          <w:highlight w:val="none"/>
        </w:rPr>
        <w:t>中标候选人的推荐情况，与评标有关的其他任何情况均严格保密。</w:t>
      </w:r>
    </w:p>
    <w:p w14:paraId="40E5175E">
      <w:pPr>
        <w:pBdr>
          <w:bottom w:val="single" w:color="auto" w:sz="6" w:space="1"/>
        </w:pBdr>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ascii="宋体" w:hAnsi="宋体" w:eastAsia="宋体" w:cs="宋体"/>
          <w:color w:val="auto"/>
          <w:szCs w:val="21"/>
          <w:highlight w:val="none"/>
        </w:rPr>
        <w:t>24.2在投标文件的评审和比较、</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中标候选人推荐</w:t>
      </w:r>
      <w:r>
        <w:rPr>
          <w:rFonts w:ascii="宋体" w:hAnsi="宋体" w:eastAsia="宋体" w:cs="宋体"/>
          <w:color w:val="auto"/>
          <w:szCs w:val="21"/>
          <w:highlight w:val="none"/>
          <w:u w:val="single"/>
        </w:rPr>
        <w:t>[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定标</w:t>
      </w:r>
      <w:r>
        <w:rPr>
          <w:rFonts w:hint="eastAsia" w:ascii="宋体" w:hAnsi="宋体" w:eastAsia="宋体" w:cs="宋体"/>
          <w:color w:val="auto"/>
          <w:szCs w:val="21"/>
          <w:highlight w:val="none"/>
        </w:rPr>
        <w:t>以及授予合同的过程中，投标人向招标人和评标委员会</w:t>
      </w:r>
      <w:r>
        <w:rPr>
          <w:rFonts w:hint="eastAsia" w:ascii="宋体" w:hAnsi="宋体" w:eastAsia="宋体" w:cs="宋体"/>
          <w:color w:val="auto"/>
          <w:szCs w:val="21"/>
          <w:highlight w:val="none"/>
          <w:u w:val="single"/>
        </w:rPr>
        <w:t>和定标委员会</w:t>
      </w:r>
      <w:r>
        <w:rPr>
          <w:rFonts w:hint="eastAsia" w:ascii="宋体" w:hAnsi="宋体" w:eastAsia="宋体" w:cs="宋体"/>
          <w:color w:val="auto"/>
          <w:szCs w:val="21"/>
          <w:highlight w:val="none"/>
        </w:rPr>
        <w:t>施加不公正影响的任何行为，都将会导致其投标被拒绝。</w:t>
      </w:r>
    </w:p>
    <w:p w14:paraId="7E747D79">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27.1                        </w:t>
      </w:r>
      <w:r>
        <w:rPr>
          <w:rFonts w:hint="eastAsia" w:ascii="宋体" w:hAnsi="宋体" w:eastAsia="宋体" w:cs="宋体"/>
          <w:b/>
          <w:color w:val="auto"/>
          <w:szCs w:val="21"/>
          <w:highlight w:val="none"/>
        </w:rPr>
        <w:t>修改类型：修改</w:t>
      </w:r>
    </w:p>
    <w:p w14:paraId="6A52B42A">
      <w:pP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27.1招标人将在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交易平台进行，招标人也应通过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交易平台答复线上提交的异议。作出答复前，应当暂停招标投标活动。</w:t>
      </w:r>
    </w:p>
    <w:p w14:paraId="7DF40622">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27.1</w:t>
      </w:r>
      <w:r>
        <w:rPr>
          <w:rFonts w:hint="eastAsia" w:ascii="宋体" w:hAnsi="宋体" w:eastAsia="宋体" w:cs="宋体"/>
          <w:color w:val="auto"/>
          <w:szCs w:val="21"/>
          <w:highlight w:val="none"/>
          <w:u w:val="single"/>
        </w:rPr>
        <w:t>在评标委员会完成评标工作后，</w:t>
      </w:r>
      <w:r>
        <w:rPr>
          <w:rFonts w:hint="eastAsia" w:ascii="宋体" w:hAnsi="宋体" w:eastAsia="宋体" w:cs="宋体"/>
          <w:color w:val="auto"/>
          <w:szCs w:val="21"/>
          <w:highlight w:val="none"/>
        </w:rPr>
        <w:t>招标人将在</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交易平台、广东省招标投标监管网和中国招标投标公共服务平台公示</w:t>
      </w:r>
      <w:r>
        <w:rPr>
          <w:rFonts w:hint="eastAsia" w:ascii="宋体" w:hAnsi="宋体" w:eastAsia="宋体" w:cs="宋体"/>
          <w:color w:val="auto"/>
          <w:szCs w:val="21"/>
          <w:highlight w:val="none"/>
          <w:u w:val="single"/>
        </w:rPr>
        <w:t>合格的</w:t>
      </w:r>
      <w:r>
        <w:rPr>
          <w:rFonts w:hint="eastAsia" w:ascii="宋体" w:hAnsi="宋体" w:eastAsia="宋体" w:cs="宋体"/>
          <w:color w:val="auto"/>
          <w:szCs w:val="21"/>
          <w:highlight w:val="none"/>
        </w:rPr>
        <w:t>中标候选人，公示期为三天。投标人或其他利害关系人对评标结果有异议的，应当在</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中标候选人公示期间提出，可以通过线下或线上的形式提出异议。线上提交的，应通过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交易平台进行，招标人也应通过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交易平台答复线上提交的异议。作出答复前，应当暂停招标投标活动。</w:t>
      </w:r>
    </w:p>
    <w:p w14:paraId="2D6D4B78">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27.4                        </w:t>
      </w:r>
      <w:r>
        <w:rPr>
          <w:rFonts w:hint="eastAsia" w:ascii="宋体" w:hAnsi="宋体" w:eastAsia="宋体" w:cs="宋体"/>
          <w:b/>
          <w:color w:val="auto"/>
          <w:szCs w:val="21"/>
          <w:highlight w:val="none"/>
        </w:rPr>
        <w:t>修改类型：修改</w:t>
      </w:r>
    </w:p>
    <w:p w14:paraId="6166A70E">
      <w:pP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27.4在产生中标候选人后，招标人将中标候选人的投标文件商务部分文件的所有内容（包括人员、业绩、奖项等资料）在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交易平台和广东省招标投标监管网公开。</w:t>
      </w:r>
    </w:p>
    <w:p w14:paraId="60325D93">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27.4在产生</w:t>
      </w:r>
      <w:r>
        <w:rPr>
          <w:rFonts w:hint="eastAsia" w:ascii="宋体" w:hAnsi="宋体" w:eastAsia="宋体" w:cs="宋体"/>
          <w:color w:val="auto"/>
          <w:szCs w:val="21"/>
          <w:highlight w:val="none"/>
          <w:u w:val="single"/>
        </w:rPr>
        <w:t>合格的</w:t>
      </w:r>
      <w:r>
        <w:rPr>
          <w:rFonts w:hint="eastAsia" w:ascii="宋体" w:hAnsi="宋体" w:eastAsia="宋体" w:cs="宋体"/>
          <w:color w:val="auto"/>
          <w:szCs w:val="21"/>
          <w:highlight w:val="none"/>
        </w:rPr>
        <w:t>中标候选人后，招标人将</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中标候选人的投标文件商务部分文件的所有内容（包括人员、业绩、奖项等资料）在</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交易平台和广东省招标投标监管网公开。</w:t>
      </w:r>
    </w:p>
    <w:p w14:paraId="33DF07F8">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28.2                        </w:t>
      </w:r>
      <w:r>
        <w:rPr>
          <w:rFonts w:hint="eastAsia" w:ascii="宋体" w:hAnsi="宋体" w:eastAsia="宋体" w:cs="宋体"/>
          <w:b/>
          <w:color w:val="auto"/>
          <w:szCs w:val="21"/>
          <w:highlight w:val="none"/>
        </w:rPr>
        <w:t>修改类型：修改</w:t>
      </w:r>
    </w:p>
    <w:p w14:paraId="251F6FA8">
      <w:pP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51CA05C">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28.2中标通知书发出之日起30日后，中标人未按上款的规定与招标人订立合同，招标人将解除中标通知书，</w:t>
      </w:r>
      <w:r>
        <w:rPr>
          <w:rFonts w:hint="eastAsia" w:ascii="宋体" w:hAnsi="宋体" w:eastAsia="宋体" w:cs="宋体"/>
          <w:color w:val="auto"/>
          <w:szCs w:val="21"/>
          <w:highlight w:val="none"/>
          <w:u w:val="single"/>
        </w:rPr>
        <w:t>原中标人依法承担相应法律责任。原中标人给招标人造成的损失，应当对其予以赔偿。</w:t>
      </w:r>
      <w:r>
        <w:rPr>
          <w:rFonts w:hint="eastAsia" w:ascii="宋体" w:hAnsi="宋体" w:eastAsia="宋体" w:cs="宋体"/>
          <w:color w:val="auto"/>
          <w:szCs w:val="21"/>
          <w:highlight w:val="none"/>
        </w:rPr>
        <w:t>原中标人有异议的，可以向人民法院起诉。</w:t>
      </w:r>
    </w:p>
    <w:p w14:paraId="0D7AA915">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28.3                        </w:t>
      </w:r>
      <w:r>
        <w:rPr>
          <w:rFonts w:hint="eastAsia" w:ascii="宋体" w:hAnsi="宋体" w:eastAsia="宋体" w:cs="宋体"/>
          <w:b/>
          <w:color w:val="auto"/>
          <w:szCs w:val="21"/>
          <w:highlight w:val="none"/>
        </w:rPr>
        <w:t>修改类型：修改</w:t>
      </w:r>
    </w:p>
    <w:p w14:paraId="49E1090D">
      <w:pP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65CA0411">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28.3非经招标人同意，中标人在投标过程中使用的银行名称及</w:t>
      </w:r>
      <w:r>
        <w:rPr>
          <w:rFonts w:hint="eastAsia" w:ascii="宋体" w:hAnsi="宋体" w:eastAsia="宋体" w:cs="宋体"/>
          <w:color w:val="auto"/>
          <w:szCs w:val="21"/>
          <w:highlight w:val="none"/>
          <w:u w:val="single"/>
        </w:rPr>
        <w:t>账号</w:t>
      </w:r>
      <w:r>
        <w:rPr>
          <w:rFonts w:hint="eastAsia" w:ascii="宋体" w:hAnsi="宋体" w:eastAsia="宋体" w:cs="宋体"/>
          <w:color w:val="auto"/>
          <w:szCs w:val="21"/>
          <w:highlight w:val="none"/>
        </w:rPr>
        <w:t>至完成竣工结算不得变更，否则招标人有权停止工程款项的</w:t>
      </w:r>
      <w:r>
        <w:rPr>
          <w:rFonts w:hint="eastAsia" w:ascii="宋体" w:hAnsi="宋体" w:eastAsia="宋体" w:cs="宋体"/>
          <w:color w:val="auto"/>
          <w:szCs w:val="21"/>
          <w:highlight w:val="none"/>
          <w:u w:val="single"/>
        </w:rPr>
        <w:t>拨付</w:t>
      </w:r>
      <w:r>
        <w:rPr>
          <w:rFonts w:hint="eastAsia" w:ascii="宋体" w:hAnsi="宋体" w:eastAsia="宋体" w:cs="宋体"/>
          <w:color w:val="auto"/>
          <w:szCs w:val="21"/>
          <w:highlight w:val="none"/>
        </w:rPr>
        <w:t>及至解除合同，由此造成的一切责任由中标人承担。</w:t>
      </w:r>
    </w:p>
    <w:p w14:paraId="3C16B0D0">
      <w:pPr>
        <w:adjustRightInd w:val="0"/>
        <w:snapToGrid w:val="0"/>
        <w:spacing w:line="360" w:lineRule="auto"/>
        <w:ind w:firstLine="413" w:firstLineChars="196"/>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28.5                        </w:t>
      </w:r>
      <w:r>
        <w:rPr>
          <w:rFonts w:hint="eastAsia" w:ascii="宋体" w:hAnsi="宋体" w:eastAsia="宋体" w:cs="宋体"/>
          <w:b/>
          <w:color w:val="auto"/>
          <w:szCs w:val="21"/>
          <w:highlight w:val="none"/>
        </w:rPr>
        <w:t>修改类型：增加</w:t>
      </w:r>
    </w:p>
    <w:p w14:paraId="7FE4E840">
      <w:pPr>
        <w:pBdr>
          <w:bottom w:val="single" w:color="auto" w:sz="6" w:space="1"/>
        </w:pBdr>
        <w:adjustRightInd w:val="0"/>
        <w:snapToGrid w:val="0"/>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28.5如本工程委托代建单位（项目建设管理单位），则可由代建单位作为发包人与中标人签订合同。</w:t>
      </w:r>
    </w:p>
    <w:p w14:paraId="4DCFDDAF">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29.1                        </w:t>
      </w:r>
      <w:r>
        <w:rPr>
          <w:rFonts w:hint="eastAsia" w:ascii="宋体" w:hAnsi="宋体" w:eastAsia="宋体" w:cs="宋体"/>
          <w:b/>
          <w:color w:val="auto"/>
          <w:szCs w:val="21"/>
          <w:highlight w:val="none"/>
        </w:rPr>
        <w:t>修改类型：修改</w:t>
      </w:r>
    </w:p>
    <w:p w14:paraId="78580E25">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29.1在收到中标通知书后的</w:t>
      </w:r>
      <w:r>
        <w:rPr>
          <w:rFonts w:ascii="宋体" w:hAnsi="宋体" w:eastAsia="宋体" w:cs="宋体"/>
          <w:bCs/>
          <w:color w:val="auto"/>
          <w:szCs w:val="21"/>
          <w:highlight w:val="none"/>
        </w:rPr>
        <w:t>15日</w:t>
      </w:r>
      <w:r>
        <w:rPr>
          <w:rFonts w:hint="eastAsia" w:ascii="宋体" w:hAnsi="宋体" w:eastAsia="宋体" w:cs="宋体"/>
          <w:color w:val="auto"/>
          <w:szCs w:val="21"/>
          <w:highlight w:val="none"/>
        </w:rPr>
        <w:t>内，中标人应按本须知前附表第</w:t>
      </w:r>
      <w:r>
        <w:rPr>
          <w:rFonts w:ascii="宋体" w:hAnsi="宋体" w:eastAsia="宋体" w:cs="宋体"/>
          <w:color w:val="auto"/>
          <w:szCs w:val="21"/>
          <w:highlight w:val="none"/>
        </w:rPr>
        <w:t>20项的规定向招标人提交履约担保。</w:t>
      </w:r>
    </w:p>
    <w:p w14:paraId="7DF965E1">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29.1</w:t>
      </w:r>
      <w:r>
        <w:rPr>
          <w:rFonts w:hint="eastAsia" w:ascii="宋体" w:hAnsi="宋体" w:eastAsia="宋体" w:cs="宋体"/>
          <w:color w:val="auto"/>
          <w:szCs w:val="21"/>
          <w:highlight w:val="none"/>
          <w:u w:val="single"/>
        </w:rPr>
        <w:t>合同正式签订之日后的</w:t>
      </w:r>
      <w:r>
        <w:rPr>
          <w:rFonts w:ascii="宋体" w:hAnsi="宋体" w:eastAsia="宋体" w:cs="宋体"/>
          <w:color w:val="auto"/>
          <w:szCs w:val="21"/>
          <w:highlight w:val="none"/>
          <w:u w:val="single"/>
        </w:rPr>
        <w:t>30日内</w:t>
      </w:r>
      <w:r>
        <w:rPr>
          <w:rFonts w:hint="eastAsia" w:ascii="宋体" w:hAnsi="宋体" w:eastAsia="宋体" w:cs="宋体"/>
          <w:color w:val="auto"/>
          <w:szCs w:val="21"/>
          <w:highlight w:val="none"/>
        </w:rPr>
        <w:t>，中标人应按本须知前附表第</w:t>
      </w:r>
      <w:r>
        <w:rPr>
          <w:rFonts w:ascii="宋体" w:hAnsi="宋体" w:eastAsia="宋体" w:cs="宋体"/>
          <w:color w:val="auto"/>
          <w:szCs w:val="21"/>
          <w:highlight w:val="none"/>
        </w:rPr>
        <w:t>20项的规定向招标人提交履约担保。</w:t>
      </w:r>
    </w:p>
    <w:p w14:paraId="230050C7">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29.2                        </w:t>
      </w:r>
      <w:r>
        <w:rPr>
          <w:rFonts w:hint="eastAsia" w:ascii="宋体" w:hAnsi="宋体" w:eastAsia="宋体" w:cs="宋体"/>
          <w:b/>
          <w:color w:val="auto"/>
          <w:szCs w:val="21"/>
          <w:highlight w:val="none"/>
        </w:rPr>
        <w:t>修改类型：修改</w:t>
      </w:r>
    </w:p>
    <w:p w14:paraId="3CB67D83">
      <w:pPr>
        <w:adjustRightInd w:val="0"/>
        <w:snapToGrid w:val="0"/>
        <w:spacing w:line="360" w:lineRule="auto"/>
        <w:ind w:firstLine="413" w:firstLineChars="196"/>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7062BDC">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w:t>
      </w:r>
      <w:r>
        <w:rPr>
          <w:rFonts w:ascii="宋体" w:hAnsi="宋体" w:eastAsia="宋体" w:cs="宋体"/>
          <w:color w:val="auto"/>
          <w:szCs w:val="21"/>
          <w:highlight w:val="none"/>
        </w:rPr>
        <w:t>29.2</w:t>
      </w:r>
      <w:r>
        <w:rPr>
          <w:rFonts w:hint="eastAsia" w:ascii="宋体" w:hAnsi="宋体" w:eastAsia="宋体" w:cs="宋体"/>
          <w:color w:val="auto"/>
          <w:szCs w:val="21"/>
          <w:highlight w:val="none"/>
          <w:u w:val="single"/>
        </w:rPr>
        <w:t>合同正式签订之日后的</w:t>
      </w:r>
      <w:r>
        <w:rPr>
          <w:rFonts w:ascii="宋体" w:hAnsi="宋体" w:eastAsia="宋体" w:cs="宋体"/>
          <w:color w:val="auto"/>
          <w:szCs w:val="21"/>
          <w:highlight w:val="none"/>
          <w:u w:val="single"/>
        </w:rPr>
        <w:t>30日内</w:t>
      </w:r>
      <w:r>
        <w:rPr>
          <w:rFonts w:hint="eastAsia" w:ascii="宋体" w:hAnsi="宋体" w:eastAsia="宋体" w:cs="宋体"/>
          <w:color w:val="auto"/>
          <w:szCs w:val="21"/>
          <w:highlight w:val="none"/>
        </w:rPr>
        <w:t>，中标人未按上款的规定递交履约担保，招标人将解除中标通知书，</w:t>
      </w:r>
      <w:r>
        <w:rPr>
          <w:rFonts w:hint="eastAsia" w:ascii="宋体" w:hAnsi="宋体" w:eastAsia="宋体" w:cs="宋体"/>
          <w:color w:val="auto"/>
          <w:szCs w:val="21"/>
          <w:highlight w:val="none"/>
          <w:u w:val="single"/>
        </w:rPr>
        <w:t>原中标人依法承担相应法律责任。原中标人给招标人造成的损失，还应当予以赔偿</w:t>
      </w:r>
      <w:r>
        <w:rPr>
          <w:rFonts w:hint="eastAsia" w:ascii="宋体" w:hAnsi="宋体" w:eastAsia="宋体" w:cs="宋体"/>
          <w:color w:val="auto"/>
          <w:szCs w:val="21"/>
          <w:highlight w:val="none"/>
        </w:rPr>
        <w:t>。原中标人有异议的，可以向人民法院起诉。</w:t>
      </w:r>
    </w:p>
    <w:p w14:paraId="5A17B0A7">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30.1                        修改类型：修改</w:t>
      </w:r>
    </w:p>
    <w:p w14:paraId="63036185">
      <w:pP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30.1</w:t>
      </w:r>
      <w:r>
        <w:rPr>
          <w:rFonts w:hint="eastAsia" w:ascii="宋体" w:hAnsi="宋体" w:eastAsia="宋体" w:cs="宋体"/>
          <w:color w:val="auto"/>
          <w:szCs w:val="21"/>
          <w:highlight w:val="none"/>
        </w:rPr>
        <w:t>在合同双方全权代表在合同协议书上签字，并分别加盖双方单位的公章后，合同正式生效。</w:t>
      </w:r>
    </w:p>
    <w:p w14:paraId="44BF6EBE">
      <w:pPr>
        <w:pBdr>
          <w:bottom w:val="single" w:color="auto" w:sz="6" w:space="1"/>
        </w:pBdr>
        <w:adjustRightInd w:val="0"/>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30.1在合同双方全权代表在合同协议书上签字，并分别加盖双方单位的公章</w:t>
      </w:r>
      <w:r>
        <w:rPr>
          <w:rFonts w:hint="eastAsia" w:ascii="宋体" w:hAnsi="宋体" w:eastAsia="宋体" w:cs="宋体"/>
          <w:color w:val="auto"/>
          <w:szCs w:val="21"/>
          <w:highlight w:val="none"/>
          <w:u w:val="single"/>
        </w:rPr>
        <w:t>且承包人提交履约担保后，合同正式生效。</w:t>
      </w:r>
    </w:p>
    <w:p w14:paraId="1126013B">
      <w:pPr>
        <w:adjustRightInd w:val="0"/>
        <w:snapToGrid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ascii="宋体" w:hAnsi="宋体" w:eastAsia="宋体" w:cs="宋体"/>
          <w:b/>
          <w:bCs/>
          <w:color w:val="auto"/>
          <w:szCs w:val="21"/>
          <w:highlight w:val="none"/>
        </w:rPr>
        <w:t xml:space="preserve">31                          </w:t>
      </w:r>
      <w:r>
        <w:rPr>
          <w:rFonts w:hint="eastAsia" w:ascii="宋体" w:hAnsi="宋体" w:eastAsia="宋体" w:cs="宋体"/>
          <w:b/>
          <w:bCs/>
          <w:color w:val="auto"/>
          <w:szCs w:val="21"/>
          <w:highlight w:val="none"/>
        </w:rPr>
        <w:t>修改类型：修改</w:t>
      </w:r>
    </w:p>
    <w:p w14:paraId="766A58D4">
      <w:pPr>
        <w:adjustRightInd w:val="0"/>
        <w:snapToGrid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原文：</w:t>
      </w:r>
      <w:r>
        <w:rPr>
          <w:rFonts w:ascii="宋体" w:hAnsi="宋体" w:eastAsia="宋体" w:cs="宋体"/>
          <w:b/>
          <w:bCs/>
          <w:color w:val="auto"/>
          <w:szCs w:val="21"/>
          <w:highlight w:val="none"/>
        </w:rPr>
        <w:t>31.其它费用</w:t>
      </w:r>
    </w:p>
    <w:p w14:paraId="7EE57194">
      <w:pP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w:t>
      </w:r>
      <w:r>
        <w:rPr>
          <w:rFonts w:ascii="宋体" w:hAnsi="宋体" w:eastAsia="宋体" w:cs="宋体"/>
          <w:b/>
          <w:color w:val="auto"/>
          <w:szCs w:val="21"/>
          <w:highlight w:val="none"/>
        </w:rPr>
        <w:t>31.</w:t>
      </w:r>
      <w:r>
        <w:rPr>
          <w:rFonts w:hint="eastAsia" w:ascii="宋体" w:hAnsi="宋体" w:eastAsia="宋体" w:cs="宋体"/>
          <w:b/>
          <w:bCs/>
          <w:color w:val="auto"/>
          <w:szCs w:val="21"/>
          <w:highlight w:val="none"/>
        </w:rPr>
        <w:t>其它费用</w:t>
      </w:r>
    </w:p>
    <w:p w14:paraId="218C83D3">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中标人应交纳交易服务费，该费用包含在投标价中</w:t>
      </w:r>
      <w:r>
        <w:rPr>
          <w:rFonts w:hint="eastAsia" w:ascii="宋体" w:hAnsi="宋体" w:eastAsia="宋体" w:cs="宋体"/>
          <w:color w:val="auto"/>
          <w:szCs w:val="21"/>
          <w:highlight w:val="none"/>
        </w:rPr>
        <w:t>。</w:t>
      </w:r>
    </w:p>
    <w:p w14:paraId="711F91EE">
      <w:pPr>
        <w:adjustRightInd w:val="0"/>
        <w:snapToGrid w:val="0"/>
        <w:spacing w:line="360" w:lineRule="auto"/>
        <w:ind w:firstLine="211" w:firstLineChars="100"/>
        <w:rPr>
          <w:rFonts w:ascii="宋体" w:hAnsi="宋体" w:eastAsia="宋体" w:cs="宋体"/>
          <w:b/>
          <w:strike/>
          <w:color w:val="auto"/>
          <w:szCs w:val="21"/>
          <w:highlight w:val="none"/>
        </w:rPr>
      </w:pPr>
      <w:r>
        <w:rPr>
          <w:rFonts w:hint="eastAsia" w:ascii="宋体" w:hAnsi="宋体" w:eastAsia="宋体" w:cs="宋体"/>
          <w:b/>
          <w:strike/>
          <w:color w:val="auto"/>
          <w:szCs w:val="21"/>
          <w:highlight w:val="none"/>
        </w:rPr>
        <w:t>注：以上修改，仅限于本范本中有可供选择条款的情形。</w:t>
      </w:r>
    </w:p>
    <w:p w14:paraId="384FA6C9">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t>（以下无正文）</w:t>
      </w:r>
    </w:p>
    <w:p w14:paraId="1BAFF8BD">
      <w:pPr>
        <w:rPr>
          <w:rFonts w:ascii="宋体" w:hAnsi="宋体" w:eastAsia="宋体" w:cs="宋体"/>
          <w:color w:val="auto"/>
          <w:highlight w:val="none"/>
        </w:rPr>
      </w:pPr>
    </w:p>
    <w:p w14:paraId="1ACFA6F2">
      <w:pPr>
        <w:pStyle w:val="5"/>
        <w:tabs>
          <w:tab w:val="left" w:pos="0"/>
        </w:tabs>
        <w:snapToGrid w:val="0"/>
        <w:spacing w:before="0" w:after="0" w:line="360" w:lineRule="auto"/>
        <w:rPr>
          <w:rFonts w:ascii="宋体" w:hAnsi="宋体" w:eastAsia="宋体" w:cs="宋体"/>
          <w:color w:val="auto"/>
          <w:highlight w:val="none"/>
        </w:rPr>
      </w:pPr>
      <w:r>
        <w:rPr>
          <w:rFonts w:ascii="宋体" w:hAnsi="宋体" w:eastAsia="宋体" w:cs="宋体"/>
          <w:b/>
          <w:color w:val="auto"/>
          <w:sz w:val="32"/>
          <w:highlight w:val="none"/>
        </w:rPr>
        <w:br w:type="page"/>
      </w:r>
      <w:bookmarkStart w:id="4" w:name="_Toc21525492"/>
      <w:bookmarkStart w:id="5" w:name="_Toc31334"/>
      <w:r>
        <w:rPr>
          <w:rFonts w:hint="eastAsia" w:ascii="宋体" w:hAnsi="宋体" w:eastAsia="宋体" w:cs="宋体"/>
          <w:b/>
          <w:color w:val="auto"/>
          <w:sz w:val="32"/>
          <w:szCs w:val="32"/>
          <w:highlight w:val="none"/>
        </w:rPr>
        <w:t>三、投标须知通用条款</w:t>
      </w:r>
      <w:bookmarkEnd w:id="4"/>
      <w:bookmarkEnd w:id="5"/>
    </w:p>
    <w:p w14:paraId="79743C07">
      <w:pPr>
        <w:pStyle w:val="6"/>
        <w:tabs>
          <w:tab w:val="left" w:pos="0"/>
        </w:tabs>
        <w:snapToGrid w:val="0"/>
        <w:spacing w:before="0" w:after="0" w:line="360" w:lineRule="auto"/>
        <w:rPr>
          <w:rFonts w:ascii="宋体" w:hAnsi="宋体" w:eastAsia="宋体" w:cs="宋体"/>
          <w:color w:val="auto"/>
          <w:sz w:val="21"/>
          <w:szCs w:val="21"/>
          <w:highlight w:val="none"/>
        </w:rPr>
      </w:pPr>
      <w:bookmarkStart w:id="6" w:name="_Toc12947"/>
      <w:bookmarkStart w:id="7" w:name="_Toc21525493"/>
      <w:r>
        <w:rPr>
          <w:rFonts w:hint="eastAsia" w:ascii="宋体" w:hAnsi="宋体" w:eastAsia="宋体" w:cs="宋体"/>
          <w:b/>
          <w:color w:val="auto"/>
          <w:sz w:val="21"/>
          <w:szCs w:val="21"/>
          <w:highlight w:val="none"/>
        </w:rPr>
        <w:t>（一）总则</w:t>
      </w:r>
      <w:bookmarkEnd w:id="6"/>
      <w:bookmarkEnd w:id="7"/>
    </w:p>
    <w:p w14:paraId="2275BC80">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1、定义</w:t>
      </w:r>
    </w:p>
    <w:p w14:paraId="3691DF74">
      <w:pPr>
        <w:pStyle w:val="86"/>
        <w:snapToGrid w:val="0"/>
        <w:spacing w:after="0" w:line="360" w:lineRule="auto"/>
        <w:ind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本招标文件使用的下列词语具有如下规定的意义：</w:t>
      </w:r>
    </w:p>
    <w:p w14:paraId="61F53060">
      <w:pPr>
        <w:pStyle w:val="86"/>
        <w:snapToGrid w:val="0"/>
        <w:spacing w:after="0" w:line="360" w:lineRule="auto"/>
        <w:ind w:firstLineChars="200"/>
        <w:rPr>
          <w:rFonts w:ascii="宋体" w:hAnsi="宋体" w:eastAsia="宋体" w:cs="宋体"/>
          <w:b/>
          <w:bCs/>
          <w:color w:val="auto"/>
          <w:szCs w:val="21"/>
          <w:highlight w:val="none"/>
          <w:u w:val="singl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1）“招标人”（即发包人）、“项目建设管理单位”（或称“项目代建单位”）、“招标代理”、“设计单位”、“监理单位”均已在投标须知前附表中列明。</w:t>
      </w:r>
    </w:p>
    <w:p w14:paraId="4988309E">
      <w:pPr>
        <w:pStyle w:val="86"/>
        <w:snapToGrid w:val="0"/>
        <w:spacing w:after="0" w:line="360" w:lineRule="auto"/>
        <w:ind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2）“投标人”指向招标人提交投标文件的当事人。</w:t>
      </w:r>
    </w:p>
    <w:p w14:paraId="15C1C2D7">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3）“承包人”指其投标被招标人接受并与其签订承包合同的当事人。</w:t>
      </w:r>
    </w:p>
    <w:p w14:paraId="1916DE76">
      <w:pPr>
        <w:pStyle w:val="86"/>
        <w:snapToGrid w:val="0"/>
        <w:spacing w:after="0" w:line="360" w:lineRule="auto"/>
        <w:ind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4）“招标文件”指由招标代理发出的本文件（包括全部章节、附件）及招标答疑会会议纪要和</w:t>
      </w:r>
      <w:r>
        <w:rPr>
          <w:rFonts w:hint="eastAsia" w:ascii="宋体" w:hAnsi="宋体" w:eastAsia="宋体" w:cs="宋体"/>
          <w:bCs/>
          <w:color w:val="auto"/>
          <w:szCs w:val="21"/>
          <w:highlight w:val="none"/>
        </w:rPr>
        <w:t>招标文件的澄清与修改</w:t>
      </w:r>
      <w:r>
        <w:rPr>
          <w:rFonts w:hint="eastAsia" w:ascii="宋体" w:hAnsi="宋体" w:eastAsia="宋体" w:cs="宋体"/>
          <w:color w:val="auto"/>
          <w:szCs w:val="21"/>
          <w:highlight w:val="none"/>
        </w:rPr>
        <w:t>文件。</w:t>
      </w:r>
    </w:p>
    <w:p w14:paraId="24EEB435">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5）“投标文件”指投标人根据本项目招标文件向招标人提交的全部文件。</w:t>
      </w:r>
    </w:p>
    <w:p w14:paraId="6622F0B0">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6）“书面形式”指打字或印刷的文件和数据电文（包括电报、电传、传真、电子数据交换和电子邮件）。</w:t>
      </w:r>
    </w:p>
    <w:p w14:paraId="729CF3D8">
      <w:pPr>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2、招标说明</w:t>
      </w:r>
    </w:p>
    <w:p w14:paraId="2069E175">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2.1本招标工程项目按照《中华人民共和国招标投标法》等有关法律、行政法规、规章和规范性文件，通过招标方式选定承包人。</w:t>
      </w:r>
    </w:p>
    <w:p w14:paraId="31A8C560">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2.2工程名称、建设地点、建设规模、承包方式、质量标准、招标范围、工期要求等均在投标须知前附表中列明。</w:t>
      </w:r>
    </w:p>
    <w:p w14:paraId="3E229979">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2.3设计说明：详见招标图纸。</w:t>
      </w:r>
    </w:p>
    <w:p w14:paraId="6FBB9C31">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2.4工程施工特点：详见招标图纸。</w:t>
      </w:r>
    </w:p>
    <w:p w14:paraId="241093C1">
      <w:pPr>
        <w:tabs>
          <w:tab w:val="left" w:pos="105"/>
        </w:tabs>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3．资金来源</w:t>
      </w:r>
    </w:p>
    <w:p w14:paraId="7828C12F">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3.1本招标工程项目资金来源见投标须知前附表第9项</w:t>
      </w:r>
      <w:r>
        <w:rPr>
          <w:rFonts w:hint="eastAsia" w:ascii="宋体" w:hAnsi="宋体" w:eastAsia="宋体" w:cs="宋体"/>
          <w:bCs/>
          <w:color w:val="auto"/>
          <w:szCs w:val="21"/>
          <w:highlight w:val="none"/>
        </w:rPr>
        <w:t>。</w:t>
      </w:r>
    </w:p>
    <w:p w14:paraId="055EF471">
      <w:pPr>
        <w:tabs>
          <w:tab w:val="left" w:pos="105"/>
        </w:tabs>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4．合格投标人的条件</w:t>
      </w:r>
    </w:p>
    <w:p w14:paraId="44797B99">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4.1详见本项目招标公告</w:t>
      </w:r>
      <w:r>
        <w:rPr>
          <w:rFonts w:hint="eastAsia" w:ascii="宋体" w:hAnsi="宋体" w:eastAsia="宋体" w:cs="宋体"/>
          <w:bCs/>
          <w:color w:val="auto"/>
          <w:szCs w:val="21"/>
          <w:highlight w:val="none"/>
        </w:rPr>
        <w:t>。</w:t>
      </w:r>
    </w:p>
    <w:p w14:paraId="03652AC6">
      <w:pPr>
        <w:tabs>
          <w:tab w:val="left" w:pos="105"/>
        </w:tabs>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5．踏勘现场</w:t>
      </w:r>
    </w:p>
    <w:p w14:paraId="5C146519">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Cs w:val="21"/>
          <w:highlight w:val="none"/>
        </w:rPr>
        <w:t xml:space="preserve">5.1 </w:t>
      </w:r>
      <w:r>
        <w:rPr>
          <w:rFonts w:hint="eastAsia" w:ascii="宋体" w:hAnsi="宋体" w:eastAsia="宋体" w:cs="宋体"/>
          <w:bCs/>
          <w:color w:val="auto"/>
          <w:szCs w:val="21"/>
          <w:highlight w:val="none"/>
        </w:rPr>
        <w:t>投标人应按本投标须知前附表第</w:t>
      </w:r>
      <w:r>
        <w:rPr>
          <w:rFonts w:ascii="宋体" w:hAnsi="宋体" w:eastAsia="宋体" w:cs="宋体"/>
          <w:bCs/>
          <w:color w:val="auto"/>
          <w:szCs w:val="21"/>
          <w:highlight w:val="none"/>
        </w:rPr>
        <w:t>15项所述时间和要求对工程现场及周围环境进行踏勘，</w:t>
      </w:r>
      <w:r>
        <w:rPr>
          <w:rFonts w:hint="eastAsia" w:ascii="宋体" w:hAnsi="宋体" w:eastAsia="宋体" w:cs="宋体"/>
          <w:color w:val="auto"/>
          <w:szCs w:val="21"/>
          <w:highlight w:val="none"/>
        </w:rPr>
        <w:t>投标人应充分重视和仔细地进行这种考察，</w:t>
      </w:r>
      <w:r>
        <w:rPr>
          <w:rFonts w:hint="eastAsia" w:ascii="宋体" w:hAnsi="宋体" w:eastAsia="宋体" w:cs="宋体"/>
          <w:bCs/>
          <w:color w:val="auto"/>
          <w:szCs w:val="21"/>
          <w:highlight w:val="none"/>
        </w:rPr>
        <w:t>以便投标人获取</w:t>
      </w:r>
      <w:r>
        <w:rPr>
          <w:rFonts w:hint="eastAsia" w:ascii="宋体" w:hAnsi="宋体" w:eastAsia="宋体" w:cs="宋体"/>
          <w:color w:val="auto"/>
          <w:szCs w:val="21"/>
          <w:highlight w:val="none"/>
        </w:rPr>
        <w:t>那些须投标人自己负责的</w:t>
      </w:r>
      <w:r>
        <w:rPr>
          <w:rFonts w:hint="eastAsia" w:ascii="宋体" w:hAnsi="宋体" w:eastAsia="宋体" w:cs="宋体"/>
          <w:bCs/>
          <w:color w:val="auto"/>
          <w:szCs w:val="21"/>
          <w:highlight w:val="none"/>
        </w:rPr>
        <w:t>有关编制投标文件和签署合同所涉及现场所有的资料。</w:t>
      </w:r>
      <w:r>
        <w:rPr>
          <w:rFonts w:hint="eastAsia" w:ascii="宋体" w:hAnsi="宋体" w:eastAsia="宋体" w:cs="宋体"/>
          <w:color w:val="auto"/>
          <w:szCs w:val="21"/>
          <w:highlight w:val="none"/>
        </w:rPr>
        <w:t>一旦中标，这种考察即被认为其结果已在中标文件中得到充分反映。考察现场的费用由投标人自己承担。</w:t>
      </w:r>
    </w:p>
    <w:p w14:paraId="5E443C0F">
      <w:pPr>
        <w:tabs>
          <w:tab w:val="left" w:pos="105"/>
        </w:tabs>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5.2 </w:t>
      </w:r>
      <w:r>
        <w:rPr>
          <w:rFonts w:hint="eastAsia" w:ascii="宋体" w:hAnsi="宋体" w:eastAsia="宋体" w:cs="宋体"/>
          <w:bCs/>
          <w:color w:val="auto"/>
          <w:szCs w:val="21"/>
          <w:highlight w:val="none"/>
        </w:rPr>
        <w:t>招标人向投标人提供的有关现场的数据和资料，是招标人现有的能被投标人利用的资料，招标人对投标人做出的任何推论、理解和结论均不负责任。</w:t>
      </w:r>
    </w:p>
    <w:p w14:paraId="683C0BD4">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5.3 </w:t>
      </w:r>
      <w:r>
        <w:rPr>
          <w:rFonts w:hint="eastAsia" w:ascii="宋体" w:hAnsi="宋体" w:eastAsia="宋体" w:cs="宋体"/>
          <w:bCs/>
          <w:color w:val="auto"/>
          <w:szCs w:val="21"/>
          <w:highlight w:val="none"/>
        </w:rPr>
        <w:t>经招标人允许，投标人可为踏勘目的进入招标人的项目现场。</w:t>
      </w:r>
      <w:r>
        <w:rPr>
          <w:rFonts w:hint="eastAsia" w:ascii="宋体" w:hAnsi="宋体" w:eastAsia="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Cs w:val="21"/>
          <w:highlight w:val="none"/>
        </w:rPr>
        <w:t>投标人不得因此使招标人承担有关的责任和蒙受损失。</w:t>
      </w:r>
    </w:p>
    <w:p w14:paraId="23927F9F">
      <w:pPr>
        <w:tabs>
          <w:tab w:val="left" w:pos="105"/>
        </w:tabs>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6．投标费用</w:t>
      </w:r>
    </w:p>
    <w:p w14:paraId="2316BA9A">
      <w:pPr>
        <w:tabs>
          <w:tab w:val="left" w:pos="105"/>
        </w:tabs>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6.1</w:t>
      </w:r>
      <w:r>
        <w:rPr>
          <w:rFonts w:hint="eastAsia" w:ascii="宋体" w:hAnsi="宋体" w:eastAsia="宋体" w:cs="宋体"/>
          <w:color w:val="auto"/>
          <w:szCs w:val="21"/>
          <w:highlight w:val="none"/>
        </w:rPr>
        <w:t>不论投标结果如何，投标人应承担</w:t>
      </w:r>
      <w:r>
        <w:rPr>
          <w:rFonts w:hint="eastAsia" w:ascii="宋体" w:hAnsi="宋体" w:eastAsia="宋体" w:cs="宋体"/>
          <w:bCs/>
          <w:color w:val="auto"/>
          <w:szCs w:val="21"/>
          <w:highlight w:val="none"/>
        </w:rPr>
        <w:t>自身</w:t>
      </w:r>
      <w:r>
        <w:rPr>
          <w:rFonts w:hint="eastAsia" w:ascii="宋体" w:hAnsi="宋体" w:eastAsia="宋体" w:cs="宋体"/>
          <w:color w:val="auto"/>
          <w:szCs w:val="21"/>
          <w:highlight w:val="none"/>
        </w:rPr>
        <w:t>因投标文件编制、递交及其他</w:t>
      </w:r>
      <w:r>
        <w:rPr>
          <w:rFonts w:hint="eastAsia" w:ascii="宋体" w:hAnsi="宋体" w:eastAsia="宋体" w:cs="宋体"/>
          <w:bCs/>
          <w:color w:val="auto"/>
          <w:szCs w:val="21"/>
          <w:highlight w:val="none"/>
        </w:rPr>
        <w:t>参加本招标活动</w:t>
      </w:r>
      <w:r>
        <w:rPr>
          <w:rFonts w:hint="eastAsia" w:ascii="宋体" w:hAnsi="宋体" w:eastAsia="宋体" w:cs="宋体"/>
          <w:color w:val="auto"/>
          <w:szCs w:val="21"/>
          <w:highlight w:val="none"/>
        </w:rPr>
        <w:t>所涉及的一切费用，招标人对上述费用不负任何责任。</w:t>
      </w:r>
    </w:p>
    <w:p w14:paraId="768150B3">
      <w:pPr>
        <w:pStyle w:val="6"/>
        <w:tabs>
          <w:tab w:val="left" w:pos="0"/>
        </w:tabs>
        <w:snapToGrid w:val="0"/>
        <w:spacing w:before="0" w:after="0" w:line="360" w:lineRule="auto"/>
        <w:rPr>
          <w:rFonts w:ascii="宋体" w:hAnsi="宋体" w:eastAsia="宋体" w:cs="宋体"/>
          <w:color w:val="auto"/>
          <w:sz w:val="21"/>
          <w:szCs w:val="21"/>
          <w:highlight w:val="none"/>
        </w:rPr>
      </w:pPr>
      <w:bookmarkStart w:id="8" w:name="_Toc21525494"/>
      <w:bookmarkStart w:id="9" w:name="_Toc32111"/>
      <w:r>
        <w:rPr>
          <w:rFonts w:hint="eastAsia" w:ascii="宋体" w:hAnsi="宋体" w:eastAsia="宋体" w:cs="宋体"/>
          <w:b/>
          <w:color w:val="auto"/>
          <w:sz w:val="21"/>
          <w:szCs w:val="21"/>
          <w:highlight w:val="none"/>
        </w:rPr>
        <w:t>（二）招标文件</w:t>
      </w:r>
      <w:bookmarkEnd w:id="8"/>
      <w:bookmarkEnd w:id="9"/>
    </w:p>
    <w:p w14:paraId="49623137">
      <w:pPr>
        <w:tabs>
          <w:tab w:val="left" w:pos="105"/>
        </w:tabs>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7.招标文件的组成</w:t>
      </w:r>
    </w:p>
    <w:p w14:paraId="74D7D37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Cs/>
          <w:color w:val="auto"/>
          <w:szCs w:val="21"/>
          <w:highlight w:val="none"/>
        </w:rPr>
        <w:t>7.1</w:t>
      </w:r>
      <w:r>
        <w:rPr>
          <w:rFonts w:hint="eastAsia" w:ascii="宋体" w:hAnsi="宋体" w:eastAsia="宋体" w:cs="宋体"/>
          <w:color w:val="auto"/>
          <w:szCs w:val="21"/>
          <w:highlight w:val="none"/>
        </w:rPr>
        <w:t>本招标文件包括下列文件，以及所有按本须知第</w:t>
      </w:r>
      <w:r>
        <w:rPr>
          <w:rFonts w:ascii="宋体" w:hAnsi="宋体" w:eastAsia="宋体" w:cs="宋体"/>
          <w:color w:val="auto"/>
          <w:szCs w:val="21"/>
          <w:highlight w:val="none"/>
        </w:rPr>
        <w:t>8条发出的招标答疑会会议纪要和按本须知第9条发出的澄清或修改：</w:t>
      </w:r>
    </w:p>
    <w:p w14:paraId="4EEE3336">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第一章</w:t>
      </w:r>
      <w:r>
        <w:rPr>
          <w:rFonts w:ascii="宋体" w:hAnsi="宋体" w:eastAsia="宋体" w:cs="宋体"/>
          <w:bCs/>
          <w:color w:val="auto"/>
          <w:szCs w:val="21"/>
          <w:highlight w:val="none"/>
        </w:rPr>
        <w:t xml:space="preserve">  </w:t>
      </w:r>
      <w:r>
        <w:rPr>
          <w:rFonts w:hint="eastAsia" w:ascii="宋体" w:hAnsi="宋体" w:eastAsia="宋体" w:cs="宋体"/>
          <w:color w:val="auto"/>
          <w:szCs w:val="21"/>
          <w:highlight w:val="none"/>
        </w:rPr>
        <w:t>投标须知</w:t>
      </w:r>
    </w:p>
    <w:p w14:paraId="1E32835F">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第二章</w:t>
      </w:r>
      <w:r>
        <w:rPr>
          <w:rFonts w:ascii="宋体" w:hAnsi="宋体" w:eastAsia="宋体" w:cs="宋体"/>
          <w:bCs/>
          <w:color w:val="auto"/>
          <w:szCs w:val="21"/>
          <w:highlight w:val="none"/>
        </w:rPr>
        <w:t xml:space="preserve">  </w:t>
      </w:r>
      <w:r>
        <w:rPr>
          <w:rFonts w:hint="eastAsia" w:ascii="宋体" w:hAnsi="宋体" w:eastAsia="宋体" w:cs="宋体"/>
          <w:color w:val="auto"/>
          <w:szCs w:val="21"/>
          <w:highlight w:val="none"/>
        </w:rPr>
        <w:t>开标、评标及定标办法</w:t>
      </w:r>
    </w:p>
    <w:p w14:paraId="5305FB34">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第三章</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合同条款</w:t>
      </w:r>
    </w:p>
    <w:p w14:paraId="2B3B553C">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第四章</w:t>
      </w:r>
      <w:r>
        <w:rPr>
          <w:rFonts w:ascii="宋体" w:hAnsi="宋体" w:eastAsia="宋体" w:cs="宋体"/>
          <w:bCs/>
          <w:color w:val="auto"/>
          <w:szCs w:val="21"/>
          <w:highlight w:val="none"/>
        </w:rPr>
        <w:t xml:space="preserve">  </w:t>
      </w:r>
      <w:r>
        <w:rPr>
          <w:rFonts w:hint="eastAsia" w:ascii="宋体" w:hAnsi="宋体" w:eastAsia="宋体" w:cs="宋体"/>
          <w:color w:val="auto"/>
          <w:szCs w:val="21"/>
          <w:highlight w:val="none"/>
        </w:rPr>
        <w:t>投标文件格式</w:t>
      </w:r>
    </w:p>
    <w:p w14:paraId="57D07424">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第五章</w:t>
      </w:r>
      <w:r>
        <w:rPr>
          <w:rFonts w:ascii="宋体" w:hAnsi="宋体" w:eastAsia="宋体" w:cs="宋体"/>
          <w:bCs/>
          <w:color w:val="auto"/>
          <w:szCs w:val="21"/>
          <w:highlight w:val="none"/>
        </w:rPr>
        <w:t xml:space="preserve">  </w:t>
      </w:r>
      <w:r>
        <w:rPr>
          <w:rFonts w:hint="eastAsia" w:ascii="宋体" w:hAnsi="宋体" w:eastAsia="宋体" w:cs="宋体"/>
          <w:color w:val="auto"/>
          <w:szCs w:val="21"/>
          <w:highlight w:val="none"/>
        </w:rPr>
        <w:t>技术条件（工程建设标准）（另册）</w:t>
      </w:r>
    </w:p>
    <w:p w14:paraId="5BB89114">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第六章</w:t>
      </w:r>
      <w:r>
        <w:rPr>
          <w:rFonts w:ascii="宋体" w:hAnsi="宋体" w:eastAsia="宋体" w:cs="宋体"/>
          <w:bCs/>
          <w:color w:val="auto"/>
          <w:szCs w:val="21"/>
          <w:highlight w:val="none"/>
        </w:rPr>
        <w:t xml:space="preserve">  </w:t>
      </w:r>
      <w:r>
        <w:rPr>
          <w:rFonts w:hint="eastAsia" w:ascii="宋体" w:hAnsi="宋体" w:eastAsia="宋体" w:cs="宋体"/>
          <w:color w:val="auto"/>
          <w:szCs w:val="21"/>
          <w:highlight w:val="none"/>
        </w:rPr>
        <w:t>图纸及勘察资料（另册）</w:t>
      </w:r>
    </w:p>
    <w:p w14:paraId="523D8BC5">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第七章</w:t>
      </w:r>
      <w:r>
        <w:rPr>
          <w:rFonts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招标</w:t>
      </w:r>
      <w:r>
        <w:rPr>
          <w:rFonts w:hint="eastAsia" w:ascii="宋体" w:hAnsi="宋体" w:eastAsia="宋体" w:cs="宋体"/>
          <w:color w:val="auto"/>
          <w:szCs w:val="21"/>
          <w:highlight w:val="none"/>
        </w:rPr>
        <w:t>工程量清单（另册）</w:t>
      </w:r>
    </w:p>
    <w:p w14:paraId="4F525D68">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第八章</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最高投标限价</w:t>
      </w:r>
    </w:p>
    <w:p w14:paraId="01E10A37">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 w:val="22"/>
          <w:highlight w:val="none"/>
        </w:rPr>
        <w:fldChar w:fldCharType="begin"/>
      </w:r>
      <w:r>
        <w:rPr>
          <w:rFonts w:ascii="宋体" w:hAnsi="宋体" w:eastAsia="宋体" w:cs="宋体"/>
          <w:color w:val="auto"/>
          <w:sz w:val="22"/>
          <w:highlight w:val="none"/>
        </w:rPr>
        <w:instrText xml:space="preserve"> = 1 \* GB3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t>①</w:t>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eastAsia="宋体" w:cs="宋体"/>
          <w:color w:val="auto"/>
          <w:sz w:val="22"/>
          <w:highlight w:val="none"/>
        </w:rPr>
        <w:fldChar w:fldCharType="begin"/>
      </w:r>
      <w:r>
        <w:rPr>
          <w:rFonts w:ascii="宋体" w:hAnsi="宋体" w:eastAsia="宋体" w:cs="宋体"/>
          <w:color w:val="auto"/>
          <w:sz w:val="22"/>
          <w:highlight w:val="none"/>
        </w:rPr>
        <w:instrText xml:space="preserve"> = 2 \* GB3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t>②</w:t>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鼓励招标人对施工组织设计或施工方案实行隐藏投标人信息的暗标评审</w:t>
      </w:r>
      <w:r>
        <w:rPr>
          <w:rFonts w:hint="eastAsia" w:ascii="宋体" w:hAnsi="宋体" w:eastAsia="宋体" w:cs="宋体"/>
          <w:color w:val="auto"/>
          <w:szCs w:val="21"/>
          <w:highlight w:val="none"/>
        </w:rPr>
        <w:t>。</w:t>
      </w:r>
    </w:p>
    <w:p w14:paraId="045C03FE">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7.2 </w:t>
      </w:r>
      <w:r>
        <w:rPr>
          <w:rFonts w:hint="eastAsia" w:ascii="宋体" w:hAnsi="宋体" w:eastAsia="宋体" w:cs="宋体"/>
          <w:color w:val="auto"/>
          <w:szCs w:val="21"/>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2E929119">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7.3 </w:t>
      </w:r>
      <w:r>
        <w:rPr>
          <w:rFonts w:hint="eastAsia" w:ascii="宋体" w:hAnsi="宋体" w:eastAsia="宋体" w:cs="宋体"/>
          <w:color w:val="auto"/>
          <w:szCs w:val="21"/>
          <w:highlight w:val="none"/>
        </w:rPr>
        <w:t>投标人一旦中标，招标文件的内容对招标人和中标人双方均有约束力。</w:t>
      </w:r>
    </w:p>
    <w:p w14:paraId="46F0C975">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8．招标答疑</w:t>
      </w:r>
    </w:p>
    <w:p w14:paraId="2A7BE6C2">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8.1 </w:t>
      </w:r>
      <w:r>
        <w:rPr>
          <w:rFonts w:hint="eastAsia" w:ascii="宋体" w:hAnsi="宋体" w:eastAsia="宋体" w:cs="宋体"/>
          <w:color w:val="auto"/>
          <w:szCs w:val="21"/>
          <w:highlight w:val="none"/>
        </w:rPr>
        <w:t>投标人若对招标文件（包括招标图纸）中有疑问，可以书面形式通过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交易平台提交给招标人或招标代理人，提交形式见本须知前附表第</w:t>
      </w:r>
      <w:r>
        <w:rPr>
          <w:rFonts w:ascii="宋体" w:hAnsi="宋体" w:eastAsia="宋体" w:cs="宋体"/>
          <w:color w:val="auto"/>
          <w:szCs w:val="21"/>
          <w:highlight w:val="none"/>
        </w:rPr>
        <w:t>16项。</w:t>
      </w:r>
    </w:p>
    <w:p w14:paraId="6FF7AEBB">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8.2招标答疑会会议纪要将在提交投标文件截止时间15日前在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交易平台“项目答疑纪要”专区公开发布。答疑纪要一经在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交易平台发布，视作已发放给所有投标人。</w:t>
      </w:r>
    </w:p>
    <w:p w14:paraId="384671F4">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8.3答疑会会议纪要为招标文件的一部分。</w:t>
      </w:r>
    </w:p>
    <w:p w14:paraId="606C40A6">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8.4若招标答疑会会议纪要与招标文件有矛盾，以答疑会议纪要最后发出的书面形式的文件为准。</w:t>
      </w:r>
    </w:p>
    <w:p w14:paraId="174ABB2E">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9.招标文件的澄清与修改</w:t>
      </w:r>
    </w:p>
    <w:p w14:paraId="31177A34">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9.1招标文件发出后,在提交投标文件截止时间15日前，招标人可对招标文件进行必要的澄清或修改。</w:t>
      </w:r>
    </w:p>
    <w:p w14:paraId="5ECB13FC">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9.2招标文件的澄清或修改将在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交易平台“项目答疑纪要”专区公开发布。答疑纪要一经在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交易平台发布，视作已发放给所有投标人，以</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交易平台上网发布时间作为送达时间。</w:t>
      </w:r>
    </w:p>
    <w:p w14:paraId="70F39BC3">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9.3招标文件的修改内容为招标文件的组成部分。</w:t>
      </w:r>
    </w:p>
    <w:p w14:paraId="3F0900A3">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9.4招标文件的澄清或修改均以书面形式明确的内容为准。当招标文件的澄清、修改、补充等在同一内容的表述不一致时，以最后发出的书面形式的文件为准。</w:t>
      </w:r>
    </w:p>
    <w:p w14:paraId="14C3CC1D">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C896EAD">
      <w:pPr>
        <w:pStyle w:val="6"/>
        <w:tabs>
          <w:tab w:val="left" w:pos="0"/>
        </w:tabs>
        <w:snapToGrid w:val="0"/>
        <w:spacing w:before="0" w:after="0" w:line="360" w:lineRule="auto"/>
        <w:rPr>
          <w:rFonts w:ascii="宋体" w:hAnsi="宋体" w:eastAsia="宋体" w:cs="宋体"/>
          <w:color w:val="auto"/>
          <w:sz w:val="21"/>
          <w:szCs w:val="21"/>
          <w:highlight w:val="none"/>
        </w:rPr>
      </w:pPr>
      <w:bookmarkStart w:id="10" w:name="_Toc32542"/>
      <w:bookmarkStart w:id="11" w:name="_Toc21525495"/>
      <w:r>
        <w:rPr>
          <w:rFonts w:hint="eastAsia" w:ascii="宋体" w:hAnsi="宋体" w:eastAsia="宋体" w:cs="宋体"/>
          <w:b/>
          <w:color w:val="auto"/>
          <w:sz w:val="21"/>
          <w:szCs w:val="21"/>
          <w:highlight w:val="none"/>
        </w:rPr>
        <w:t>（三）投标文件的编制</w:t>
      </w:r>
      <w:bookmarkEnd w:id="10"/>
      <w:bookmarkEnd w:id="11"/>
    </w:p>
    <w:p w14:paraId="5C7C5F79">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10．投标文件的语言及度量衡单位</w:t>
      </w:r>
    </w:p>
    <w:p w14:paraId="00F1906B">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10.1 </w:t>
      </w:r>
      <w:r>
        <w:rPr>
          <w:rFonts w:hint="eastAsia" w:ascii="宋体" w:hAnsi="宋体" w:eastAsia="宋体" w:cs="宋体"/>
          <w:color w:val="auto"/>
          <w:szCs w:val="21"/>
          <w:highlight w:val="none"/>
        </w:rPr>
        <w:t>投标文件和与投标有关的所有文件均应使用中文。</w:t>
      </w:r>
    </w:p>
    <w:p w14:paraId="7C7A7AFC">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10.2 </w:t>
      </w:r>
      <w:r>
        <w:rPr>
          <w:rFonts w:hint="eastAsia" w:ascii="宋体" w:hAnsi="宋体" w:eastAsia="宋体" w:cs="宋体"/>
          <w:color w:val="auto"/>
          <w:szCs w:val="21"/>
          <w:highlight w:val="none"/>
        </w:rPr>
        <w:t>除工程规范另有规定外，投标文件使用的度量衡单位，均采用中华人民共和国法定计量单位。</w:t>
      </w:r>
    </w:p>
    <w:p w14:paraId="10FAC5C2">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11．投标文件的组成</w:t>
      </w:r>
    </w:p>
    <w:p w14:paraId="16F8ADBD">
      <w:pPr>
        <w:pStyle w:val="86"/>
        <w:snapToGrid w:val="0"/>
        <w:spacing w:after="0" w:line="360" w:lineRule="auto"/>
        <w:ind w:firstLineChars="200"/>
        <w:rPr>
          <w:rFonts w:ascii="宋体" w:hAnsi="宋体" w:eastAsia="宋体" w:cs="宋体"/>
          <w:b/>
          <w:color w:val="auto"/>
          <w:szCs w:val="21"/>
          <w:highlight w:val="none"/>
        </w:rPr>
      </w:pPr>
      <w:r>
        <w:rPr>
          <w:rFonts w:ascii="宋体" w:hAnsi="宋体" w:eastAsia="宋体" w:cs="宋体"/>
          <w:color w:val="auto"/>
          <w:szCs w:val="21"/>
          <w:highlight w:val="none"/>
        </w:rPr>
        <w:t xml:space="preserve">11.1 </w:t>
      </w:r>
      <w:r>
        <w:rPr>
          <w:rFonts w:hint="eastAsia" w:ascii="宋体" w:hAnsi="宋体" w:eastAsia="宋体" w:cs="宋体"/>
          <w:color w:val="auto"/>
          <w:szCs w:val="21"/>
          <w:highlight w:val="none"/>
        </w:rPr>
        <w:t>投标文件由技术部分（含资格审查文件）和经济部分二部分投标文件组成</w:t>
      </w:r>
      <w:r>
        <w:rPr>
          <w:rFonts w:hint="eastAsia" w:ascii="宋体" w:hAnsi="宋体" w:eastAsia="宋体" w:cs="宋体"/>
          <w:b/>
          <w:color w:val="auto"/>
          <w:szCs w:val="21"/>
          <w:highlight w:val="none"/>
        </w:rPr>
        <w:t>。</w:t>
      </w:r>
    </w:p>
    <w:p w14:paraId="1AF7E6BB">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11.2投标文件技术标部分主要包括下列内容</w:t>
      </w:r>
      <w:r>
        <w:rPr>
          <w:rFonts w:hint="eastAsia" w:ascii="宋体" w:hAnsi="宋体" w:eastAsia="宋体" w:cs="宋体"/>
          <w:bCs/>
          <w:color w:val="auto"/>
          <w:szCs w:val="21"/>
          <w:highlight w:val="none"/>
        </w:rPr>
        <w:t>：</w:t>
      </w:r>
    </w:p>
    <w:p w14:paraId="478A5EE5">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11.2.1 </w:t>
      </w:r>
      <w:r>
        <w:rPr>
          <w:rFonts w:hint="eastAsia" w:ascii="宋体" w:hAnsi="宋体" w:eastAsia="宋体" w:cs="宋体"/>
          <w:bCs/>
          <w:color w:val="auto"/>
          <w:szCs w:val="21"/>
          <w:highlight w:val="none"/>
        </w:rPr>
        <w:t>技术投标文件</w:t>
      </w:r>
      <w:r>
        <w:rPr>
          <w:rFonts w:ascii="宋体" w:hAnsi="宋体" w:eastAsia="宋体" w:cs="宋体"/>
          <w:color w:val="auto"/>
          <w:szCs w:val="21"/>
          <w:highlight w:val="none"/>
        </w:rPr>
        <w:t>(按招标文件的要求填写)</w:t>
      </w:r>
      <w:r>
        <w:rPr>
          <w:rFonts w:hint="eastAsia" w:ascii="宋体" w:hAnsi="宋体" w:eastAsia="宋体" w:cs="宋体"/>
          <w:bCs/>
          <w:color w:val="auto"/>
          <w:szCs w:val="21"/>
          <w:highlight w:val="none"/>
        </w:rPr>
        <w:t>；</w:t>
      </w:r>
    </w:p>
    <w:p w14:paraId="37B50B05">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11.2.2 </w:t>
      </w:r>
      <w:r>
        <w:rPr>
          <w:rFonts w:hint="eastAsia" w:ascii="宋体" w:hAnsi="宋体" w:eastAsia="宋体" w:cs="宋体"/>
          <w:bCs/>
          <w:color w:val="auto"/>
          <w:szCs w:val="21"/>
          <w:highlight w:val="none"/>
        </w:rPr>
        <w:t>资格审查文件：</w:t>
      </w:r>
    </w:p>
    <w:p w14:paraId="53BBB217">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1）投标人声明；</w:t>
      </w:r>
    </w:p>
    <w:p w14:paraId="18779EBD">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2）法定代表人证明书、法定代表人签字或盖章的本投标文件授权委托证明书；</w:t>
      </w:r>
    </w:p>
    <w:p w14:paraId="479F6E64">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3）企业营业执照扫描件或电子证照；</w:t>
      </w:r>
    </w:p>
    <w:p w14:paraId="23EBE52B">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4）企业资质证书扫描件或电子证照；</w:t>
      </w:r>
    </w:p>
    <w:p w14:paraId="38F26A84">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5）建筑施工企业安全生产许可证扫描件或电子证照；</w:t>
      </w:r>
    </w:p>
    <w:p w14:paraId="3AFE5F7A">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6）项目负责人（按网上投标登记时选择拟投标的项目负责人）；</w:t>
      </w:r>
    </w:p>
    <w:p w14:paraId="57D57AAA">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7）专职安全员（按网上投标登记时选择拟投标的专职安全员）；</w:t>
      </w:r>
    </w:p>
    <w:p w14:paraId="7DF12032">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8）拟委派技术负责人的相关证书、资料（具体要求由招标人明确；）</w:t>
      </w:r>
    </w:p>
    <w:p w14:paraId="4FCA65EB">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9）拟委派项目负责人的有效期内的建造师注册证书扫描件或电子证书；</w:t>
      </w:r>
    </w:p>
    <w:p w14:paraId="376A76B7">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10）项目负责人在有效期内的安全生产考核合格证书（B类）或建筑施工企业项目负责人安全生产考核合格证书扫描件或电子证书；</w:t>
      </w:r>
    </w:p>
    <w:p w14:paraId="69A42A80">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1882FF16">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12）用于资格审查的业绩（设置业绩要求时选择此项，投标人须提供类似工程业绩的项目名称及项目编号，具体格式由招标人自定）；</w:t>
      </w:r>
    </w:p>
    <w:p w14:paraId="46031139">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6A1284A8">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16F30496">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注：</w:t>
      </w:r>
      <w:r>
        <w:rPr>
          <w:rFonts w:ascii="宋体" w:hAnsi="宋体" w:eastAsia="宋体" w:cs="宋体"/>
          <w:bCs/>
          <w:color w:val="auto"/>
          <w:szCs w:val="21"/>
          <w:highlight w:val="none"/>
        </w:rPr>
        <w:t>1.相关电子证书按规定需打印后手写本人签名的，应按照规定手写本人签名后再扫描提交。</w:t>
      </w:r>
    </w:p>
    <w:p w14:paraId="2726ED77">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9A47D0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11.2.3项目管理机构配备。</w:t>
      </w:r>
    </w:p>
    <w:p w14:paraId="425C993D">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1）投标人应列出该项目工程的施工组织机构构成和画出机构框架图及其负责人；</w:t>
      </w:r>
    </w:p>
    <w:p w14:paraId="06386392">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2）投标人应详细列出该施工组织机构中主要成员的名单、简历资料、职务职称和在本项目中拟担任的职务等资料，并附上有关证明材料扫描件；</w:t>
      </w:r>
    </w:p>
    <w:p w14:paraId="56ED5628">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3）其他辅助说明资料。</w:t>
      </w:r>
    </w:p>
    <w:p w14:paraId="7B1E8F1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11.2.4投标人在广州市可使用适合本工程的机械设备（附：机械设备为自有或租赁的说明；及承诺机械设备如属于租赁的，其租赁是不属于重复租赁）。</w:t>
      </w:r>
    </w:p>
    <w:p w14:paraId="16A014A7">
      <w:pPr>
        <w:tabs>
          <w:tab w:val="left" w:pos="1125"/>
        </w:tabs>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11.2.5施工组织设计或施工方案。</w:t>
      </w:r>
    </w:p>
    <w:p w14:paraId="15C8AB81">
      <w:pPr>
        <w:tabs>
          <w:tab w:val="left" w:pos="1125"/>
        </w:tabs>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2FB72F39">
      <w:pPr>
        <w:tabs>
          <w:tab w:val="left" w:pos="1125"/>
        </w:tabs>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B072709">
      <w:pPr>
        <w:tabs>
          <w:tab w:val="left" w:pos="1125"/>
        </w:tabs>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11.2.6按照</w:t>
      </w:r>
      <w:r>
        <w:rPr>
          <w:rFonts w:hint="eastAsia" w:ascii="宋体" w:hAnsi="宋体" w:eastAsia="宋体" w:cs="宋体"/>
          <w:bCs/>
          <w:color w:val="auto"/>
          <w:szCs w:val="21"/>
          <w:highlight w:val="none"/>
        </w:rPr>
        <w:t>招标文件要求</w:t>
      </w:r>
      <w:r>
        <w:rPr>
          <w:rFonts w:hint="eastAsia" w:ascii="宋体" w:hAnsi="宋体" w:eastAsia="宋体" w:cs="宋体"/>
          <w:color w:val="auto"/>
          <w:szCs w:val="21"/>
          <w:highlight w:val="none"/>
        </w:rPr>
        <w:t>填写的《参与编制技术标投标文件人员名单》。</w:t>
      </w:r>
    </w:p>
    <w:p w14:paraId="7AE226BD">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11.3 </w:t>
      </w:r>
      <w:r>
        <w:rPr>
          <w:rFonts w:hint="eastAsia" w:ascii="宋体" w:hAnsi="宋体" w:eastAsia="宋体" w:cs="宋体"/>
          <w:bCs/>
          <w:color w:val="auto"/>
          <w:szCs w:val="21"/>
          <w:highlight w:val="none"/>
        </w:rPr>
        <w:t>经济部分投标文件主要包括下列内容：</w:t>
      </w:r>
    </w:p>
    <w:p w14:paraId="2AC24B7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11.3.1 </w:t>
      </w:r>
      <w:r>
        <w:rPr>
          <w:rFonts w:hint="eastAsia" w:ascii="宋体" w:hAnsi="宋体" w:eastAsia="宋体" w:cs="宋体"/>
          <w:color w:val="auto"/>
          <w:szCs w:val="21"/>
          <w:highlight w:val="none"/>
        </w:rPr>
        <w:t>经济投标文件</w:t>
      </w:r>
      <w:r>
        <w:rPr>
          <w:rFonts w:ascii="宋体" w:hAnsi="宋体" w:eastAsia="宋体" w:cs="宋体"/>
          <w:color w:val="auto"/>
          <w:szCs w:val="21"/>
          <w:highlight w:val="none"/>
        </w:rPr>
        <w:t>(按招标文件的要求填写)。</w:t>
      </w:r>
    </w:p>
    <w:p w14:paraId="3FD9995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3A2AAF0C">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1）投标总价封面、扉页；</w:t>
      </w:r>
    </w:p>
    <w:p w14:paraId="17D6E59C">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2）总说明</w:t>
      </w:r>
    </w:p>
    <w:p w14:paraId="099327B6">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3）工程项目投标报价汇总表；</w:t>
      </w:r>
    </w:p>
    <w:p w14:paraId="37C95B64">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4）单项工程投标报价汇总表；</w:t>
      </w:r>
    </w:p>
    <w:p w14:paraId="67595D96">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5）单位工程投标报价汇总表；</w:t>
      </w:r>
    </w:p>
    <w:p w14:paraId="5F14AEFC">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6）分部分项工程清单与计价表；</w:t>
      </w:r>
    </w:p>
    <w:p w14:paraId="458935A2">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7）单价措施项目清单与计价表；</w:t>
      </w:r>
    </w:p>
    <w:p w14:paraId="3A9F423C">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8）总价措施项目清单与计价表；</w:t>
      </w:r>
    </w:p>
    <w:p w14:paraId="377CF76C">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9）综合单价分析表；</w:t>
      </w:r>
    </w:p>
    <w:p w14:paraId="1618C934">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10）其他项目清单与计价汇总表；</w:t>
      </w:r>
    </w:p>
    <w:p w14:paraId="4299D258">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11）暂列金额明细表；</w:t>
      </w:r>
    </w:p>
    <w:p w14:paraId="6D4DBF61">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12）材料（工程设备）暂估价明细表；</w:t>
      </w:r>
    </w:p>
    <w:p w14:paraId="37B9DCA2">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13）专业工程暂估价明细表；</w:t>
      </w:r>
    </w:p>
    <w:p w14:paraId="56E31631">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14）计日工表；</w:t>
      </w:r>
    </w:p>
    <w:p w14:paraId="18B5625B">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15）总承包服务计价表；</w:t>
      </w:r>
    </w:p>
    <w:p w14:paraId="3BCD5ED7">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16）规费和税金项目计价表；</w:t>
      </w:r>
    </w:p>
    <w:p w14:paraId="4A5B065F">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17）人工、主要材料和设备一览表。</w:t>
      </w:r>
    </w:p>
    <w:p w14:paraId="6E73910E">
      <w:pPr>
        <w:tabs>
          <w:tab w:val="left" w:pos="1125"/>
        </w:tabs>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11.3.3按照</w:t>
      </w:r>
      <w:r>
        <w:rPr>
          <w:rFonts w:hint="eastAsia" w:ascii="宋体" w:hAnsi="宋体" w:eastAsia="宋体" w:cs="宋体"/>
          <w:bCs/>
          <w:color w:val="auto"/>
          <w:szCs w:val="21"/>
          <w:highlight w:val="none"/>
        </w:rPr>
        <w:t>招标文件要求</w:t>
      </w:r>
      <w:r>
        <w:rPr>
          <w:rFonts w:hint="eastAsia" w:ascii="宋体" w:hAnsi="宋体" w:eastAsia="宋体" w:cs="宋体"/>
          <w:color w:val="auto"/>
          <w:szCs w:val="21"/>
          <w:highlight w:val="none"/>
        </w:rPr>
        <w:t>填写的《参与编制经济标投标文件人员名单》。</w:t>
      </w:r>
    </w:p>
    <w:p w14:paraId="781CDE93">
      <w:pPr>
        <w:tabs>
          <w:tab w:val="left" w:pos="1125"/>
        </w:tabs>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42ED11F4">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12．投标文件格式</w:t>
      </w:r>
    </w:p>
    <w:p w14:paraId="222C3058">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12.1 </w:t>
      </w:r>
      <w:r>
        <w:rPr>
          <w:rFonts w:hint="eastAsia" w:ascii="宋体" w:hAnsi="宋体" w:eastAsia="宋体" w:cs="宋体"/>
          <w:color w:val="auto"/>
          <w:szCs w:val="21"/>
          <w:highlight w:val="none"/>
        </w:rPr>
        <w:t>投标文件包括本须知第</w:t>
      </w:r>
      <w:r>
        <w:rPr>
          <w:rFonts w:ascii="宋体" w:hAnsi="宋体" w:eastAsia="宋体" w:cs="宋体"/>
          <w:color w:val="auto"/>
          <w:szCs w:val="21"/>
          <w:highlight w:val="none"/>
        </w:rPr>
        <w:t>11条中规定的内容，投标人提交的投标文件应当使用招标文件所提供的投标文件全部格式（表格可以按同样格式扩展）。</w:t>
      </w:r>
    </w:p>
    <w:p w14:paraId="2B60652B">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12.2 </w:t>
      </w:r>
      <w:r>
        <w:rPr>
          <w:rFonts w:hint="eastAsia" w:ascii="宋体" w:hAnsi="宋体" w:eastAsia="宋体" w:cs="宋体"/>
          <w:color w:val="auto"/>
          <w:szCs w:val="21"/>
          <w:highlight w:val="none"/>
        </w:rPr>
        <w:t>投标文件全部采用电子文档，投标文件所附证书证件均为原件扫描件，并采用单位数字证书，</w:t>
      </w:r>
      <w:r>
        <w:rPr>
          <w:rFonts w:hint="eastAsia" w:ascii="宋体" w:hAnsi="宋体" w:eastAsia="宋体" w:cs="宋体"/>
          <w:b/>
          <w:bCs w:val="0"/>
          <w:color w:val="auto"/>
          <w:szCs w:val="21"/>
          <w:highlight w:val="none"/>
        </w:rPr>
        <w:t>对投标文件</w:t>
      </w:r>
      <w:r>
        <w:rPr>
          <w:rFonts w:hint="eastAsia" w:ascii="宋体" w:hAnsi="宋体" w:eastAsia="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A347585">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注释：投标文件电子文档需要投标人单位盖章的材料，投标人加盖电子印章即可，不得将投标人未对电子文档加盖实物印章作为否决投标的情形。</w:t>
      </w:r>
    </w:p>
    <w:p w14:paraId="166571BA">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12.3 </w:t>
      </w:r>
      <w:r>
        <w:rPr>
          <w:rFonts w:hint="eastAsia" w:ascii="宋体" w:hAnsi="宋体" w:eastAsia="宋体" w:cs="宋体"/>
          <w:bCs/>
          <w:color w:val="auto"/>
          <w:szCs w:val="21"/>
          <w:highlight w:val="none"/>
        </w:rPr>
        <w:t>投标文件应按</w:t>
      </w:r>
      <w:r>
        <w:rPr>
          <w:rFonts w:hint="eastAsia" w:ascii="宋体" w:hAnsi="宋体" w:eastAsia="宋体" w:cs="宋体"/>
          <w:color w:val="auto"/>
          <w:szCs w:val="21"/>
          <w:highlight w:val="none"/>
        </w:rPr>
        <w:t>照交易平台关于全流程电子化项目的相关指南进行编制，详见：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7159D2">
      <w:pPr>
        <w:pStyle w:val="86"/>
        <w:snapToGrid w:val="0"/>
        <w:spacing w:after="0" w:line="360" w:lineRule="auto"/>
        <w:ind w:firstLine="210"/>
        <w:rPr>
          <w:rFonts w:ascii="宋体" w:hAnsi="宋体" w:eastAsia="宋体" w:cs="宋体"/>
          <w:color w:val="auto"/>
          <w:szCs w:val="21"/>
          <w:highlight w:val="none"/>
        </w:rPr>
      </w:pPr>
      <w:r>
        <w:rPr>
          <w:rFonts w:hint="eastAsia" w:ascii="宋体" w:hAnsi="宋体" w:eastAsia="宋体" w:cs="宋体"/>
          <w:bCs/>
          <w:color w:val="auto"/>
          <w:szCs w:val="21"/>
          <w:highlight w:val="none"/>
        </w:rPr>
        <w:t>如不按上述要求编制引起系统无法检索、读取相关信息的，其后果由投标人承担。</w:t>
      </w:r>
    </w:p>
    <w:p w14:paraId="5BBE5B88">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13．投标报价及造价承包和变更结算方式</w:t>
      </w:r>
    </w:p>
    <w:p w14:paraId="0C441E88">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13.1 </w:t>
      </w:r>
      <w:r>
        <w:rPr>
          <w:rFonts w:hint="eastAsia" w:ascii="宋体" w:hAnsi="宋体" w:eastAsia="宋体" w:cs="宋体"/>
          <w:color w:val="auto"/>
          <w:szCs w:val="21"/>
          <w:highlight w:val="none"/>
        </w:rPr>
        <w:t>本工程的投标报价采用投标须知前附表第</w:t>
      </w:r>
      <w:r>
        <w:rPr>
          <w:rFonts w:ascii="宋体" w:hAnsi="宋体" w:eastAsia="宋体" w:cs="宋体"/>
          <w:color w:val="auto"/>
          <w:szCs w:val="21"/>
          <w:highlight w:val="none"/>
        </w:rPr>
        <w:t>12项所规定的方式。投标报价（含单价及总价）精确到“分”。</w:t>
      </w:r>
    </w:p>
    <w:p w14:paraId="1472D49A">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459CB31">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2CE1850">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EA9CE5A">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3F37B9E">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13.5.1中标的投标文件工程量清单中已有相同项目的适用综合单价，则沿用；</w:t>
      </w:r>
    </w:p>
    <w:p w14:paraId="547D0FDB">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7AD3533">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13.5.3 </w:t>
      </w:r>
      <w:r>
        <w:rPr>
          <w:rFonts w:hint="eastAsia" w:ascii="宋体" w:hAnsi="宋体" w:eastAsia="宋体" w:cs="宋体"/>
          <w:color w:val="auto"/>
          <w:szCs w:val="21"/>
          <w:highlight w:val="none"/>
        </w:rPr>
        <w:t>中标的投标文件工程量清单中没有相同项目或类似项目的，如可套取相关定额，则以相关定额为基数下浮计算单价</w:t>
      </w:r>
      <w:r>
        <w:rPr>
          <w:rFonts w:ascii="宋体" w:hAnsi="宋体" w:eastAsia="宋体" w:cs="宋体"/>
          <w:color w:val="auto"/>
          <w:szCs w:val="21"/>
          <w:highlight w:val="none"/>
        </w:rPr>
        <w:t xml:space="preserve">,下浮率为中标价相对于最高投标限价的下浮率（下浮率=(最高投标限价-中标价)/ </w:t>
      </w:r>
      <w:r>
        <w:rPr>
          <w:rFonts w:hint="eastAsia" w:ascii="宋体" w:hAnsi="宋体" w:eastAsia="宋体" w:cs="宋体"/>
          <w:color w:val="auto"/>
          <w:szCs w:val="21"/>
          <w:highlight w:val="none"/>
        </w:rPr>
        <w:t>最高投标限价）。</w:t>
      </w:r>
    </w:p>
    <w:p w14:paraId="1B287A0C">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13.5.4 </w:t>
      </w:r>
      <w:r>
        <w:rPr>
          <w:rFonts w:hint="eastAsia" w:ascii="宋体" w:hAnsi="宋体" w:eastAsia="宋体" w:cs="宋体"/>
          <w:color w:val="auto"/>
          <w:szCs w:val="21"/>
          <w:highlight w:val="none"/>
        </w:rPr>
        <w:t>如相关定额没有相应子目的，其计价方式由招标人在本招标文件第三章中另行规定。未规定的，中标后双方协商约定。</w:t>
      </w:r>
    </w:p>
    <w:p w14:paraId="00A0F595">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13.6暂列金额、暂估价</w:t>
      </w:r>
    </w:p>
    <w:p w14:paraId="6B4B80EF">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BAF402E">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暂估价是指招标人在工程量清单中提供的用于支付必然发生但暂时不能确定价格的材料的单价以及专业工程的金额。</w:t>
      </w:r>
    </w:p>
    <w:p w14:paraId="0A07A917">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54CD85A">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D227ED3">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E52C428">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19FD99D">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13.6.6 </w:t>
      </w:r>
      <w:r>
        <w:rPr>
          <w:rFonts w:hint="eastAsia" w:ascii="宋体" w:hAnsi="宋体" w:eastAsia="宋体" w:cs="宋体"/>
          <w:color w:val="auto"/>
          <w:szCs w:val="21"/>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F630058">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227330C8">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3014BD6">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9DE1C4A">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14．投标货币</w:t>
      </w:r>
    </w:p>
    <w:p w14:paraId="4A9741D5">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14.1 </w:t>
      </w:r>
      <w:r>
        <w:rPr>
          <w:rFonts w:hint="eastAsia" w:ascii="宋体" w:hAnsi="宋体" w:eastAsia="宋体" w:cs="宋体"/>
          <w:color w:val="auto"/>
          <w:szCs w:val="21"/>
          <w:highlight w:val="none"/>
        </w:rPr>
        <w:t>本工程投标报价采用的币种为人民币。</w:t>
      </w:r>
    </w:p>
    <w:p w14:paraId="3764E158">
      <w:pPr>
        <w:pStyle w:val="86"/>
        <w:snapToGrid w:val="0"/>
        <w:spacing w:after="0" w:line="360" w:lineRule="auto"/>
        <w:ind w:firstLine="422" w:firstLineChars="200"/>
        <w:rPr>
          <w:rFonts w:ascii="宋体" w:hAnsi="宋体" w:eastAsia="宋体" w:cs="宋体"/>
          <w:color w:val="auto"/>
          <w:szCs w:val="21"/>
          <w:highlight w:val="none"/>
        </w:rPr>
      </w:pPr>
      <w:r>
        <w:rPr>
          <w:rFonts w:ascii="宋体" w:hAnsi="宋体" w:eastAsia="宋体" w:cs="宋体"/>
          <w:b/>
          <w:bCs/>
          <w:color w:val="auto"/>
          <w:szCs w:val="21"/>
          <w:highlight w:val="none"/>
        </w:rPr>
        <w:t>15．投标有效期</w:t>
      </w:r>
    </w:p>
    <w:p w14:paraId="3F38F393">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15.1 </w:t>
      </w:r>
      <w:r>
        <w:rPr>
          <w:rFonts w:hint="eastAsia" w:ascii="宋体" w:hAnsi="宋体" w:eastAsia="宋体" w:cs="宋体"/>
          <w:color w:val="auto"/>
          <w:szCs w:val="21"/>
          <w:highlight w:val="none"/>
        </w:rPr>
        <w:t>投标有效期见投标须知前附表第</w:t>
      </w:r>
      <w:r>
        <w:rPr>
          <w:rFonts w:ascii="宋体" w:hAnsi="宋体" w:eastAsia="宋体" w:cs="宋体"/>
          <w:color w:val="auto"/>
          <w:szCs w:val="21"/>
          <w:highlight w:val="none"/>
        </w:rPr>
        <w:t>13项所规定的期限，在此期限内，凡符合本招标文件要求的投标文件均保持有效。</w:t>
      </w:r>
    </w:p>
    <w:p w14:paraId="38000106">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15.2 </w:t>
      </w:r>
      <w:r>
        <w:rPr>
          <w:rFonts w:hint="eastAsia" w:ascii="宋体" w:hAnsi="宋体" w:eastAsia="宋体" w:cs="宋体"/>
          <w:color w:val="auto"/>
          <w:szCs w:val="21"/>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s="宋体"/>
          <w:color w:val="auto"/>
          <w:szCs w:val="21"/>
          <w:highlight w:val="none"/>
        </w:rPr>
        <w:t>16条关于投标保证金的退还与不予退还的规定仍然适用。</w:t>
      </w:r>
    </w:p>
    <w:p w14:paraId="0C0F0E83">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16．投标保证金</w:t>
      </w:r>
    </w:p>
    <w:p w14:paraId="63BC60FC">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16.1投标人应按投标须知前附表第14项所述金额和时间递交</w:t>
      </w:r>
      <w:r>
        <w:rPr>
          <w:rFonts w:hint="eastAsia" w:ascii="宋体" w:hAnsi="宋体" w:eastAsia="宋体" w:cs="宋体"/>
          <w:bCs/>
          <w:color w:val="auto"/>
          <w:szCs w:val="21"/>
          <w:highlight w:val="none"/>
        </w:rPr>
        <w:t>投标保证金</w:t>
      </w:r>
      <w:r>
        <w:rPr>
          <w:rFonts w:hint="eastAsia" w:ascii="宋体" w:hAnsi="宋体" w:eastAsia="宋体" w:cs="宋体"/>
          <w:color w:val="auto"/>
          <w:szCs w:val="21"/>
          <w:highlight w:val="none"/>
        </w:rPr>
        <w:t>。招标人应当允许投标人自主选择现金、银行保函、保证保险、专业工程担保公司担保等方式缴纳投标保证金。</w:t>
      </w:r>
    </w:p>
    <w:p w14:paraId="5FE63F1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16.1.1 </w:t>
      </w:r>
      <w:r>
        <w:rPr>
          <w:rFonts w:hint="eastAsia" w:ascii="宋体" w:hAnsi="宋体" w:eastAsia="宋体" w:cs="宋体"/>
          <w:color w:val="auto"/>
          <w:szCs w:val="21"/>
          <w:highlight w:val="none"/>
        </w:rPr>
        <w:t>采用现金或者支票形式提交的，投标保证金须从投标人的银行基本账户转出。</w:t>
      </w:r>
    </w:p>
    <w:p w14:paraId="6048502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16.1.2 </w:t>
      </w:r>
      <w:r>
        <w:rPr>
          <w:rFonts w:hint="eastAsia" w:ascii="宋体" w:hAnsi="宋体" w:eastAsia="宋体" w:cs="宋体"/>
          <w:color w:val="auto"/>
          <w:szCs w:val="21"/>
          <w:highlight w:val="none"/>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eastAsia="宋体" w:cs="宋体"/>
          <w:color w:val="auto"/>
          <w:szCs w:val="21"/>
          <w:highlight w:val="none"/>
        </w:rPr>
        <w:t>16.4条款所列情形的，应将纸质原件提交给招标人。</w:t>
      </w:r>
    </w:p>
    <w:p w14:paraId="0876441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16.1.3 </w:t>
      </w:r>
      <w:r>
        <w:rPr>
          <w:rFonts w:hint="eastAsia" w:ascii="宋体" w:hAnsi="宋体" w:eastAsia="宋体" w:cs="宋体"/>
          <w:color w:val="auto"/>
          <w:szCs w:val="21"/>
          <w:highlight w:val="none"/>
        </w:rPr>
        <w:t>采用电子形式的保函、担保或保证保险提交投标保证金的，应在招标文件中明确电子递交途径。</w:t>
      </w:r>
    </w:p>
    <w:p w14:paraId="4F44493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4159BD9">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16.3投标保证金应依据法律法规的相关规定退还。</w:t>
      </w:r>
    </w:p>
    <w:p w14:paraId="7A7B43E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16.4如有下列情况之一的，招标人可以不予退还投标保证金（是否退还投标保证金由招标人在招标文件中规定）：</w:t>
      </w:r>
    </w:p>
    <w:p w14:paraId="702FCCA3">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16.4.1因投标人原因造成投标文件未解密的；</w:t>
      </w:r>
    </w:p>
    <w:p w14:paraId="3CCB1662">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16.4.2投标人在投标有效期内撤销投标文件；</w:t>
      </w:r>
    </w:p>
    <w:p w14:paraId="6E829D89">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16.4.3中标人未能在规定期限内按要求提交履约担保；</w:t>
      </w:r>
    </w:p>
    <w:p w14:paraId="579E987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16.4.4中标人未能在规定期限内签署合同协议。</w:t>
      </w:r>
    </w:p>
    <w:p w14:paraId="68D4C85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16.5投标人如存在下列情况之一的，将被拒绝在一定时期内参与招标人后续工程投标（拒绝时限需在招标文件中明确）：</w:t>
      </w:r>
    </w:p>
    <w:p w14:paraId="7D1CB0C2">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16.5.1投标人存在16.4条款所列情形且投标人提交的保函、担保或保证保险无法兑付的；</w:t>
      </w:r>
    </w:p>
    <w:p w14:paraId="254C4EA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16.5.2采用非电子形式提交投标保证金的投标人存在16.4条款所列情形，且未按招标人要求补交银行保函、专业工程担保公司担保或保证保险原件的；</w:t>
      </w:r>
    </w:p>
    <w:p w14:paraId="1D255E93">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16.5.3按招标文件要求免于提供投标保证金的投标人存在16.4条款所列情形，且未按招标人要求补交投标保证金的；</w:t>
      </w:r>
    </w:p>
    <w:p w14:paraId="7D80FD0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16.5.3按招标文件要求免于提供投标保证金的投标人存在16.4条款所列情形的。</w:t>
      </w:r>
    </w:p>
    <w:p w14:paraId="71F6D0B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r>
        <w:rPr>
          <w:rFonts w:ascii="宋体" w:hAnsi="宋体" w:eastAsia="宋体" w:cs="宋体"/>
          <w:color w:val="auto"/>
          <w:szCs w:val="21"/>
          <w:highlight w:val="none"/>
        </w:rPr>
        <w:t>16.5.3款由招标人二选一，需在招标文件中明确。</w:t>
      </w:r>
    </w:p>
    <w:p w14:paraId="554CB363">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17．投标文件的签署</w:t>
      </w:r>
    </w:p>
    <w:p w14:paraId="5E10B2A4">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17.1投标人应采用单位数字证书，</w:t>
      </w:r>
      <w:r>
        <w:rPr>
          <w:rFonts w:hint="eastAsia" w:ascii="宋体" w:hAnsi="宋体" w:eastAsia="宋体" w:cs="宋体"/>
          <w:b/>
          <w:bCs w:val="0"/>
          <w:color w:val="auto"/>
          <w:szCs w:val="21"/>
          <w:highlight w:val="none"/>
        </w:rPr>
        <w:t>对投标文件</w:t>
      </w:r>
      <w:r>
        <w:rPr>
          <w:rFonts w:ascii="宋体" w:hAnsi="宋体" w:eastAsia="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774AE6">
      <w:pPr>
        <w:pStyle w:val="6"/>
        <w:tabs>
          <w:tab w:val="left" w:pos="0"/>
        </w:tabs>
        <w:snapToGrid w:val="0"/>
        <w:spacing w:before="0" w:after="0" w:line="360" w:lineRule="auto"/>
        <w:rPr>
          <w:rFonts w:ascii="宋体" w:hAnsi="宋体" w:eastAsia="宋体" w:cs="宋体"/>
          <w:color w:val="auto"/>
          <w:sz w:val="21"/>
          <w:szCs w:val="21"/>
          <w:highlight w:val="none"/>
        </w:rPr>
      </w:pPr>
      <w:bookmarkStart w:id="12" w:name="_Toc24057"/>
      <w:bookmarkStart w:id="13" w:name="_Toc21525496"/>
      <w:r>
        <w:rPr>
          <w:rFonts w:hint="eastAsia" w:ascii="宋体" w:hAnsi="宋体" w:eastAsia="宋体" w:cs="宋体"/>
          <w:b/>
          <w:color w:val="auto"/>
          <w:sz w:val="21"/>
          <w:szCs w:val="21"/>
          <w:highlight w:val="none"/>
        </w:rPr>
        <w:t>（四）投标文件的提交</w:t>
      </w:r>
      <w:bookmarkEnd w:id="12"/>
      <w:bookmarkEnd w:id="13"/>
    </w:p>
    <w:p w14:paraId="1AFC7831">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18．</w:t>
      </w:r>
      <w:r>
        <w:rPr>
          <w:rFonts w:hint="eastAsia" w:ascii="宋体" w:hAnsi="宋体" w:eastAsia="宋体" w:cs="宋体"/>
          <w:b/>
          <w:color w:val="auto"/>
          <w:szCs w:val="21"/>
          <w:highlight w:val="none"/>
        </w:rPr>
        <w:t>投标文件的密封和标记</w:t>
      </w:r>
    </w:p>
    <w:p w14:paraId="64ABCF09">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18.1递交的电子投标文件（不含备用光盘）必须进行加密。按照交易平台关于</w:t>
      </w:r>
      <w:r>
        <w:rPr>
          <w:rFonts w:hint="eastAsia" w:ascii="宋体" w:hAnsi="宋体" w:eastAsia="宋体" w:cs="宋体"/>
          <w:color w:val="auto"/>
          <w:szCs w:val="21"/>
          <w:highlight w:val="none"/>
        </w:rPr>
        <w:t>全流程电子化项目的相关指南进行操作。详见：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E4D759">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18.2 </w:t>
      </w:r>
      <w:r>
        <w:rPr>
          <w:rFonts w:hint="eastAsia" w:ascii="宋体" w:hAnsi="宋体" w:eastAsia="宋体" w:cs="宋体"/>
          <w:bCs/>
          <w:color w:val="auto"/>
          <w:szCs w:val="21"/>
          <w:highlight w:val="none"/>
        </w:rPr>
        <w:t>未按要求加密的投标文件，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w:t>
      </w:r>
      <w:r>
        <w:rPr>
          <w:rFonts w:hint="eastAsia" w:ascii="宋体" w:hAnsi="宋体" w:eastAsia="宋体" w:cs="宋体"/>
          <w:bCs/>
          <w:color w:val="auto"/>
          <w:szCs w:val="21"/>
          <w:highlight w:val="none"/>
        </w:rPr>
        <w:t>将予以拒收。</w:t>
      </w:r>
    </w:p>
    <w:p w14:paraId="59666CF3">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19．投标文件的递交和接收</w:t>
      </w:r>
    </w:p>
    <w:p w14:paraId="6B00BC35">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19.1投标人通过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交易平台递交电子投标文件。</w:t>
      </w:r>
    </w:p>
    <w:p w14:paraId="6E0D7DB4">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19.2投标人完成电子</w:t>
      </w:r>
      <w:r>
        <w:rPr>
          <w:rFonts w:hint="eastAsia" w:ascii="宋体" w:hAnsi="宋体" w:eastAsia="宋体" w:cs="宋体"/>
          <w:color w:val="auto"/>
          <w:szCs w:val="21"/>
          <w:highlight w:val="none"/>
        </w:rPr>
        <w:t>投标文件</w:t>
      </w:r>
      <w:r>
        <w:rPr>
          <w:rFonts w:hint="eastAsia" w:ascii="宋体" w:hAnsi="宋体" w:eastAsia="宋体" w:cs="宋体"/>
          <w:bCs/>
          <w:color w:val="auto"/>
          <w:szCs w:val="21"/>
          <w:highlight w:val="none"/>
        </w:rPr>
        <w:t>上传后，</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交易平台即时向投标人发出递交回执通知。递交时间以递交回执通知载明的传输完成时间为准。</w:t>
      </w:r>
    </w:p>
    <w:p w14:paraId="0B2B7202">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Cs/>
          <w:color w:val="auto"/>
          <w:szCs w:val="21"/>
          <w:highlight w:val="none"/>
        </w:rPr>
        <w:t>19.3逾期送达的电子投标文件，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14:paraId="0048BF7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19.4 </w:t>
      </w:r>
      <w:r>
        <w:rPr>
          <w:rFonts w:hint="eastAsia" w:ascii="宋体" w:hAnsi="宋体" w:eastAsia="宋体" w:cs="宋体"/>
          <w:color w:val="auto"/>
          <w:szCs w:val="21"/>
          <w:highlight w:val="none"/>
        </w:rPr>
        <w:t>投标截止前，招标人拒绝接收符合条件的投标文件，投标人可向招标投标监督机构投诉。</w:t>
      </w:r>
    </w:p>
    <w:p w14:paraId="30B0F1B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19.5如技术标和经济标先后分别开启，</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交易平台将按招标文件规定的时间分别开启技术标和经济标。</w:t>
      </w:r>
    </w:p>
    <w:p w14:paraId="559158D0">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20．投标文件提交的截止时间</w:t>
      </w:r>
    </w:p>
    <w:p w14:paraId="07306B2A">
      <w:pPr>
        <w:snapToGrid w:val="0"/>
        <w:spacing w:line="360" w:lineRule="auto"/>
        <w:ind w:firstLine="420" w:firstLineChars="200"/>
        <w:rPr>
          <w:rFonts w:ascii="宋体" w:hAnsi="宋体" w:eastAsia="宋体" w:cs="宋体"/>
          <w:b/>
          <w:bCs/>
          <w:color w:val="auto"/>
          <w:szCs w:val="21"/>
          <w:highlight w:val="none"/>
        </w:rPr>
      </w:pPr>
      <w:r>
        <w:rPr>
          <w:rFonts w:ascii="宋体" w:hAnsi="宋体" w:eastAsia="宋体" w:cs="宋体"/>
          <w:color w:val="auto"/>
          <w:szCs w:val="21"/>
          <w:highlight w:val="none"/>
        </w:rPr>
        <w:t>20.1投标人应在投标须知前附表第17项所述的时间前提交投标文件。</w:t>
      </w:r>
    </w:p>
    <w:p w14:paraId="3DED042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7FDB16E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20.3 </w:t>
      </w:r>
      <w:r>
        <w:rPr>
          <w:rFonts w:hint="eastAsia" w:ascii="宋体" w:hAnsi="宋体" w:eastAsia="宋体" w:cs="宋体"/>
          <w:color w:val="auto"/>
          <w:szCs w:val="21"/>
          <w:highlight w:val="none"/>
        </w:rPr>
        <w:t>到投标截止时间止，招标人收到的投标文件少于</w:t>
      </w:r>
      <w:r>
        <w:rPr>
          <w:rFonts w:ascii="宋体" w:hAnsi="宋体" w:eastAsia="宋体" w:cs="宋体"/>
          <w:color w:val="auto"/>
          <w:szCs w:val="21"/>
          <w:highlight w:val="none"/>
        </w:rPr>
        <w:t>3家的，招标人将重新组织招标（当N个标段同时招标且不允许兼中时，若有效投标人不足N+2家，则重新组织招标）。</w:t>
      </w:r>
    </w:p>
    <w:p w14:paraId="027A7D69">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21．迟交的投标文件</w:t>
      </w:r>
    </w:p>
    <w:p w14:paraId="5420B77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21.1 </w:t>
      </w:r>
      <w:r>
        <w:rPr>
          <w:rFonts w:hint="eastAsia" w:ascii="宋体" w:hAnsi="宋体" w:eastAsia="宋体" w:cs="宋体"/>
          <w:color w:val="auto"/>
          <w:szCs w:val="21"/>
          <w:highlight w:val="none"/>
        </w:rPr>
        <w:t>本须知前附表第</w:t>
      </w:r>
      <w:r>
        <w:rPr>
          <w:rFonts w:ascii="宋体" w:hAnsi="宋体" w:eastAsia="宋体" w:cs="宋体"/>
          <w:color w:val="auto"/>
          <w:szCs w:val="21"/>
          <w:highlight w:val="none"/>
        </w:rPr>
        <w:t>17项规定的投标截止时间</w:t>
      </w:r>
      <w:r>
        <w:rPr>
          <w:rFonts w:hint="eastAsia" w:ascii="宋体" w:hAnsi="宋体" w:eastAsia="宋体" w:cs="宋体"/>
          <w:bCs/>
          <w:color w:val="auto"/>
          <w:szCs w:val="21"/>
          <w:highlight w:val="none"/>
        </w:rPr>
        <w:t>后送达的电子投标文件，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14:paraId="44BAD167">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22．投标文件的修改与撤回</w:t>
      </w:r>
    </w:p>
    <w:p w14:paraId="4AEBE80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22.1在规定的投标截止时间前，投标人可以修改或撤回已递交的投标文件，但应以书面形式通知招标人。</w:t>
      </w:r>
    </w:p>
    <w:p w14:paraId="3A69DE9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22.2投标人修改或撤回已递交的投标文件，需在交易平台发出修改或撤回通知，并按要求加盖电子印章。</w:t>
      </w:r>
      <w:r>
        <w:rPr>
          <w:rFonts w:hint="eastAsia" w:ascii="宋体" w:hAnsi="宋体" w:eastAsia="宋体" w:cs="宋体"/>
          <w:bCs/>
          <w:iCs/>
          <w:color w:val="auto"/>
          <w:szCs w:val="21"/>
          <w:highlight w:val="none"/>
        </w:rPr>
        <w:t>电子招标投标交易平台收到通知后，</w:t>
      </w:r>
      <w:r>
        <w:rPr>
          <w:rFonts w:hint="eastAsia" w:ascii="宋体" w:hAnsi="宋体" w:eastAsia="宋体" w:cs="宋体"/>
          <w:color w:val="auto"/>
          <w:szCs w:val="21"/>
          <w:highlight w:val="none"/>
        </w:rPr>
        <w:t>即时向投标人发出确认回执通知。</w:t>
      </w:r>
    </w:p>
    <w:p w14:paraId="6A90576C">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22.3修改后再次递交的，按19点的规定执行。</w:t>
      </w:r>
    </w:p>
    <w:p w14:paraId="6428E0DC">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22.4 </w:t>
      </w:r>
      <w:r>
        <w:rPr>
          <w:rFonts w:hint="eastAsia" w:ascii="宋体" w:hAnsi="宋体" w:eastAsia="宋体" w:cs="宋体"/>
          <w:color w:val="auto"/>
          <w:szCs w:val="21"/>
          <w:highlight w:val="none"/>
        </w:rPr>
        <w:t>在投标截止时间之后，投标人不得补充、修改和更换投标文件。</w:t>
      </w:r>
    </w:p>
    <w:p w14:paraId="2EB4C857">
      <w:pPr>
        <w:pStyle w:val="6"/>
        <w:tabs>
          <w:tab w:val="left" w:pos="0"/>
        </w:tabs>
        <w:snapToGrid w:val="0"/>
        <w:spacing w:before="0" w:after="0" w:line="360" w:lineRule="auto"/>
        <w:rPr>
          <w:rFonts w:ascii="宋体" w:hAnsi="宋体" w:eastAsia="宋体" w:cs="宋体"/>
          <w:color w:val="auto"/>
          <w:sz w:val="21"/>
          <w:szCs w:val="21"/>
          <w:highlight w:val="none"/>
        </w:rPr>
      </w:pPr>
      <w:bookmarkStart w:id="14" w:name="_Toc21525497"/>
      <w:bookmarkStart w:id="15" w:name="_Toc13732"/>
      <w:r>
        <w:rPr>
          <w:rFonts w:hint="eastAsia" w:ascii="宋体" w:hAnsi="宋体" w:eastAsia="宋体" w:cs="宋体"/>
          <w:b/>
          <w:color w:val="auto"/>
          <w:sz w:val="21"/>
          <w:szCs w:val="21"/>
          <w:highlight w:val="none"/>
        </w:rPr>
        <w:t>（五）开标、评标、定标及合同签定</w:t>
      </w:r>
      <w:bookmarkEnd w:id="14"/>
      <w:bookmarkEnd w:id="15"/>
    </w:p>
    <w:p w14:paraId="70372C3D">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23、开标。</w:t>
      </w:r>
    </w:p>
    <w:p w14:paraId="71B22A5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详见第二章开标、评标及定标办法</w:t>
      </w:r>
    </w:p>
    <w:p w14:paraId="584FB34A">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24．评标过程的保密</w:t>
      </w:r>
    </w:p>
    <w:p w14:paraId="238BC3E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24.1 </w:t>
      </w:r>
      <w:r>
        <w:rPr>
          <w:rFonts w:hint="eastAsia" w:ascii="宋体" w:hAnsi="宋体" w:eastAsia="宋体" w:cs="宋体"/>
          <w:color w:val="auto"/>
          <w:szCs w:val="21"/>
          <w:highlight w:val="none"/>
        </w:rPr>
        <w:t>开标后，直至中标公示为止，凡属于对投标文件的审查、澄清、评价和比较有关的资料以及中标候选人的推荐情况，与评标有关的其他任何情况均严格保密。</w:t>
      </w:r>
    </w:p>
    <w:p w14:paraId="173EE14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24.2 </w:t>
      </w:r>
      <w:r>
        <w:rPr>
          <w:rFonts w:hint="eastAsia" w:ascii="宋体" w:hAnsi="宋体" w:eastAsia="宋体" w:cs="宋体"/>
          <w:color w:val="auto"/>
          <w:szCs w:val="21"/>
          <w:highlight w:val="none"/>
        </w:rPr>
        <w:t>在投标文件的评审和比较、中标候选人推荐以及授予合同的过程中，投标人向招标人和评标委员会施加不公正影响的任何行为，都将会导致其投标被拒绝。</w:t>
      </w:r>
    </w:p>
    <w:p w14:paraId="75824881">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25．投标文件的澄清，计算错误的修正</w:t>
      </w:r>
    </w:p>
    <w:p w14:paraId="20138E45">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详见招标文件第二章开标、评标及定标办法</w:t>
      </w:r>
    </w:p>
    <w:p w14:paraId="7A3A2C34">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26．投标文件的评审、比较和否决</w:t>
      </w:r>
    </w:p>
    <w:p w14:paraId="681F5BB0">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详见招标文件第二章开标、评标及定标办法。</w:t>
      </w:r>
    </w:p>
    <w:p w14:paraId="65C00810">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27．中标通知书</w:t>
      </w:r>
    </w:p>
    <w:p w14:paraId="1AA6940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27.1招标人将在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交易平台进行，招标人也应通过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交易平台答复线上提交的异议。作出答复前，应当暂停招标投标活动。</w:t>
      </w:r>
    </w:p>
    <w:p w14:paraId="5289864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27.2招标人应当自确定中标人后，向招标投标监管机构提交招标投标情况的书面报告；经招投标监管机构备案后，方可发出中标通知书。</w:t>
      </w:r>
    </w:p>
    <w:p w14:paraId="6DEA00E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27.3中标人必须在收到中标通知书后24小时之内以书面形式回复招标人，确认收到。</w:t>
      </w:r>
    </w:p>
    <w:p w14:paraId="749E0A1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27.4在产生中标候选人后，招标人将中标候选人的投标文件商务部分文件的所有内容（包括人员、业绩、奖项等资料）在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交易平台和广东省招标投标监管网公开。</w:t>
      </w:r>
    </w:p>
    <w:p w14:paraId="1601A68B">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28．合同协议书的签订</w:t>
      </w:r>
    </w:p>
    <w:p w14:paraId="298890A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28.1 </w:t>
      </w:r>
      <w:r>
        <w:rPr>
          <w:rFonts w:hint="eastAsia" w:ascii="宋体" w:hAnsi="宋体" w:eastAsia="宋体" w:cs="宋体"/>
          <w:color w:val="auto"/>
          <w:szCs w:val="21"/>
          <w:highlight w:val="none"/>
        </w:rPr>
        <w:t>招标人与中标人将于中标通知书发出之日起</w:t>
      </w:r>
      <w:r>
        <w:rPr>
          <w:rFonts w:ascii="宋体" w:hAnsi="宋体" w:eastAsia="宋体" w:cs="宋体"/>
          <w:color w:val="auto"/>
          <w:szCs w:val="21"/>
          <w:highlight w:val="none"/>
        </w:rPr>
        <w:t>30日内，按照招标文件和中标人的投标文件商定和签订合同，招标人和中标人不得再行订立背离合同实质性内容的其他协议。</w:t>
      </w:r>
    </w:p>
    <w:p w14:paraId="387CDD6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717B68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740FF352">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28.4</w:t>
      </w:r>
      <w:r>
        <w:rPr>
          <w:rFonts w:hint="eastAsia" w:ascii="宋体" w:hAnsi="宋体" w:eastAsia="宋体" w:cs="宋体"/>
          <w:b/>
          <w:bCs/>
          <w:color w:val="auto"/>
          <w:kern w:val="0"/>
          <w:sz w:val="22"/>
          <w:szCs w:val="22"/>
          <w:highlight w:val="none"/>
        </w:rPr>
        <w:t>工程进度款支付应不低于已完成工程价款的80%，</w:t>
      </w:r>
      <w:r>
        <w:rPr>
          <w:rFonts w:hint="eastAsia" w:ascii="宋体" w:hAnsi="宋体" w:eastAsia="宋体" w:cs="宋体"/>
          <w:color w:val="auto"/>
          <w:kern w:val="0"/>
          <w:sz w:val="22"/>
          <w:szCs w:val="22"/>
          <w:highlight w:val="none"/>
        </w:rPr>
        <w:t>招标人支付工程款时，中标人应按规定开具发票。</w:t>
      </w:r>
      <w:r>
        <w:rPr>
          <w:rFonts w:hint="eastAsia" w:ascii="宋体" w:hAnsi="宋体" w:eastAsia="宋体" w:cs="宋体"/>
          <w:b/>
          <w:color w:val="auto"/>
          <w:kern w:val="0"/>
          <w:sz w:val="22"/>
          <w:szCs w:val="22"/>
          <w:highlight w:val="none"/>
        </w:rPr>
        <w:t>质量保证金不超过工程价款总额3%。</w:t>
      </w:r>
      <w:r>
        <w:rPr>
          <w:rFonts w:hint="eastAsia" w:ascii="宋体" w:hAnsi="宋体" w:eastAsia="宋体" w:cs="宋体"/>
          <w:b/>
          <w:bCs/>
          <w:color w:val="auto"/>
          <w:kern w:val="0"/>
          <w:sz w:val="22"/>
          <w:szCs w:val="22"/>
          <w:highlight w:val="none"/>
        </w:rPr>
        <w:t>当年开工、当年不能竣工的新开工项目可以采用过程结算。</w:t>
      </w:r>
    </w:p>
    <w:p w14:paraId="4384A78E">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29．履约担保</w:t>
      </w:r>
    </w:p>
    <w:p w14:paraId="667C26CC">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29.1 </w:t>
      </w:r>
      <w:r>
        <w:rPr>
          <w:rFonts w:hint="eastAsia" w:ascii="宋体" w:hAnsi="宋体" w:eastAsia="宋体" w:cs="宋体"/>
          <w:color w:val="auto"/>
          <w:szCs w:val="21"/>
          <w:highlight w:val="none"/>
        </w:rPr>
        <w:t>在收到中标通知书后的</w:t>
      </w:r>
      <w:r>
        <w:rPr>
          <w:rFonts w:ascii="宋体" w:hAnsi="宋体" w:eastAsia="宋体" w:cs="宋体"/>
          <w:b/>
          <w:color w:val="auto"/>
          <w:szCs w:val="21"/>
          <w:highlight w:val="none"/>
        </w:rPr>
        <w:t>15日</w:t>
      </w:r>
      <w:r>
        <w:rPr>
          <w:rFonts w:hint="eastAsia" w:ascii="宋体" w:hAnsi="宋体" w:eastAsia="宋体" w:cs="宋体"/>
          <w:color w:val="auto"/>
          <w:szCs w:val="21"/>
          <w:highlight w:val="none"/>
        </w:rPr>
        <w:t>内，中标人应按本须知前附表第</w:t>
      </w:r>
      <w:r>
        <w:rPr>
          <w:rFonts w:ascii="宋体" w:hAnsi="宋体" w:eastAsia="宋体" w:cs="宋体"/>
          <w:color w:val="auto"/>
          <w:szCs w:val="21"/>
          <w:highlight w:val="none"/>
        </w:rPr>
        <w:t>20项的规定向招标人提交履约担保。</w:t>
      </w:r>
    </w:p>
    <w:p w14:paraId="7079B59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FC4B099">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30．合同生效</w:t>
      </w:r>
    </w:p>
    <w:p w14:paraId="1FD7091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30.1在合同双方全权代表在合同协议书上签字，并分别加盖双方单位的公章后，合同正式生效。</w:t>
      </w:r>
    </w:p>
    <w:p w14:paraId="51908A43">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31．其它费用</w:t>
      </w:r>
    </w:p>
    <w:p w14:paraId="2D763413">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32．腐败与欺诈行为</w:t>
      </w:r>
    </w:p>
    <w:p w14:paraId="39F31485">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在招标和合同实施期间，招标人要求投标人和承包人遵守最高的道德标准。</w:t>
      </w:r>
    </w:p>
    <w:p w14:paraId="78125E64">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32．1对本条款的规定，特定义如下词汇：</w:t>
      </w:r>
    </w:p>
    <w:p w14:paraId="7155B982">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1）、“腐败行为”是指在招标或合同执行期间，通过提供、给予、接受或索要任何有价值的东西，从而影响招标人有关人员工作的行为；</w:t>
      </w:r>
    </w:p>
    <w:p w14:paraId="547496F6">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3DB3706">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32．2如果投标人被认定在本招标的竞争中有腐败或欺诈行为，则会被取消投标资格。</w:t>
      </w:r>
    </w:p>
    <w:p w14:paraId="20E03845">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4A2B6DD3">
      <w:pPr>
        <w:rPr>
          <w:rFonts w:ascii="宋体" w:hAnsi="宋体" w:eastAsia="宋体" w:cs="宋体"/>
          <w:color w:val="auto"/>
          <w:highlight w:val="none"/>
        </w:rPr>
      </w:pPr>
    </w:p>
    <w:p w14:paraId="65239C73">
      <w:pPr>
        <w:pStyle w:val="4"/>
        <w:tabs>
          <w:tab w:val="left" w:pos="0"/>
        </w:tabs>
        <w:snapToGrid w:val="0"/>
        <w:spacing w:before="0" w:after="0"/>
        <w:jc w:val="center"/>
        <w:rPr>
          <w:rFonts w:ascii="宋体" w:hAnsi="宋体" w:eastAsia="宋体" w:cs="宋体"/>
          <w:color w:val="auto"/>
          <w:sz w:val="32"/>
          <w:szCs w:val="32"/>
          <w:highlight w:val="none"/>
        </w:rPr>
      </w:pPr>
      <w:r>
        <w:rPr>
          <w:rFonts w:ascii="宋体" w:hAnsi="宋体" w:eastAsia="宋体" w:cs="宋体"/>
          <w:b/>
          <w:color w:val="auto"/>
          <w:kern w:val="44"/>
          <w:sz w:val="24"/>
          <w:highlight w:val="none"/>
        </w:rPr>
        <w:br w:type="page"/>
      </w:r>
      <w:bookmarkStart w:id="16" w:name="_Toc12835"/>
      <w:r>
        <w:rPr>
          <w:rFonts w:hint="eastAsia" w:ascii="宋体" w:hAnsi="宋体" w:eastAsia="宋体" w:cs="宋体"/>
          <w:b/>
          <w:color w:val="auto"/>
          <w:kern w:val="44"/>
          <w:sz w:val="32"/>
          <w:szCs w:val="32"/>
          <w:highlight w:val="none"/>
        </w:rPr>
        <w:t>第二章</w:t>
      </w:r>
      <w:r>
        <w:rPr>
          <w:rFonts w:ascii="宋体" w:hAnsi="宋体" w:eastAsia="宋体" w:cs="宋体"/>
          <w:b/>
          <w:color w:val="auto"/>
          <w:kern w:val="44"/>
          <w:sz w:val="32"/>
          <w:szCs w:val="32"/>
          <w:highlight w:val="none"/>
        </w:rPr>
        <w:t xml:space="preserve">  </w:t>
      </w:r>
      <w:r>
        <w:rPr>
          <w:rFonts w:hint="eastAsia" w:ascii="宋体" w:hAnsi="宋体" w:eastAsia="宋体" w:cs="宋体"/>
          <w:b/>
          <w:color w:val="auto"/>
          <w:kern w:val="44"/>
          <w:sz w:val="32"/>
          <w:szCs w:val="32"/>
          <w:highlight w:val="none"/>
        </w:rPr>
        <w:t>开标、评标及定标办法</w:t>
      </w:r>
      <w:bookmarkEnd w:id="16"/>
    </w:p>
    <w:p w14:paraId="3B604207">
      <w:pPr>
        <w:pStyle w:val="5"/>
        <w:tabs>
          <w:tab w:val="left" w:pos="0"/>
        </w:tabs>
        <w:snapToGrid w:val="0"/>
        <w:spacing w:before="0" w:after="0" w:line="360" w:lineRule="auto"/>
        <w:jc w:val="center"/>
        <w:rPr>
          <w:rFonts w:ascii="宋体" w:hAnsi="宋体" w:eastAsia="宋体" w:cs="宋体"/>
          <w:color w:val="auto"/>
          <w:szCs w:val="32"/>
          <w:highlight w:val="none"/>
        </w:rPr>
      </w:pPr>
      <w:bookmarkStart w:id="17" w:name="_Toc20882"/>
      <w:r>
        <w:rPr>
          <w:rFonts w:hint="eastAsia" w:ascii="宋体" w:hAnsi="宋体" w:eastAsia="宋体" w:cs="宋体"/>
          <w:color w:val="auto"/>
          <w:szCs w:val="32"/>
          <w:highlight w:val="none"/>
        </w:rPr>
        <w:t>一、开标、评标及定标办法修改表</w:t>
      </w:r>
      <w:bookmarkEnd w:id="17"/>
    </w:p>
    <w:p w14:paraId="409658F4">
      <w:pPr>
        <w:pStyle w:val="86"/>
        <w:snapToGrid w:val="0"/>
        <w:spacing w:after="0" w:line="360" w:lineRule="auto"/>
        <w:ind w:firstLine="211"/>
        <w:rPr>
          <w:rFonts w:ascii="宋体" w:hAnsi="宋体" w:eastAsia="宋体" w:cs="宋体"/>
          <w:b/>
          <w:color w:val="auto"/>
          <w:szCs w:val="21"/>
          <w:highlight w:val="none"/>
        </w:rPr>
      </w:pPr>
      <w:r>
        <w:rPr>
          <w:rFonts w:hint="eastAsia" w:ascii="宋体" w:hAnsi="宋体" w:eastAsia="宋体" w:cs="宋体"/>
          <w:b/>
          <w:color w:val="auto"/>
          <w:szCs w:val="21"/>
          <w:highlight w:val="none"/>
        </w:rPr>
        <w:t>声明：本开标、评标及定标办法使用</w:t>
      </w:r>
      <w:r>
        <w:rPr>
          <w:rFonts w:ascii="宋体" w:hAnsi="宋体" w:eastAsia="宋体" w:cs="宋体"/>
          <w:b/>
          <w:color w:val="auto"/>
          <w:szCs w:val="21"/>
          <w:highlight w:val="none"/>
        </w:rPr>
        <w:t>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Style w:val="231"/>
          <w:rFonts w:hint="eastAsia" w:ascii="宋体" w:hAnsi="宋体" w:eastAsia="宋体" w:cs="宋体"/>
          <w:b/>
          <w:color w:val="auto"/>
          <w:sz w:val="21"/>
          <w:szCs w:val="21"/>
          <w:highlight w:val="none"/>
          <w:u w:val="none"/>
        </w:rPr>
        <w:fldChar w:fldCharType="begin"/>
      </w:r>
      <w:r>
        <w:rPr>
          <w:rFonts w:ascii="宋体" w:hAnsi="宋体" w:eastAsia="宋体" w:cs="宋体"/>
          <w:b w:val="0"/>
          <w:color w:val="auto"/>
          <w:sz w:val="21"/>
          <w:szCs w:val="21"/>
          <w:highlight w:val="none"/>
        </w:rPr>
        <w:instrText xml:space="preserve"> HYPERLINK "http://www.gzcc.gov.cn/）下载GZZB2018-3" </w:instrText>
      </w:r>
      <w:r>
        <w:rPr>
          <w:rStyle w:val="231"/>
          <w:rFonts w:hint="eastAsia" w:ascii="宋体" w:hAnsi="宋体" w:eastAsia="宋体" w:cs="宋体"/>
          <w:b/>
          <w:color w:val="auto"/>
          <w:sz w:val="21"/>
          <w:szCs w:val="21"/>
          <w:highlight w:val="none"/>
          <w:u w:val="none"/>
        </w:rPr>
        <w:fldChar w:fldCharType="separate"/>
      </w:r>
      <w:r>
        <w:rPr>
          <w:rFonts w:ascii="宋体" w:hAnsi="宋体" w:eastAsia="宋体" w:cs="宋体"/>
          <w:b/>
          <w:color w:val="auto"/>
          <w:szCs w:val="21"/>
          <w:highlight w:val="none"/>
        </w:rPr>
        <w:t>http</w:t>
      </w:r>
      <w:r>
        <w:rPr>
          <w:rFonts w:hint="eastAsia" w:ascii="宋体" w:hAnsi="宋体" w:eastAsia="宋体" w:cs="宋体"/>
          <w:b/>
          <w:color w:val="auto"/>
          <w:szCs w:val="21"/>
          <w:highlight w:val="none"/>
        </w:rPr>
        <w:t>：</w:t>
      </w:r>
      <w:r>
        <w:rPr>
          <w:rFonts w:ascii="宋体" w:hAnsi="宋体" w:eastAsia="宋体" w:cs="宋体"/>
          <w:b/>
          <w:color w:val="auto"/>
          <w:szCs w:val="21"/>
          <w:highlight w:val="none"/>
        </w:rPr>
        <w:t>//zfcj.gz.gov.cn/</w:t>
      </w:r>
      <w:r>
        <w:rPr>
          <w:rStyle w:val="237"/>
          <w:rFonts w:hint="eastAsia" w:ascii="宋体" w:hAnsi="宋体" w:eastAsia="宋体" w:cs="宋体"/>
          <w:b/>
          <w:color w:val="auto"/>
          <w:sz w:val="21"/>
          <w:szCs w:val="21"/>
          <w:highlight w:val="none"/>
          <w:u w:val="none"/>
        </w:rPr>
        <w:t>）下载</w:t>
      </w:r>
      <w:r>
        <w:rPr>
          <w:rStyle w:val="237"/>
          <w:rFonts w:ascii="宋体" w:hAnsi="宋体" w:eastAsia="宋体" w:cs="宋体"/>
          <w:b/>
          <w:color w:val="auto"/>
          <w:sz w:val="21"/>
          <w:szCs w:val="21"/>
          <w:highlight w:val="none"/>
          <w:u w:val="none"/>
        </w:rPr>
        <w:t>GZZB2018-3</w:t>
      </w:r>
      <w:r>
        <w:rPr>
          <w:rStyle w:val="237"/>
          <w:rFonts w:hint="eastAsia" w:ascii="宋体" w:hAnsi="宋体" w:eastAsia="宋体" w:cs="宋体"/>
          <w:b/>
          <w:color w:val="auto"/>
          <w:sz w:val="21"/>
          <w:szCs w:val="21"/>
          <w:highlight w:val="none"/>
          <w:u w:val="none"/>
        </w:rPr>
        <w:fldChar w:fldCharType="end"/>
      </w:r>
      <w:r>
        <w:rPr>
          <w:rFonts w:hint="eastAsia" w:ascii="宋体" w:hAnsi="宋体" w:eastAsia="宋体" w:cs="宋体"/>
          <w:b/>
          <w:color w:val="auto"/>
          <w:szCs w:val="21"/>
          <w:highlight w:val="none"/>
        </w:rPr>
        <w:t>范本查阅。</w:t>
      </w:r>
    </w:p>
    <w:p w14:paraId="028BA54F">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36.1            </w:t>
      </w:r>
      <w:r>
        <w:rPr>
          <w:rFonts w:hint="eastAsia" w:ascii="宋体" w:hAnsi="宋体" w:eastAsia="宋体" w:cs="宋体"/>
          <w:b/>
          <w:color w:val="auto"/>
          <w:sz w:val="21"/>
          <w:szCs w:val="21"/>
          <w:highlight w:val="none"/>
        </w:rPr>
        <w:t>修改类型：修改</w:t>
      </w:r>
    </w:p>
    <w:p w14:paraId="6CE58E9F">
      <w:pPr>
        <w:snapToGrid w:val="0"/>
        <w:spacing w:line="360" w:lineRule="auto"/>
        <w:ind w:firstLine="495" w:firstLineChars="235"/>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0FCBD36E">
      <w:pPr>
        <w:pBdr>
          <w:bottom w:val="single" w:color="auto" w:sz="6" w:space="1"/>
        </w:pBdr>
        <w:snapToGrid w:val="0"/>
        <w:spacing w:line="360" w:lineRule="auto"/>
        <w:ind w:firstLine="424" w:firstLineChars="201"/>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b w:val="0"/>
          <w:color w:val="auto"/>
          <w:sz w:val="21"/>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eastAsia="宋体" w:cs="宋体"/>
          <w:b w:val="0"/>
          <w:color w:val="auto"/>
          <w:sz w:val="21"/>
          <w:szCs w:val="21"/>
          <w:highlight w:val="none"/>
        </w:rPr>
        <w:t>。</w:t>
      </w:r>
    </w:p>
    <w:p w14:paraId="7A213E8A">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36.3                              </w:t>
      </w:r>
      <w:r>
        <w:rPr>
          <w:rFonts w:hint="eastAsia" w:ascii="宋体" w:hAnsi="宋体" w:eastAsia="宋体" w:cs="宋体"/>
          <w:b/>
          <w:color w:val="auto"/>
          <w:sz w:val="21"/>
          <w:szCs w:val="21"/>
          <w:highlight w:val="none"/>
        </w:rPr>
        <w:t>修改类型：删除</w:t>
      </w:r>
    </w:p>
    <w:p w14:paraId="1C1DCE7F">
      <w:pPr>
        <w:pBdr>
          <w:bottom w:val="single" w:color="auto" w:sz="6" w:space="1"/>
        </w:pBd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color w:val="auto"/>
          <w:sz w:val="21"/>
          <w:szCs w:val="21"/>
          <w:highlight w:val="none"/>
        </w:rPr>
        <w:t>根据投标须知前附表第</w:t>
      </w:r>
      <w:r>
        <w:rPr>
          <w:rFonts w:ascii="宋体" w:hAnsi="宋体" w:eastAsia="宋体" w:cs="宋体"/>
          <w:b w:val="0"/>
          <w:color w:val="auto"/>
          <w:sz w:val="21"/>
          <w:szCs w:val="21"/>
          <w:highlight w:val="none"/>
        </w:rPr>
        <w:t>19项，如需抽取某一种评标办法供评标时使用的，应在开标前抽取。首先对招标文件中约定的若干种评标方法进行编号，再随机抽取某一编号，该编号所对应的评标办法供评标时使用。</w:t>
      </w:r>
    </w:p>
    <w:p w14:paraId="2DB556C8">
      <w:pPr>
        <w:pStyle w:val="22"/>
        <w:snapToGrid w:val="0"/>
        <w:spacing w:line="360" w:lineRule="auto"/>
        <w:ind w:firstLine="422"/>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36.4                              </w:t>
      </w:r>
      <w:r>
        <w:rPr>
          <w:rFonts w:hint="eastAsia" w:ascii="宋体" w:hAnsi="宋体" w:eastAsia="宋体" w:cs="宋体"/>
          <w:b/>
          <w:color w:val="auto"/>
          <w:sz w:val="21"/>
          <w:szCs w:val="21"/>
          <w:highlight w:val="none"/>
        </w:rPr>
        <w:t>修改类型：修改</w:t>
      </w:r>
    </w:p>
    <w:p w14:paraId="3078F494">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36.4若递交投标文件的投标人不足3家，则重新组织招标。（当N个标段同时招标且不允许兼中时，若有效投标人不足N+2家，则重新组织招标）</w:t>
      </w:r>
    </w:p>
    <w:p w14:paraId="324C8064">
      <w:pPr>
        <w:pBdr>
          <w:bottom w:val="single" w:color="auto" w:sz="6" w:space="1"/>
        </w:pBd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36.4若递交投标文件的投标人不足3家，则重新组织招标。</w:t>
      </w:r>
    </w:p>
    <w:p w14:paraId="16E1A398">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36.5.1                           修改类型：修改</w:t>
      </w:r>
    </w:p>
    <w:p w14:paraId="190F03A7">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36.5.1在投标截止时间后一个小时内，投标人通过</w:t>
      </w:r>
      <w:r>
        <w:rPr>
          <w:rFonts w:ascii="宋体" w:hAnsi="宋体" w:eastAsia="宋体" w:cs="宋体"/>
          <w:b w:val="0"/>
          <w:color w:val="auto"/>
          <w:szCs w:val="21"/>
          <w:highlight w:val="none"/>
          <w:u w:val="single"/>
        </w:rPr>
        <w:t xml:space="preserve">        </w:t>
      </w:r>
      <w:r>
        <w:rPr>
          <w:rFonts w:hint="eastAsia" w:ascii="宋体" w:hAnsi="宋体" w:eastAsia="宋体" w:cs="宋体"/>
          <w:b w:val="0"/>
          <w:color w:val="auto"/>
          <w:sz w:val="21"/>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5D9FAC30">
      <w:pPr>
        <w:pBdr>
          <w:bottom w:val="single" w:color="auto" w:sz="6" w:space="1"/>
        </w:pBdr>
        <w:snapToGrid w:val="0"/>
        <w:spacing w:line="360" w:lineRule="auto"/>
        <w:ind w:firstLine="527" w:firstLineChars="250"/>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36.5.1在投标截止时间后</w:t>
      </w:r>
      <w:r>
        <w:rPr>
          <w:rFonts w:hint="eastAsia" w:ascii="宋体" w:hAnsi="宋体" w:eastAsia="宋体" w:cs="宋体"/>
          <w:b/>
          <w:bCs/>
          <w:color w:val="auto"/>
          <w:sz w:val="21"/>
          <w:szCs w:val="21"/>
          <w:highlight w:val="none"/>
        </w:rPr>
        <w:t>一个小时</w:t>
      </w:r>
      <w:r>
        <w:rPr>
          <w:rFonts w:hint="eastAsia" w:ascii="宋体" w:hAnsi="宋体" w:eastAsia="宋体" w:cs="宋体"/>
          <w:b w:val="0"/>
          <w:color w:val="auto"/>
          <w:sz w:val="21"/>
          <w:szCs w:val="21"/>
          <w:highlight w:val="none"/>
        </w:rPr>
        <w:t>内，投标人通过</w:t>
      </w:r>
      <w:r>
        <w:rPr>
          <w:rFonts w:hint="eastAsia" w:ascii="宋体" w:hAnsi="宋体" w:eastAsia="宋体" w:cs="宋体"/>
          <w:b w:val="0"/>
          <w:color w:val="auto"/>
          <w:sz w:val="21"/>
          <w:szCs w:val="21"/>
          <w:highlight w:val="none"/>
          <w:u w:val="single"/>
        </w:rPr>
        <w:t>广州交易集团有限公司（广州公共资源交易中心）</w:t>
      </w:r>
      <w:r>
        <w:rPr>
          <w:rFonts w:hint="eastAsia" w:ascii="宋体" w:hAnsi="宋体" w:eastAsia="宋体" w:cs="宋体"/>
          <w:b w:val="0"/>
          <w:color w:val="auto"/>
          <w:sz w:val="21"/>
          <w:szCs w:val="21"/>
          <w:highlight w:val="none"/>
        </w:rPr>
        <w:t>交易平台对已递交的电子投标文件进行解密。投标人完成解密后，再由招标人</w:t>
      </w:r>
      <w:r>
        <w:rPr>
          <w:rFonts w:hint="eastAsia" w:ascii="宋体" w:hAnsi="宋体" w:eastAsia="宋体" w:cs="宋体"/>
          <w:b w:val="0"/>
          <w:color w:val="auto"/>
          <w:sz w:val="21"/>
          <w:szCs w:val="21"/>
          <w:highlight w:val="none"/>
          <w:u w:val="single"/>
        </w:rPr>
        <w:t>或招标代理</w:t>
      </w:r>
      <w:r>
        <w:rPr>
          <w:rFonts w:hint="eastAsia" w:ascii="宋体" w:hAnsi="宋体" w:eastAsia="宋体" w:cs="宋体"/>
          <w:b w:val="0"/>
          <w:color w:val="auto"/>
          <w:sz w:val="21"/>
          <w:szCs w:val="21"/>
          <w:highlight w:val="none"/>
        </w:rPr>
        <w:t>进行解密。解密完成后，</w:t>
      </w:r>
      <w:r>
        <w:rPr>
          <w:rFonts w:hint="eastAsia" w:ascii="宋体" w:hAnsi="宋体" w:eastAsia="宋体" w:cs="宋体"/>
          <w:b w:val="0"/>
          <w:color w:val="auto"/>
          <w:sz w:val="21"/>
          <w:szCs w:val="21"/>
          <w:highlight w:val="none"/>
          <w:u w:val="single"/>
        </w:rPr>
        <w:t>公布招标项目名称、投标人名称、投标报价、工期及其他内容</w:t>
      </w:r>
      <w:r>
        <w:rPr>
          <w:rFonts w:hint="eastAsia" w:ascii="宋体" w:hAnsi="宋体" w:eastAsia="宋体" w:cs="宋体"/>
          <w:b w:val="0"/>
          <w:color w:val="auto"/>
          <w:sz w:val="21"/>
          <w:szCs w:val="21"/>
          <w:highlight w:val="none"/>
        </w:rPr>
        <w:t>；</w:t>
      </w:r>
    </w:p>
    <w:p w14:paraId="42EA3A35">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36.5.3                          修改类型：修改</w:t>
      </w:r>
    </w:p>
    <w:p w14:paraId="321F748B">
      <w:pP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36.5.3投标人代表、招标人代表、监标人、记录人等有关人员在开标记录上签字确认；若有关人员不签字的，不影响开标程序；</w:t>
      </w:r>
    </w:p>
    <w:p w14:paraId="79E335DE">
      <w:pPr>
        <w:pBdr>
          <w:bottom w:val="single" w:color="auto" w:sz="6" w:space="1"/>
        </w:pBdr>
        <w:snapToGrid w:val="0"/>
        <w:spacing w:line="360" w:lineRule="auto"/>
        <w:ind w:firstLine="424" w:firstLineChars="201"/>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36.5.3投标人代表、招标人代表、监标人、记录人等有关人员在开标记录上签字确认；若有关人员不签字的，不影响开标程序；</w:t>
      </w:r>
      <w:r>
        <w:rPr>
          <w:rFonts w:hint="eastAsia" w:ascii="宋体" w:hAnsi="宋体" w:eastAsia="宋体" w:cs="宋体"/>
          <w:b w:val="0"/>
          <w:color w:val="auto"/>
          <w:sz w:val="21"/>
          <w:szCs w:val="21"/>
          <w:highlight w:val="none"/>
          <w:u w:val="single"/>
        </w:rPr>
        <w:t>若投标人不参加开标会的，或不签字确认的，视同该投标人认可开标结果；</w:t>
      </w:r>
    </w:p>
    <w:p w14:paraId="70CD23E3">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37.3.2                            修改类型：修改</w:t>
      </w:r>
    </w:p>
    <w:p w14:paraId="469AF31C">
      <w:pPr>
        <w:pBdr>
          <w:bottom w:val="single" w:color="auto" w:sz="6" w:space="1"/>
        </w:pBd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37.3.2</w:t>
      </w:r>
      <w:r>
        <w:rPr>
          <w:rFonts w:hint="eastAsia" w:ascii="宋体" w:hAnsi="宋体" w:eastAsia="宋体" w:cs="宋体"/>
          <w:b w:val="0"/>
          <w:color w:val="auto"/>
          <w:szCs w:val="21"/>
          <w:highlight w:val="none"/>
        </w:rPr>
        <w:t>向招标人报告评审意见，推荐合格的中标候选人。</w:t>
      </w:r>
    </w:p>
    <w:p w14:paraId="6E345931">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bCs/>
          <w:color w:val="auto"/>
          <w:sz w:val="21"/>
          <w:szCs w:val="21"/>
          <w:highlight w:val="none"/>
        </w:rPr>
        <w:t>37.</w:t>
      </w:r>
      <w:r>
        <w:rPr>
          <w:rFonts w:ascii="宋体" w:hAnsi="宋体" w:eastAsia="宋体" w:cs="宋体"/>
          <w:b w:val="0"/>
          <w:color w:val="auto"/>
          <w:sz w:val="21"/>
          <w:szCs w:val="21"/>
          <w:highlight w:val="none"/>
        </w:rPr>
        <w:t>3.</w:t>
      </w:r>
      <w:r>
        <w:rPr>
          <w:rFonts w:ascii="宋体" w:hAnsi="宋体" w:eastAsia="宋体" w:cs="宋体"/>
          <w:b w:val="0"/>
          <w:bCs/>
          <w:color w:val="auto"/>
          <w:sz w:val="21"/>
          <w:szCs w:val="21"/>
          <w:highlight w:val="none"/>
        </w:rPr>
        <w:t>2向招标人报告评审意见，</w:t>
      </w:r>
      <w:r>
        <w:rPr>
          <w:rFonts w:hint="eastAsia" w:ascii="宋体" w:hAnsi="宋体" w:eastAsia="宋体" w:cs="宋体"/>
          <w:b w:val="0"/>
          <w:color w:val="auto"/>
          <w:sz w:val="21"/>
          <w:szCs w:val="22"/>
          <w:highlight w:val="none"/>
          <w:u w:val="single"/>
        </w:rPr>
        <w:t>按照招标文件第一章投标须知前附表第</w:t>
      </w:r>
      <w:r>
        <w:rPr>
          <w:rFonts w:ascii="宋体" w:hAnsi="宋体" w:eastAsia="宋体" w:cs="宋体"/>
          <w:b w:val="0"/>
          <w:color w:val="auto"/>
          <w:sz w:val="21"/>
          <w:szCs w:val="22"/>
          <w:highlight w:val="none"/>
          <w:u w:val="single"/>
        </w:rPr>
        <w:t>19项推荐合格中标候选人</w:t>
      </w:r>
      <w:r>
        <w:rPr>
          <w:rFonts w:hint="eastAsia" w:ascii="宋体" w:hAnsi="宋体" w:eastAsia="宋体" w:cs="宋体"/>
          <w:b w:val="0"/>
          <w:bCs/>
          <w:color w:val="auto"/>
          <w:sz w:val="21"/>
          <w:szCs w:val="21"/>
          <w:highlight w:val="none"/>
          <w:u w:val="single"/>
        </w:rPr>
        <w:t>。</w:t>
      </w:r>
    </w:p>
    <w:p w14:paraId="4D79190B">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37.5                              修改类型：修改</w:t>
      </w:r>
    </w:p>
    <w:p w14:paraId="07C33890">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Cs/>
          <w:color w:val="auto"/>
          <w:sz w:val="21"/>
          <w:szCs w:val="21"/>
          <w:highlight w:val="none"/>
        </w:rPr>
        <w:t>37.5</w:t>
      </w:r>
      <w:r>
        <w:rPr>
          <w:rFonts w:hint="eastAsia" w:ascii="宋体" w:hAnsi="宋体" w:eastAsia="宋体" w:cs="宋体"/>
          <w:b w:val="0"/>
          <w:color w:val="auto"/>
          <w:szCs w:val="21"/>
          <w:highlight w:val="none"/>
        </w:rPr>
        <w:t>评标结束后，评标委员会递交评标报告并依法推荐中标候选人。</w:t>
      </w:r>
    </w:p>
    <w:p w14:paraId="537CE479">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37.5</w:t>
      </w:r>
      <w:r>
        <w:rPr>
          <w:rFonts w:hint="eastAsia" w:ascii="宋体" w:hAnsi="宋体" w:eastAsia="宋体" w:cs="宋体"/>
          <w:b w:val="0"/>
          <w:color w:val="auto"/>
          <w:sz w:val="21"/>
          <w:szCs w:val="21"/>
          <w:highlight w:val="none"/>
        </w:rPr>
        <w:t>评标结束后，评标委员会递交</w:t>
      </w:r>
      <w:r>
        <w:rPr>
          <w:rFonts w:hint="eastAsia" w:ascii="宋体" w:hAnsi="宋体" w:eastAsia="宋体" w:cs="宋体"/>
          <w:b w:val="0"/>
          <w:color w:val="auto"/>
          <w:sz w:val="21"/>
          <w:szCs w:val="21"/>
          <w:highlight w:val="none"/>
          <w:u w:val="single"/>
        </w:rPr>
        <w:t>资格审查报告和</w:t>
      </w:r>
      <w:r>
        <w:rPr>
          <w:rFonts w:hint="eastAsia" w:ascii="宋体" w:hAnsi="宋体" w:eastAsia="宋体" w:cs="宋体"/>
          <w:b w:val="0"/>
          <w:color w:val="auto"/>
          <w:sz w:val="21"/>
          <w:szCs w:val="21"/>
          <w:highlight w:val="none"/>
        </w:rPr>
        <w:t>评标报告并依法推荐</w:t>
      </w:r>
      <w:r>
        <w:rPr>
          <w:rFonts w:hint="eastAsia" w:ascii="宋体" w:hAnsi="宋体" w:eastAsia="宋体" w:cs="宋体"/>
          <w:b w:val="0"/>
          <w:color w:val="auto"/>
          <w:sz w:val="21"/>
          <w:szCs w:val="21"/>
          <w:highlight w:val="none"/>
          <w:u w:val="single"/>
        </w:rPr>
        <w:t>合格的</w:t>
      </w:r>
      <w:r>
        <w:rPr>
          <w:rFonts w:hint="eastAsia" w:ascii="宋体" w:hAnsi="宋体" w:eastAsia="宋体" w:cs="宋体"/>
          <w:b w:val="0"/>
          <w:color w:val="auto"/>
          <w:sz w:val="21"/>
          <w:szCs w:val="21"/>
          <w:highlight w:val="none"/>
        </w:rPr>
        <w:t>中标候选人</w:t>
      </w:r>
      <w:r>
        <w:rPr>
          <w:rFonts w:hint="eastAsia" w:ascii="宋体" w:hAnsi="宋体" w:eastAsia="宋体" w:cs="宋体"/>
          <w:b w:val="0"/>
          <w:color w:val="auto"/>
          <w:sz w:val="21"/>
          <w:szCs w:val="21"/>
          <w:highlight w:val="none"/>
          <w:u w:val="single"/>
        </w:rPr>
        <w:t>进入定标阶段</w:t>
      </w:r>
      <w:r>
        <w:rPr>
          <w:rFonts w:hint="eastAsia" w:ascii="宋体" w:hAnsi="宋体" w:eastAsia="宋体" w:cs="宋体"/>
          <w:b w:val="0"/>
          <w:color w:val="auto"/>
          <w:sz w:val="21"/>
          <w:szCs w:val="21"/>
          <w:highlight w:val="none"/>
        </w:rPr>
        <w:t>。</w:t>
      </w:r>
    </w:p>
    <w:p w14:paraId="0AC5FF32">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38.1                              修改类型：修改</w:t>
      </w:r>
    </w:p>
    <w:p w14:paraId="775FBFC4">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8FF22CD">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38.1为有助于投标文件的审查、评价和比较，评标期间，经评标委员会或评标委员会专业评审组中两人以上（含两人）</w:t>
      </w:r>
      <w:r>
        <w:rPr>
          <w:rFonts w:hint="eastAsia" w:ascii="宋体" w:hAnsi="宋体" w:eastAsia="宋体" w:cs="宋体"/>
          <w:b w:val="0"/>
          <w:color w:val="auto"/>
          <w:sz w:val="21"/>
          <w:szCs w:val="21"/>
          <w:highlight w:val="none"/>
          <w:u w:val="single"/>
        </w:rPr>
        <w:t>的成员</w:t>
      </w:r>
      <w:r>
        <w:rPr>
          <w:rFonts w:hint="eastAsia" w:ascii="宋体" w:hAnsi="宋体" w:eastAsia="宋体" w:cs="宋体"/>
          <w:b w:val="0"/>
          <w:color w:val="auto"/>
          <w:sz w:val="21"/>
          <w:szCs w:val="21"/>
          <w:highlight w:val="none"/>
        </w:rPr>
        <w:t>以书面形式提出动议，评标委员会或评标委员会专业评审组应当书面发出澄清通知，要求投标人对投标文件含义不明确</w:t>
      </w:r>
      <w:r>
        <w:rPr>
          <w:rFonts w:hint="eastAsia" w:ascii="宋体" w:hAnsi="宋体" w:eastAsia="宋体" w:cs="宋体"/>
          <w:b w:val="0"/>
          <w:color w:val="auto"/>
          <w:sz w:val="21"/>
          <w:szCs w:val="21"/>
          <w:highlight w:val="none"/>
          <w:u w:val="single"/>
        </w:rPr>
        <w:t>、对同类问题表述不一致、有明显文字和计算错误的内容以及细微偏差</w:t>
      </w:r>
      <w:r>
        <w:rPr>
          <w:rFonts w:hint="eastAsia" w:ascii="宋体" w:hAnsi="宋体" w:eastAsia="宋体" w:cs="宋体"/>
          <w:b w:val="0"/>
          <w:color w:val="auto"/>
          <w:sz w:val="21"/>
          <w:szCs w:val="21"/>
          <w:highlight w:val="none"/>
        </w:rPr>
        <w:t>的内容作出澄清。</w:t>
      </w:r>
    </w:p>
    <w:p w14:paraId="6D8CF4CB">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38.5                              修改类型：修改</w:t>
      </w:r>
    </w:p>
    <w:p w14:paraId="219F6C2A">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r>
        <w:rPr>
          <w:rFonts w:hint="eastAsia" w:ascii="宋体" w:hAnsi="宋体" w:eastAsia="宋体" w:cs="宋体"/>
          <w:b w:val="0"/>
          <w:color w:val="auto"/>
          <w:sz w:val="21"/>
          <w:szCs w:val="21"/>
          <w:highlight w:val="none"/>
        </w:rPr>
        <w:t>。</w:t>
      </w:r>
    </w:p>
    <w:p w14:paraId="0AE17D02">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38.5</w:t>
      </w:r>
      <w:r>
        <w:rPr>
          <w:rFonts w:hint="eastAsia" w:ascii="宋体" w:hAnsi="宋体" w:eastAsia="宋体" w:cs="宋体"/>
          <w:b w:val="0"/>
          <w:color w:val="auto"/>
          <w:sz w:val="21"/>
          <w:szCs w:val="21"/>
          <w:highlight w:val="none"/>
        </w:rPr>
        <w:t>投标人如在本项目中存在串通投标、弄虚作假、行贿情形且在评标</w:t>
      </w:r>
      <w:r>
        <w:rPr>
          <w:rFonts w:hint="eastAsia" w:ascii="宋体" w:hAnsi="宋体" w:eastAsia="宋体" w:cs="宋体"/>
          <w:b w:val="0"/>
          <w:color w:val="auto"/>
          <w:sz w:val="21"/>
          <w:szCs w:val="21"/>
          <w:highlight w:val="none"/>
          <w:u w:val="single"/>
        </w:rPr>
        <w:t>或定标</w:t>
      </w:r>
      <w:r>
        <w:rPr>
          <w:rFonts w:hint="eastAsia" w:ascii="宋体" w:hAnsi="宋体" w:eastAsia="宋体" w:cs="宋体"/>
          <w:b w:val="0"/>
          <w:color w:val="auto"/>
          <w:sz w:val="21"/>
          <w:szCs w:val="21"/>
          <w:highlight w:val="none"/>
        </w:rPr>
        <w:t>过程中未被发现的，该投标不改变本项目评标结果排序，</w:t>
      </w:r>
      <w:r>
        <w:rPr>
          <w:rFonts w:hint="eastAsia" w:ascii="宋体" w:hAnsi="宋体" w:eastAsia="宋体" w:cs="宋体"/>
          <w:b w:val="0"/>
          <w:color w:val="auto"/>
          <w:sz w:val="21"/>
          <w:szCs w:val="21"/>
          <w:highlight w:val="none"/>
          <w:u w:val="single"/>
        </w:rPr>
        <w:t>若在定标过程中被确定为中标人，其中标无效，招标人可从其他合格的中标候选人中采用原定标办法，由原定标委员会重新确定中标人，也可以重新招标。</w:t>
      </w:r>
    </w:p>
    <w:p w14:paraId="42B2D996">
      <w:pPr>
        <w:snapToGrid w:val="0"/>
        <w:spacing w:line="360" w:lineRule="auto"/>
        <w:ind w:firstLine="472" w:firstLineChars="224"/>
        <w:rPr>
          <w:rFonts w:ascii="宋体" w:hAnsi="宋体" w:eastAsia="宋体" w:cs="宋体"/>
          <w:color w:val="auto"/>
          <w:sz w:val="24"/>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39                               修改类型：修改</w:t>
      </w:r>
    </w:p>
    <w:p w14:paraId="4542DF86">
      <w:pPr>
        <w:snapToGrid w:val="0"/>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 w:val="21"/>
          <w:szCs w:val="21"/>
          <w:highlight w:val="none"/>
        </w:rPr>
        <w:t>原文：</w:t>
      </w:r>
      <w:r>
        <w:rPr>
          <w:rFonts w:ascii="宋体" w:hAnsi="宋体" w:eastAsia="宋体" w:cs="宋体"/>
          <w:color w:val="auto"/>
          <w:sz w:val="21"/>
          <w:szCs w:val="21"/>
          <w:highlight w:val="none"/>
        </w:rPr>
        <w:t>39．定标</w:t>
      </w:r>
    </w:p>
    <w:p w14:paraId="71D21244">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 xml:space="preserve">39.1 </w:t>
      </w:r>
      <w:r>
        <w:rPr>
          <w:rFonts w:hint="eastAsia" w:ascii="宋体" w:hAnsi="宋体" w:eastAsia="宋体" w:cs="宋体"/>
          <w:b w:val="0"/>
          <w:color w:val="auto"/>
          <w:sz w:val="21"/>
          <w:szCs w:val="21"/>
          <w:highlight w:val="none"/>
        </w:rPr>
        <w:t>招标人根据评标委员会递交的评标报告，最终审定中标人。</w:t>
      </w:r>
    </w:p>
    <w:p w14:paraId="1F9C795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 xml:space="preserve">39.2 </w:t>
      </w:r>
      <w:r>
        <w:rPr>
          <w:rFonts w:hint="eastAsia" w:ascii="宋体" w:hAnsi="宋体" w:eastAsia="宋体" w:cs="宋体"/>
          <w:b w:val="0"/>
          <w:color w:val="auto"/>
          <w:sz w:val="21"/>
          <w:szCs w:val="21"/>
          <w:highlight w:val="none"/>
        </w:rPr>
        <w:t>依法必须进行公开招标的项目，招标人应当确定排名第一的中标候选人为中标人。</w:t>
      </w:r>
    </w:p>
    <w:p w14:paraId="532EA67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549C8C59">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26EEA24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 xml:space="preserve">39.5 </w:t>
      </w:r>
      <w:r>
        <w:rPr>
          <w:rFonts w:hint="eastAsia" w:ascii="宋体" w:hAnsi="宋体" w:eastAsia="宋体" w:cs="宋体"/>
          <w:b w:val="0"/>
          <w:color w:val="auto"/>
          <w:sz w:val="21"/>
          <w:szCs w:val="21"/>
          <w:highlight w:val="none"/>
        </w:rPr>
        <w:t>重新评标的，评标信息（含业绩、奖项等）仍以投标截止时投标人的信息为准。因特殊原因需要延长投标有效期，投标人拒绝延长投标有效期的，仍参与评标，但不被推荐为中标候选人。</w:t>
      </w:r>
    </w:p>
    <w:p w14:paraId="6669EC25">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39.</w:t>
      </w:r>
      <w:r>
        <w:rPr>
          <w:rFonts w:hint="eastAsia" w:ascii="宋体" w:hAnsi="宋体" w:eastAsia="宋体" w:cs="宋体"/>
          <w:b w:val="0"/>
          <w:color w:val="auto"/>
          <w:sz w:val="21"/>
          <w:szCs w:val="21"/>
          <w:highlight w:val="none"/>
          <w:u w:val="single"/>
        </w:rPr>
        <w:t>定标详细规定条款详见本章</w:t>
      </w:r>
      <w:r>
        <w:rPr>
          <w:rFonts w:ascii="宋体" w:hAnsi="宋体" w:eastAsia="宋体" w:cs="宋体"/>
          <w:b w:val="0"/>
          <w:color w:val="auto"/>
          <w:sz w:val="21"/>
          <w:szCs w:val="21"/>
          <w:highlight w:val="none"/>
          <w:u w:val="single"/>
        </w:rPr>
        <w:t>43.定标</w:t>
      </w:r>
      <w:r>
        <w:rPr>
          <w:rFonts w:hint="eastAsia" w:ascii="宋体" w:hAnsi="宋体" w:eastAsia="宋体" w:cs="宋体"/>
          <w:b w:val="0"/>
          <w:bCs/>
          <w:color w:val="auto"/>
          <w:sz w:val="21"/>
          <w:szCs w:val="21"/>
          <w:highlight w:val="none"/>
        </w:rPr>
        <w:t>。</w:t>
      </w:r>
    </w:p>
    <w:p w14:paraId="2FC7CE49">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（二）开标评标办法程序和细则</w:t>
      </w:r>
      <w:r>
        <w:rPr>
          <w:rFonts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rPr>
        <w:t>修改类型：修改</w:t>
      </w:r>
    </w:p>
    <w:p w14:paraId="310A1ACC">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b w:val="0"/>
          <w:color w:val="auto"/>
          <w:sz w:val="21"/>
          <w:szCs w:val="21"/>
          <w:highlight w:val="none"/>
        </w:rPr>
        <w:t>（二）开标评标办法程序和细则</w:t>
      </w:r>
    </w:p>
    <w:p w14:paraId="6B33347F">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注：以下八种评标办法所述企业综合诚信评价分数即投标截止当日广州市工程招标代理行业协会网站上公布的企业综合诚信评价</w:t>
      </w:r>
      <w:r>
        <w:rPr>
          <w:rFonts w:ascii="宋体" w:hAnsi="宋体" w:eastAsia="宋体" w:cs="宋体"/>
          <w:b w:val="0"/>
          <w:color w:val="auto"/>
          <w:sz w:val="21"/>
          <w:szCs w:val="21"/>
          <w:highlight w:val="none"/>
        </w:rPr>
        <w:t>60日诚信分。</w:t>
      </w:r>
    </w:p>
    <w:p w14:paraId="30AD1B56">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color w:val="auto"/>
          <w:sz w:val="21"/>
          <w:szCs w:val="21"/>
          <w:highlight w:val="none"/>
        </w:rPr>
        <w:t>（二）开标评标办法程序和细则</w:t>
      </w:r>
    </w:p>
    <w:p w14:paraId="6F8AF3CE">
      <w:pPr>
        <w:pBdr>
          <w:bottom w:val="single" w:color="auto" w:sz="6" w:space="1"/>
        </w:pBdr>
        <w:snapToGrid w:val="0"/>
        <w:spacing w:line="360" w:lineRule="auto"/>
        <w:ind w:firstLine="470" w:firstLineChars="224"/>
        <w:rPr>
          <w:rFonts w:ascii="宋体" w:hAnsi="宋体" w:eastAsia="宋体" w:cs="宋体"/>
          <w:color w:val="auto"/>
          <w:szCs w:val="21"/>
          <w:highlight w:val="none"/>
        </w:rPr>
      </w:pPr>
      <w:r>
        <w:rPr>
          <w:rFonts w:hint="eastAsia" w:ascii="宋体" w:hAnsi="宋体" w:eastAsia="宋体" w:cs="宋体"/>
          <w:b w:val="0"/>
          <w:strike/>
          <w:color w:val="auto"/>
          <w:sz w:val="21"/>
          <w:szCs w:val="21"/>
          <w:highlight w:val="none"/>
        </w:rPr>
        <w:t>注：以下八种评标办法所述企业综合诚信评价分数即投标截止当日广州市工程招标代理行业协会网站上公布的企业综合诚信评价</w:t>
      </w:r>
      <w:r>
        <w:rPr>
          <w:rFonts w:ascii="宋体" w:hAnsi="宋体" w:eastAsia="宋体" w:cs="宋体"/>
          <w:b w:val="0"/>
          <w:strike/>
          <w:color w:val="auto"/>
          <w:sz w:val="21"/>
          <w:szCs w:val="21"/>
          <w:highlight w:val="none"/>
        </w:rPr>
        <w:t>60日诚信分。</w:t>
      </w:r>
    </w:p>
    <w:p w14:paraId="1D4A0646">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color w:val="auto"/>
          <w:sz w:val="21"/>
          <w:szCs w:val="21"/>
          <w:highlight w:val="none"/>
        </w:rPr>
        <w:t>可选办法一（适合综合评分法一，技术标与经济标先后分别开启）</w:t>
      </w:r>
      <w:r>
        <w:rPr>
          <w:rFonts w:hint="eastAsia" w:ascii="宋体" w:hAnsi="宋体" w:eastAsia="宋体" w:cs="宋体"/>
          <w:b/>
          <w:color w:val="auto"/>
          <w:sz w:val="21"/>
          <w:szCs w:val="21"/>
          <w:highlight w:val="none"/>
        </w:rPr>
        <w:t>修改类型：删除</w:t>
      </w:r>
    </w:p>
    <w:p w14:paraId="0A8A2CDD">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color w:val="auto"/>
          <w:sz w:val="21"/>
          <w:szCs w:val="21"/>
          <w:highlight w:val="none"/>
        </w:rPr>
        <w:t>详见</w:t>
      </w:r>
      <w:r>
        <w:rPr>
          <w:rFonts w:hint="eastAsia" w:ascii="宋体" w:hAnsi="宋体" w:eastAsia="宋体" w:cs="宋体"/>
          <w:b w:val="0"/>
          <w:bCs/>
          <w:color w:val="auto"/>
          <w:sz w:val="21"/>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r>
        <w:rPr>
          <w:rFonts w:hint="eastAsia" w:ascii="宋体" w:hAnsi="宋体" w:eastAsia="宋体" w:cs="宋体"/>
          <w:b w:val="0"/>
          <w:color w:val="auto"/>
          <w:sz w:val="21"/>
          <w:szCs w:val="21"/>
          <w:highlight w:val="none"/>
        </w:rPr>
        <w:t>。</w:t>
      </w:r>
    </w:p>
    <w:p w14:paraId="4514E41F">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color w:val="auto"/>
          <w:sz w:val="21"/>
          <w:szCs w:val="21"/>
          <w:highlight w:val="none"/>
        </w:rPr>
        <w:t>可选办法二（适合综合评分法一，技术标与经济标同时开启）</w:t>
      </w:r>
      <w:r>
        <w:rPr>
          <w:rFonts w:hint="eastAsia" w:ascii="宋体" w:hAnsi="宋体" w:eastAsia="宋体" w:cs="宋体"/>
          <w:b/>
          <w:color w:val="auto"/>
          <w:sz w:val="21"/>
          <w:szCs w:val="21"/>
          <w:highlight w:val="none"/>
        </w:rPr>
        <w:t>修改类型：删除</w:t>
      </w:r>
    </w:p>
    <w:p w14:paraId="5F665344">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color w:val="auto"/>
          <w:sz w:val="21"/>
          <w:szCs w:val="21"/>
          <w:highlight w:val="none"/>
        </w:rPr>
        <w:t>详见</w:t>
      </w:r>
      <w:r>
        <w:rPr>
          <w:rFonts w:hint="eastAsia" w:ascii="宋体" w:hAnsi="宋体" w:eastAsia="宋体" w:cs="宋体"/>
          <w:b w:val="0"/>
          <w:bCs/>
          <w:color w:val="auto"/>
          <w:sz w:val="21"/>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r>
        <w:rPr>
          <w:rFonts w:hint="eastAsia" w:ascii="宋体" w:hAnsi="宋体" w:eastAsia="宋体" w:cs="宋体"/>
          <w:b w:val="0"/>
          <w:color w:val="auto"/>
          <w:sz w:val="21"/>
          <w:szCs w:val="21"/>
          <w:highlight w:val="none"/>
        </w:rPr>
        <w:t>。</w:t>
      </w:r>
    </w:p>
    <w:p w14:paraId="41CE3BEF">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color w:val="auto"/>
          <w:sz w:val="21"/>
          <w:szCs w:val="21"/>
          <w:highlight w:val="none"/>
        </w:rPr>
        <w:t>可选办法三（适合综合评分法二，技术标与经济标先后分别开启）</w:t>
      </w:r>
      <w:r>
        <w:rPr>
          <w:rFonts w:hint="eastAsia" w:ascii="宋体" w:hAnsi="宋体" w:eastAsia="宋体" w:cs="宋体"/>
          <w:b/>
          <w:color w:val="auto"/>
          <w:sz w:val="21"/>
          <w:szCs w:val="21"/>
          <w:highlight w:val="none"/>
        </w:rPr>
        <w:t>修改类型：删除</w:t>
      </w:r>
    </w:p>
    <w:p w14:paraId="0D9D5ED5">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color w:val="auto"/>
          <w:sz w:val="21"/>
          <w:szCs w:val="21"/>
          <w:highlight w:val="none"/>
        </w:rPr>
        <w:t>详见</w:t>
      </w:r>
      <w:r>
        <w:rPr>
          <w:rFonts w:hint="eastAsia" w:ascii="宋体" w:hAnsi="宋体" w:eastAsia="宋体" w:cs="宋体"/>
          <w:b w:val="0"/>
          <w:bCs/>
          <w:color w:val="auto"/>
          <w:sz w:val="21"/>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r>
        <w:rPr>
          <w:rFonts w:hint="eastAsia" w:ascii="宋体" w:hAnsi="宋体" w:eastAsia="宋体" w:cs="宋体"/>
          <w:b w:val="0"/>
          <w:color w:val="auto"/>
          <w:sz w:val="21"/>
          <w:szCs w:val="21"/>
          <w:highlight w:val="none"/>
        </w:rPr>
        <w:t>。</w:t>
      </w:r>
    </w:p>
    <w:p w14:paraId="2A8DDCF5">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color w:val="auto"/>
          <w:sz w:val="21"/>
          <w:szCs w:val="21"/>
          <w:highlight w:val="none"/>
        </w:rPr>
        <w:t>可选办法四（适合综合评分法二，技术标与经济标同时开启）</w:t>
      </w:r>
      <w:r>
        <w:rPr>
          <w:rFonts w:hint="eastAsia" w:ascii="宋体" w:hAnsi="宋体" w:eastAsia="宋体" w:cs="宋体"/>
          <w:b/>
          <w:color w:val="auto"/>
          <w:sz w:val="21"/>
          <w:szCs w:val="21"/>
          <w:highlight w:val="none"/>
        </w:rPr>
        <w:t>修改类型：删除</w:t>
      </w:r>
    </w:p>
    <w:p w14:paraId="0CFF5ED3">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color w:val="auto"/>
          <w:sz w:val="21"/>
          <w:szCs w:val="21"/>
          <w:highlight w:val="none"/>
        </w:rPr>
        <w:t>详见</w:t>
      </w:r>
      <w:r>
        <w:rPr>
          <w:rFonts w:hint="eastAsia" w:ascii="宋体" w:hAnsi="宋体" w:eastAsia="宋体" w:cs="宋体"/>
          <w:b w:val="0"/>
          <w:bCs/>
          <w:color w:val="auto"/>
          <w:sz w:val="21"/>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r>
        <w:rPr>
          <w:rFonts w:hint="eastAsia" w:ascii="宋体" w:hAnsi="宋体" w:eastAsia="宋体" w:cs="宋体"/>
          <w:b w:val="0"/>
          <w:color w:val="auto"/>
          <w:sz w:val="21"/>
          <w:szCs w:val="21"/>
          <w:highlight w:val="none"/>
        </w:rPr>
        <w:t>。</w:t>
      </w:r>
    </w:p>
    <w:p w14:paraId="0A6F3E74">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color w:val="auto"/>
          <w:sz w:val="21"/>
          <w:szCs w:val="21"/>
          <w:highlight w:val="none"/>
        </w:rPr>
        <w:t>可选办法五（适合综合评分法三，技术标与经济标先后分别开启）</w:t>
      </w:r>
      <w:r>
        <w:rPr>
          <w:rFonts w:hint="eastAsia" w:ascii="宋体" w:hAnsi="宋体" w:eastAsia="宋体" w:cs="宋体"/>
          <w:b/>
          <w:color w:val="auto"/>
          <w:sz w:val="21"/>
          <w:szCs w:val="21"/>
          <w:highlight w:val="none"/>
        </w:rPr>
        <w:t>修改类型：删除</w:t>
      </w:r>
    </w:p>
    <w:p w14:paraId="3B17D088">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color w:val="auto"/>
          <w:sz w:val="21"/>
          <w:szCs w:val="21"/>
          <w:highlight w:val="none"/>
        </w:rPr>
        <w:t>详见</w:t>
      </w:r>
      <w:r>
        <w:rPr>
          <w:rFonts w:hint="eastAsia" w:ascii="宋体" w:hAnsi="宋体" w:eastAsia="宋体" w:cs="宋体"/>
          <w:b w:val="0"/>
          <w:bCs/>
          <w:color w:val="auto"/>
          <w:sz w:val="21"/>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r>
        <w:rPr>
          <w:rFonts w:hint="eastAsia" w:ascii="宋体" w:hAnsi="宋体" w:eastAsia="宋体" w:cs="宋体"/>
          <w:b w:val="0"/>
          <w:color w:val="auto"/>
          <w:sz w:val="21"/>
          <w:szCs w:val="21"/>
          <w:highlight w:val="none"/>
        </w:rPr>
        <w:t>。</w:t>
      </w:r>
    </w:p>
    <w:p w14:paraId="39F51414">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color w:val="auto"/>
          <w:sz w:val="21"/>
          <w:szCs w:val="21"/>
          <w:highlight w:val="none"/>
        </w:rPr>
        <w:t>可选办法六（适合综合评分法三，技术标与经济标同时开启）</w:t>
      </w:r>
      <w:r>
        <w:rPr>
          <w:rFonts w:hint="eastAsia" w:ascii="宋体" w:hAnsi="宋体" w:eastAsia="宋体" w:cs="宋体"/>
          <w:b/>
          <w:color w:val="auto"/>
          <w:sz w:val="21"/>
          <w:szCs w:val="21"/>
          <w:highlight w:val="none"/>
        </w:rPr>
        <w:t>修改类型：删除</w:t>
      </w:r>
    </w:p>
    <w:p w14:paraId="4C735D4D">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color w:val="auto"/>
          <w:sz w:val="21"/>
          <w:szCs w:val="21"/>
          <w:highlight w:val="none"/>
        </w:rPr>
        <w:t>详见</w:t>
      </w:r>
      <w:r>
        <w:rPr>
          <w:rFonts w:hint="eastAsia" w:ascii="宋体" w:hAnsi="宋体" w:eastAsia="宋体" w:cs="宋体"/>
          <w:b w:val="0"/>
          <w:bCs/>
          <w:color w:val="auto"/>
          <w:sz w:val="21"/>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r>
        <w:rPr>
          <w:rFonts w:hint="eastAsia" w:ascii="宋体" w:hAnsi="宋体" w:eastAsia="宋体" w:cs="宋体"/>
          <w:b w:val="0"/>
          <w:color w:val="auto"/>
          <w:sz w:val="21"/>
          <w:szCs w:val="21"/>
          <w:highlight w:val="none"/>
        </w:rPr>
        <w:t>。</w:t>
      </w:r>
    </w:p>
    <w:p w14:paraId="21737DF9">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color w:val="auto"/>
          <w:sz w:val="21"/>
          <w:szCs w:val="21"/>
          <w:highlight w:val="none"/>
        </w:rPr>
        <w:t>可选办法七（适合综合评分法四，技术标与经济标同时开启）</w:t>
      </w:r>
      <w:r>
        <w:rPr>
          <w:rFonts w:hint="eastAsia" w:ascii="宋体" w:hAnsi="宋体" w:eastAsia="宋体" w:cs="宋体"/>
          <w:b/>
          <w:color w:val="auto"/>
          <w:sz w:val="21"/>
          <w:szCs w:val="21"/>
          <w:highlight w:val="none"/>
        </w:rPr>
        <w:t>修改类型：删除</w:t>
      </w:r>
    </w:p>
    <w:p w14:paraId="6CFB0944">
      <w:pPr>
        <w:pBdr>
          <w:bottom w:val="single" w:color="auto" w:sz="6" w:space="1"/>
        </w:pBdr>
        <w:snapToGrid w:val="0"/>
        <w:spacing w:line="360" w:lineRule="auto"/>
        <w:ind w:firstLine="472" w:firstLineChars="224"/>
        <w:rPr>
          <w:rFonts w:ascii="宋体" w:hAnsi="宋体" w:eastAsia="宋体" w:cs="宋体"/>
          <w:bCs/>
          <w:color w:val="auto"/>
          <w:szCs w:val="21"/>
          <w:highlight w:val="none"/>
          <w:u w:val="single"/>
        </w:rPr>
      </w:pPr>
      <w:r>
        <w:rPr>
          <w:rFonts w:hint="eastAsia" w:ascii="宋体" w:hAnsi="宋体" w:eastAsia="宋体" w:cs="宋体"/>
          <w:b/>
          <w:color w:val="auto"/>
          <w:sz w:val="21"/>
          <w:szCs w:val="21"/>
          <w:highlight w:val="none"/>
        </w:rPr>
        <w:t>原文：</w:t>
      </w:r>
      <w:r>
        <w:rPr>
          <w:rFonts w:hint="eastAsia" w:ascii="宋体" w:hAnsi="宋体" w:eastAsia="宋体" w:cs="宋体"/>
          <w:b w:val="0"/>
          <w:color w:val="auto"/>
          <w:sz w:val="21"/>
          <w:szCs w:val="21"/>
          <w:highlight w:val="none"/>
        </w:rPr>
        <w:t>详见</w:t>
      </w:r>
      <w:r>
        <w:rPr>
          <w:rFonts w:hint="eastAsia" w:ascii="宋体" w:hAnsi="宋体" w:eastAsia="宋体" w:cs="宋体"/>
          <w:b w:val="0"/>
          <w:bCs/>
          <w:color w:val="auto"/>
          <w:sz w:val="21"/>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p>
    <w:p w14:paraId="3190934E">
      <w:pPr>
        <w:snapToGrid w:val="0"/>
        <w:spacing w:line="360" w:lineRule="auto"/>
        <w:ind w:firstLine="211" w:firstLineChars="1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val="0"/>
          <w:color w:val="auto"/>
          <w:sz w:val="21"/>
          <w:szCs w:val="21"/>
          <w:highlight w:val="none"/>
        </w:rPr>
        <w:t>可选办法八（适合经评审的最低投标价法，技术标与经济标同时开启）</w:t>
      </w:r>
      <w:r>
        <w:rPr>
          <w:rFonts w:hint="eastAsia" w:ascii="宋体" w:hAnsi="宋体" w:eastAsia="宋体" w:cs="宋体"/>
          <w:b/>
          <w:color w:val="auto"/>
          <w:sz w:val="21"/>
          <w:szCs w:val="21"/>
          <w:highlight w:val="none"/>
        </w:rPr>
        <w:t>修改类型：修改</w:t>
      </w:r>
    </w:p>
    <w:p w14:paraId="686B4A26">
      <w:pPr>
        <w:pBdr>
          <w:bottom w:val="single" w:color="auto" w:sz="6" w:space="1"/>
        </w:pBdr>
        <w:snapToGrid w:val="0"/>
        <w:spacing w:line="360" w:lineRule="auto"/>
        <w:ind w:firstLine="472" w:firstLineChars="224"/>
        <w:rPr>
          <w:rFonts w:ascii="宋体" w:hAnsi="宋体" w:eastAsia="宋体" w:cs="宋体"/>
          <w:bCs/>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color w:val="auto"/>
          <w:sz w:val="21"/>
          <w:szCs w:val="21"/>
          <w:highlight w:val="none"/>
        </w:rPr>
        <w:t>详见</w:t>
      </w:r>
      <w:r>
        <w:rPr>
          <w:rFonts w:hint="eastAsia" w:ascii="宋体" w:hAnsi="宋体" w:eastAsia="宋体" w:cs="宋体"/>
          <w:b w:val="0"/>
          <w:bCs/>
          <w:color w:val="auto"/>
          <w:sz w:val="21"/>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p>
    <w:p w14:paraId="79F35595">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u w:val="single"/>
        </w:rPr>
        <w:t>评定分离评标定标办法</w:t>
      </w:r>
      <w:r>
        <w:rPr>
          <w:rFonts w:hint="eastAsia" w:ascii="宋体" w:hAnsi="宋体" w:eastAsia="宋体" w:cs="宋体"/>
          <w:b w:val="0"/>
          <w:color w:val="auto"/>
          <w:sz w:val="21"/>
          <w:szCs w:val="21"/>
          <w:highlight w:val="none"/>
        </w:rPr>
        <w:t>。</w:t>
      </w:r>
    </w:p>
    <w:p w14:paraId="665CDB8F">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40                               修改类型：修改</w:t>
      </w:r>
    </w:p>
    <w:p w14:paraId="6A59A583">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40.开标和评标程序：</w:t>
      </w:r>
    </w:p>
    <w:p w14:paraId="5FB537F8">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40.1投标人递交技术标、经济标投标文件；</w:t>
      </w:r>
    </w:p>
    <w:p w14:paraId="4B418A41">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40.2技术标与经济标投标文件同时公开开标；</w:t>
      </w:r>
    </w:p>
    <w:p w14:paraId="061FF0CB">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40.3由评标委员会对所有已公开开标的投标人进行资格审查；</w:t>
      </w:r>
    </w:p>
    <w:p w14:paraId="6DF5109B">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40.4技术标投标文件有效性审查；</w:t>
      </w:r>
    </w:p>
    <w:p w14:paraId="7007E0C0">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40.5对经济标投标报价进行算术校核；</w:t>
      </w:r>
    </w:p>
    <w:p w14:paraId="2127F2FE">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40.6计算投标人总得分，并按总得分从高到低，确定经济标评审排序；</w:t>
      </w:r>
    </w:p>
    <w:p w14:paraId="5293D8D8">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40.7按排序对经济标投标文件进行有效性审查，直至评出所有中标候选人；</w:t>
      </w:r>
    </w:p>
    <w:p w14:paraId="320EA0B9">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40.8评标委员会编写经济标评审报告，向招标人推荐中标候选人。</w:t>
      </w:r>
    </w:p>
    <w:p w14:paraId="3BB17EF0">
      <w:pPr>
        <w:pBdr>
          <w:bottom w:val="single" w:color="auto" w:sz="6" w:space="1"/>
        </w:pBd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40.开标和评标程序：</w:t>
      </w:r>
    </w:p>
    <w:p w14:paraId="6D966975">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40.1投标人递交技术标、经济标投标文件；</w:t>
      </w:r>
    </w:p>
    <w:p w14:paraId="78E0A5D4">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40.2</w:t>
      </w:r>
      <w:r>
        <w:rPr>
          <w:rFonts w:hint="eastAsia" w:ascii="宋体" w:hAnsi="宋体" w:eastAsia="宋体" w:cs="宋体"/>
          <w:bCs/>
          <w:color w:val="auto"/>
          <w:sz w:val="21"/>
          <w:szCs w:val="21"/>
          <w:highlight w:val="none"/>
          <w:u w:val="single"/>
        </w:rPr>
        <w:t>技术标（含资格审查文件）</w:t>
      </w:r>
      <w:r>
        <w:rPr>
          <w:rFonts w:hint="eastAsia" w:ascii="宋体" w:hAnsi="宋体" w:eastAsia="宋体" w:cs="宋体"/>
          <w:bCs/>
          <w:color w:val="auto"/>
          <w:sz w:val="21"/>
          <w:szCs w:val="21"/>
          <w:highlight w:val="none"/>
        </w:rPr>
        <w:t>与经济标投标文件同时公开开标；</w:t>
      </w:r>
    </w:p>
    <w:p w14:paraId="55D38C76">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40.3</w:t>
      </w:r>
      <w:r>
        <w:rPr>
          <w:rFonts w:hint="eastAsia" w:ascii="宋体" w:hAnsi="宋体" w:eastAsia="宋体" w:cs="宋体"/>
          <w:bCs/>
          <w:color w:val="auto"/>
          <w:sz w:val="21"/>
          <w:szCs w:val="21"/>
          <w:highlight w:val="none"/>
        </w:rPr>
        <w:t>由评标委员会对所有已公开开标的投标人进行资格审查</w:t>
      </w:r>
      <w:r>
        <w:rPr>
          <w:rFonts w:hint="eastAsia" w:ascii="宋体" w:hAnsi="宋体" w:eastAsia="宋体" w:cs="宋体"/>
          <w:bCs/>
          <w:color w:val="auto"/>
          <w:sz w:val="21"/>
          <w:szCs w:val="21"/>
          <w:highlight w:val="none"/>
          <w:u w:val="single"/>
        </w:rPr>
        <w:t>，并编写资格审查报告</w:t>
      </w:r>
      <w:r>
        <w:rPr>
          <w:rFonts w:hint="eastAsia" w:ascii="宋体" w:hAnsi="宋体" w:eastAsia="宋体" w:cs="宋体"/>
          <w:bCs/>
          <w:color w:val="auto"/>
          <w:sz w:val="21"/>
          <w:szCs w:val="21"/>
          <w:highlight w:val="none"/>
        </w:rPr>
        <w:t>；</w:t>
      </w:r>
    </w:p>
    <w:p w14:paraId="470E68D5">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40.4技术标投标文件有效性审查；</w:t>
      </w:r>
    </w:p>
    <w:p w14:paraId="63944A2F">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40.5对经济标投标报价进行算术校核；</w:t>
      </w:r>
    </w:p>
    <w:p w14:paraId="2AFC5347">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40.6</w:t>
      </w:r>
      <w:r>
        <w:rPr>
          <w:rFonts w:hint="eastAsia" w:ascii="宋体" w:hAnsi="宋体" w:cs="宋体"/>
          <w:b/>
          <w:bCs/>
          <w:color w:val="auto"/>
          <w:szCs w:val="21"/>
          <w:highlight w:val="none"/>
          <w:u w:val="single"/>
        </w:rPr>
        <w:t>对经济标投标报价按量化因素（见附表五）进行折算，按经评审的投标报价从低到高进行排序</w:t>
      </w:r>
      <w:r>
        <w:rPr>
          <w:rFonts w:ascii="宋体" w:hAnsi="宋体" w:eastAsia="宋体" w:cs="宋体"/>
          <w:bCs/>
          <w:color w:val="auto"/>
          <w:sz w:val="21"/>
          <w:szCs w:val="21"/>
          <w:highlight w:val="none"/>
        </w:rPr>
        <w:t>；</w:t>
      </w:r>
    </w:p>
    <w:p w14:paraId="61CC63A9">
      <w:pPr>
        <w:pBdr>
          <w:bottom w:val="single" w:color="auto" w:sz="6" w:space="1"/>
        </w:pBdr>
        <w:snapToGrid w:val="0"/>
        <w:spacing w:line="360" w:lineRule="auto"/>
        <w:ind w:firstLine="470" w:firstLineChars="224"/>
        <w:rPr>
          <w:rFonts w:ascii="宋体" w:hAnsi="宋体" w:eastAsia="宋体" w:cs="宋体"/>
          <w:bCs/>
          <w:color w:val="auto"/>
          <w:szCs w:val="21"/>
          <w:highlight w:val="none"/>
        </w:rPr>
      </w:pPr>
      <w:r>
        <w:rPr>
          <w:rFonts w:ascii="宋体" w:hAnsi="宋体" w:eastAsia="宋体" w:cs="宋体"/>
          <w:bCs/>
          <w:color w:val="auto"/>
          <w:sz w:val="21"/>
          <w:szCs w:val="21"/>
          <w:highlight w:val="none"/>
        </w:rPr>
        <w:t>40.7按排序对经济标投标文件进行有效性审查；</w:t>
      </w:r>
    </w:p>
    <w:p w14:paraId="3F09CEF9">
      <w:pPr>
        <w:pBdr>
          <w:bottom w:val="single" w:color="auto" w:sz="6" w:space="1"/>
        </w:pBdr>
        <w:snapToGrid w:val="0"/>
        <w:spacing w:line="360" w:lineRule="auto"/>
        <w:ind w:firstLine="470" w:firstLineChars="224"/>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40.8评标委员会编写评标报告，</w:t>
      </w:r>
      <w:r>
        <w:rPr>
          <w:rFonts w:hint="eastAsia" w:ascii="宋体" w:hAnsi="宋体" w:eastAsia="宋体" w:cs="宋体"/>
          <w:b w:val="0"/>
          <w:color w:val="auto"/>
          <w:sz w:val="21"/>
          <w:szCs w:val="22"/>
          <w:highlight w:val="none"/>
          <w:u w:val="single"/>
        </w:rPr>
        <w:t>按照招标文件第一章投标须知前附表第</w:t>
      </w:r>
      <w:r>
        <w:rPr>
          <w:rFonts w:ascii="宋体" w:hAnsi="宋体" w:eastAsia="宋体" w:cs="宋体"/>
          <w:b w:val="0"/>
          <w:color w:val="auto"/>
          <w:sz w:val="21"/>
          <w:szCs w:val="22"/>
          <w:highlight w:val="none"/>
          <w:u w:val="single"/>
        </w:rPr>
        <w:t>19项推荐合格中标候选人</w:t>
      </w:r>
      <w:r>
        <w:rPr>
          <w:rFonts w:hint="eastAsia" w:ascii="宋体" w:hAnsi="宋体" w:eastAsia="宋体" w:cs="宋体"/>
          <w:bCs/>
          <w:color w:val="auto"/>
          <w:sz w:val="21"/>
          <w:szCs w:val="21"/>
          <w:highlight w:val="none"/>
          <w:u w:val="single"/>
        </w:rPr>
        <w:t>。</w:t>
      </w:r>
    </w:p>
    <w:p w14:paraId="71034BDC">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41.1                             修改类型：修改</w:t>
      </w:r>
    </w:p>
    <w:p w14:paraId="737E6680">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41.1开标由招标人主持；</w:t>
      </w:r>
    </w:p>
    <w:p w14:paraId="7FEF20E2">
      <w:pPr>
        <w:pBdr>
          <w:bottom w:val="single" w:color="auto" w:sz="6" w:space="1"/>
        </w:pBd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41.1开标由招标人</w:t>
      </w:r>
      <w:r>
        <w:rPr>
          <w:rFonts w:hint="eastAsia" w:ascii="宋体" w:hAnsi="宋体" w:eastAsia="宋体" w:cs="宋体"/>
          <w:b w:val="0"/>
          <w:color w:val="auto"/>
          <w:sz w:val="21"/>
          <w:szCs w:val="21"/>
          <w:highlight w:val="none"/>
          <w:u w:val="single"/>
        </w:rPr>
        <w:t>或招标代理</w:t>
      </w:r>
      <w:r>
        <w:rPr>
          <w:rFonts w:hint="eastAsia" w:ascii="宋体" w:hAnsi="宋体" w:eastAsia="宋体" w:cs="宋体"/>
          <w:b w:val="0"/>
          <w:color w:val="auto"/>
          <w:sz w:val="21"/>
          <w:szCs w:val="21"/>
          <w:highlight w:val="none"/>
        </w:rPr>
        <w:t>主持；</w:t>
      </w:r>
    </w:p>
    <w:p w14:paraId="781DB5E3">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41.2.1                           修改类型：修改</w:t>
      </w:r>
    </w:p>
    <w:p w14:paraId="5BA688D5">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41.2.1投标截止期前，各投标人递交投标文件（包括技术标投标文件、经济标投标文件）至</w:t>
      </w:r>
      <w:r>
        <w:rPr>
          <w:rFonts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交易平台。有关投标文件提交的事项详见第一章投标须知。</w:t>
      </w:r>
    </w:p>
    <w:p w14:paraId="2CF742BD">
      <w:pPr>
        <w:pBdr>
          <w:bottom w:val="single" w:color="auto" w:sz="6" w:space="1"/>
        </w:pBdr>
        <w:snapToGrid w:val="0"/>
        <w:spacing w:line="360" w:lineRule="auto"/>
        <w:ind w:firstLine="413" w:firstLineChars="196"/>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41.2.1投标截止期前，各投标人递交投标文件</w:t>
      </w:r>
      <w:r>
        <w:rPr>
          <w:rFonts w:ascii="宋体" w:hAnsi="宋体" w:eastAsia="宋体" w:cs="宋体"/>
          <w:b w:val="0"/>
          <w:color w:val="auto"/>
          <w:sz w:val="21"/>
          <w:szCs w:val="21"/>
          <w:highlight w:val="none"/>
          <w:u w:val="single"/>
        </w:rPr>
        <w:t>[包括技术标投标文件（含资格审查文件）</w:t>
      </w:r>
      <w:r>
        <w:rPr>
          <w:rFonts w:hint="eastAsia" w:ascii="宋体" w:hAnsi="宋体" w:eastAsia="宋体" w:cs="宋体"/>
          <w:b w:val="0"/>
          <w:color w:val="auto"/>
          <w:sz w:val="21"/>
          <w:szCs w:val="21"/>
          <w:highlight w:val="none"/>
          <w:u w:val="single"/>
        </w:rPr>
        <w:t>、经济标投标文件</w:t>
      </w:r>
      <w:r>
        <w:rPr>
          <w:rFonts w:ascii="宋体" w:hAnsi="宋体" w:eastAsia="宋体" w:cs="宋体"/>
          <w:b w:val="0"/>
          <w:color w:val="auto"/>
          <w:sz w:val="21"/>
          <w:szCs w:val="21"/>
          <w:highlight w:val="none"/>
          <w:u w:val="single"/>
        </w:rPr>
        <w:t>]</w:t>
      </w:r>
      <w:r>
        <w:rPr>
          <w:rFonts w:hint="eastAsia" w:ascii="宋体" w:hAnsi="宋体" w:eastAsia="宋体" w:cs="宋体"/>
          <w:b w:val="0"/>
          <w:color w:val="auto"/>
          <w:sz w:val="21"/>
          <w:szCs w:val="21"/>
          <w:highlight w:val="none"/>
        </w:rPr>
        <w:t>至</w:t>
      </w:r>
      <w:r>
        <w:rPr>
          <w:rFonts w:hint="eastAsia" w:ascii="宋体" w:hAnsi="宋体" w:eastAsia="宋体" w:cs="宋体"/>
          <w:b w:val="0"/>
          <w:color w:val="auto"/>
          <w:sz w:val="21"/>
          <w:szCs w:val="21"/>
          <w:highlight w:val="none"/>
          <w:u w:val="single"/>
        </w:rPr>
        <w:t>广州交易集团有限公司（广州公共资源交易中心）</w:t>
      </w:r>
      <w:r>
        <w:rPr>
          <w:rFonts w:hint="eastAsia" w:ascii="宋体" w:hAnsi="宋体" w:eastAsia="宋体" w:cs="宋体"/>
          <w:b w:val="0"/>
          <w:color w:val="auto"/>
          <w:sz w:val="21"/>
          <w:szCs w:val="21"/>
          <w:highlight w:val="none"/>
        </w:rPr>
        <w:t>交易平台。有关投标文件提交的事项详见第一章投标须知。</w:t>
      </w:r>
    </w:p>
    <w:p w14:paraId="79C96D37">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41.3.1                            修改类型：修改</w:t>
      </w:r>
    </w:p>
    <w:p w14:paraId="0B1DC637">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41.3.1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1A1C7E32">
      <w:pPr>
        <w:pBdr>
          <w:bottom w:val="single" w:color="auto" w:sz="4" w:space="0"/>
        </w:pBd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41.2.4.1开标时，公布：a、投标人名称；b、投标文件密封情况；c、投标报价；</w:t>
      </w:r>
      <w:r>
        <w:rPr>
          <w:rFonts w:ascii="宋体" w:hAnsi="宋体" w:eastAsia="宋体" w:cs="宋体"/>
          <w:b w:val="0"/>
          <w:color w:val="auto"/>
          <w:sz w:val="21"/>
          <w:szCs w:val="21"/>
          <w:highlight w:val="none"/>
          <w:u w:val="single"/>
        </w:rPr>
        <w:t>d、</w:t>
      </w:r>
      <w:r>
        <w:rPr>
          <w:rFonts w:hint="eastAsia" w:ascii="宋体" w:hAnsi="宋体" w:eastAsia="宋体" w:cs="宋体"/>
          <w:b w:val="0"/>
          <w:color w:val="auto"/>
          <w:sz w:val="21"/>
          <w:szCs w:val="21"/>
          <w:highlight w:val="none"/>
          <w:u w:val="single"/>
        </w:rPr>
        <w:t>项目经理（负责人）名称；</w:t>
      </w:r>
      <w:r>
        <w:rPr>
          <w:rFonts w:ascii="宋体" w:hAnsi="宋体" w:eastAsia="宋体" w:cs="宋体"/>
          <w:b w:val="0"/>
          <w:color w:val="auto"/>
          <w:sz w:val="21"/>
          <w:szCs w:val="21"/>
          <w:highlight w:val="none"/>
          <w:u w:val="single"/>
        </w:rPr>
        <w:t>e、</w:t>
      </w:r>
      <w:r>
        <w:rPr>
          <w:rFonts w:hint="eastAsia" w:ascii="宋体" w:hAnsi="宋体" w:eastAsia="宋体" w:cs="宋体"/>
          <w:b w:val="0"/>
          <w:color w:val="auto"/>
          <w:sz w:val="21"/>
          <w:szCs w:val="21"/>
          <w:highlight w:val="none"/>
        </w:rPr>
        <w:t>法定代表人证明及授权委托等主要内容及开标记录表中的其他必要内容。投标报价以数字和文字两种方式表述的，应公布文字表述的投标报价。</w:t>
      </w:r>
    </w:p>
    <w:p w14:paraId="69932C90">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41.4                             修改类型：修改</w:t>
      </w:r>
    </w:p>
    <w:p w14:paraId="120D90A3">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41.4</w:t>
      </w:r>
      <w:r>
        <w:rPr>
          <w:rFonts w:hint="eastAsia" w:ascii="宋体" w:hAnsi="宋体" w:eastAsia="宋体" w:cs="宋体"/>
          <w:b w:val="0"/>
          <w:color w:val="auto"/>
          <w:sz w:val="21"/>
          <w:szCs w:val="21"/>
          <w:highlight w:val="none"/>
        </w:rPr>
        <w:t>招标人对开标过程进行记录，并存档备查，投标人在开标记录上签字。</w:t>
      </w:r>
    </w:p>
    <w:p w14:paraId="1A87532C">
      <w:pPr>
        <w:pBdr>
          <w:bottom w:val="single" w:color="auto" w:sz="6" w:space="1"/>
        </w:pBd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41.4招标人</w:t>
      </w:r>
      <w:r>
        <w:rPr>
          <w:rFonts w:hint="eastAsia" w:ascii="宋体" w:hAnsi="宋体" w:eastAsia="宋体" w:cs="宋体"/>
          <w:b w:val="0"/>
          <w:color w:val="auto"/>
          <w:sz w:val="21"/>
          <w:szCs w:val="21"/>
          <w:highlight w:val="none"/>
          <w:u w:val="single"/>
        </w:rPr>
        <w:t>或招标代理机构</w:t>
      </w:r>
      <w:r>
        <w:rPr>
          <w:rFonts w:hint="eastAsia" w:ascii="宋体" w:hAnsi="宋体" w:eastAsia="宋体" w:cs="宋体"/>
          <w:b w:val="0"/>
          <w:color w:val="auto"/>
          <w:sz w:val="21"/>
          <w:szCs w:val="21"/>
          <w:highlight w:val="none"/>
        </w:rPr>
        <w:t>对开标过程进行记录，并存档备查，</w:t>
      </w:r>
      <w:r>
        <w:rPr>
          <w:rFonts w:hint="eastAsia" w:ascii="宋体" w:hAnsi="宋体" w:eastAsia="宋体" w:cs="宋体"/>
          <w:b w:val="0"/>
          <w:color w:val="auto"/>
          <w:sz w:val="21"/>
          <w:szCs w:val="21"/>
          <w:highlight w:val="none"/>
          <w:u w:val="single"/>
        </w:rPr>
        <w:t>参加现场开标会的投标人在</w:t>
      </w:r>
      <w:r>
        <w:rPr>
          <w:rFonts w:hint="eastAsia" w:ascii="宋体" w:hAnsi="宋体" w:eastAsia="宋体" w:cs="宋体"/>
          <w:b w:val="0"/>
          <w:color w:val="auto"/>
          <w:sz w:val="21"/>
          <w:szCs w:val="21"/>
          <w:highlight w:val="none"/>
        </w:rPr>
        <w:t>开标记录上签字。</w:t>
      </w:r>
    </w:p>
    <w:p w14:paraId="3535ECD8">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42.2.6                           修改类型：修改</w:t>
      </w:r>
    </w:p>
    <w:p w14:paraId="497C4B26">
      <w:pPr>
        <w:widowControl/>
        <w:snapToGrid w:val="0"/>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color w:val="auto"/>
          <w:sz w:val="21"/>
          <w:szCs w:val="21"/>
          <w:highlight w:val="none"/>
        </w:rPr>
        <w:t>原文：</w:t>
      </w:r>
      <w:r>
        <w:rPr>
          <w:rFonts w:ascii="宋体" w:hAnsi="宋体" w:eastAsia="宋体" w:cs="宋体"/>
          <w:bCs/>
          <w:color w:val="auto"/>
          <w:sz w:val="21"/>
          <w:szCs w:val="21"/>
          <w:highlight w:val="none"/>
        </w:rPr>
        <w:t>42.2.6</w:t>
      </w:r>
      <w:r>
        <w:rPr>
          <w:rFonts w:hint="eastAsia" w:ascii="宋体" w:hAnsi="宋体" w:eastAsia="宋体" w:cs="宋体"/>
          <w:bCs/>
          <w:color w:val="auto"/>
          <w:sz w:val="21"/>
          <w:szCs w:val="21"/>
          <w:highlight w:val="none"/>
        </w:rPr>
        <w:t>资格审查合格的投标人少于</w:t>
      </w:r>
      <w:r>
        <w:rPr>
          <w:rFonts w:ascii="宋体" w:hAnsi="宋体" w:eastAsia="宋体" w:cs="宋体"/>
          <w:bCs/>
          <w:color w:val="auto"/>
          <w:sz w:val="21"/>
          <w:szCs w:val="21"/>
          <w:highlight w:val="none"/>
        </w:rPr>
        <w:t>3名的（当N个标段同时招标且不允许兼中时，资格审查合格的投标人少于N+2名），则本项目招标失败</w:t>
      </w:r>
      <w:r>
        <w:rPr>
          <w:rFonts w:hint="eastAsia" w:ascii="宋体" w:hAnsi="宋体" w:eastAsia="宋体" w:cs="宋体"/>
          <w:b w:val="0"/>
          <w:color w:val="auto"/>
          <w:sz w:val="21"/>
          <w:szCs w:val="21"/>
          <w:highlight w:val="none"/>
        </w:rPr>
        <w:t>。</w:t>
      </w:r>
    </w:p>
    <w:p w14:paraId="01363B67">
      <w:pPr>
        <w:pBdr>
          <w:bottom w:val="single" w:color="auto" w:sz="6" w:space="1"/>
        </w:pBdr>
        <w:snapToGrid w:val="0"/>
        <w:spacing w:line="360" w:lineRule="auto"/>
        <w:ind w:firstLine="472" w:firstLineChars="224"/>
        <w:rPr>
          <w:rFonts w:ascii="宋体" w:hAnsi="宋体" w:eastAsia="宋体" w:cs="宋体"/>
          <w:color w:val="auto"/>
          <w:szCs w:val="21"/>
          <w:highlight w:val="none"/>
          <w:u w:val="singl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42.2.6</w:t>
      </w:r>
      <w:r>
        <w:rPr>
          <w:rFonts w:hint="eastAsia" w:ascii="宋体" w:hAnsi="宋体" w:eastAsia="宋体" w:cs="宋体"/>
          <w:b w:val="0"/>
          <w:color w:val="auto"/>
          <w:sz w:val="21"/>
          <w:szCs w:val="21"/>
          <w:highlight w:val="none"/>
          <w:u w:val="single"/>
        </w:rPr>
        <w:t>若满足资格审查合格条件</w:t>
      </w:r>
      <w:r>
        <w:rPr>
          <w:rFonts w:ascii="宋体" w:hAnsi="宋体" w:eastAsia="宋体" w:cs="宋体"/>
          <w:b w:val="0"/>
          <w:color w:val="auto"/>
          <w:sz w:val="21"/>
          <w:szCs w:val="21"/>
          <w:highlight w:val="none"/>
          <w:u w:val="single"/>
        </w:rPr>
        <w:t>(投标人合格条件)的投标申请人不足3名，则重新招标。</w:t>
      </w:r>
    </w:p>
    <w:p w14:paraId="5B0BC00C">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42.3                             修改类型：修改</w:t>
      </w:r>
    </w:p>
    <w:p w14:paraId="3D260C2C">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eastAsia="宋体" w:cs="宋体"/>
          <w:b w:val="0"/>
          <w:color w:val="auto"/>
          <w:sz w:val="21"/>
          <w:szCs w:val="21"/>
          <w:highlight w:val="none"/>
        </w:rPr>
        <w:t>。</w:t>
      </w:r>
    </w:p>
    <w:p w14:paraId="27AC8C5A">
      <w:pPr>
        <w:pBdr>
          <w:bottom w:val="single" w:color="auto" w:sz="6" w:space="1"/>
        </w:pBd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Pr>
          <w:rFonts w:hint="eastAsia" w:ascii="宋体" w:hAnsi="宋体" w:eastAsia="宋体" w:cs="宋体"/>
          <w:b w:val="0"/>
          <w:color w:val="auto"/>
          <w:sz w:val="21"/>
          <w:szCs w:val="21"/>
          <w:highlight w:val="none"/>
          <w:u w:val="single"/>
        </w:rPr>
        <w:t>则重新招标。评委发现</w:t>
      </w:r>
      <w:r>
        <w:rPr>
          <w:rFonts w:hint="eastAsia" w:ascii="宋体" w:hAnsi="宋体" w:eastAsia="宋体" w:cs="宋体"/>
          <w:b w:val="0"/>
          <w:color w:val="auto"/>
          <w:sz w:val="21"/>
          <w:szCs w:val="21"/>
          <w:highlight w:val="none"/>
        </w:rPr>
        <w:t>投标文件中含义不明确、对同类问题表述不一致、有明显文字和计算错误的，应当要求投标人作必要的澄清、说明后再判定投标人是否通过有效性审查，不得直接否决投标。</w:t>
      </w:r>
    </w:p>
    <w:p w14:paraId="0DC69E30">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42.4.8                            修改类型：修改</w:t>
      </w:r>
    </w:p>
    <w:p w14:paraId="5B17DD8F">
      <w:pPr>
        <w:pBdr>
          <w:bottom w:val="single" w:color="auto" w:sz="6" w:space="1"/>
        </w:pBd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14:paraId="203EB7EA">
      <w:pPr>
        <w:pBdr>
          <w:bottom w:val="single" w:color="auto" w:sz="6" w:space="1"/>
        </w:pBd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42.4.8按上述修正错误的原则及方法调整或修正投标文件的投标报价，调整后的投标报价对投标人起约束作用。如果投标人不接受修正后的报价，</w:t>
      </w:r>
      <w:r>
        <w:rPr>
          <w:rFonts w:hint="eastAsia" w:ascii="宋体" w:hAnsi="宋体" w:eastAsia="宋体" w:cs="宋体"/>
          <w:b w:val="0"/>
          <w:color w:val="auto"/>
          <w:sz w:val="21"/>
          <w:szCs w:val="21"/>
          <w:highlight w:val="none"/>
          <w:u w:val="single"/>
        </w:rPr>
        <w:t>则取消其投标资格</w:t>
      </w:r>
      <w:r>
        <w:rPr>
          <w:rFonts w:hint="eastAsia" w:ascii="宋体" w:hAnsi="宋体" w:eastAsia="宋体" w:cs="宋体"/>
          <w:b w:val="0"/>
          <w:color w:val="auto"/>
          <w:sz w:val="21"/>
          <w:szCs w:val="21"/>
          <w:highlight w:val="none"/>
        </w:rPr>
        <w:t>。</w:t>
      </w:r>
    </w:p>
    <w:p w14:paraId="1CA3B80D">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42.5.1                            修改类型：修改</w:t>
      </w:r>
    </w:p>
    <w:p w14:paraId="48E5F62D">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42.5.1确定评标方式</w:t>
      </w:r>
    </w:p>
    <w:p w14:paraId="1633B04B">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14:paraId="52A69F70">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42.5.1确定评标方式</w:t>
      </w:r>
    </w:p>
    <w:p w14:paraId="67540425">
      <w:pPr>
        <w:pBdr>
          <w:bottom w:val="single" w:color="auto" w:sz="6" w:space="1"/>
        </w:pBd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u w:val="single"/>
        </w:rPr>
        <w:t>评标方式为经评审的最低投标价法，具体内容如下：</w:t>
      </w:r>
      <w:r>
        <w:rPr>
          <w:rFonts w:hint="eastAsia" w:ascii="宋体" w:hAnsi="宋体" w:eastAsia="宋体" w:cs="宋体"/>
          <w:b w:val="0"/>
          <w:color w:val="auto"/>
          <w:szCs w:val="21"/>
          <w:highlight w:val="none"/>
        </w:rPr>
        <w:t>只有满足招标文件实质性要求的投标人才能进入详细评审。通过投标人的信用情况（即按投标人在</w:t>
      </w:r>
      <w:r>
        <w:rPr>
          <w:rFonts w:hint="eastAsia" w:ascii="宋体" w:hAnsi="宋体" w:eastAsia="宋体" w:cs="宋体"/>
          <w:b w:val="0"/>
          <w:color w:val="auto"/>
          <w:sz w:val="21"/>
          <w:szCs w:val="21"/>
          <w:highlight w:val="none"/>
          <w:u w:val="single"/>
        </w:rPr>
        <w:t>广州交易集团有限公司门户网站</w:t>
      </w:r>
      <w:r>
        <w:rPr>
          <w:rFonts w:ascii="宋体" w:hAnsi="宋体" w:eastAsia="宋体" w:cs="宋体"/>
          <w:b w:val="0"/>
          <w:color w:val="auto"/>
          <w:sz w:val="21"/>
          <w:szCs w:val="21"/>
          <w:highlight w:val="none"/>
          <w:u w:val="single"/>
        </w:rPr>
        <w:t>-信用信息-广州市住房和城乡建设局信用建设专栏诚信评价</w:t>
      </w:r>
      <w:r>
        <w:rPr>
          <w:rFonts w:hint="eastAsia" w:ascii="宋体" w:hAnsi="宋体" w:eastAsia="宋体" w:cs="宋体"/>
          <w:b w:val="0"/>
          <w:color w:val="auto"/>
          <w:sz w:val="21"/>
          <w:szCs w:val="21"/>
          <w:highlight w:val="none"/>
          <w:u w:val="single"/>
        </w:rPr>
        <w:t>中“施工企业”专栏上投标截止当日查询的公布的“施工</w:t>
      </w:r>
      <w:r>
        <w:rPr>
          <w:rFonts w:ascii="宋体" w:hAnsi="宋体" w:eastAsia="宋体" w:cs="宋体"/>
          <w:b w:val="0"/>
          <w:color w:val="auto"/>
          <w:sz w:val="21"/>
          <w:szCs w:val="21"/>
          <w:highlight w:val="none"/>
          <w:u w:val="single"/>
        </w:rPr>
        <w:t>-房建排名”【即“施工企业房建诚信评价排名”】</w:t>
      </w:r>
      <w:r>
        <w:rPr>
          <w:rFonts w:hint="eastAsia" w:ascii="宋体" w:hAnsi="宋体" w:eastAsia="宋体" w:cs="宋体"/>
          <w:b w:val="0"/>
          <w:color w:val="auto"/>
          <w:sz w:val="21"/>
          <w:szCs w:val="21"/>
          <w:highlight w:val="none"/>
          <w:u w:val="single"/>
        </w:rPr>
        <w:t>中“</w:t>
      </w:r>
      <w:r>
        <w:rPr>
          <w:rFonts w:ascii="宋体" w:hAnsi="宋体" w:eastAsia="宋体" w:cs="宋体"/>
          <w:b w:val="0"/>
          <w:color w:val="auto"/>
          <w:sz w:val="21"/>
          <w:szCs w:val="21"/>
          <w:highlight w:val="none"/>
          <w:u w:val="single"/>
        </w:rPr>
        <w:t>60日诚信分</w:t>
      </w:r>
      <w:r>
        <w:rPr>
          <w:rFonts w:hint="eastAsia" w:ascii="宋体" w:hAnsi="宋体" w:eastAsia="宋体" w:cs="宋体"/>
          <w:b w:val="0"/>
          <w:color w:val="auto"/>
          <w:sz w:val="21"/>
          <w:szCs w:val="21"/>
          <w:highlight w:val="none"/>
          <w:u w:val="single"/>
        </w:rPr>
        <w:t>”为准</w:t>
      </w:r>
      <w:r>
        <w:rPr>
          <w:rFonts w:hint="eastAsia" w:ascii="宋体" w:hAnsi="宋体" w:eastAsia="宋体" w:cs="宋体"/>
          <w:b w:val="0"/>
          <w:color w:val="auto"/>
          <w:szCs w:val="21"/>
          <w:highlight w:val="none"/>
        </w:rPr>
        <w:t>）对其投标报价进行折算</w:t>
      </w:r>
      <w:r>
        <w:rPr>
          <w:rFonts w:hint="eastAsia" w:ascii="宋体" w:hAnsi="宋体" w:eastAsia="宋体" w:cs="宋体"/>
          <w:b/>
          <w:color w:val="auto"/>
          <w:sz w:val="21"/>
          <w:szCs w:val="22"/>
          <w:highlight w:val="none"/>
          <w:u w:val="single"/>
        </w:rPr>
        <w:t>（折算规则详见招标文件第二章附件《投标报价折算标准表》），得到各投标人经评审的投标报价。以所有经评审的投标报价中金额最小的投标报价作为经评审的最低投标价，并以经评审的最低投标价作为推荐合格中标候选人的依据，按照经评审的投标报价（包含经评审的最低投标价）由低至高进行排序</w:t>
      </w:r>
      <w:r>
        <w:rPr>
          <w:rFonts w:hint="eastAsia" w:ascii="宋体" w:hAnsi="宋体" w:eastAsia="宋体" w:cs="宋体"/>
          <w:b w:val="0"/>
          <w:color w:val="auto"/>
          <w:szCs w:val="21"/>
          <w:highlight w:val="none"/>
        </w:rPr>
        <w:t>。</w:t>
      </w:r>
    </w:p>
    <w:p w14:paraId="1DD8F66F">
      <w:pPr>
        <w:pBdr>
          <w:bottom w:val="single" w:color="auto" w:sz="6" w:space="1"/>
        </w:pBd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 w:val="21"/>
          <w:szCs w:val="22"/>
          <w:highlight w:val="none"/>
          <w:u w:val="single"/>
        </w:rPr>
        <w:t>注：若投标人经评审的投标报价相同，则以</w:t>
      </w:r>
      <w:r>
        <w:rPr>
          <w:rFonts w:hint="eastAsia" w:ascii="宋体" w:hAnsi="宋体" w:eastAsia="宋体" w:cs="宋体"/>
          <w:b w:val="0"/>
          <w:color w:val="auto"/>
          <w:sz w:val="21"/>
          <w:szCs w:val="22"/>
          <w:highlight w:val="none"/>
          <w:u w:val="single"/>
          <w:lang w:eastAsia="zh-CN"/>
        </w:rPr>
        <w:t>诚信综合评分</w:t>
      </w:r>
      <w:r>
        <w:rPr>
          <w:rFonts w:hint="eastAsia" w:ascii="宋体" w:hAnsi="宋体" w:eastAsia="宋体" w:cs="宋体"/>
          <w:b w:val="0"/>
          <w:color w:val="auto"/>
          <w:sz w:val="21"/>
          <w:szCs w:val="22"/>
          <w:highlight w:val="none"/>
          <w:u w:val="single"/>
        </w:rPr>
        <w:t>得分较高的排前；若经评审的投标报价、</w:t>
      </w:r>
      <w:r>
        <w:rPr>
          <w:rFonts w:hint="eastAsia" w:ascii="宋体" w:hAnsi="宋体" w:eastAsia="宋体" w:cs="宋体"/>
          <w:b w:val="0"/>
          <w:color w:val="auto"/>
          <w:sz w:val="21"/>
          <w:szCs w:val="22"/>
          <w:highlight w:val="none"/>
          <w:u w:val="single"/>
          <w:lang w:eastAsia="zh-CN"/>
        </w:rPr>
        <w:t>诚信综合评分</w:t>
      </w:r>
      <w:r>
        <w:rPr>
          <w:rFonts w:hint="eastAsia" w:ascii="宋体" w:hAnsi="宋体" w:eastAsia="宋体" w:cs="宋体"/>
          <w:b w:val="0"/>
          <w:color w:val="auto"/>
          <w:sz w:val="21"/>
          <w:szCs w:val="22"/>
          <w:highlight w:val="none"/>
          <w:u w:val="single"/>
        </w:rPr>
        <w:t>得分均相同，则对具有相同情况的投标人，按入围合格中标候选人数量规定，由评标委员会采用记名投票方式，确定投标人的排序，并确定推荐进入定标阶段的合格中标候选人。记名投票方式确定排序的具体操作步骤为：由评标委员会对出现该情况的投标人采取记名投票的方式确定，按得票数高低进行排序，以得票数高的排前，根据得票数高低确定投标人排序</w:t>
      </w:r>
      <w:r>
        <w:rPr>
          <w:rFonts w:hint="eastAsia" w:ascii="宋体" w:hAnsi="宋体" w:eastAsia="宋体" w:cs="宋体"/>
          <w:b w:val="0"/>
          <w:color w:val="auto"/>
          <w:sz w:val="21"/>
          <w:szCs w:val="21"/>
          <w:highlight w:val="none"/>
          <w:u w:val="single"/>
        </w:rPr>
        <w:t>。</w:t>
      </w:r>
    </w:p>
    <w:p w14:paraId="2A290237">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sz w:val="21"/>
          <w:szCs w:val="21"/>
          <w:highlight w:val="none"/>
        </w:rPr>
        <w:t xml:space="preserve">42.7                              </w:t>
      </w:r>
      <w:r>
        <w:rPr>
          <w:rFonts w:hint="eastAsia" w:ascii="宋体" w:hAnsi="宋体" w:eastAsia="宋体" w:cs="宋体"/>
          <w:b/>
          <w:color w:val="auto"/>
          <w:sz w:val="21"/>
          <w:szCs w:val="21"/>
          <w:highlight w:val="none"/>
        </w:rPr>
        <w:t>修改类型：修改</w:t>
      </w:r>
    </w:p>
    <w:p w14:paraId="061B853C">
      <w:pPr>
        <w:widowControl/>
        <w:snapToGrid w:val="0"/>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42.7评标结束后，评标委员会应当在通过投标文件有效性审查的投标人中，按照原投标文件的评审次序，推荐前3名依次为第一中标候选人至第三中标候选人，并编写评标报告</w:t>
      </w:r>
      <w:r>
        <w:rPr>
          <w:rFonts w:hint="eastAsia" w:ascii="宋体" w:hAnsi="宋体" w:eastAsia="宋体" w:cs="宋体"/>
          <w:b w:val="0"/>
          <w:color w:val="auto"/>
          <w:sz w:val="21"/>
          <w:szCs w:val="21"/>
          <w:highlight w:val="none"/>
        </w:rPr>
        <w:t>。</w:t>
      </w:r>
    </w:p>
    <w:p w14:paraId="6A0208AA">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 w:val="21"/>
          <w:szCs w:val="21"/>
          <w:highlight w:val="none"/>
        </w:rPr>
        <w:t>现文：</w:t>
      </w:r>
      <w:r>
        <w:rPr>
          <w:rFonts w:ascii="宋体" w:hAnsi="宋体" w:eastAsia="宋体" w:cs="宋体"/>
          <w:b w:val="0"/>
          <w:color w:val="auto"/>
          <w:sz w:val="21"/>
          <w:szCs w:val="21"/>
          <w:highlight w:val="none"/>
        </w:rPr>
        <w:t>42.7.</w:t>
      </w:r>
      <w:r>
        <w:rPr>
          <w:rFonts w:hint="eastAsia" w:ascii="宋体" w:hAnsi="宋体" w:eastAsia="宋体" w:cs="宋体"/>
          <w:b/>
          <w:bCs/>
          <w:color w:val="auto"/>
          <w:sz w:val="21"/>
          <w:szCs w:val="22"/>
          <w:highlight w:val="none"/>
          <w:u w:val="single"/>
        </w:rPr>
        <w:t>在评标评审完成后，评标委员会编写评标报告，评标委员会采用“有限数量制评审法”推荐不超过</w:t>
      </w:r>
      <w:r>
        <w:rPr>
          <w:rFonts w:ascii="宋体" w:hAnsi="宋体" w:eastAsia="宋体" w:cs="宋体"/>
          <w:b/>
          <w:bCs/>
          <w:color w:val="auto"/>
          <w:sz w:val="21"/>
          <w:szCs w:val="22"/>
          <w:highlight w:val="none"/>
          <w:u w:val="single"/>
        </w:rPr>
        <w:t>5家（经评审的投标报价介于经评审的最低投标价（含本数）与工程</w:t>
      </w:r>
      <w:r>
        <w:rPr>
          <w:rFonts w:hint="eastAsia" w:ascii="宋体" w:hAnsi="宋体" w:eastAsia="宋体" w:cs="宋体"/>
          <w:b/>
          <w:bCs/>
          <w:color w:val="auto"/>
          <w:sz w:val="21"/>
          <w:szCs w:val="22"/>
          <w:highlight w:val="none"/>
          <w:u w:val="single"/>
          <w:lang w:eastAsia="zh-CN"/>
        </w:rPr>
        <w:t>成本警示价</w:t>
      </w:r>
      <w:r>
        <w:rPr>
          <w:rFonts w:ascii="宋体" w:hAnsi="宋体" w:eastAsia="宋体" w:cs="宋体"/>
          <w:b/>
          <w:bCs/>
          <w:color w:val="auto"/>
          <w:sz w:val="21"/>
          <w:szCs w:val="22"/>
          <w:highlight w:val="none"/>
          <w:u w:val="single"/>
        </w:rPr>
        <w:t>（含本数）之间的投标人数量≥5家时除外）不排序的合格中标候选人进入定标阶段</w:t>
      </w:r>
      <w:r>
        <w:rPr>
          <w:rFonts w:hint="eastAsia" w:ascii="宋体" w:hAnsi="宋体" w:eastAsia="宋体" w:cs="宋体"/>
          <w:b w:val="0"/>
          <w:color w:val="auto"/>
          <w:sz w:val="21"/>
          <w:szCs w:val="21"/>
          <w:highlight w:val="none"/>
          <w:u w:val="single"/>
        </w:rPr>
        <w:t>。推荐规则如下：</w:t>
      </w:r>
    </w:p>
    <w:p w14:paraId="5B0A45B4">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w:t>
      </w:r>
      <w:r>
        <w:rPr>
          <w:rFonts w:ascii="宋体" w:hAnsi="宋体" w:eastAsia="宋体" w:cs="宋体"/>
          <w:b w:val="0"/>
          <w:color w:val="auto"/>
          <w:sz w:val="21"/>
          <w:szCs w:val="21"/>
          <w:highlight w:val="none"/>
          <w:u w:val="single"/>
        </w:rPr>
        <w:t>1）当通过有效性审查的投标人数＜3家时，招标人应重新招标。</w:t>
      </w:r>
    </w:p>
    <w:p w14:paraId="230460FE">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w:t>
      </w:r>
      <w:r>
        <w:rPr>
          <w:rFonts w:ascii="宋体" w:hAnsi="宋体" w:eastAsia="宋体" w:cs="宋体"/>
          <w:b w:val="0"/>
          <w:color w:val="auto"/>
          <w:sz w:val="21"/>
          <w:szCs w:val="21"/>
          <w:highlight w:val="none"/>
          <w:u w:val="single"/>
        </w:rPr>
        <w:t>2）当通过有效性审查的投标人数≥3家且＜5家时，则通过有效性审查的所有投标人全部进入定标阶段。</w:t>
      </w:r>
    </w:p>
    <w:p w14:paraId="2B23663A">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w:t>
      </w:r>
      <w:r>
        <w:rPr>
          <w:rFonts w:ascii="宋体" w:hAnsi="宋体" w:eastAsia="宋体" w:cs="宋体"/>
          <w:b w:val="0"/>
          <w:color w:val="auto"/>
          <w:sz w:val="21"/>
          <w:szCs w:val="21"/>
          <w:highlight w:val="none"/>
          <w:u w:val="single"/>
        </w:rPr>
        <w:t>3）当通过有效性审查的投标人数≥5家时，则：</w:t>
      </w:r>
    </w:p>
    <w:p w14:paraId="13375E31">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①若经评审的投标报价介于经评审的最低投标价（含本数）与工程</w:t>
      </w:r>
      <w:r>
        <w:rPr>
          <w:rFonts w:hint="eastAsia" w:ascii="宋体" w:hAnsi="宋体" w:eastAsia="宋体" w:cs="宋体"/>
          <w:b w:val="0"/>
          <w:color w:val="auto"/>
          <w:sz w:val="21"/>
          <w:szCs w:val="21"/>
          <w:highlight w:val="none"/>
          <w:u w:val="single"/>
          <w:lang w:eastAsia="zh-CN"/>
        </w:rPr>
        <w:t>成本警示价</w:t>
      </w:r>
      <w:r>
        <w:rPr>
          <w:rFonts w:hint="eastAsia" w:ascii="宋体" w:hAnsi="宋体" w:eastAsia="宋体" w:cs="宋体"/>
          <w:b w:val="0"/>
          <w:color w:val="auto"/>
          <w:sz w:val="21"/>
          <w:szCs w:val="21"/>
          <w:highlight w:val="none"/>
          <w:u w:val="single"/>
        </w:rPr>
        <w:t>（含本数）之间的数量≥</w:t>
      </w:r>
      <w:r>
        <w:rPr>
          <w:rFonts w:ascii="宋体" w:hAnsi="宋体" w:eastAsia="宋体" w:cs="宋体"/>
          <w:b w:val="0"/>
          <w:color w:val="auto"/>
          <w:sz w:val="21"/>
          <w:szCs w:val="21"/>
          <w:highlight w:val="none"/>
          <w:u w:val="single"/>
        </w:rPr>
        <w:t>5家时,则经评审的投标报价介于经评审的最低投标价（含本数）与工程</w:t>
      </w:r>
      <w:r>
        <w:rPr>
          <w:rFonts w:hint="eastAsia" w:ascii="宋体" w:hAnsi="宋体" w:eastAsia="宋体" w:cs="宋体"/>
          <w:b w:val="0"/>
          <w:color w:val="auto"/>
          <w:sz w:val="21"/>
          <w:szCs w:val="21"/>
          <w:highlight w:val="none"/>
          <w:u w:val="single"/>
          <w:lang w:eastAsia="zh-CN"/>
        </w:rPr>
        <w:t>成本警示价</w:t>
      </w:r>
      <w:r>
        <w:rPr>
          <w:rFonts w:ascii="宋体" w:hAnsi="宋体" w:eastAsia="宋体" w:cs="宋体"/>
          <w:b w:val="0"/>
          <w:color w:val="auto"/>
          <w:sz w:val="21"/>
          <w:szCs w:val="21"/>
          <w:highlight w:val="none"/>
          <w:u w:val="single"/>
        </w:rPr>
        <w:t>（含本数）之间的投标人全部进入定标阶段</w:t>
      </w:r>
      <w:r>
        <w:rPr>
          <w:rFonts w:hint="eastAsia" w:ascii="宋体" w:hAnsi="宋体" w:eastAsia="宋体" w:cs="宋体"/>
          <w:b w:val="0"/>
          <w:color w:val="auto"/>
          <w:sz w:val="21"/>
          <w:szCs w:val="21"/>
          <w:highlight w:val="none"/>
          <w:u w:val="single"/>
        </w:rPr>
        <w:t>；</w:t>
      </w:r>
    </w:p>
    <w:p w14:paraId="60B90835">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②若经评审的投标报价介于经评审的最低投标价（含本数）与工程</w:t>
      </w:r>
      <w:r>
        <w:rPr>
          <w:rFonts w:hint="eastAsia" w:ascii="宋体" w:hAnsi="宋体" w:eastAsia="宋体" w:cs="宋体"/>
          <w:b w:val="0"/>
          <w:color w:val="auto"/>
          <w:sz w:val="21"/>
          <w:szCs w:val="21"/>
          <w:highlight w:val="none"/>
          <w:u w:val="single"/>
          <w:lang w:eastAsia="zh-CN"/>
        </w:rPr>
        <w:t>成本警示价</w:t>
      </w:r>
      <w:r>
        <w:rPr>
          <w:rFonts w:hint="eastAsia" w:ascii="宋体" w:hAnsi="宋体" w:eastAsia="宋体" w:cs="宋体"/>
          <w:b w:val="0"/>
          <w:color w:val="auto"/>
          <w:sz w:val="21"/>
          <w:szCs w:val="21"/>
          <w:highlight w:val="none"/>
          <w:u w:val="single"/>
        </w:rPr>
        <w:t>（含本数）之间的数量＜</w:t>
      </w:r>
      <w:r>
        <w:rPr>
          <w:rFonts w:ascii="宋体" w:hAnsi="宋体" w:eastAsia="宋体" w:cs="宋体"/>
          <w:b w:val="0"/>
          <w:color w:val="auto"/>
          <w:sz w:val="21"/>
          <w:szCs w:val="21"/>
          <w:highlight w:val="none"/>
          <w:u w:val="single"/>
        </w:rPr>
        <w:t>5家时,则按经评审的投标报价由低到高选取5家不排序的合格中标候选人进入定标阶段。</w:t>
      </w:r>
    </w:p>
    <w:p w14:paraId="7D641DCB">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注：进入定标阶段的合格中标候选人不排序【按统一社会信用代码后</w:t>
      </w:r>
      <w:r>
        <w:rPr>
          <w:rFonts w:ascii="宋体" w:hAnsi="宋体" w:eastAsia="宋体" w:cs="宋体"/>
          <w:b w:val="0"/>
          <w:color w:val="auto"/>
          <w:sz w:val="21"/>
          <w:szCs w:val="21"/>
          <w:highlight w:val="none"/>
          <w:u w:val="single"/>
        </w:rPr>
        <w:t>4位(除校验码外)大小排位，如统一社会信用代码后4位出现字母情况的，字母以“0”进行代替大小排位;如出现后4位(除校验码外)大小一致的，则随机排位(联合体投标的按联合体主办方的统一社会信用代码排位)】。</w:t>
      </w:r>
    </w:p>
    <w:p w14:paraId="0B0886CA">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kern w:val="0"/>
          <w:sz w:val="21"/>
          <w:szCs w:val="21"/>
          <w:highlight w:val="none"/>
        </w:rPr>
        <w:t>42.8</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修改类型：修改</w:t>
      </w:r>
    </w:p>
    <w:p w14:paraId="2863B967">
      <w:pP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原文：</w:t>
      </w:r>
      <w:r>
        <w:rPr>
          <w:rFonts w:ascii="宋体" w:hAnsi="宋体" w:eastAsia="宋体" w:cs="宋体"/>
          <w:b w:val="0"/>
          <w:color w:val="auto"/>
          <w:sz w:val="21"/>
          <w:szCs w:val="21"/>
          <w:highlight w:val="none"/>
        </w:rPr>
        <w:t>42.8若有效投标人不足三家，应当依法重新招标。（当N个标段同时招标且不允许兼中时，若有效投标人不足N+2家，应当依法重新招标）。</w:t>
      </w:r>
    </w:p>
    <w:p w14:paraId="375B95F7">
      <w:pPr>
        <w:pBdr>
          <w:bottom w:val="single" w:color="auto" w:sz="6" w:space="1"/>
        </w:pBdr>
        <w:snapToGrid w:val="0"/>
        <w:spacing w:line="360" w:lineRule="auto"/>
        <w:ind w:firstLine="420" w:firstLineChars="199"/>
        <w:rPr>
          <w:rFonts w:ascii="宋体" w:hAnsi="宋体" w:eastAsia="宋体" w:cs="宋体"/>
          <w:strike/>
          <w:color w:val="auto"/>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color w:val="auto"/>
          <w:sz w:val="21"/>
          <w:szCs w:val="21"/>
          <w:highlight w:val="none"/>
        </w:rPr>
        <w:t>：</w:t>
      </w:r>
      <w:r>
        <w:rPr>
          <w:rFonts w:ascii="宋体" w:hAnsi="宋体" w:eastAsia="宋体" w:cs="宋体"/>
          <w:b w:val="0"/>
          <w:color w:val="auto"/>
          <w:sz w:val="21"/>
          <w:szCs w:val="21"/>
          <w:highlight w:val="none"/>
        </w:rPr>
        <w:t>42.8</w:t>
      </w:r>
      <w:r>
        <w:rPr>
          <w:rFonts w:hint="eastAsia" w:ascii="宋体" w:hAnsi="宋体" w:eastAsia="宋体" w:cs="宋体"/>
          <w:b w:val="0"/>
          <w:color w:val="auto"/>
          <w:sz w:val="21"/>
          <w:szCs w:val="21"/>
          <w:highlight w:val="none"/>
        </w:rPr>
        <w:t>若有效投标人不足三家，应当依法重新招标</w:t>
      </w:r>
      <w:r>
        <w:rPr>
          <w:rFonts w:hint="eastAsia" w:ascii="宋体" w:hAnsi="宋体" w:eastAsia="宋体" w:cs="宋体"/>
          <w:b w:val="0"/>
          <w:color w:val="auto"/>
          <w:sz w:val="21"/>
          <w:szCs w:val="21"/>
          <w:highlight w:val="none"/>
          <w:u w:val="single"/>
        </w:rPr>
        <w:t>。</w:t>
      </w:r>
    </w:p>
    <w:p w14:paraId="1CFE1BD6">
      <w:pPr>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w:t>
      </w:r>
      <w:r>
        <w:rPr>
          <w:rFonts w:ascii="宋体" w:hAnsi="宋体" w:eastAsia="宋体" w:cs="宋体"/>
          <w:b/>
          <w:color w:val="auto"/>
          <w:kern w:val="0"/>
          <w:sz w:val="21"/>
          <w:szCs w:val="21"/>
          <w:highlight w:val="none"/>
        </w:rPr>
        <w:t>43</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修改类型：增加</w:t>
      </w:r>
    </w:p>
    <w:p w14:paraId="0A482674">
      <w:pPr>
        <w:snapToGrid w:val="0"/>
        <w:spacing w:line="360" w:lineRule="auto"/>
        <w:ind w:firstLine="422" w:firstLineChars="200"/>
        <w:rPr>
          <w:rFonts w:ascii="宋体" w:hAnsi="宋体" w:eastAsia="宋体" w:cs="宋体"/>
          <w:bCs/>
          <w:color w:val="auto"/>
          <w:szCs w:val="21"/>
          <w:highlight w:val="none"/>
          <w:u w:val="single"/>
        </w:rPr>
      </w:pPr>
      <w:r>
        <w:rPr>
          <w:rFonts w:hint="eastAsia" w:ascii="宋体" w:hAnsi="宋体" w:eastAsia="宋体" w:cs="宋体"/>
          <w:b/>
          <w:color w:val="auto"/>
          <w:sz w:val="21"/>
          <w:szCs w:val="21"/>
          <w:highlight w:val="none"/>
        </w:rPr>
        <w:t>现文：</w:t>
      </w:r>
      <w:r>
        <w:rPr>
          <w:rFonts w:ascii="宋体" w:hAnsi="宋体" w:eastAsia="宋体" w:cs="宋体"/>
          <w:b/>
          <w:color w:val="auto"/>
          <w:sz w:val="21"/>
          <w:szCs w:val="21"/>
          <w:highlight w:val="none"/>
          <w:u w:val="single"/>
        </w:rPr>
        <w:t>43.定标</w:t>
      </w:r>
    </w:p>
    <w:p w14:paraId="4A2D36C8">
      <w:pPr>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 w:val="21"/>
          <w:szCs w:val="21"/>
          <w:highlight w:val="none"/>
          <w:u w:val="single"/>
        </w:rPr>
        <w:t>如评标委员会推荐的合格中标候选人不足三家，招标人应当依法重新招标，不再进行定标工作。</w:t>
      </w:r>
    </w:p>
    <w:p w14:paraId="5AC0ECD2">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43.1定标时间和地点：招标人在合格中标候选人公示期满之日起5个工作日内在广州交易集团有限公司（广州公共资源交易中心）开展定标工作。</w:t>
      </w:r>
    </w:p>
    <w:p w14:paraId="3F206B1A">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43.2定标委员会：成员数量为5人，由招标人组建。</w:t>
      </w:r>
    </w:p>
    <w:p w14:paraId="4FBB5ECE">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43.3定标监督小组：成员数量为2</w:t>
      </w:r>
      <w:r>
        <w:rPr>
          <w:rFonts w:hint="eastAsia" w:ascii="宋体" w:hAnsi="宋体" w:eastAsia="宋体" w:cs="宋体"/>
          <w:bCs/>
          <w:color w:val="auto"/>
          <w:sz w:val="21"/>
          <w:szCs w:val="21"/>
          <w:highlight w:val="none"/>
          <w:u w:val="single"/>
        </w:rPr>
        <w:t>人，由招标人组建。</w:t>
      </w:r>
    </w:p>
    <w:p w14:paraId="73B3D032">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43.4定标办法：定标采用评分法，定标委员会对进入定标阶段的所有合格中标候选人中，依据评分法选出得分最高的候选人，确定为中标人。</w:t>
      </w:r>
    </w:p>
    <w:p w14:paraId="5B7D5387">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43.5定标因素：方案因素+价格因素，详见《定标因素表（定标阶段用表）》。</w:t>
      </w:r>
    </w:p>
    <w:p w14:paraId="4A9F21A2">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43.6定标程序</w:t>
      </w:r>
    </w:p>
    <w:p w14:paraId="55CF0E21">
      <w:pPr>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 w:val="21"/>
          <w:szCs w:val="21"/>
          <w:highlight w:val="none"/>
          <w:u w:val="single"/>
        </w:rPr>
        <w:t>招标人或其委托的招标代理机构应安排</w:t>
      </w:r>
      <w:r>
        <w:rPr>
          <w:rFonts w:ascii="宋体" w:hAnsi="宋体" w:eastAsia="宋体" w:cs="宋体"/>
          <w:bCs/>
          <w:color w:val="auto"/>
          <w:sz w:val="21"/>
          <w:szCs w:val="21"/>
          <w:highlight w:val="none"/>
          <w:u w:val="single"/>
        </w:rPr>
        <w:t>1名熟悉情况的工作人员在定标会场担任招标项目负责人，按程序组织定标工作：</w:t>
      </w:r>
    </w:p>
    <w:p w14:paraId="50009434">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43.6.1招标项目负责人宣读定标委员会组建情况及成员名单，宣读定标纪律，签订廉政责任书。</w:t>
      </w:r>
    </w:p>
    <w:p w14:paraId="26A8CDD1">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43.6.2发放定标辅助资料：招标文件、合格中标候选人提交的</w:t>
      </w:r>
      <w:r>
        <w:rPr>
          <w:rFonts w:hint="eastAsia" w:ascii="宋体" w:hAnsi="宋体" w:eastAsia="宋体" w:cs="宋体"/>
          <w:bCs/>
          <w:color w:val="auto"/>
          <w:sz w:val="21"/>
          <w:szCs w:val="21"/>
          <w:highlight w:val="none"/>
          <w:u w:val="single"/>
          <w:lang w:val="en-US" w:eastAsia="zh-CN"/>
        </w:rPr>
        <w:t>定标</w:t>
      </w:r>
      <w:r>
        <w:rPr>
          <w:rFonts w:ascii="宋体" w:hAnsi="宋体" w:eastAsia="宋体" w:cs="宋体"/>
          <w:bCs/>
          <w:color w:val="auto"/>
          <w:sz w:val="21"/>
          <w:szCs w:val="21"/>
          <w:highlight w:val="none"/>
          <w:u w:val="single"/>
        </w:rPr>
        <w:t>文件。</w:t>
      </w:r>
    </w:p>
    <w:p w14:paraId="684345FE">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43.6.</w:t>
      </w:r>
      <w:r>
        <w:rPr>
          <w:rFonts w:hint="eastAsia" w:ascii="宋体" w:hAnsi="宋体" w:eastAsia="宋体" w:cs="宋体"/>
          <w:bCs/>
          <w:color w:val="auto"/>
          <w:sz w:val="21"/>
          <w:szCs w:val="21"/>
          <w:highlight w:val="none"/>
          <w:u w:val="single"/>
          <w:lang w:val="en-US" w:eastAsia="zh-CN"/>
        </w:rPr>
        <w:t>3</w:t>
      </w:r>
      <w:r>
        <w:rPr>
          <w:rFonts w:ascii="宋体" w:hAnsi="宋体" w:eastAsia="宋体" w:cs="宋体"/>
          <w:bCs/>
          <w:color w:val="auto"/>
          <w:sz w:val="21"/>
          <w:szCs w:val="21"/>
          <w:highlight w:val="none"/>
          <w:u w:val="single"/>
        </w:rPr>
        <w:t>定标委员会根据</w:t>
      </w:r>
      <w:r>
        <w:rPr>
          <w:rFonts w:hint="eastAsia" w:ascii="宋体" w:hAnsi="宋体" w:eastAsia="宋体" w:cs="宋体"/>
          <w:bCs/>
          <w:color w:val="auto"/>
          <w:sz w:val="21"/>
          <w:szCs w:val="21"/>
          <w:highlight w:val="none"/>
          <w:u w:val="single"/>
          <w:lang w:val="en-US" w:eastAsia="zh-CN"/>
        </w:rPr>
        <w:t>各</w:t>
      </w:r>
      <w:r>
        <w:rPr>
          <w:rFonts w:ascii="宋体" w:hAnsi="宋体" w:eastAsia="宋体" w:cs="宋体"/>
          <w:bCs/>
          <w:color w:val="auto"/>
          <w:sz w:val="21"/>
          <w:szCs w:val="21"/>
          <w:highlight w:val="none"/>
          <w:u w:val="single"/>
        </w:rPr>
        <w:t>定标</w:t>
      </w:r>
      <w:r>
        <w:rPr>
          <w:rFonts w:hint="eastAsia" w:ascii="宋体" w:hAnsi="宋体" w:eastAsia="宋体" w:cs="宋体"/>
          <w:bCs/>
          <w:color w:val="auto"/>
          <w:sz w:val="21"/>
          <w:szCs w:val="21"/>
          <w:highlight w:val="none"/>
          <w:u w:val="single"/>
          <w:lang w:val="en-US" w:eastAsia="zh-CN"/>
        </w:rPr>
        <w:t>文件</w:t>
      </w:r>
      <w:r>
        <w:rPr>
          <w:rFonts w:ascii="宋体" w:hAnsi="宋体" w:eastAsia="宋体" w:cs="宋体"/>
          <w:bCs/>
          <w:color w:val="auto"/>
          <w:sz w:val="21"/>
          <w:szCs w:val="21"/>
          <w:highlight w:val="none"/>
          <w:u w:val="single"/>
        </w:rPr>
        <w:t>，根据定标因素的标准</w:t>
      </w:r>
      <w:r>
        <w:rPr>
          <w:rFonts w:hint="eastAsia" w:ascii="宋体" w:hAnsi="宋体" w:eastAsia="宋体" w:cs="宋体"/>
          <w:bCs/>
          <w:color w:val="auto"/>
          <w:sz w:val="21"/>
          <w:szCs w:val="21"/>
          <w:highlight w:val="none"/>
          <w:u w:val="single"/>
          <w:lang w:val="en-US" w:eastAsia="zh-CN"/>
        </w:rPr>
        <w:t>进行评审</w:t>
      </w:r>
      <w:r>
        <w:rPr>
          <w:rFonts w:ascii="宋体" w:hAnsi="宋体" w:eastAsia="宋体" w:cs="宋体"/>
          <w:bCs/>
          <w:color w:val="auto"/>
          <w:sz w:val="21"/>
          <w:szCs w:val="21"/>
          <w:highlight w:val="none"/>
          <w:u w:val="single"/>
        </w:rPr>
        <w:t>。</w:t>
      </w:r>
    </w:p>
    <w:p w14:paraId="6125D6EA">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43.6.</w:t>
      </w:r>
      <w:r>
        <w:rPr>
          <w:rFonts w:hint="eastAsia" w:ascii="宋体" w:hAnsi="宋体" w:eastAsia="宋体" w:cs="宋体"/>
          <w:bCs/>
          <w:color w:val="auto"/>
          <w:sz w:val="21"/>
          <w:szCs w:val="21"/>
          <w:highlight w:val="none"/>
          <w:u w:val="single"/>
          <w:lang w:val="en-US" w:eastAsia="zh-CN"/>
        </w:rPr>
        <w:t>4</w:t>
      </w:r>
      <w:r>
        <w:rPr>
          <w:rFonts w:ascii="宋体" w:hAnsi="宋体" w:eastAsia="宋体" w:cs="宋体"/>
          <w:bCs/>
          <w:color w:val="auto"/>
          <w:sz w:val="21"/>
          <w:szCs w:val="21"/>
          <w:highlight w:val="none"/>
          <w:u w:val="single"/>
        </w:rPr>
        <w:t>对定标方案进行评审并汇总计算方案因素得分：合格中标候选人的方案因素得分为所有定标委员会成员对同一中标候选人的方案因素</w:t>
      </w:r>
      <w:r>
        <w:rPr>
          <w:rFonts w:hint="eastAsia" w:ascii="宋体" w:hAnsi="宋体" w:eastAsia="宋体" w:cs="宋体"/>
          <w:bCs/>
          <w:color w:val="auto"/>
          <w:sz w:val="21"/>
          <w:szCs w:val="21"/>
          <w:highlight w:val="none"/>
          <w:u w:val="single"/>
          <w:lang w:val="en-US" w:eastAsia="zh-CN"/>
        </w:rPr>
        <w:t>的</w:t>
      </w:r>
      <w:r>
        <w:rPr>
          <w:rFonts w:hint="eastAsia" w:ascii="宋体" w:hAnsi="宋体" w:eastAsia="宋体" w:cs="宋体"/>
          <w:b/>
          <w:color w:val="auto"/>
          <w:szCs w:val="21"/>
          <w:highlight w:val="none"/>
          <w:u w:val="single"/>
        </w:rPr>
        <w:t>评分相加去掉一个最高分和一个最低分后的算术平均值</w:t>
      </w:r>
      <w:r>
        <w:rPr>
          <w:rFonts w:ascii="宋体" w:hAnsi="宋体" w:eastAsia="宋体" w:cs="宋体"/>
          <w:bCs/>
          <w:color w:val="auto"/>
          <w:sz w:val="21"/>
          <w:szCs w:val="21"/>
          <w:highlight w:val="none"/>
          <w:u w:val="single"/>
        </w:rPr>
        <w:t>（若分数出现小数点时，保留小数点后二位，第三位小数四舍五入）。</w:t>
      </w:r>
    </w:p>
    <w:p w14:paraId="551EE30D">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43.6.</w:t>
      </w:r>
      <w:r>
        <w:rPr>
          <w:rFonts w:hint="eastAsia" w:ascii="宋体" w:hAnsi="宋体" w:eastAsia="宋体" w:cs="宋体"/>
          <w:bCs/>
          <w:color w:val="auto"/>
          <w:sz w:val="21"/>
          <w:szCs w:val="21"/>
          <w:highlight w:val="none"/>
          <w:u w:val="single"/>
          <w:lang w:val="en-US" w:eastAsia="zh-CN"/>
        </w:rPr>
        <w:t>5</w:t>
      </w:r>
      <w:r>
        <w:rPr>
          <w:rFonts w:ascii="宋体" w:hAnsi="宋体" w:eastAsia="宋体" w:cs="宋体"/>
          <w:bCs/>
          <w:color w:val="auto"/>
          <w:sz w:val="21"/>
          <w:szCs w:val="21"/>
          <w:highlight w:val="none"/>
          <w:u w:val="single"/>
        </w:rPr>
        <w:t>计算价格因素得分：</w:t>
      </w:r>
      <w:r>
        <w:rPr>
          <w:rFonts w:hint="eastAsia" w:ascii="宋体" w:hAnsi="宋体" w:eastAsia="宋体" w:cs="宋体"/>
          <w:color w:val="auto"/>
          <w:highlight w:val="none"/>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r>
        <w:rPr>
          <w:rFonts w:hint="eastAsia" w:ascii="宋体" w:hAnsi="宋体" w:eastAsia="宋体" w:cs="宋体"/>
          <w:bCs/>
          <w:color w:val="auto"/>
          <w:szCs w:val="21"/>
          <w:highlight w:val="none"/>
          <w:u w:val="single"/>
        </w:rPr>
        <w:t>。</w:t>
      </w:r>
    </w:p>
    <w:p w14:paraId="560CFEC0">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43.6.</w:t>
      </w:r>
      <w:r>
        <w:rPr>
          <w:rFonts w:hint="eastAsia" w:ascii="宋体" w:hAnsi="宋体" w:eastAsia="宋体" w:cs="宋体"/>
          <w:bCs/>
          <w:color w:val="auto"/>
          <w:sz w:val="21"/>
          <w:szCs w:val="21"/>
          <w:highlight w:val="none"/>
          <w:u w:val="single"/>
          <w:lang w:val="en-US" w:eastAsia="zh-CN"/>
        </w:rPr>
        <w:t>6</w:t>
      </w:r>
      <w:r>
        <w:rPr>
          <w:rFonts w:ascii="宋体" w:hAnsi="宋体" w:eastAsia="宋体" w:cs="宋体"/>
          <w:bCs/>
          <w:color w:val="auto"/>
          <w:sz w:val="21"/>
          <w:szCs w:val="21"/>
          <w:highlight w:val="none"/>
          <w:u w:val="single"/>
        </w:rPr>
        <w:t>按照总得分（最高100分）=方案因素得分（100分）×方案因素得分权重（70%）+价格因素得分（100分）×价格因素得分权重（30%），汇总计算合格中标候选人的总得分（若分数出现小数点时，保留小数点后二位，第三位小数四舍五入），并按总得分由高至低排序，确定总得分最高的合格中标候选人为中标人。</w:t>
      </w:r>
    </w:p>
    <w:p w14:paraId="01ED61C9">
      <w:pPr>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 w:val="21"/>
          <w:szCs w:val="21"/>
          <w:highlight w:val="none"/>
          <w:u w:val="single"/>
        </w:rPr>
        <w:t>注：①若合格中标候选人总得分相同且影响定标排序的，以方案因素得分高的排前；若方案因素得分仍相同的，由定标委员会采用记名投票方式确定排序。</w:t>
      </w:r>
    </w:p>
    <w:p w14:paraId="00E00F06">
      <w:pPr>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 w:val="21"/>
          <w:szCs w:val="21"/>
          <w:highlight w:val="none"/>
          <w:u w:val="single"/>
        </w:rPr>
        <w:t>②记名投票方式确定排序的具体操作步骤为：由定标委员会对出现该情况的合格中标候选人采取记名投票的方式确定，按得票数高低进行排序，以得票数高的排前，根据得票数高低确定合格中标人排序。</w:t>
      </w:r>
    </w:p>
    <w:p w14:paraId="3C67C99C">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43.6.</w:t>
      </w:r>
      <w:r>
        <w:rPr>
          <w:rFonts w:hint="eastAsia" w:ascii="宋体" w:hAnsi="宋体" w:eastAsia="宋体" w:cs="宋体"/>
          <w:bCs/>
          <w:color w:val="auto"/>
          <w:sz w:val="21"/>
          <w:szCs w:val="21"/>
          <w:highlight w:val="none"/>
          <w:u w:val="single"/>
          <w:lang w:val="en-US" w:eastAsia="zh-CN"/>
        </w:rPr>
        <w:t>7</w:t>
      </w:r>
      <w:r>
        <w:rPr>
          <w:rFonts w:ascii="宋体" w:hAnsi="宋体" w:eastAsia="宋体" w:cs="宋体"/>
          <w:bCs/>
          <w:color w:val="auto"/>
          <w:sz w:val="21"/>
          <w:szCs w:val="21"/>
          <w:highlight w:val="none"/>
          <w:u w:val="single"/>
        </w:rPr>
        <w:t>定标委员会根据得分情况向招标人确定中标人。</w:t>
      </w:r>
    </w:p>
    <w:p w14:paraId="56E87ED8">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43.6.</w:t>
      </w:r>
      <w:r>
        <w:rPr>
          <w:rFonts w:hint="eastAsia" w:ascii="宋体" w:hAnsi="宋体" w:eastAsia="宋体" w:cs="宋体"/>
          <w:bCs/>
          <w:color w:val="auto"/>
          <w:sz w:val="21"/>
          <w:szCs w:val="21"/>
          <w:highlight w:val="none"/>
          <w:u w:val="single"/>
          <w:lang w:val="en-US" w:eastAsia="zh-CN"/>
        </w:rPr>
        <w:t>8</w:t>
      </w:r>
      <w:r>
        <w:rPr>
          <w:rFonts w:ascii="宋体" w:hAnsi="宋体" w:eastAsia="宋体" w:cs="宋体"/>
          <w:bCs/>
          <w:color w:val="auto"/>
          <w:sz w:val="21"/>
          <w:szCs w:val="21"/>
          <w:highlight w:val="none"/>
          <w:u w:val="single"/>
        </w:rPr>
        <w:t>编写定标报告，定标委员会全体确认后签署定标报告。定标报告由定标委员会全体成员签字，对定标结论持有异议的成员应以书面方式阐述其不同意见和理由。</w:t>
      </w:r>
    </w:p>
    <w:p w14:paraId="40F52523">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43.7招标人应当在定标工作完成后3日内公示中标结果。</w:t>
      </w:r>
    </w:p>
    <w:p w14:paraId="1C245A92">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43.8重新评标或定标的，评标信息（含业绩、奖项等）、定标信息仍以投标截止时投标人的信息为准。因特殊原因需要延长投标有效期，投标人拒绝延长投标有效期的，仍参与评标、定标，但不被推荐为合格中标候选人。</w:t>
      </w:r>
    </w:p>
    <w:p w14:paraId="7B40CD9C">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 w:val="21"/>
          <w:szCs w:val="21"/>
          <w:highlight w:val="none"/>
          <w:u w:val="single"/>
        </w:rPr>
        <w:t>43.9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14:paraId="16EA5D73">
      <w:pPr>
        <w:pBdr>
          <w:bottom w:val="single" w:color="auto" w:sz="6" w:space="1"/>
        </w:pBdr>
        <w:snapToGrid w:val="0"/>
        <w:spacing w:line="360" w:lineRule="auto"/>
        <w:ind w:firstLine="417" w:firstLineChars="199"/>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43.10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中标候选人中重新确定中标人，招标人也可以依法重新招标。</w:t>
      </w:r>
    </w:p>
    <w:p w14:paraId="0ED1B3ED">
      <w:pPr>
        <w:pBdr>
          <w:bottom w:val="single" w:color="auto" w:sz="6" w:space="1"/>
        </w:pBdr>
        <w:snapToGrid w:val="0"/>
        <w:spacing w:line="360" w:lineRule="auto"/>
        <w:ind w:firstLine="417" w:firstLineChars="199"/>
        <w:rPr>
          <w:rFonts w:ascii="宋体" w:hAnsi="宋体" w:eastAsia="宋体" w:cs="宋体"/>
          <w:strike/>
          <w:color w:val="auto"/>
          <w:szCs w:val="21"/>
          <w:highlight w:val="none"/>
        </w:rPr>
      </w:pPr>
      <w:r>
        <w:rPr>
          <w:rFonts w:ascii="宋体" w:hAnsi="宋体" w:eastAsia="宋体" w:cs="宋体"/>
          <w:b w:val="0"/>
          <w:color w:val="auto"/>
          <w:sz w:val="21"/>
          <w:szCs w:val="21"/>
          <w:highlight w:val="none"/>
          <w:u w:val="single"/>
        </w:rPr>
        <w:t>43.11</w:t>
      </w:r>
      <w:r>
        <w:rPr>
          <w:rFonts w:hint="eastAsia" w:ascii="宋体" w:hAnsi="宋体" w:eastAsia="宋体" w:cs="宋体"/>
          <w:b w:val="0"/>
          <w:color w:val="auto"/>
          <w:sz w:val="21"/>
          <w:szCs w:val="21"/>
          <w:highlight w:val="none"/>
          <w:u w:val="single"/>
        </w:rPr>
        <w:t>定标表格：</w:t>
      </w:r>
      <w:r>
        <w:rPr>
          <w:rFonts w:hint="eastAsia" w:ascii="宋体" w:hAnsi="宋体" w:eastAsia="宋体" w:cs="宋体"/>
          <w:b/>
          <w:bCs/>
          <w:color w:val="auto"/>
          <w:sz w:val="21"/>
          <w:szCs w:val="21"/>
          <w:highlight w:val="none"/>
          <w:u w:val="single"/>
        </w:rPr>
        <w:t>详见后附表六至附表十三</w:t>
      </w:r>
      <w:r>
        <w:rPr>
          <w:rFonts w:hint="eastAsia" w:ascii="宋体" w:hAnsi="宋体" w:eastAsia="宋体" w:cs="宋体"/>
          <w:b w:val="0"/>
          <w:color w:val="auto"/>
          <w:sz w:val="21"/>
          <w:szCs w:val="21"/>
          <w:highlight w:val="none"/>
          <w:u w:val="single"/>
        </w:rPr>
        <w:t>。</w:t>
      </w:r>
    </w:p>
    <w:p w14:paraId="7EA6B9FC">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条款号：附表一《资格审查表》</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修改类型：修改</w:t>
      </w:r>
    </w:p>
    <w:p w14:paraId="6E31FD16">
      <w:pPr>
        <w:snapToGrid w:val="0"/>
        <w:spacing w:line="360" w:lineRule="auto"/>
        <w:ind w:firstLine="472" w:firstLineChars="224"/>
        <w:rPr>
          <w:rFonts w:ascii="宋体" w:hAnsi="宋体" w:eastAsia="宋体" w:cs="宋体"/>
          <w:bCs/>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p>
    <w:p w14:paraId="4CBE7460">
      <w:pPr>
        <w:pBdr>
          <w:bottom w:val="single" w:color="auto" w:sz="6" w:space="1"/>
        </w:pBdr>
        <w:snapToGrid w:val="0"/>
        <w:spacing w:line="360" w:lineRule="auto"/>
        <w:ind w:firstLine="422" w:firstLineChars="200"/>
        <w:rPr>
          <w:rFonts w:ascii="宋体" w:hAnsi="宋体" w:eastAsia="宋体" w:cs="宋体"/>
          <w:color w:val="auto"/>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color w:val="auto"/>
          <w:sz w:val="21"/>
          <w:szCs w:val="21"/>
          <w:highlight w:val="none"/>
        </w:rPr>
        <w:t>详见本招标文件第二章附表一《资格审查表》</w:t>
      </w:r>
    </w:p>
    <w:p w14:paraId="0519BE15">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条款号：附表二《技术标有效性审查表》</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修改类型：修改</w:t>
      </w:r>
    </w:p>
    <w:p w14:paraId="2EFAB73A">
      <w:pPr>
        <w:snapToGrid w:val="0"/>
        <w:spacing w:line="360" w:lineRule="auto"/>
        <w:ind w:firstLine="472" w:firstLineChars="224"/>
        <w:rPr>
          <w:rFonts w:ascii="宋体" w:hAnsi="宋体" w:eastAsia="宋体" w:cs="宋体"/>
          <w:bCs/>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p>
    <w:p w14:paraId="7A691F3D">
      <w:pPr>
        <w:pBdr>
          <w:bottom w:val="single" w:color="auto" w:sz="6" w:space="1"/>
        </w:pBdr>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color w:val="auto"/>
          <w:sz w:val="21"/>
          <w:szCs w:val="21"/>
          <w:highlight w:val="none"/>
        </w:rPr>
        <w:t>详见本招标文件第二章附表二《技术标有效性审查表》</w:t>
      </w:r>
    </w:p>
    <w:p w14:paraId="0EC2965C">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条款号：附表三《经济标有效性审查表》</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修改类型：修改</w:t>
      </w:r>
    </w:p>
    <w:p w14:paraId="296E2DEE">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p>
    <w:p w14:paraId="374AA007">
      <w:pPr>
        <w:pBdr>
          <w:bottom w:val="single" w:color="auto" w:sz="6" w:space="1"/>
        </w:pBd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color w:val="auto"/>
          <w:sz w:val="21"/>
          <w:szCs w:val="21"/>
          <w:highlight w:val="none"/>
        </w:rPr>
        <w:t>详见本招标文件第二章附表三《经济标有效性审查表》</w:t>
      </w:r>
    </w:p>
    <w:p w14:paraId="15298277">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条款号：附表四《技术标详细审查评分表》</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修改类型：删除</w:t>
      </w:r>
    </w:p>
    <w:p w14:paraId="0B0D32B0">
      <w:pPr>
        <w:pBdr>
          <w:bottom w:val="single" w:color="auto" w:sz="6" w:space="1"/>
        </w:pBd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p>
    <w:p w14:paraId="6091E1A5">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条款号：附表五（适用于区间抽取法）《经济标评分表》</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修改类型：修改</w:t>
      </w:r>
    </w:p>
    <w:p w14:paraId="3E6C1471">
      <w:pPr>
        <w:pBdr>
          <w:bottom w:val="single" w:color="auto" w:sz="6" w:space="1"/>
        </w:pBdr>
        <w:snapToGrid w:val="0"/>
        <w:spacing w:line="360" w:lineRule="auto"/>
        <w:ind w:firstLine="472" w:firstLineChars="224"/>
        <w:rPr>
          <w:rFonts w:ascii="宋体" w:hAnsi="宋体" w:eastAsia="宋体" w:cs="宋体"/>
          <w:bCs/>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p>
    <w:p w14:paraId="3D044FA1">
      <w:pPr>
        <w:pBdr>
          <w:bottom w:val="single" w:color="auto" w:sz="6" w:space="1"/>
        </w:pBd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现文：附表五《投标报价折算标准表》</w:t>
      </w:r>
    </w:p>
    <w:p w14:paraId="0F0EB26C">
      <w:pPr>
        <w:pBdr>
          <w:bottom w:val="single" w:color="auto" w:sz="6" w:space="1"/>
        </w:pBdr>
        <w:snapToGrid w:val="0"/>
        <w:spacing w:line="360" w:lineRule="auto"/>
        <w:ind w:firstLine="1098" w:firstLineChars="523"/>
        <w:rPr>
          <w:rFonts w:ascii="宋体" w:hAnsi="宋体" w:eastAsia="宋体" w:cs="宋体"/>
          <w:b/>
          <w:color w:val="auto"/>
          <w:szCs w:val="21"/>
          <w:highlight w:val="none"/>
        </w:rPr>
      </w:pPr>
      <w:r>
        <w:rPr>
          <w:rFonts w:hint="eastAsia" w:ascii="宋体" w:hAnsi="宋体" w:eastAsia="宋体" w:cs="宋体"/>
          <w:b w:val="0"/>
          <w:color w:val="auto"/>
          <w:sz w:val="21"/>
          <w:szCs w:val="21"/>
          <w:highlight w:val="none"/>
        </w:rPr>
        <w:t>详见本招标文件第二章附表五《投标报价折算标准表》</w:t>
      </w:r>
    </w:p>
    <w:p w14:paraId="2A0D41F4">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条款号：附表六《算术复核表》</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修改类型：修改</w:t>
      </w:r>
    </w:p>
    <w:p w14:paraId="118B7BF4">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 w:val="0"/>
          <w:bCs/>
          <w:color w:val="auto"/>
          <w:sz w:val="21"/>
          <w:szCs w:val="21"/>
          <w:highlight w:val="none"/>
        </w:rPr>
        <w:t>GZZB2018-3</w:t>
      </w:r>
    </w:p>
    <w:p w14:paraId="01619501">
      <w:pPr>
        <w:pBdr>
          <w:bottom w:val="single" w:color="auto" w:sz="6" w:space="1"/>
        </w:pBd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现文：附表四《算术复核表》</w:t>
      </w:r>
    </w:p>
    <w:p w14:paraId="54EF7126">
      <w:pPr>
        <w:pBdr>
          <w:bottom w:val="single" w:color="auto" w:sz="6" w:space="1"/>
        </w:pBdr>
        <w:snapToGrid w:val="0"/>
        <w:spacing w:line="360" w:lineRule="auto"/>
        <w:ind w:firstLine="1098" w:firstLineChars="523"/>
        <w:rPr>
          <w:rFonts w:ascii="宋体" w:hAnsi="宋体" w:eastAsia="宋体" w:cs="宋体"/>
          <w:b/>
          <w:color w:val="auto"/>
          <w:szCs w:val="21"/>
          <w:highlight w:val="none"/>
        </w:rPr>
      </w:pPr>
      <w:r>
        <w:rPr>
          <w:rFonts w:hint="eastAsia" w:ascii="宋体" w:hAnsi="宋体" w:eastAsia="宋体" w:cs="宋体"/>
          <w:b w:val="0"/>
          <w:color w:val="auto"/>
          <w:sz w:val="21"/>
          <w:szCs w:val="21"/>
          <w:highlight w:val="none"/>
        </w:rPr>
        <w:t>详见本招标文件第二章附表四《算术复核表》</w:t>
      </w:r>
    </w:p>
    <w:p w14:paraId="5F21CF84">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条款号：附表六至附表十三</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修改类型：增加</w:t>
      </w:r>
    </w:p>
    <w:p w14:paraId="3B12A7B7">
      <w:pP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现文：附表六《定标因素表（定标阶段用表）》</w:t>
      </w:r>
    </w:p>
    <w:p w14:paraId="0C8FDFD5">
      <w:pPr>
        <w:snapToGrid w:val="0"/>
        <w:spacing w:line="360" w:lineRule="auto"/>
        <w:ind w:firstLine="1103" w:firstLineChars="523"/>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附表七《定标阶段（方案因素）评审得分表》（定标委员个人用表）</w:t>
      </w:r>
    </w:p>
    <w:p w14:paraId="3650AD5D">
      <w:pPr>
        <w:snapToGrid w:val="0"/>
        <w:spacing w:line="360" w:lineRule="auto"/>
        <w:ind w:firstLine="1103" w:firstLineChars="523"/>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附表八《定标阶段（方案因素）得分汇总表》（定标委员会汇总用表）</w:t>
      </w:r>
    </w:p>
    <w:p w14:paraId="23CFD019">
      <w:pPr>
        <w:snapToGrid w:val="0"/>
        <w:spacing w:line="360" w:lineRule="auto"/>
        <w:ind w:firstLine="1103" w:firstLineChars="523"/>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附表九《定标阶段（价格因素）评审得分表》（定标委员会汇总用表）</w:t>
      </w:r>
    </w:p>
    <w:p w14:paraId="5E20A67F">
      <w:pPr>
        <w:snapToGrid w:val="0"/>
        <w:spacing w:line="360" w:lineRule="auto"/>
        <w:ind w:firstLine="1103" w:firstLineChars="523"/>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附表十《定标因素得分汇总及排序表》（定标委员会汇总用表）</w:t>
      </w:r>
    </w:p>
    <w:p w14:paraId="3FE6C847">
      <w:pPr>
        <w:snapToGrid w:val="0"/>
        <w:spacing w:line="360" w:lineRule="auto"/>
        <w:ind w:firstLine="1103" w:firstLineChars="523"/>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附表十一《（第</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组第</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轮）附加投票表（如有）》（定标委员个人用表）</w:t>
      </w:r>
    </w:p>
    <w:p w14:paraId="0FAF4C10">
      <w:pPr>
        <w:snapToGrid w:val="0"/>
        <w:spacing w:line="360" w:lineRule="auto"/>
        <w:ind w:firstLine="1103" w:firstLineChars="523"/>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附表十二《（第</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组第</w:t>
      </w:r>
      <w:r>
        <w:rPr>
          <w:rFonts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轮）附加投票统计表（如有）》（定标委员会汇总用表）</w:t>
      </w:r>
    </w:p>
    <w:p w14:paraId="5FCEC855">
      <w:pPr>
        <w:snapToGrid w:val="0"/>
        <w:spacing w:line="360" w:lineRule="auto"/>
        <w:ind w:firstLine="1103" w:firstLineChars="523"/>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附表十三《定标情况汇总表（定标阶段）》（定标委员会汇总用表）</w:t>
      </w:r>
    </w:p>
    <w:p w14:paraId="33A151BD">
      <w:pPr>
        <w:pBdr>
          <w:bottom w:val="single" w:color="auto" w:sz="6" w:space="1"/>
        </w:pBdr>
        <w:snapToGrid w:val="0"/>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具体详见招标文件正文附表。</w:t>
      </w:r>
    </w:p>
    <w:p w14:paraId="2E9D9D48">
      <w:pPr>
        <w:snapToGrid w:val="0"/>
        <w:spacing w:line="360" w:lineRule="auto"/>
        <w:ind w:firstLine="211" w:firstLineChars="100"/>
        <w:rPr>
          <w:rFonts w:ascii="宋体" w:hAnsi="宋体" w:eastAsia="宋体" w:cs="宋体"/>
          <w:b/>
          <w:strike/>
          <w:color w:val="auto"/>
          <w:szCs w:val="21"/>
          <w:highlight w:val="none"/>
        </w:rPr>
      </w:pPr>
      <w:r>
        <w:rPr>
          <w:rFonts w:hint="eastAsia" w:ascii="宋体" w:hAnsi="宋体" w:eastAsia="宋体" w:cs="宋体"/>
          <w:b/>
          <w:strike/>
          <w:color w:val="auto"/>
          <w:sz w:val="21"/>
          <w:szCs w:val="21"/>
          <w:highlight w:val="none"/>
        </w:rPr>
        <w:t>注：以上修改，仅限于本范本中有可供选择条款的情形。</w:t>
      </w:r>
    </w:p>
    <w:p w14:paraId="2B94DBC2">
      <w:pPr>
        <w:snapToGrid w:val="0"/>
        <w:spacing w:line="360" w:lineRule="auto"/>
        <w:rPr>
          <w:rFonts w:ascii="宋体" w:hAnsi="宋体" w:eastAsia="宋体" w:cs="宋体"/>
          <w:color w:val="auto"/>
          <w:highlight w:val="none"/>
        </w:rPr>
      </w:pPr>
      <w:r>
        <w:rPr>
          <w:rFonts w:hint="eastAsia" w:ascii="宋体" w:hAnsi="宋体" w:eastAsia="宋体" w:cs="宋体"/>
          <w:b/>
          <w:color w:val="auto"/>
          <w:sz w:val="21"/>
          <w:szCs w:val="21"/>
          <w:highlight w:val="none"/>
        </w:rPr>
        <w:t>（以下无正文）</w:t>
      </w:r>
      <w:bookmarkStart w:id="18" w:name="_Toc2272556"/>
      <w:bookmarkStart w:id="19" w:name="_Toc5678"/>
      <w:bookmarkStart w:id="20" w:name="_Toc2272564"/>
      <w:bookmarkStart w:id="21" w:name="_Toc21525500"/>
      <w:r>
        <w:rPr>
          <w:rFonts w:ascii="宋体" w:hAnsi="宋体" w:eastAsia="宋体" w:cs="宋体"/>
          <w:b w:val="0"/>
          <w:color w:val="auto"/>
          <w:sz w:val="21"/>
          <w:highlight w:val="none"/>
        </w:rPr>
        <w:br w:type="page"/>
      </w:r>
    </w:p>
    <w:p w14:paraId="6989FF8C">
      <w:pPr>
        <w:pStyle w:val="5"/>
        <w:tabs>
          <w:tab w:val="left" w:pos="0"/>
        </w:tabs>
        <w:snapToGrid w:val="0"/>
        <w:spacing w:before="0" w:after="0" w:line="360" w:lineRule="auto"/>
        <w:ind w:firstLine="525"/>
        <w:jc w:val="center"/>
        <w:rPr>
          <w:rFonts w:ascii="宋体" w:hAnsi="宋体" w:eastAsia="宋体" w:cs="宋体"/>
          <w:color w:val="auto"/>
          <w:szCs w:val="32"/>
          <w:highlight w:val="none"/>
        </w:rPr>
      </w:pPr>
      <w:r>
        <w:rPr>
          <w:rFonts w:hint="eastAsia" w:ascii="宋体" w:hAnsi="宋体" w:eastAsia="宋体" w:cs="宋体"/>
          <w:color w:val="auto"/>
          <w:szCs w:val="32"/>
          <w:highlight w:val="none"/>
        </w:rPr>
        <w:t>二、开标、评标及定标办法通用条款</w:t>
      </w:r>
      <w:bookmarkEnd w:id="18"/>
      <w:bookmarkEnd w:id="19"/>
    </w:p>
    <w:p w14:paraId="1FB1D3D0">
      <w:pPr>
        <w:pStyle w:val="6"/>
        <w:tabs>
          <w:tab w:val="left" w:pos="0"/>
        </w:tabs>
        <w:snapToGrid w:val="0"/>
        <w:spacing w:before="0" w:after="0" w:line="360" w:lineRule="auto"/>
        <w:ind w:firstLine="643" w:firstLineChars="200"/>
        <w:rPr>
          <w:rFonts w:ascii="宋体" w:hAnsi="宋体" w:eastAsia="宋体" w:cs="宋体"/>
          <w:bCs/>
          <w:color w:val="auto"/>
          <w:highlight w:val="none"/>
        </w:rPr>
      </w:pPr>
      <w:bookmarkStart w:id="22" w:name="_Toc2272557"/>
      <w:bookmarkStart w:id="23" w:name="_Toc31373"/>
      <w:r>
        <w:rPr>
          <w:rFonts w:hint="eastAsia" w:ascii="宋体" w:hAnsi="宋体" w:eastAsia="宋体" w:cs="宋体"/>
          <w:bCs/>
          <w:color w:val="auto"/>
          <w:highlight w:val="none"/>
        </w:rPr>
        <w:t>（一）总则</w:t>
      </w:r>
      <w:bookmarkEnd w:id="22"/>
      <w:bookmarkEnd w:id="23"/>
    </w:p>
    <w:p w14:paraId="126B207A">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35 </w:t>
      </w:r>
      <w:r>
        <w:rPr>
          <w:rFonts w:hint="eastAsia" w:ascii="宋体" w:hAnsi="宋体" w:eastAsia="宋体" w:cs="宋体"/>
          <w:b/>
          <w:bCs/>
          <w:color w:val="auto"/>
          <w:szCs w:val="21"/>
          <w:highlight w:val="none"/>
        </w:rPr>
        <w:t>开标、评标及定标所依据的规则</w:t>
      </w:r>
    </w:p>
    <w:p w14:paraId="6C60FAE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35.1《中华人民共和国招标投标法》；</w:t>
      </w:r>
    </w:p>
    <w:p w14:paraId="1EDCCC59">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35.2《中华人民共和国招标投标法实施条例》；</w:t>
      </w:r>
    </w:p>
    <w:p w14:paraId="6080FB64">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35.3《评标委员会和评标方法暂行规定》（七部委第12号令）</w:t>
      </w:r>
    </w:p>
    <w:p w14:paraId="5C1FAF8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35.4《工程建设项目施工招标投标办法》（七部委2003年第30号令）</w:t>
      </w:r>
    </w:p>
    <w:p w14:paraId="0A054DEC">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35.5《广东省实施〈中华人民共和国招标投标法〉办法》；</w:t>
      </w:r>
    </w:p>
    <w:p w14:paraId="391C69F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35.6《房屋建筑和市政基础设施工程施工招标投标管理办法》（建设部令第89号）</w:t>
      </w:r>
    </w:p>
    <w:p w14:paraId="59BF0DD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35.7《财政部工业和信息化部关于印发〈政府采购促进中小企业发展管理办法〉的通知》（财库〔2020〕46号）；</w:t>
      </w:r>
    </w:p>
    <w:p w14:paraId="3A53610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35.8《广东省加强建设工程招标投标监督管理的若干规定》（粤发[2004]4号）；</w:t>
      </w:r>
    </w:p>
    <w:p w14:paraId="1A7AA12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35.9《广东省政府采购促进中小企业发展实施细则（试行）》；</w:t>
      </w:r>
    </w:p>
    <w:p w14:paraId="42C7CC59">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35.10《广州市工程建设项目招标投标管理办法》（穗建规字〔2023〕12号）；</w:t>
      </w:r>
    </w:p>
    <w:p w14:paraId="47960E8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35.11《广州市财政局广州市工业和信息化局转发广东省财政厅广东省发展和改革委员会广东省工业和信息化厅广东省地方金融监督管理局关于印发</w:t>
      </w:r>
      <w:r>
        <w:rPr>
          <w:rFonts w:hint="eastAsia" w:ascii="宋体" w:hAnsi="宋体" w:eastAsia="宋体" w:cs="宋体"/>
          <w:b w:val="0"/>
          <w:color w:val="auto"/>
          <w:szCs w:val="21"/>
          <w:highlight w:val="none"/>
        </w:rPr>
        <w:t>＜广东省政府采购促进中小企业发展实施细则（试行）＞的通知》（穗财采〔</w:t>
      </w:r>
      <w:r>
        <w:rPr>
          <w:rFonts w:ascii="宋体" w:hAnsi="宋体" w:eastAsia="宋体" w:cs="宋体"/>
          <w:b w:val="0"/>
          <w:color w:val="auto"/>
          <w:szCs w:val="21"/>
          <w:highlight w:val="none"/>
        </w:rPr>
        <w:t>2023〕8号）；</w:t>
      </w:r>
    </w:p>
    <w:p w14:paraId="39C18D7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35.12本项目招标文件。</w:t>
      </w:r>
    </w:p>
    <w:p w14:paraId="4E977336">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36．开标</w:t>
      </w:r>
    </w:p>
    <w:p w14:paraId="07B78CF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36.1 </w:t>
      </w:r>
      <w:r>
        <w:rPr>
          <w:rFonts w:hint="eastAsia" w:ascii="宋体" w:hAnsi="宋体" w:eastAsia="宋体" w:cs="宋体"/>
          <w:b w:val="0"/>
          <w:color w:val="auto"/>
          <w:szCs w:val="21"/>
          <w:highlight w:val="none"/>
        </w:rPr>
        <w:t>招标人按投标须知前附表第</w:t>
      </w:r>
      <w:r>
        <w:rPr>
          <w:rFonts w:ascii="宋体" w:hAnsi="宋体" w:eastAsia="宋体" w:cs="宋体"/>
          <w:b w:val="0"/>
          <w:color w:val="auto"/>
          <w:szCs w:val="21"/>
          <w:highlight w:val="none"/>
        </w:rPr>
        <w:t>18项所规定的时间和地点公开开标，并邀请所有投标人参加。截标后，开标开始时间因故推迟的，相关评标信息仍以原定的开标开始时间的信息为准。</w:t>
      </w:r>
    </w:p>
    <w:p w14:paraId="374BB93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36.2 </w:t>
      </w:r>
      <w:r>
        <w:rPr>
          <w:rFonts w:hint="eastAsia" w:ascii="宋体" w:hAnsi="宋体" w:eastAsia="宋体" w:cs="宋体"/>
          <w:b w:val="0"/>
          <w:color w:val="auto"/>
          <w:szCs w:val="21"/>
          <w:highlight w:val="none"/>
        </w:rPr>
        <w:t>招标人在招标文件要求提交投标文件的截止时间前收到的投标文件，开标时都当众予以解密、公布。</w:t>
      </w:r>
    </w:p>
    <w:p w14:paraId="19601F09">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3EA11E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36.4若递交投标文件的投标人不足3家，则重新组织招标。（当N个标段同时招标且不允许兼中时，若有效投标人不足N+2家，则重新组织招标）</w:t>
      </w:r>
    </w:p>
    <w:p w14:paraId="5A3E94C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36.5按下列程序进行开标：</w:t>
      </w:r>
    </w:p>
    <w:p w14:paraId="1C9C0F4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36.5.1在投标截止时间后</w:t>
      </w:r>
      <w:r>
        <w:rPr>
          <w:rFonts w:hint="eastAsia" w:ascii="宋体" w:hAnsi="宋体" w:eastAsia="宋体" w:cs="宋体"/>
          <w:b w:val="0"/>
          <w:color w:val="auto"/>
          <w:szCs w:val="21"/>
          <w:highlight w:val="none"/>
        </w:rPr>
        <w:t>一小时内，投标人通过交易平台对已递交的电子投标文件进行解密。投标人完成解密后，再由招标人进行解密。解密完成后，公布招标项目名称、投标人名称、投标保证金的递交情况、投标报价、工期及其他内容；</w:t>
      </w:r>
    </w:p>
    <w:p w14:paraId="00EB875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36.5.2备用光盘的读取按投标须知前附表第36项的规定执行；</w:t>
      </w:r>
    </w:p>
    <w:p w14:paraId="08023D3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36.5.3投标人代表、招标人代表、监标人、记录人等有关人员在开标记录上签字确认；若有关人员不签字的，不影响开标程序；</w:t>
      </w:r>
    </w:p>
    <w:p w14:paraId="75DCF2B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36.5.4开标结束。</w:t>
      </w:r>
    </w:p>
    <w:p w14:paraId="1FD94C2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B37FEF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36.7开标时，两个（含两个）以上的投标人加密打包投标文件电脑机器特征码一致的，不参与下一程序，并由评标委员会否决其投标。</w:t>
      </w:r>
    </w:p>
    <w:p w14:paraId="4D43C190">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37．评标</w:t>
      </w:r>
    </w:p>
    <w:p w14:paraId="070DB0A4">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37.1评标委员会由招标人依法组建。</w:t>
      </w:r>
    </w:p>
    <w:p w14:paraId="01C3DF5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37.2评标委员会在开始评标前，应了解评标专家的职责及守则，认真阅读</w:t>
      </w:r>
      <w:r>
        <w:rPr>
          <w:rFonts w:hint="eastAsia" w:ascii="宋体" w:hAnsi="宋体" w:eastAsia="宋体" w:cs="宋体"/>
          <w:b w:val="0"/>
          <w:color w:val="auto"/>
          <w:szCs w:val="21"/>
          <w:highlight w:val="none"/>
        </w:rPr>
        <w:t>附件</w:t>
      </w:r>
      <w:r>
        <w:rPr>
          <w:rFonts w:ascii="宋体" w:hAnsi="宋体" w:eastAsia="宋体" w:cs="宋体"/>
          <w:b w:val="0"/>
          <w:color w:val="auto"/>
          <w:szCs w:val="21"/>
          <w:highlight w:val="none"/>
        </w:rPr>
        <w:t>1</w:t>
      </w:r>
      <w:r>
        <w:rPr>
          <w:rFonts w:hint="eastAsia" w:ascii="宋体" w:hAnsi="宋体" w:eastAsia="宋体" w:cs="宋体"/>
          <w:b w:val="0"/>
          <w:color w:val="auto"/>
          <w:szCs w:val="21"/>
          <w:highlight w:val="none"/>
        </w:rPr>
        <w:t>《评标委员会成员声明》的内容并签名，签字后方可进行评标；</w:t>
      </w:r>
    </w:p>
    <w:p w14:paraId="010C950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37.3评标委员会的职责及守则：</w:t>
      </w:r>
    </w:p>
    <w:p w14:paraId="6BC77532">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37.3.1根据评标细则，对投标文件进行认真评审，完成评审报告；</w:t>
      </w:r>
    </w:p>
    <w:p w14:paraId="13F7184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37.3.2向招标人报告评审意见，推荐合格的中标候选人。</w:t>
      </w:r>
    </w:p>
    <w:p w14:paraId="35C41EE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bCs/>
          <w:color w:val="auto"/>
          <w:szCs w:val="21"/>
          <w:highlight w:val="none"/>
        </w:rPr>
        <w:t>37.3.3</w:t>
      </w:r>
      <w:r>
        <w:rPr>
          <w:rFonts w:hint="eastAsia" w:ascii="宋体" w:hAnsi="宋体" w:eastAsia="宋体" w:cs="宋体"/>
          <w:b w:val="0"/>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29EFCC9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37.3.4全体参与评标人员：</w:t>
      </w:r>
    </w:p>
    <w:p w14:paraId="5E52DAB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37.3.4.1 </w:t>
      </w:r>
      <w:r>
        <w:rPr>
          <w:rFonts w:hint="eastAsia" w:ascii="宋体" w:hAnsi="宋体" w:eastAsia="宋体" w:cs="宋体"/>
          <w:b w:val="0"/>
          <w:color w:val="auto"/>
          <w:szCs w:val="21"/>
          <w:highlight w:val="none"/>
        </w:rPr>
        <w:t>必须遵守评标纪律、不得泄密；</w:t>
      </w:r>
    </w:p>
    <w:p w14:paraId="04084EB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37.3.4.2 </w:t>
      </w:r>
      <w:r>
        <w:rPr>
          <w:rFonts w:hint="eastAsia" w:ascii="宋体" w:hAnsi="宋体" w:eastAsia="宋体" w:cs="宋体"/>
          <w:b w:val="0"/>
          <w:color w:val="auto"/>
          <w:szCs w:val="21"/>
          <w:highlight w:val="none"/>
        </w:rPr>
        <w:t>必须公正、不得循私；</w:t>
      </w:r>
    </w:p>
    <w:p w14:paraId="1ABC4B0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37.3.4.3 </w:t>
      </w:r>
      <w:r>
        <w:rPr>
          <w:rFonts w:hint="eastAsia" w:ascii="宋体" w:hAnsi="宋体" w:eastAsia="宋体" w:cs="宋体"/>
          <w:b w:val="0"/>
          <w:color w:val="auto"/>
          <w:szCs w:val="21"/>
          <w:highlight w:val="none"/>
        </w:rPr>
        <w:t>必须科学、不得草率；</w:t>
      </w:r>
    </w:p>
    <w:p w14:paraId="2A849DD4">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37.3.4.4 </w:t>
      </w:r>
      <w:r>
        <w:rPr>
          <w:rFonts w:hint="eastAsia" w:ascii="宋体" w:hAnsi="宋体" w:eastAsia="宋体" w:cs="宋体"/>
          <w:b w:val="0"/>
          <w:color w:val="auto"/>
          <w:szCs w:val="21"/>
          <w:highlight w:val="none"/>
        </w:rPr>
        <w:t>必须客观、不得带有成见；</w:t>
      </w:r>
    </w:p>
    <w:p w14:paraId="77A3CF4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37.3.4.5 </w:t>
      </w:r>
      <w:r>
        <w:rPr>
          <w:rFonts w:hint="eastAsia" w:ascii="宋体" w:hAnsi="宋体" w:eastAsia="宋体" w:cs="宋体"/>
          <w:b w:val="0"/>
          <w:color w:val="auto"/>
          <w:szCs w:val="21"/>
          <w:highlight w:val="none"/>
        </w:rPr>
        <w:t>必须平等、不得强加于人；</w:t>
      </w:r>
    </w:p>
    <w:p w14:paraId="6AA590A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37.3.4.6 </w:t>
      </w:r>
      <w:r>
        <w:rPr>
          <w:rFonts w:hint="eastAsia" w:ascii="宋体" w:hAnsi="宋体" w:eastAsia="宋体" w:cs="宋体"/>
          <w:b w:val="0"/>
          <w:color w:val="auto"/>
          <w:szCs w:val="21"/>
          <w:highlight w:val="none"/>
        </w:rPr>
        <w:t>必须严谨、不得随意马虎。</w:t>
      </w:r>
    </w:p>
    <w:p w14:paraId="3A2AD7C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r>
        <w:rPr>
          <w:rFonts w:hint="eastAsia" w:ascii="宋体" w:hAnsi="宋体" w:eastAsia="宋体" w:cs="宋体"/>
          <w:b w:val="0"/>
          <w:color w:val="auto"/>
          <w:szCs w:val="21"/>
          <w:highlight w:val="none"/>
        </w:rPr>
        <w:t>。</w:t>
      </w:r>
    </w:p>
    <w:p w14:paraId="1B32A8E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37.5评标结束后，评标委员会递交评标报告并依法推荐中标候选人。</w:t>
      </w:r>
    </w:p>
    <w:p w14:paraId="1BF92C7C">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38．投标文件的澄清</w:t>
      </w:r>
    </w:p>
    <w:p w14:paraId="17E9001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5B4CFD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38.2 </w:t>
      </w:r>
      <w:r>
        <w:rPr>
          <w:rFonts w:hint="eastAsia" w:ascii="宋体" w:hAnsi="宋体" w:eastAsia="宋体" w:cs="宋体"/>
          <w:b w:val="0"/>
          <w:color w:val="auto"/>
          <w:szCs w:val="21"/>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76E706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38.3 </w:t>
      </w:r>
      <w:r>
        <w:rPr>
          <w:rFonts w:hint="eastAsia" w:ascii="宋体" w:hAnsi="宋体" w:eastAsia="宋体" w:cs="宋体"/>
          <w:b w:val="0"/>
          <w:color w:val="auto"/>
          <w:szCs w:val="21"/>
          <w:highlight w:val="none"/>
        </w:rPr>
        <w:t>评标委员会或评标委员会专业评审组成员均应当阅读投标人的澄清，但应独立参考澄清对投标文件进行评审。</w:t>
      </w:r>
    </w:p>
    <w:p w14:paraId="0B225DC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264034D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01E52C47">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39．定标</w:t>
      </w:r>
    </w:p>
    <w:p w14:paraId="5B158DC9">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39.1 </w:t>
      </w:r>
      <w:r>
        <w:rPr>
          <w:rFonts w:hint="eastAsia" w:ascii="宋体" w:hAnsi="宋体" w:eastAsia="宋体" w:cs="宋体"/>
          <w:b w:val="0"/>
          <w:color w:val="auto"/>
          <w:szCs w:val="21"/>
          <w:highlight w:val="none"/>
        </w:rPr>
        <w:t>招标人根据评标委员会递交的评标报告，最终审定中标人。</w:t>
      </w:r>
    </w:p>
    <w:p w14:paraId="2FAAB9D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39.2 </w:t>
      </w:r>
      <w:r>
        <w:rPr>
          <w:rFonts w:hint="eastAsia" w:ascii="宋体" w:hAnsi="宋体" w:eastAsia="宋体" w:cs="宋体"/>
          <w:b w:val="0"/>
          <w:color w:val="auto"/>
          <w:szCs w:val="21"/>
          <w:highlight w:val="none"/>
        </w:rPr>
        <w:t>依法必须进行公开招标的项目，招标人应当确定排名第一的中标候选人为中标人。</w:t>
      </w:r>
    </w:p>
    <w:p w14:paraId="370B217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3324016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635EEF9C">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39.5重新评标的，评标信息（含业绩、奖项等）仍以投标截止时投标人的信息为准。因特殊原因需要延长投标有效期，投标人拒绝延长投标有效期的，仍参与评标，但不被推荐为中标候选人。</w:t>
      </w:r>
    </w:p>
    <w:p w14:paraId="0398FF4A">
      <w:pPr>
        <w:pStyle w:val="6"/>
        <w:tabs>
          <w:tab w:val="left" w:pos="0"/>
        </w:tabs>
        <w:snapToGrid w:val="0"/>
        <w:spacing w:before="0" w:after="0" w:line="360" w:lineRule="auto"/>
        <w:ind w:firstLine="643" w:firstLineChars="200"/>
        <w:rPr>
          <w:rFonts w:ascii="宋体" w:hAnsi="宋体" w:eastAsia="宋体" w:cs="宋体"/>
          <w:bCs/>
          <w:color w:val="auto"/>
          <w:highlight w:val="none"/>
        </w:rPr>
      </w:pPr>
      <w:bookmarkStart w:id="24" w:name="_Toc2272558"/>
      <w:bookmarkStart w:id="25" w:name="_Toc9740"/>
      <w:r>
        <w:rPr>
          <w:rFonts w:hint="eastAsia" w:ascii="宋体" w:hAnsi="宋体" w:eastAsia="宋体" w:cs="宋体"/>
          <w:bCs/>
          <w:color w:val="auto"/>
          <w:highlight w:val="none"/>
        </w:rPr>
        <w:t>（二）开标评标办法程序和细则</w:t>
      </w:r>
      <w:bookmarkEnd w:id="24"/>
      <w:bookmarkEnd w:id="25"/>
    </w:p>
    <w:p w14:paraId="1D8AA514">
      <w:pPr>
        <w:pStyle w:val="6"/>
        <w:tabs>
          <w:tab w:val="left" w:pos="0"/>
        </w:tabs>
        <w:snapToGrid w:val="0"/>
        <w:spacing w:before="0" w:after="0" w:line="360" w:lineRule="auto"/>
        <w:ind w:firstLine="422" w:firstLineChars="200"/>
        <w:rPr>
          <w:rFonts w:ascii="宋体" w:hAnsi="宋体" w:eastAsia="宋体" w:cs="宋体"/>
          <w:color w:val="auto"/>
          <w:sz w:val="21"/>
          <w:szCs w:val="21"/>
          <w:highlight w:val="none"/>
        </w:rPr>
      </w:pPr>
      <w:bookmarkStart w:id="26" w:name="_Toc3121"/>
      <w:r>
        <w:rPr>
          <w:rFonts w:hint="eastAsia" w:ascii="宋体" w:hAnsi="宋体" w:eastAsia="宋体" w:cs="宋体"/>
          <w:color w:val="auto"/>
          <w:sz w:val="21"/>
          <w:szCs w:val="21"/>
          <w:highlight w:val="none"/>
        </w:rPr>
        <w:t>可选办法八（适合经评审的最低投标价法，技术标与经济标同时开启）</w:t>
      </w:r>
      <w:bookmarkEnd w:id="26"/>
    </w:p>
    <w:p w14:paraId="26477308">
      <w:pPr>
        <w:snapToGrid w:val="0"/>
        <w:spacing w:line="360" w:lineRule="auto"/>
        <w:ind w:firstLine="422" w:firstLineChars="200"/>
        <w:rPr>
          <w:rFonts w:ascii="宋体" w:hAnsi="宋体" w:eastAsia="宋体" w:cs="宋体"/>
          <w:color w:val="auto"/>
          <w:szCs w:val="21"/>
          <w:highlight w:val="none"/>
        </w:rPr>
      </w:pPr>
      <w:r>
        <w:rPr>
          <w:rFonts w:ascii="宋体" w:hAnsi="宋体" w:eastAsia="宋体" w:cs="宋体"/>
          <w:b/>
          <w:bCs/>
          <w:color w:val="auto"/>
          <w:szCs w:val="21"/>
          <w:highlight w:val="none"/>
        </w:rPr>
        <w:t>40．开标和评标程序</w:t>
      </w:r>
    </w:p>
    <w:p w14:paraId="454AF5F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40.1投标人递交技术标、经济标投标文件；</w:t>
      </w:r>
    </w:p>
    <w:p w14:paraId="1D30DD7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40.2技术标与经济标投标文件同时公开开标；</w:t>
      </w:r>
    </w:p>
    <w:p w14:paraId="6C6CB1FC">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40.3由评标委员会对所有已公开开标的投标人进行资格审查；</w:t>
      </w:r>
    </w:p>
    <w:p w14:paraId="5845F93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40.4技术标投标文件有效性审查；</w:t>
      </w:r>
    </w:p>
    <w:p w14:paraId="1B113A9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40.5对经济标投标报价进行算术校核；</w:t>
      </w:r>
    </w:p>
    <w:p w14:paraId="55994CE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40.6计算投标人总得分，并按总得分从高到低，确定经济标评审排序；</w:t>
      </w:r>
    </w:p>
    <w:p w14:paraId="58C80B73">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40.7按排序对经济标投标文件进行有效性审查，直至评出所有中标候选人；</w:t>
      </w:r>
    </w:p>
    <w:p w14:paraId="24F97B63">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40.8评标委员会编写经济标评审报告，向招标人推荐中标候选人。</w:t>
      </w:r>
    </w:p>
    <w:p w14:paraId="6B9A02D9">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41．开标细则</w:t>
      </w:r>
    </w:p>
    <w:p w14:paraId="24608D4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41.1开标由招标人主持；</w:t>
      </w:r>
    </w:p>
    <w:p w14:paraId="799517C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41.2细则</w:t>
      </w:r>
    </w:p>
    <w:p w14:paraId="3E23E3E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41.2.1投标截止期前，各投标人递交投标文件（包括技术标投标文件、经济标投标文件）至     </w:t>
      </w:r>
      <w:r>
        <w:rPr>
          <w:rFonts w:hint="eastAsia" w:ascii="宋体" w:hAnsi="宋体" w:eastAsia="宋体" w:cs="宋体"/>
          <w:b w:val="0"/>
          <w:color w:val="auto"/>
          <w:szCs w:val="21"/>
          <w:highlight w:val="none"/>
        </w:rPr>
        <w:t>交易平台。有关投标文件提交的事项详见第一章投标须知。</w:t>
      </w:r>
    </w:p>
    <w:p w14:paraId="3F6B236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2C0B6B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41.3按36.5.1的规定完成解密后，公布下列内容，并予以记录，记录提交评标委员会评审：</w:t>
      </w:r>
    </w:p>
    <w:p w14:paraId="24BE62F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472CD9A4">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41.4招标人对开标过程进行记录，并存档备查，投标人在开标记录上签字。</w:t>
      </w:r>
    </w:p>
    <w:p w14:paraId="3101398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41.5招标人将上述符合要求的投标文件，送至评标委员会进行评审。</w:t>
      </w:r>
    </w:p>
    <w:p w14:paraId="644AA63C">
      <w:pPr>
        <w:pStyle w:val="86"/>
        <w:tabs>
          <w:tab w:val="left" w:pos="7380"/>
        </w:tabs>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42.评标细则</w:t>
      </w:r>
    </w:p>
    <w:p w14:paraId="261D8E5C">
      <w:pPr>
        <w:pStyle w:val="86"/>
        <w:tabs>
          <w:tab w:val="left" w:pos="7380"/>
        </w:tabs>
        <w:snapToGrid w:val="0"/>
        <w:spacing w:after="0"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42.1评标委员会的组成：评标委员会为综合评标委员会，负责评标工作。</w:t>
      </w:r>
    </w:p>
    <w:p w14:paraId="418454D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42.2投标人资格审查</w:t>
      </w:r>
    </w:p>
    <w:p w14:paraId="4A9CEEA2">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44E21F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42.2.2汇总资格审查情况，编写资格审查报告。</w:t>
      </w:r>
    </w:p>
    <w:p w14:paraId="2FD698D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42.2.3资格审查不合格的投标文件不参加下一阶段的评标，不参与评标参考价的计算。</w:t>
      </w:r>
    </w:p>
    <w:p w14:paraId="008CCB69">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172991D3">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42.2.5资审合格后，投标人的资格发生变化而不满足投标人合格条件，在发出中标通知书前，资格问题仍未解决的，招标人将取消其中标资格。</w:t>
      </w:r>
    </w:p>
    <w:p w14:paraId="2741090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42.2.6资格审查合格的投标人少于3名的（当N个标段同时招标且不允许兼中时，资格审查合格的投标人少于N+2名），则本项目招标失败。 </w:t>
      </w:r>
    </w:p>
    <w:p w14:paraId="2FCB727C">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6DF500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42.4投标文件算术校核：</w:t>
      </w:r>
    </w:p>
    <w:p w14:paraId="483AF5C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rPr>
        <w:t>评标委员会将对通过技术标有效性审查的投标文件投标报价按照就低不就高的原则进行算术校核，具体标准如下：</w:t>
      </w:r>
    </w:p>
    <w:p w14:paraId="74A3643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42.4.1如果数字表示的金额和用文字表示的金额不一致时，应以文字表示的金额为准；</w:t>
      </w:r>
    </w:p>
    <w:p w14:paraId="3E5189C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42.4.2经算术复核的中标候选人报价与其投标报价不一致时，按就低不就高原则确定其最终报价；</w:t>
      </w:r>
    </w:p>
    <w:p w14:paraId="3442B8A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CC95EF3">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42.4.4当合价、金额累加错误时，按就低不就高原则，如果累加修正值小于原累加值，则按累加修正值；如果累加修正值大于原累加值，则按原累加值；</w:t>
      </w:r>
    </w:p>
    <w:p w14:paraId="17A759E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42.4.5如果投标人的有关规费、暂列金额、暂估价、绿色施工安全防护措施费等未按招标文件规定的金额填写的，由评标委员会按照招标文件规定的金额进行修正；</w:t>
      </w:r>
    </w:p>
    <w:p w14:paraId="35AC43D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42.4.6 </w:t>
      </w:r>
      <w:r>
        <w:rPr>
          <w:rFonts w:hint="eastAsia" w:ascii="宋体" w:hAnsi="宋体" w:eastAsia="宋体" w:cs="宋体"/>
          <w:b w:val="0"/>
          <w:color w:val="auto"/>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D45243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42.4.7按就低不就高原则，当修正后报价小于原报价，总价按修正后报价；当修正后报价大于原报价，总价按原报价，并在签订合同时载明在结算价中扣除修正报价与原报价的差额。</w:t>
      </w:r>
    </w:p>
    <w:p w14:paraId="22670D3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14:paraId="6F9B4E8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42.5确定投标文件的评审次序</w:t>
      </w:r>
    </w:p>
    <w:p w14:paraId="7C20058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42.5.1确定评标方式</w:t>
      </w:r>
    </w:p>
    <w:p w14:paraId="2F2B7454">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14:paraId="3DE7BDD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 xml:space="preserve">42.6 </w:t>
      </w:r>
      <w:r>
        <w:rPr>
          <w:rFonts w:hint="eastAsia" w:ascii="宋体" w:hAnsi="宋体" w:eastAsia="宋体" w:cs="宋体"/>
          <w:b w:val="0"/>
          <w:color w:val="auto"/>
          <w:szCs w:val="21"/>
          <w:highlight w:val="none"/>
        </w:rPr>
        <w:t>投标文件的有效性审查</w:t>
      </w:r>
    </w:p>
    <w:p w14:paraId="1502D3A9">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FF9B9B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42.7评标结束后，评标委员会应当在通过投标文件有效性审查的投标人中，按照原投标文件的评审次序，推荐前3名依次为第一中标候选人至第三中标候选人，并编写评标报告。</w:t>
      </w:r>
    </w:p>
    <w:p w14:paraId="2369985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42.8若有效投标人不足三家，应当依法重新招标。（当N个标段同时招标且不允许兼中时，若有效投标人不足N+2家，应当依法重新招标）</w:t>
      </w:r>
      <w:r>
        <w:rPr>
          <w:rFonts w:hint="eastAsia" w:ascii="宋体" w:hAnsi="宋体" w:eastAsia="宋体" w:cs="宋体"/>
          <w:b w:val="0"/>
          <w:color w:val="auto"/>
          <w:szCs w:val="21"/>
          <w:highlight w:val="none"/>
        </w:rPr>
        <w:t>。</w:t>
      </w:r>
    </w:p>
    <w:bookmarkEnd w:id="20"/>
    <w:bookmarkEnd w:id="21"/>
    <w:p w14:paraId="44B40881">
      <w:pPr>
        <w:rPr>
          <w:rFonts w:ascii="宋体" w:hAnsi="宋体" w:eastAsia="宋体" w:cs="宋体"/>
          <w:color w:val="auto"/>
          <w:szCs w:val="22"/>
          <w:highlight w:val="none"/>
        </w:rPr>
      </w:pPr>
    </w:p>
    <w:p w14:paraId="1FD083BB">
      <w:pPr>
        <w:rPr>
          <w:rFonts w:ascii="宋体" w:hAnsi="宋体" w:eastAsia="宋体" w:cs="宋体"/>
          <w:color w:val="auto"/>
          <w:highlight w:val="none"/>
        </w:rPr>
        <w:sectPr>
          <w:footerReference r:id="rId8" w:type="first"/>
          <w:footerReference r:id="rId7" w:type="default"/>
          <w:endnotePr>
            <w:numFmt w:val="decimal"/>
          </w:endnotePr>
          <w:pgSz w:w="11906" w:h="16838"/>
          <w:pgMar w:top="1440" w:right="1440" w:bottom="1440" w:left="1440" w:header="851" w:footer="992" w:gutter="0"/>
          <w:pgNumType w:fmt="decimal" w:start="1"/>
          <w:cols w:space="425" w:num="1"/>
          <w:docGrid w:type="lines" w:linePitch="312" w:charSpace="0"/>
        </w:sectPr>
      </w:pPr>
    </w:p>
    <w:p w14:paraId="09115641">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ascii="宋体" w:hAnsi="宋体" w:eastAsia="宋体" w:cs="宋体"/>
          <w:b/>
          <w:color w:val="auto"/>
          <w:sz w:val="28"/>
          <w:szCs w:val="28"/>
          <w:highlight w:val="none"/>
        </w:rPr>
        <w:t>1</w:t>
      </w:r>
    </w:p>
    <w:p w14:paraId="2F02AA8D">
      <w:pPr>
        <w:ind w:firstLine="723" w:firstLineChars="200"/>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评标委员会成员声明</w:t>
      </w:r>
    </w:p>
    <w:p w14:paraId="2968800A">
      <w:pPr>
        <w:spacing w:line="360" w:lineRule="auto"/>
        <w:rPr>
          <w:rFonts w:ascii="宋体" w:hAnsi="宋体" w:eastAsia="宋体" w:cs="宋体"/>
          <w:color w:val="auto"/>
          <w:szCs w:val="21"/>
          <w:highlight w:val="none"/>
        </w:rPr>
      </w:pPr>
      <w:r>
        <w:rPr>
          <w:rFonts w:ascii="宋体" w:hAnsi="宋体" w:eastAsia="宋体" w:cs="宋体"/>
          <w:b w:val="0"/>
          <w:color w:val="auto"/>
          <w:szCs w:val="21"/>
          <w:highlight w:val="none"/>
          <w:u w:val="single"/>
        </w:rPr>
        <w:t xml:space="preserve">   本项目招标人  </w:t>
      </w:r>
      <w:r>
        <w:rPr>
          <w:rFonts w:hint="eastAsia" w:ascii="宋体" w:hAnsi="宋体" w:eastAsia="宋体" w:cs="宋体"/>
          <w:b w:val="0"/>
          <w:color w:val="auto"/>
          <w:szCs w:val="21"/>
          <w:highlight w:val="none"/>
        </w:rPr>
        <w:t>：</w:t>
      </w:r>
    </w:p>
    <w:p w14:paraId="2F8EC7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rPr>
        <w:t>本人就参与</w:t>
      </w:r>
      <w:r>
        <w:rPr>
          <w:rFonts w:ascii="宋体" w:hAnsi="宋体" w:eastAsia="宋体" w:cs="宋体"/>
          <w:b w:val="0"/>
          <w:color w:val="auto"/>
          <w:szCs w:val="21"/>
          <w:highlight w:val="none"/>
          <w:u w:val="single"/>
        </w:rPr>
        <w:t xml:space="preserve">               </w:t>
      </w:r>
      <w:r>
        <w:rPr>
          <w:rFonts w:hint="eastAsia" w:ascii="宋体" w:hAnsi="宋体" w:eastAsia="宋体" w:cs="宋体"/>
          <w:b w:val="0"/>
          <w:color w:val="auto"/>
          <w:szCs w:val="21"/>
          <w:highlight w:val="none"/>
        </w:rPr>
        <w:t>项目的评标工作，作出郑重声明：</w:t>
      </w:r>
    </w:p>
    <w:p w14:paraId="3E507C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C643C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4F13A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C1BC3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C10B7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5DEB9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color w:val="auto"/>
          <w:szCs w:val="21"/>
          <w:highlight w:val="none"/>
        </w:rPr>
        <w:t>如果本人违反上述声明内容，造成的后果由本人自行承担。</w:t>
      </w:r>
    </w:p>
    <w:p w14:paraId="272672FE">
      <w:pPr>
        <w:spacing w:line="240" w:lineRule="exact"/>
        <w:ind w:firstLine="420" w:firstLineChars="200"/>
        <w:rPr>
          <w:rFonts w:ascii="宋体" w:hAnsi="宋体" w:eastAsia="宋体" w:cs="宋体"/>
          <w:color w:val="auto"/>
          <w:szCs w:val="21"/>
          <w:highlight w:val="none"/>
        </w:rPr>
      </w:pPr>
    </w:p>
    <w:p w14:paraId="7F2185B8">
      <w:pPr>
        <w:pStyle w:val="35"/>
        <w:rPr>
          <w:rFonts w:ascii="宋体" w:hAnsi="宋体" w:eastAsia="宋体" w:cs="宋体"/>
          <w:b/>
          <w:color w:val="auto"/>
          <w:szCs w:val="21"/>
          <w:highlight w:val="none"/>
          <w:u w:val="single"/>
        </w:rPr>
        <w:sectPr>
          <w:endnotePr>
            <w:numFmt w:val="decimal"/>
          </w:endnotePr>
          <w:pgSz w:w="11906" w:h="16838"/>
          <w:pgMar w:top="1440" w:right="1440" w:bottom="1440" w:left="1440" w:header="851" w:footer="992" w:gutter="0"/>
          <w:pgNumType w:fmt="decimal"/>
          <w:cols w:space="425" w:num="1"/>
          <w:docGrid w:type="lines" w:linePitch="312" w:charSpace="0"/>
        </w:sectPr>
      </w:pPr>
      <w:r>
        <w:rPr>
          <w:rFonts w:ascii="宋体" w:hAnsi="宋体" w:eastAsia="宋体" w:cs="宋体"/>
          <w:b w:val="0"/>
          <w:color w:val="auto"/>
          <w:szCs w:val="21"/>
          <w:highlight w:val="none"/>
        </w:rPr>
        <w:t xml:space="preserve">                             </w:t>
      </w:r>
      <w:r>
        <w:rPr>
          <w:rFonts w:hint="eastAsia" w:ascii="宋体" w:hAnsi="宋体" w:eastAsia="宋体" w:cs="宋体"/>
          <w:b/>
          <w:color w:val="auto"/>
          <w:szCs w:val="21"/>
          <w:highlight w:val="none"/>
        </w:rPr>
        <w:t>声明人：</w:t>
      </w:r>
      <w:r>
        <w:rPr>
          <w:rFonts w:hint="eastAsia" w:ascii="宋体" w:hAnsi="宋体" w:eastAsia="宋体" w:cs="宋体"/>
          <w:b/>
          <w:color w:val="auto"/>
          <w:szCs w:val="21"/>
          <w:highlight w:val="none"/>
          <w:u w:val="single"/>
        </w:rPr>
        <w:t>（签名）</w:t>
      </w:r>
      <w:r>
        <w:rPr>
          <w:rFonts w:ascii="宋体" w:hAnsi="宋体" w:eastAsia="宋体" w:cs="宋体"/>
          <w:b/>
          <w:color w:val="auto"/>
          <w:szCs w:val="21"/>
          <w:highlight w:val="none"/>
          <w:u w:val="single"/>
        </w:rPr>
        <w:t xml:space="preserve">  </w:t>
      </w:r>
    </w:p>
    <w:p w14:paraId="7BFFC4B6">
      <w:pPr>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附表一</w:t>
      </w:r>
    </w:p>
    <w:p w14:paraId="58D8F108">
      <w:pPr>
        <w:snapToGrid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资格审查表</w:t>
      </w:r>
    </w:p>
    <w:p w14:paraId="514E971E">
      <w:pPr>
        <w:snapToGrid w:val="0"/>
        <w:spacing w:line="360" w:lineRule="auto"/>
        <w:rPr>
          <w:rFonts w:ascii="宋体" w:hAnsi="宋体" w:eastAsia="宋体" w:cs="宋体"/>
          <w:color w:val="auto"/>
          <w:sz w:val="24"/>
          <w:highlight w:val="none"/>
        </w:rPr>
      </w:pPr>
      <w:r>
        <w:rPr>
          <w:rFonts w:hint="eastAsia" w:ascii="宋体" w:hAnsi="宋体" w:eastAsia="宋体" w:cs="宋体"/>
          <w:b w:val="0"/>
          <w:color w:val="auto"/>
          <w:sz w:val="24"/>
          <w:highlight w:val="none"/>
        </w:rPr>
        <w:t>工程名称：</w:t>
      </w:r>
    </w:p>
    <w:p w14:paraId="5A1487C7">
      <w:pPr>
        <w:snapToGrid w:val="0"/>
        <w:spacing w:line="360" w:lineRule="auto"/>
        <w:rPr>
          <w:rFonts w:ascii="宋体" w:hAnsi="宋体" w:eastAsia="宋体" w:cs="宋体"/>
          <w:color w:val="auto"/>
          <w:sz w:val="24"/>
          <w:highlight w:val="none"/>
        </w:rPr>
      </w:pPr>
      <w:r>
        <w:rPr>
          <w:rFonts w:hint="eastAsia" w:ascii="宋体" w:hAnsi="宋体" w:eastAsia="宋体" w:cs="宋体"/>
          <w:b w:val="0"/>
          <w:color w:val="auto"/>
          <w:sz w:val="24"/>
          <w:highlight w:val="none"/>
        </w:rPr>
        <w:t>投标人名称：</w:t>
      </w:r>
    </w:p>
    <w:tbl>
      <w:tblPr>
        <w:tblStyle w:val="88"/>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5562"/>
        <w:gridCol w:w="7364"/>
        <w:gridCol w:w="1065"/>
      </w:tblGrid>
      <w:tr w14:paraId="15D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B2614DA">
            <w:pPr>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序号</w:t>
            </w:r>
          </w:p>
        </w:tc>
        <w:tc>
          <w:tcPr>
            <w:tcW w:w="5562" w:type="dxa"/>
            <w:tcBorders>
              <w:top w:val="single" w:color="auto" w:sz="4" w:space="0"/>
              <w:left w:val="single" w:color="auto" w:sz="4" w:space="0"/>
              <w:bottom w:val="single" w:color="auto" w:sz="4" w:space="0"/>
              <w:right w:val="single" w:color="auto" w:sz="4" w:space="0"/>
            </w:tcBorders>
            <w:noWrap/>
            <w:vAlign w:val="center"/>
          </w:tcPr>
          <w:p w14:paraId="418AE455">
            <w:pPr>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审查项目</w:t>
            </w:r>
          </w:p>
        </w:tc>
        <w:tc>
          <w:tcPr>
            <w:tcW w:w="7364" w:type="dxa"/>
            <w:tcBorders>
              <w:top w:val="single" w:color="auto" w:sz="4" w:space="0"/>
              <w:left w:val="single" w:color="auto" w:sz="4" w:space="0"/>
              <w:bottom w:val="single" w:color="auto" w:sz="4" w:space="0"/>
              <w:right w:val="single" w:color="auto" w:sz="4" w:space="0"/>
            </w:tcBorders>
            <w:noWrap/>
            <w:vAlign w:val="center"/>
          </w:tcPr>
          <w:p w14:paraId="5B094CCC">
            <w:pPr>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ign w:val="center"/>
          </w:tcPr>
          <w:p w14:paraId="6AD2A55B">
            <w:pPr>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审查结果</w:t>
            </w:r>
          </w:p>
        </w:tc>
      </w:tr>
      <w:tr w14:paraId="675B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154B2D4B">
            <w:pPr>
              <w:snapToGrid w:val="0"/>
              <w:spacing w:line="380" w:lineRule="exac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w:t>
            </w:r>
          </w:p>
        </w:tc>
        <w:tc>
          <w:tcPr>
            <w:tcW w:w="5562" w:type="dxa"/>
            <w:tcBorders>
              <w:top w:val="single" w:color="auto" w:sz="4" w:space="0"/>
              <w:left w:val="single" w:color="auto" w:sz="4" w:space="0"/>
              <w:bottom w:val="single" w:color="auto" w:sz="4" w:space="0"/>
              <w:right w:val="single" w:color="auto" w:sz="4" w:space="0"/>
            </w:tcBorders>
            <w:noWrap/>
            <w:vAlign w:val="center"/>
          </w:tcPr>
          <w:p w14:paraId="59FC0371">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w:t>
            </w:r>
            <w:r>
              <w:rPr>
                <w:rFonts w:hint="eastAsia" w:ascii="宋体" w:hAnsi="宋体" w:eastAsia="宋体" w:cs="宋体"/>
                <w:b w:val="0"/>
                <w:color w:val="auto"/>
                <w:sz w:val="21"/>
                <w:szCs w:val="21"/>
                <w:highlight w:val="none"/>
                <w:u w:val="single"/>
              </w:rPr>
              <w:t>（若为联合体投标，指联合体各方）</w:t>
            </w:r>
            <w:r>
              <w:rPr>
                <w:rFonts w:hint="eastAsia" w:ascii="宋体" w:hAnsi="宋体" w:eastAsia="宋体" w:cs="宋体"/>
                <w:b w:val="0"/>
                <w:color w:val="auto"/>
                <w:sz w:val="21"/>
                <w:szCs w:val="21"/>
                <w:highlight w:val="none"/>
              </w:rPr>
              <w:t>参加投标的意思表达清楚，投标人代表（若为联合体投标，由联合体主办方提供）被授权有效；</w:t>
            </w:r>
          </w:p>
        </w:tc>
        <w:tc>
          <w:tcPr>
            <w:tcW w:w="7364" w:type="dxa"/>
            <w:tcBorders>
              <w:top w:val="single" w:color="auto" w:sz="4" w:space="0"/>
              <w:left w:val="single" w:color="auto" w:sz="4" w:space="0"/>
              <w:bottom w:val="single" w:color="auto" w:sz="4" w:space="0"/>
              <w:right w:val="single" w:color="auto" w:sz="4" w:space="0"/>
            </w:tcBorders>
            <w:noWrap/>
            <w:vAlign w:val="center"/>
          </w:tcPr>
          <w:p w14:paraId="0509B9F4">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投标人声明</w:t>
            </w:r>
            <w:r>
              <w:rPr>
                <w:rFonts w:hint="eastAsia" w:ascii="宋体" w:hAnsi="宋体" w:eastAsia="宋体" w:cs="宋体"/>
                <w:b w:val="0"/>
                <w:color w:val="auto"/>
                <w:sz w:val="21"/>
                <w:szCs w:val="21"/>
                <w:highlight w:val="none"/>
                <w:u w:val="single"/>
              </w:rPr>
              <w:t>扫描件</w:t>
            </w:r>
            <w:r>
              <w:rPr>
                <w:rFonts w:hint="eastAsia" w:ascii="宋体" w:hAnsi="宋体" w:eastAsia="宋体" w:cs="宋体"/>
                <w:b w:val="0"/>
                <w:color w:val="auto"/>
                <w:sz w:val="21"/>
                <w:szCs w:val="21"/>
                <w:highlight w:val="none"/>
              </w:rPr>
              <w:t>、法定代表人证明书</w:t>
            </w:r>
            <w:r>
              <w:rPr>
                <w:rFonts w:hint="eastAsia" w:ascii="宋体" w:hAnsi="宋体" w:eastAsia="宋体" w:cs="宋体"/>
                <w:b w:val="0"/>
                <w:color w:val="auto"/>
                <w:sz w:val="21"/>
                <w:szCs w:val="21"/>
                <w:highlight w:val="none"/>
                <w:u w:val="single"/>
              </w:rPr>
              <w:t>扫描件</w:t>
            </w:r>
            <w:r>
              <w:rPr>
                <w:rFonts w:hint="eastAsia" w:ascii="宋体" w:hAnsi="宋体" w:eastAsia="宋体" w:cs="宋体"/>
                <w:b w:val="0"/>
                <w:color w:val="auto"/>
                <w:sz w:val="21"/>
                <w:szCs w:val="21"/>
                <w:highlight w:val="none"/>
              </w:rPr>
              <w:t>；委托投标的还应提供法人授权委托证明书</w:t>
            </w:r>
            <w:r>
              <w:rPr>
                <w:rFonts w:hint="eastAsia" w:ascii="宋体" w:hAnsi="宋体" w:eastAsia="宋体" w:cs="宋体"/>
                <w:b w:val="0"/>
                <w:color w:val="auto"/>
                <w:sz w:val="21"/>
                <w:szCs w:val="21"/>
                <w:highlight w:val="none"/>
                <w:u w:val="single"/>
              </w:rPr>
              <w:t>（若为联合体投标，由联合体主办方提供）扫描件，及授权委托人的离投标截止时间最近的至少1个月（</w:t>
            </w:r>
            <w:r>
              <w:rPr>
                <w:rFonts w:hint="eastAsia" w:ascii="宋体" w:hAnsi="宋体" w:eastAsia="宋体" w:cs="宋体"/>
                <w:b w:val="0"/>
                <w:color w:val="auto"/>
                <w:sz w:val="21"/>
                <w:szCs w:val="21"/>
                <w:highlight w:val="none"/>
                <w:u w:val="single"/>
                <w:lang w:eastAsia="zh-CN"/>
              </w:rPr>
              <w:t>2025年8月或7月</w:t>
            </w:r>
            <w:r>
              <w:rPr>
                <w:rFonts w:hint="eastAsia" w:ascii="宋体" w:hAnsi="宋体" w:eastAsia="宋体" w:cs="宋体"/>
                <w:b w:val="0"/>
                <w:color w:val="auto"/>
                <w:sz w:val="21"/>
                <w:szCs w:val="21"/>
                <w:highlight w:val="none"/>
                <w:u w:val="single"/>
              </w:rPr>
              <w:t>）在本单位缴纳的社保证明文件）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1B2020BD">
            <w:pPr>
              <w:snapToGrid w:val="0"/>
              <w:spacing w:line="380" w:lineRule="exact"/>
              <w:jc w:val="center"/>
              <w:rPr>
                <w:rFonts w:ascii="宋体" w:hAnsi="宋体" w:eastAsia="宋体" w:cs="宋体"/>
                <w:color w:val="auto"/>
                <w:szCs w:val="21"/>
                <w:highlight w:val="none"/>
              </w:rPr>
            </w:pPr>
          </w:p>
        </w:tc>
      </w:tr>
      <w:tr w14:paraId="5FD1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C52DA7C">
            <w:pPr>
              <w:snapToGrid w:val="0"/>
              <w:spacing w:after="120" w:line="380" w:lineRule="exac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w:t>
            </w:r>
          </w:p>
        </w:tc>
        <w:tc>
          <w:tcPr>
            <w:tcW w:w="5562" w:type="dxa"/>
            <w:tcBorders>
              <w:top w:val="single" w:color="auto" w:sz="4" w:space="0"/>
              <w:left w:val="single" w:color="auto" w:sz="4" w:space="0"/>
              <w:bottom w:val="single" w:color="auto" w:sz="4" w:space="0"/>
              <w:right w:val="single" w:color="auto" w:sz="4" w:space="0"/>
            </w:tcBorders>
            <w:noWrap/>
            <w:vAlign w:val="center"/>
          </w:tcPr>
          <w:p w14:paraId="2E53ED3E">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w:t>
            </w:r>
            <w:r>
              <w:rPr>
                <w:rFonts w:hint="eastAsia" w:ascii="宋体" w:hAnsi="宋体" w:eastAsia="宋体" w:cs="宋体"/>
                <w:b w:val="0"/>
                <w:color w:val="auto"/>
                <w:sz w:val="21"/>
                <w:szCs w:val="21"/>
                <w:highlight w:val="none"/>
                <w:u w:val="single"/>
              </w:rPr>
              <w:t>（若为联合体投标，指联合体各方）</w:t>
            </w:r>
            <w:r>
              <w:rPr>
                <w:rFonts w:hint="eastAsia" w:ascii="宋体" w:hAnsi="宋体" w:eastAsia="宋体" w:cs="宋体"/>
                <w:b w:val="0"/>
                <w:color w:val="auto"/>
                <w:sz w:val="21"/>
                <w:szCs w:val="21"/>
                <w:highlight w:val="none"/>
              </w:rPr>
              <w:t>具有独立法人资格，按国家法律经营；</w:t>
            </w:r>
          </w:p>
        </w:tc>
        <w:tc>
          <w:tcPr>
            <w:tcW w:w="7364" w:type="dxa"/>
            <w:tcBorders>
              <w:top w:val="single" w:color="auto" w:sz="4" w:space="0"/>
              <w:left w:val="single" w:color="auto" w:sz="4" w:space="0"/>
              <w:bottom w:val="single" w:color="auto" w:sz="4" w:space="0"/>
              <w:right w:val="single" w:color="auto" w:sz="4" w:space="0"/>
            </w:tcBorders>
            <w:noWrap/>
            <w:vAlign w:val="center"/>
          </w:tcPr>
          <w:p w14:paraId="1A244999">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营业执照</w:t>
            </w:r>
            <w:r>
              <w:rPr>
                <w:rFonts w:hint="eastAsia" w:ascii="宋体" w:hAnsi="宋体" w:eastAsia="宋体" w:cs="宋体"/>
                <w:b w:val="0"/>
                <w:color w:val="auto"/>
                <w:sz w:val="21"/>
                <w:szCs w:val="21"/>
                <w:highlight w:val="none"/>
                <w:u w:val="single"/>
              </w:rPr>
              <w:t>（若为联合体投标，联合体各成员均需提供）</w:t>
            </w:r>
            <w:r>
              <w:rPr>
                <w:rFonts w:hint="eastAsia" w:ascii="宋体" w:hAnsi="宋体" w:eastAsia="宋体" w:cs="宋体"/>
                <w:b w:val="0"/>
                <w:color w:val="auto"/>
                <w:sz w:val="21"/>
                <w:szCs w:val="21"/>
                <w:highlight w:val="none"/>
              </w:rPr>
              <w:t>扫描</w:t>
            </w:r>
            <w:r>
              <w:rPr>
                <w:rFonts w:hint="eastAsia" w:ascii="宋体" w:hAnsi="宋体" w:eastAsia="宋体" w:cs="宋体"/>
                <w:b w:val="0"/>
                <w:color w:val="auto"/>
                <w:sz w:val="21"/>
                <w:highlight w:val="none"/>
              </w:rPr>
              <w:t>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14:paraId="0D5A16DC">
            <w:pPr>
              <w:snapToGrid w:val="0"/>
              <w:spacing w:line="380" w:lineRule="exact"/>
              <w:jc w:val="center"/>
              <w:rPr>
                <w:rFonts w:ascii="宋体" w:hAnsi="宋体" w:eastAsia="宋体" w:cs="宋体"/>
                <w:color w:val="auto"/>
                <w:szCs w:val="21"/>
                <w:highlight w:val="none"/>
              </w:rPr>
            </w:pPr>
          </w:p>
        </w:tc>
      </w:tr>
      <w:tr w14:paraId="2BA8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C0386AD">
            <w:pPr>
              <w:snapToGrid w:val="0"/>
              <w:spacing w:after="120" w:line="380" w:lineRule="exac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w:t>
            </w:r>
          </w:p>
        </w:tc>
        <w:tc>
          <w:tcPr>
            <w:tcW w:w="5562" w:type="dxa"/>
            <w:tcBorders>
              <w:top w:val="single" w:color="auto" w:sz="4" w:space="0"/>
              <w:left w:val="single" w:color="auto" w:sz="4" w:space="0"/>
              <w:bottom w:val="single" w:color="auto" w:sz="4" w:space="0"/>
              <w:right w:val="single" w:color="auto" w:sz="4" w:space="0"/>
            </w:tcBorders>
            <w:noWrap/>
            <w:vAlign w:val="center"/>
          </w:tcPr>
          <w:p w14:paraId="58FA85A2">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w:t>
            </w:r>
            <w:r>
              <w:rPr>
                <w:rFonts w:hint="eastAsia" w:ascii="宋体" w:hAnsi="宋体" w:eastAsia="宋体" w:cs="宋体"/>
                <w:b w:val="0"/>
                <w:color w:val="auto"/>
                <w:sz w:val="21"/>
                <w:szCs w:val="21"/>
                <w:highlight w:val="none"/>
                <w:u w:val="single"/>
              </w:rPr>
              <w:t>（若为联合体投标，指联合体各方）</w:t>
            </w:r>
            <w:r>
              <w:rPr>
                <w:rFonts w:hint="eastAsia" w:ascii="宋体" w:hAnsi="宋体" w:eastAsia="宋体" w:cs="宋体"/>
                <w:b w:val="0"/>
                <w:color w:val="auto"/>
                <w:sz w:val="21"/>
                <w:szCs w:val="21"/>
                <w:highlight w:val="none"/>
              </w:rPr>
              <w:t>持有建设行政主管部门颁发的</w:t>
            </w:r>
            <w:r>
              <w:rPr>
                <w:rFonts w:hint="eastAsia" w:ascii="宋体" w:hAnsi="宋体" w:eastAsia="宋体" w:cs="宋体"/>
                <w:b w:val="0"/>
                <w:color w:val="auto"/>
                <w:sz w:val="21"/>
                <w:szCs w:val="21"/>
                <w:highlight w:val="none"/>
                <w:u w:val="single"/>
              </w:rPr>
              <w:t>有效期内的</w:t>
            </w:r>
            <w:r>
              <w:rPr>
                <w:rFonts w:hint="eastAsia" w:ascii="宋体" w:hAnsi="宋体" w:eastAsia="宋体" w:cs="宋体"/>
                <w:b w:val="0"/>
                <w:color w:val="auto"/>
                <w:sz w:val="21"/>
                <w:szCs w:val="21"/>
                <w:highlight w:val="none"/>
              </w:rPr>
              <w:t>企业资质证书及安全生产许可证；投标人</w:t>
            </w:r>
            <w:r>
              <w:rPr>
                <w:rFonts w:hint="eastAsia" w:ascii="宋体" w:hAnsi="宋体" w:eastAsia="宋体" w:cs="宋体"/>
                <w:b w:val="0"/>
                <w:color w:val="auto"/>
                <w:sz w:val="21"/>
                <w:szCs w:val="21"/>
                <w:highlight w:val="none"/>
                <w:u w:val="single"/>
              </w:rPr>
              <w:t>（若为联合体投标，指联合体各方）</w:t>
            </w:r>
            <w:r>
              <w:rPr>
                <w:rFonts w:hint="eastAsia" w:ascii="宋体" w:hAnsi="宋体" w:eastAsia="宋体" w:cs="宋体"/>
                <w:b w:val="0"/>
                <w:color w:val="auto"/>
                <w:sz w:val="21"/>
                <w:szCs w:val="21"/>
                <w:highlight w:val="none"/>
              </w:rPr>
              <w:t>资质符合公告要求；</w:t>
            </w:r>
          </w:p>
        </w:tc>
        <w:tc>
          <w:tcPr>
            <w:tcW w:w="7364" w:type="dxa"/>
            <w:tcBorders>
              <w:top w:val="single" w:color="auto" w:sz="4" w:space="0"/>
              <w:left w:val="single" w:color="auto" w:sz="4" w:space="0"/>
              <w:bottom w:val="single" w:color="auto" w:sz="4" w:space="0"/>
              <w:right w:val="single" w:color="auto" w:sz="4" w:space="0"/>
            </w:tcBorders>
            <w:noWrap/>
            <w:vAlign w:val="center"/>
          </w:tcPr>
          <w:p w14:paraId="26130520">
            <w:pPr>
              <w:snapToGrid w:val="0"/>
              <w:spacing w:after="120" w:line="380" w:lineRule="exact"/>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资质证书</w:t>
            </w:r>
            <w:r>
              <w:rPr>
                <w:rFonts w:hint="eastAsia" w:ascii="宋体" w:hAnsi="宋体" w:eastAsia="宋体" w:cs="宋体"/>
                <w:b w:val="0"/>
                <w:color w:val="auto"/>
                <w:sz w:val="21"/>
                <w:szCs w:val="21"/>
                <w:highlight w:val="none"/>
                <w:u w:val="single"/>
              </w:rPr>
              <w:t>（若为联合体投标，联合体各成员均需提供）</w:t>
            </w:r>
            <w:r>
              <w:rPr>
                <w:rFonts w:hint="eastAsia" w:ascii="宋体" w:hAnsi="宋体" w:eastAsia="宋体" w:cs="宋体"/>
                <w:b w:val="0"/>
                <w:color w:val="auto"/>
                <w:sz w:val="21"/>
                <w:szCs w:val="21"/>
                <w:highlight w:val="none"/>
              </w:rPr>
              <w:t>扫描件或电子证照，或符合招标公告规定的相关证明材料（如有）；安全生产许可证</w:t>
            </w:r>
            <w:r>
              <w:rPr>
                <w:rFonts w:hint="eastAsia" w:ascii="宋体" w:hAnsi="宋体" w:eastAsia="宋体" w:cs="宋体"/>
                <w:b w:val="0"/>
                <w:color w:val="auto"/>
                <w:sz w:val="21"/>
                <w:szCs w:val="21"/>
                <w:highlight w:val="none"/>
                <w:u w:val="single"/>
              </w:rPr>
              <w:t>（若为联合体投标，联合体各成员均需提供）扫描件。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183D8BD6">
            <w:pPr>
              <w:snapToGrid w:val="0"/>
              <w:spacing w:line="380" w:lineRule="exact"/>
              <w:jc w:val="center"/>
              <w:rPr>
                <w:rFonts w:ascii="宋体" w:hAnsi="宋体" w:eastAsia="宋体" w:cs="宋体"/>
                <w:color w:val="auto"/>
                <w:szCs w:val="21"/>
                <w:highlight w:val="none"/>
              </w:rPr>
            </w:pPr>
          </w:p>
        </w:tc>
      </w:tr>
      <w:tr w14:paraId="4CB9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6BEEDF6">
            <w:pPr>
              <w:snapToGrid w:val="0"/>
              <w:spacing w:after="120" w:line="380" w:lineRule="exac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4</w:t>
            </w:r>
          </w:p>
        </w:tc>
        <w:tc>
          <w:tcPr>
            <w:tcW w:w="5562" w:type="dxa"/>
            <w:tcBorders>
              <w:top w:val="single" w:color="auto" w:sz="4" w:space="0"/>
              <w:left w:val="single" w:color="auto" w:sz="4" w:space="0"/>
              <w:bottom w:val="single" w:color="auto" w:sz="4" w:space="0"/>
              <w:right w:val="single" w:color="auto" w:sz="4" w:space="0"/>
            </w:tcBorders>
            <w:noWrap/>
            <w:vAlign w:val="center"/>
          </w:tcPr>
          <w:p w14:paraId="77CABF48">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投标人拟担任本工程项目负责人（若为联合体投标，由联合体主办方提供）符合公告要求；</w:t>
            </w:r>
          </w:p>
        </w:tc>
        <w:tc>
          <w:tcPr>
            <w:tcW w:w="7364" w:type="dxa"/>
            <w:tcBorders>
              <w:top w:val="single" w:color="auto" w:sz="4" w:space="0"/>
              <w:left w:val="single" w:color="auto" w:sz="4" w:space="0"/>
              <w:bottom w:val="single" w:color="auto" w:sz="4" w:space="0"/>
              <w:right w:val="single" w:color="auto" w:sz="4" w:space="0"/>
            </w:tcBorders>
            <w:noWrap/>
            <w:vAlign w:val="center"/>
          </w:tcPr>
          <w:p w14:paraId="3A32F838">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使用有效期内的注册建造师注册证书扫描件或电子证照。（注：递交的注册建造师注册证书须符合招标公告第九条第</w:t>
            </w:r>
            <w:r>
              <w:rPr>
                <w:rFonts w:ascii="宋体" w:hAnsi="宋体" w:eastAsia="宋体" w:cs="宋体"/>
                <w:b w:val="0"/>
                <w:color w:val="auto"/>
                <w:sz w:val="21"/>
                <w:szCs w:val="21"/>
                <w:highlight w:val="none"/>
              </w:rPr>
              <w:t>4款注②的规定</w:t>
            </w:r>
            <w:r>
              <w:rPr>
                <w:rFonts w:hint="eastAsia" w:ascii="宋体" w:hAnsi="宋体" w:eastAsia="宋体" w:cs="宋体"/>
                <w:b w:val="0"/>
                <w:color w:val="auto"/>
                <w:sz w:val="21"/>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1530A5E9">
            <w:pPr>
              <w:snapToGrid w:val="0"/>
              <w:spacing w:line="380" w:lineRule="exact"/>
              <w:jc w:val="center"/>
              <w:rPr>
                <w:rFonts w:ascii="宋体" w:hAnsi="宋体" w:eastAsia="宋体" w:cs="宋体"/>
                <w:color w:val="auto"/>
                <w:szCs w:val="21"/>
                <w:highlight w:val="none"/>
              </w:rPr>
            </w:pPr>
          </w:p>
        </w:tc>
      </w:tr>
      <w:tr w14:paraId="762E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6367A07">
            <w:pPr>
              <w:snapToGrid w:val="0"/>
              <w:spacing w:after="120" w:line="380" w:lineRule="exac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5</w:t>
            </w:r>
          </w:p>
        </w:tc>
        <w:tc>
          <w:tcPr>
            <w:tcW w:w="5562" w:type="dxa"/>
            <w:tcBorders>
              <w:top w:val="single" w:color="auto" w:sz="4" w:space="0"/>
              <w:left w:val="single" w:color="auto" w:sz="4" w:space="0"/>
              <w:bottom w:val="single" w:color="auto" w:sz="4" w:space="0"/>
              <w:right w:val="single" w:color="auto" w:sz="4" w:space="0"/>
            </w:tcBorders>
            <w:noWrap/>
            <w:vAlign w:val="center"/>
          </w:tcPr>
          <w:p w14:paraId="019A87FB">
            <w:pPr>
              <w:snapToGrid w:val="0"/>
              <w:spacing w:after="120" w:line="380" w:lineRule="exact"/>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项目负责人（若为联合体投标，由联合体主办方提供）持有</w:t>
            </w:r>
            <w:r>
              <w:rPr>
                <w:rFonts w:hint="eastAsia" w:ascii="宋体" w:hAnsi="宋体" w:eastAsia="宋体" w:cs="宋体"/>
                <w:b w:val="0"/>
                <w:color w:val="auto"/>
                <w:sz w:val="21"/>
                <w:szCs w:val="21"/>
                <w:highlight w:val="none"/>
                <w:u w:val="single"/>
              </w:rPr>
              <w:t>有效期内的</w:t>
            </w:r>
            <w:r>
              <w:rPr>
                <w:rFonts w:hint="eastAsia" w:ascii="宋体" w:hAnsi="宋体" w:eastAsia="宋体" w:cs="宋体"/>
                <w:b w:val="0"/>
                <w:color w:val="auto"/>
                <w:sz w:val="21"/>
                <w:szCs w:val="21"/>
                <w:highlight w:val="none"/>
              </w:rPr>
              <w:t>项目负责人安全生产考核合格证（</w:t>
            </w:r>
            <w:r>
              <w:rPr>
                <w:rFonts w:ascii="宋体" w:hAnsi="宋体" w:eastAsia="宋体" w:cs="宋体"/>
                <w:b w:val="0"/>
                <w:color w:val="auto"/>
                <w:sz w:val="21"/>
                <w:szCs w:val="21"/>
                <w:highlight w:val="none"/>
              </w:rPr>
              <w:t>B类）或建筑施工企业项目负责人安全生产考核合格证；</w:t>
            </w:r>
          </w:p>
        </w:tc>
        <w:tc>
          <w:tcPr>
            <w:tcW w:w="7364" w:type="dxa"/>
            <w:tcBorders>
              <w:top w:val="single" w:color="auto" w:sz="4" w:space="0"/>
              <w:left w:val="single" w:color="auto" w:sz="4" w:space="0"/>
              <w:bottom w:val="single" w:color="auto" w:sz="4" w:space="0"/>
              <w:right w:val="single" w:color="auto" w:sz="4" w:space="0"/>
            </w:tcBorders>
            <w:noWrap/>
            <w:vAlign w:val="center"/>
          </w:tcPr>
          <w:p w14:paraId="4E0813FE">
            <w:pPr>
              <w:snapToGrid w:val="0"/>
              <w:spacing w:after="120" w:line="380" w:lineRule="exact"/>
              <w:jc w:val="left"/>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有效期内的</w:t>
            </w:r>
            <w:r>
              <w:rPr>
                <w:rFonts w:hint="eastAsia" w:ascii="宋体" w:hAnsi="宋体" w:eastAsia="宋体" w:cs="宋体"/>
                <w:b w:val="0"/>
                <w:color w:val="auto"/>
                <w:sz w:val="21"/>
                <w:szCs w:val="21"/>
                <w:highlight w:val="none"/>
              </w:rPr>
              <w:t>项目负责人安全生产考核合格证（</w:t>
            </w:r>
            <w:r>
              <w:rPr>
                <w:rFonts w:ascii="宋体" w:hAnsi="宋体" w:eastAsia="宋体" w:cs="宋体"/>
                <w:b w:val="0"/>
                <w:color w:val="auto"/>
                <w:sz w:val="21"/>
                <w:szCs w:val="21"/>
                <w:highlight w:val="none"/>
              </w:rPr>
              <w:t>B证）或建筑施工企业项目负责人安全生产考核合格证</w:t>
            </w:r>
            <w:r>
              <w:rPr>
                <w:rFonts w:hint="eastAsia" w:ascii="宋体" w:hAnsi="宋体" w:eastAsia="宋体" w:cs="宋体"/>
                <w:b w:val="0"/>
                <w:color w:val="auto"/>
                <w:sz w:val="21"/>
                <w:szCs w:val="21"/>
                <w:highlight w:val="none"/>
                <w:u w:val="single"/>
              </w:rPr>
              <w:t>扫描件或电子证照。</w:t>
            </w:r>
          </w:p>
          <w:p w14:paraId="744ED053">
            <w:pPr>
              <w:snapToGrid w:val="0"/>
              <w:spacing w:line="380" w:lineRule="exact"/>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广东省建筑施工企业安全生产管理人员执行《广东省住房和城乡建设厅关于加快推进建筑施工企业安全生产管理人员考核合格证书电子证照办理相关工作的通知》（粤建质函〔</w:t>
            </w:r>
            <w:r>
              <w:rPr>
                <w:rFonts w:ascii="宋体" w:hAnsi="宋体" w:eastAsia="宋体" w:cs="宋体"/>
                <w:b w:val="0"/>
                <w:color w:val="auto"/>
                <w:sz w:val="21"/>
                <w:szCs w:val="21"/>
                <w:highlight w:val="none"/>
                <w:u w:val="single"/>
              </w:rPr>
              <w:t>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14:paraId="49FD441E">
            <w:pPr>
              <w:snapToGrid w:val="0"/>
              <w:spacing w:line="380" w:lineRule="exact"/>
              <w:jc w:val="center"/>
              <w:rPr>
                <w:rFonts w:ascii="宋体" w:hAnsi="宋体" w:eastAsia="宋体" w:cs="宋体"/>
                <w:color w:val="auto"/>
                <w:szCs w:val="21"/>
                <w:highlight w:val="none"/>
              </w:rPr>
            </w:pPr>
          </w:p>
        </w:tc>
      </w:tr>
      <w:tr w14:paraId="5C2D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BC06882">
            <w:pPr>
              <w:snapToGrid w:val="0"/>
              <w:spacing w:after="120" w:line="380" w:lineRule="exac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6</w:t>
            </w:r>
          </w:p>
        </w:tc>
        <w:tc>
          <w:tcPr>
            <w:tcW w:w="5562" w:type="dxa"/>
            <w:tcBorders>
              <w:top w:val="single" w:color="auto" w:sz="4" w:space="0"/>
              <w:left w:val="single" w:color="auto" w:sz="4" w:space="0"/>
              <w:bottom w:val="single" w:color="auto" w:sz="4" w:space="0"/>
              <w:right w:val="single" w:color="auto" w:sz="4" w:space="0"/>
            </w:tcBorders>
            <w:noWrap/>
            <w:vAlign w:val="center"/>
          </w:tcPr>
          <w:p w14:paraId="7DB6C936">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投标人拟担任本工程技术负责人（若为联合体投标，由联合体主办方提供）符合公告要求；</w:t>
            </w:r>
          </w:p>
        </w:tc>
        <w:tc>
          <w:tcPr>
            <w:tcW w:w="7364" w:type="dxa"/>
            <w:tcBorders>
              <w:top w:val="single" w:color="auto" w:sz="4" w:space="0"/>
              <w:left w:val="single" w:color="auto" w:sz="4" w:space="0"/>
              <w:bottom w:val="single" w:color="auto" w:sz="4" w:space="0"/>
              <w:right w:val="single" w:color="auto" w:sz="4" w:space="0"/>
            </w:tcBorders>
            <w:noWrap/>
            <w:vAlign w:val="center"/>
          </w:tcPr>
          <w:p w14:paraId="67D1CD49">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bCs/>
                <w:color w:val="auto"/>
                <w:sz w:val="21"/>
                <w:szCs w:val="21"/>
                <w:highlight w:val="none"/>
                <w:u w:val="single"/>
              </w:rPr>
              <w:t>拟委派技术负责人的职称证书扫描件或电子证照。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14:paraId="48D9D388">
            <w:pPr>
              <w:snapToGrid w:val="0"/>
              <w:spacing w:line="380" w:lineRule="exact"/>
              <w:jc w:val="center"/>
              <w:rPr>
                <w:rFonts w:ascii="宋体" w:hAnsi="宋体" w:eastAsia="宋体" w:cs="宋体"/>
                <w:color w:val="auto"/>
                <w:szCs w:val="21"/>
                <w:highlight w:val="none"/>
              </w:rPr>
            </w:pPr>
          </w:p>
        </w:tc>
      </w:tr>
      <w:tr w14:paraId="532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9522932">
            <w:pPr>
              <w:snapToGrid w:val="0"/>
              <w:spacing w:after="120" w:line="380" w:lineRule="exac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7</w:t>
            </w:r>
          </w:p>
        </w:tc>
        <w:tc>
          <w:tcPr>
            <w:tcW w:w="5562" w:type="dxa"/>
            <w:tcBorders>
              <w:top w:val="single" w:color="auto" w:sz="4" w:space="0"/>
              <w:left w:val="single" w:color="auto" w:sz="4" w:space="0"/>
              <w:bottom w:val="single" w:color="auto" w:sz="4" w:space="0"/>
              <w:right w:val="single" w:color="auto" w:sz="4" w:space="0"/>
            </w:tcBorders>
            <w:noWrap/>
            <w:vAlign w:val="center"/>
          </w:tcPr>
          <w:p w14:paraId="1711A2CD">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专职安全员（若为联合体投标，由联合体主办方提供）须具有</w:t>
            </w:r>
            <w:r>
              <w:rPr>
                <w:rFonts w:hint="eastAsia" w:ascii="宋体" w:hAnsi="宋体" w:eastAsia="宋体" w:cs="宋体"/>
                <w:b w:val="0"/>
                <w:color w:val="auto"/>
                <w:sz w:val="21"/>
                <w:szCs w:val="21"/>
                <w:highlight w:val="none"/>
                <w:u w:val="single"/>
              </w:rPr>
              <w:t>有效期内的</w:t>
            </w:r>
            <w:r>
              <w:rPr>
                <w:rFonts w:hint="eastAsia" w:ascii="宋体" w:hAnsi="宋体" w:eastAsia="宋体" w:cs="宋体"/>
                <w:b w:val="0"/>
                <w:color w:val="auto"/>
                <w:sz w:val="21"/>
                <w:szCs w:val="21"/>
                <w:highlight w:val="none"/>
              </w:rPr>
              <w:t>安全生产考核合格证（</w:t>
            </w:r>
            <w:r>
              <w:rPr>
                <w:rFonts w:ascii="宋体" w:hAnsi="宋体" w:eastAsia="宋体" w:cs="宋体"/>
                <w:b w:val="0"/>
                <w:color w:val="auto"/>
                <w:sz w:val="21"/>
                <w:szCs w:val="21"/>
                <w:highlight w:val="none"/>
              </w:rPr>
              <w:t>C</w:t>
            </w:r>
            <w:r>
              <w:rPr>
                <w:rFonts w:hint="eastAsia" w:ascii="宋体" w:hAnsi="宋体" w:eastAsia="宋体" w:cs="宋体"/>
                <w:b w:val="0"/>
                <w:color w:val="auto"/>
                <w:sz w:val="21"/>
                <w:szCs w:val="21"/>
                <w:highlight w:val="none"/>
              </w:rPr>
              <w:t>类</w:t>
            </w:r>
            <w:r>
              <w:rPr>
                <w:rFonts w:ascii="宋体" w:hAnsi="宋体" w:eastAsia="宋体" w:cs="宋体"/>
                <w:b w:val="0"/>
                <w:color w:val="auto"/>
                <w:sz w:val="21"/>
                <w:szCs w:val="21"/>
                <w:highlight w:val="none"/>
              </w:rPr>
              <w:t>）或建筑施工企业专职安全生产管理人员安全生产考核合格证（C3）；</w:t>
            </w:r>
          </w:p>
        </w:tc>
        <w:tc>
          <w:tcPr>
            <w:tcW w:w="7364" w:type="dxa"/>
            <w:tcBorders>
              <w:top w:val="single" w:color="auto" w:sz="4" w:space="0"/>
              <w:left w:val="single" w:color="auto" w:sz="4" w:space="0"/>
              <w:bottom w:val="single" w:color="auto" w:sz="4" w:space="0"/>
              <w:right w:val="single" w:color="auto" w:sz="4" w:space="0"/>
            </w:tcBorders>
            <w:noWrap/>
            <w:vAlign w:val="center"/>
          </w:tcPr>
          <w:p w14:paraId="44063FDA">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专职安全员的安全生产考核合格证（</w:t>
            </w:r>
            <w:r>
              <w:rPr>
                <w:rFonts w:ascii="宋体" w:hAnsi="宋体" w:eastAsia="宋体" w:cs="宋体"/>
                <w:b w:val="0"/>
                <w:color w:val="auto"/>
                <w:sz w:val="21"/>
                <w:szCs w:val="21"/>
                <w:highlight w:val="none"/>
              </w:rPr>
              <w:t>C</w:t>
            </w:r>
            <w:r>
              <w:rPr>
                <w:rFonts w:hint="eastAsia" w:ascii="宋体" w:hAnsi="宋体" w:eastAsia="宋体" w:cs="宋体"/>
                <w:b w:val="0"/>
                <w:color w:val="auto"/>
                <w:sz w:val="21"/>
                <w:szCs w:val="21"/>
                <w:highlight w:val="none"/>
              </w:rPr>
              <w:t>类</w:t>
            </w:r>
            <w:r>
              <w:rPr>
                <w:rFonts w:ascii="宋体" w:hAnsi="宋体" w:eastAsia="宋体" w:cs="宋体"/>
                <w:b w:val="0"/>
                <w:color w:val="auto"/>
                <w:sz w:val="21"/>
                <w:szCs w:val="21"/>
                <w:highlight w:val="none"/>
              </w:rPr>
              <w:t>）或建筑施工企业专职安全生产管理人员安全生产考核合格证</w:t>
            </w:r>
            <w:r>
              <w:rPr>
                <w:rFonts w:hint="eastAsia" w:ascii="宋体" w:hAnsi="宋体" w:eastAsia="宋体" w:cs="宋体"/>
                <w:b w:val="0"/>
                <w:color w:val="auto"/>
                <w:kern w:val="0"/>
                <w:sz w:val="21"/>
                <w:szCs w:val="21"/>
                <w:highlight w:val="none"/>
                <w:u w:val="single"/>
              </w:rPr>
              <w:t>（</w:t>
            </w:r>
            <w:r>
              <w:rPr>
                <w:rFonts w:ascii="宋体" w:hAnsi="宋体" w:eastAsia="宋体" w:cs="宋体"/>
                <w:b w:val="0"/>
                <w:color w:val="auto"/>
                <w:kern w:val="0"/>
                <w:sz w:val="21"/>
                <w:szCs w:val="21"/>
                <w:highlight w:val="none"/>
                <w:u w:val="single"/>
              </w:rPr>
              <w:t>C3）</w:t>
            </w:r>
            <w:r>
              <w:rPr>
                <w:rFonts w:hint="eastAsia" w:ascii="宋体" w:hAnsi="宋体" w:eastAsia="宋体" w:cs="宋体"/>
                <w:b w:val="0"/>
                <w:color w:val="auto"/>
                <w:kern w:val="0"/>
                <w:sz w:val="21"/>
                <w:szCs w:val="21"/>
                <w:highlight w:val="none"/>
              </w:rPr>
              <w:t>证书</w:t>
            </w:r>
            <w:r>
              <w:rPr>
                <w:rFonts w:hint="eastAsia" w:ascii="宋体" w:hAnsi="宋体" w:eastAsia="宋体" w:cs="宋体"/>
                <w:b w:val="0"/>
                <w:color w:val="auto"/>
                <w:sz w:val="21"/>
                <w:szCs w:val="21"/>
                <w:highlight w:val="none"/>
                <w:u w:val="single"/>
              </w:rPr>
              <w:t>扫描件或电子证照。根据《建筑施工企业主要负责人、项目负责人和专职安全生产管理人员安全生产管理规定》（住房城乡建设部令第</w:t>
            </w:r>
            <w:r>
              <w:rPr>
                <w:rFonts w:ascii="宋体" w:hAnsi="宋体" w:eastAsia="宋体" w:cs="宋体"/>
                <w:b w:val="0"/>
                <w:color w:val="auto"/>
                <w:sz w:val="21"/>
                <w:szCs w:val="21"/>
                <w:highlight w:val="none"/>
                <w:u w:val="single"/>
              </w:rPr>
              <w:t>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14:paraId="1B64262D">
            <w:pPr>
              <w:snapToGrid w:val="0"/>
              <w:spacing w:line="380" w:lineRule="exact"/>
              <w:jc w:val="center"/>
              <w:rPr>
                <w:rFonts w:ascii="宋体" w:hAnsi="宋体" w:eastAsia="宋体" w:cs="宋体"/>
                <w:color w:val="auto"/>
                <w:szCs w:val="21"/>
                <w:highlight w:val="none"/>
              </w:rPr>
            </w:pPr>
          </w:p>
        </w:tc>
      </w:tr>
      <w:tr w14:paraId="208C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9CCD5E0">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8</w:t>
            </w:r>
          </w:p>
        </w:tc>
        <w:tc>
          <w:tcPr>
            <w:tcW w:w="5562" w:type="dxa"/>
            <w:tcBorders>
              <w:top w:val="single" w:color="auto" w:sz="4" w:space="0"/>
              <w:left w:val="single" w:color="auto" w:sz="4" w:space="0"/>
              <w:bottom w:val="single" w:color="auto" w:sz="4" w:space="0"/>
              <w:right w:val="single" w:color="auto" w:sz="4" w:space="0"/>
            </w:tcBorders>
            <w:noWrap/>
            <w:vAlign w:val="center"/>
          </w:tcPr>
          <w:p w14:paraId="0649703A">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w:t>
            </w:r>
            <w:r>
              <w:rPr>
                <w:rFonts w:hint="eastAsia" w:ascii="宋体" w:hAnsi="宋体" w:eastAsia="宋体" w:cs="宋体"/>
                <w:b w:val="0"/>
                <w:color w:val="auto"/>
                <w:sz w:val="21"/>
                <w:szCs w:val="21"/>
                <w:highlight w:val="none"/>
                <w:u w:val="single"/>
              </w:rPr>
              <w:t>（若为联合体投标，指联合体各方）</w:t>
            </w:r>
            <w:r>
              <w:rPr>
                <w:rFonts w:hint="eastAsia" w:ascii="宋体" w:hAnsi="宋体" w:eastAsia="宋体" w:cs="宋体"/>
                <w:b w:val="0"/>
                <w:color w:val="auto"/>
                <w:sz w:val="21"/>
                <w:szCs w:val="21"/>
                <w:highlight w:val="none"/>
              </w:rPr>
              <w:t>提供的投标人声明符合公告要求；</w:t>
            </w:r>
          </w:p>
        </w:tc>
        <w:tc>
          <w:tcPr>
            <w:tcW w:w="7364" w:type="dxa"/>
            <w:tcBorders>
              <w:top w:val="single" w:color="auto" w:sz="4" w:space="0"/>
              <w:left w:val="single" w:color="auto" w:sz="4" w:space="0"/>
              <w:bottom w:val="single" w:color="auto" w:sz="4" w:space="0"/>
              <w:right w:val="single" w:color="auto" w:sz="4" w:space="0"/>
            </w:tcBorders>
            <w:noWrap/>
            <w:vAlign w:val="center"/>
          </w:tcPr>
          <w:p w14:paraId="05D8F615">
            <w:pPr>
              <w:snapToGrid w:val="0"/>
              <w:spacing w:after="120" w:line="380" w:lineRule="exact"/>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投标人声明</w:t>
            </w:r>
            <w:r>
              <w:rPr>
                <w:rFonts w:hint="eastAsia" w:ascii="宋体" w:hAnsi="宋体" w:eastAsia="宋体" w:cs="宋体"/>
                <w:b w:val="0"/>
                <w:color w:val="auto"/>
                <w:sz w:val="21"/>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41BB4A70">
            <w:pPr>
              <w:snapToGrid w:val="0"/>
              <w:spacing w:line="380" w:lineRule="exact"/>
              <w:jc w:val="center"/>
              <w:rPr>
                <w:rFonts w:ascii="宋体" w:hAnsi="宋体" w:eastAsia="宋体" w:cs="宋体"/>
                <w:color w:val="auto"/>
                <w:szCs w:val="21"/>
                <w:highlight w:val="none"/>
              </w:rPr>
            </w:pPr>
          </w:p>
        </w:tc>
      </w:tr>
      <w:tr w14:paraId="401E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3111A9AA">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9</w:t>
            </w:r>
          </w:p>
        </w:tc>
        <w:tc>
          <w:tcPr>
            <w:tcW w:w="5562" w:type="dxa"/>
            <w:tcBorders>
              <w:top w:val="single" w:color="auto" w:sz="4" w:space="0"/>
              <w:left w:val="single" w:color="auto" w:sz="4" w:space="0"/>
              <w:bottom w:val="single" w:color="auto" w:sz="4" w:space="0"/>
              <w:right w:val="single" w:color="auto" w:sz="4" w:space="0"/>
            </w:tcBorders>
            <w:noWrap/>
            <w:vAlign w:val="center"/>
          </w:tcPr>
          <w:p w14:paraId="02E1E586">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投标人声明中签字的项目负责人和技术负责人与本项目拟派的项目负责人和技术负责人一致；</w:t>
            </w:r>
          </w:p>
        </w:tc>
        <w:tc>
          <w:tcPr>
            <w:tcW w:w="7364" w:type="dxa"/>
            <w:tcBorders>
              <w:top w:val="single" w:color="auto" w:sz="4" w:space="0"/>
              <w:left w:val="single" w:color="auto" w:sz="4" w:space="0"/>
              <w:bottom w:val="single" w:color="auto" w:sz="4" w:space="0"/>
              <w:right w:val="single" w:color="auto" w:sz="4" w:space="0"/>
            </w:tcBorders>
            <w:noWrap/>
            <w:vAlign w:val="center"/>
          </w:tcPr>
          <w:p w14:paraId="668ACE2E">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网上投标时选择拟投标的项目负责人、资格审查文件中拟委派的技术负责人及投标人声明</w:t>
            </w:r>
            <w:r>
              <w:rPr>
                <w:rFonts w:hint="eastAsia" w:ascii="宋体" w:hAnsi="宋体" w:eastAsia="宋体" w:cs="宋体"/>
                <w:b w:val="0"/>
                <w:color w:val="auto"/>
                <w:sz w:val="21"/>
                <w:szCs w:val="21"/>
                <w:highlight w:val="none"/>
                <w:u w:val="single"/>
              </w:rPr>
              <w:t>扫描件</w:t>
            </w:r>
            <w:r>
              <w:rPr>
                <w:rFonts w:hint="eastAsia" w:ascii="宋体" w:hAnsi="宋体" w:eastAsia="宋体" w:cs="宋体"/>
                <w:b w:val="0"/>
                <w:color w:val="auto"/>
                <w:sz w:val="21"/>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4972020C">
            <w:pPr>
              <w:snapToGrid w:val="0"/>
              <w:spacing w:line="380" w:lineRule="exact"/>
              <w:jc w:val="center"/>
              <w:rPr>
                <w:rFonts w:ascii="宋体" w:hAnsi="宋体" w:eastAsia="宋体" w:cs="宋体"/>
                <w:color w:val="auto"/>
                <w:szCs w:val="21"/>
                <w:highlight w:val="none"/>
              </w:rPr>
            </w:pPr>
          </w:p>
        </w:tc>
      </w:tr>
      <w:tr w14:paraId="7D4C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3CEAF6F4">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10</w:t>
            </w:r>
          </w:p>
        </w:tc>
        <w:tc>
          <w:tcPr>
            <w:tcW w:w="5562" w:type="dxa"/>
            <w:tcBorders>
              <w:top w:val="single" w:color="auto" w:sz="4" w:space="0"/>
              <w:left w:val="single" w:color="auto" w:sz="4" w:space="0"/>
              <w:bottom w:val="single" w:color="auto" w:sz="4" w:space="0"/>
              <w:right w:val="single" w:color="auto" w:sz="4" w:space="0"/>
            </w:tcBorders>
            <w:noWrap/>
            <w:vAlign w:val="center"/>
          </w:tcPr>
          <w:p w14:paraId="0A41B882">
            <w:pPr>
              <w:snapToGrid w:val="0"/>
              <w:spacing w:after="120" w:line="380" w:lineRule="exact"/>
              <w:rPr>
                <w:rFonts w:ascii="宋体" w:hAnsi="宋体" w:eastAsia="宋体" w:cs="宋体"/>
                <w:color w:val="auto"/>
                <w:szCs w:val="21"/>
                <w:highlight w:val="none"/>
              </w:rPr>
            </w:pPr>
            <w:r>
              <w:rPr>
                <w:rStyle w:val="242"/>
                <w:rFonts w:hint="default" w:cs="宋体"/>
                <w:b w:val="0"/>
                <w:color w:val="auto"/>
                <w:sz w:val="21"/>
                <w:szCs w:val="21"/>
                <w:highlight w:val="none"/>
              </w:rPr>
              <w:t>关于联合体投标：本项目接受联合体投标；</w:t>
            </w:r>
          </w:p>
        </w:tc>
        <w:tc>
          <w:tcPr>
            <w:tcW w:w="7364" w:type="dxa"/>
            <w:tcBorders>
              <w:top w:val="single" w:color="auto" w:sz="4" w:space="0"/>
              <w:left w:val="single" w:color="auto" w:sz="4" w:space="0"/>
              <w:bottom w:val="single" w:color="auto" w:sz="4" w:space="0"/>
              <w:right w:val="single" w:color="auto" w:sz="4" w:space="0"/>
            </w:tcBorders>
            <w:noWrap/>
            <w:vAlign w:val="center"/>
          </w:tcPr>
          <w:p w14:paraId="0D8A5EC6">
            <w:pPr>
              <w:snapToGrid w:val="0"/>
              <w:spacing w:after="120" w:line="380" w:lineRule="exact"/>
              <w:jc w:val="left"/>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如联合体投标，应符合招标公告要求。</w:t>
            </w:r>
          </w:p>
        </w:tc>
        <w:tc>
          <w:tcPr>
            <w:tcW w:w="1065" w:type="dxa"/>
            <w:tcBorders>
              <w:top w:val="single" w:color="auto" w:sz="4" w:space="0"/>
              <w:left w:val="single" w:color="auto" w:sz="4" w:space="0"/>
              <w:bottom w:val="single" w:color="auto" w:sz="4" w:space="0"/>
              <w:right w:val="single" w:color="auto" w:sz="4" w:space="0"/>
            </w:tcBorders>
            <w:noWrap/>
            <w:vAlign w:val="center"/>
          </w:tcPr>
          <w:p w14:paraId="343CF553">
            <w:pPr>
              <w:snapToGrid w:val="0"/>
              <w:spacing w:line="380" w:lineRule="exact"/>
              <w:jc w:val="center"/>
              <w:rPr>
                <w:rFonts w:ascii="宋体" w:hAnsi="宋体" w:eastAsia="宋体" w:cs="宋体"/>
                <w:color w:val="auto"/>
                <w:szCs w:val="21"/>
                <w:highlight w:val="none"/>
              </w:rPr>
            </w:pPr>
          </w:p>
        </w:tc>
      </w:tr>
      <w:tr w14:paraId="0077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37CB0A0C">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11</w:t>
            </w:r>
          </w:p>
        </w:tc>
        <w:tc>
          <w:tcPr>
            <w:tcW w:w="5562" w:type="dxa"/>
            <w:tcBorders>
              <w:top w:val="single" w:color="auto" w:sz="4" w:space="0"/>
              <w:left w:val="single" w:color="auto" w:sz="4" w:space="0"/>
              <w:bottom w:val="single" w:color="auto" w:sz="4" w:space="0"/>
              <w:right w:val="single" w:color="auto" w:sz="4" w:space="0"/>
            </w:tcBorders>
            <w:noWrap/>
            <w:vAlign w:val="center"/>
          </w:tcPr>
          <w:p w14:paraId="4EF70333">
            <w:pPr>
              <w:snapToGrid w:val="0"/>
              <w:spacing w:after="120" w:line="380" w:lineRule="exact"/>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资格审查前，投标人（若为联合体投标，指联合体各方）须在广州市住房和城乡建设局建立企业信用档案，拟担任本工程项目负责人、专职安全员须是联合体主办方企业信用档案中的在册人员；</w:t>
            </w:r>
          </w:p>
        </w:tc>
        <w:tc>
          <w:tcPr>
            <w:tcW w:w="7364" w:type="dxa"/>
            <w:tcBorders>
              <w:top w:val="single" w:color="auto" w:sz="4" w:space="0"/>
              <w:left w:val="single" w:color="auto" w:sz="4" w:space="0"/>
              <w:bottom w:val="single" w:color="auto" w:sz="4" w:space="0"/>
              <w:right w:val="single" w:color="auto" w:sz="4" w:space="0"/>
            </w:tcBorders>
            <w:noWrap/>
            <w:vAlign w:val="center"/>
          </w:tcPr>
          <w:p w14:paraId="697AA9E2">
            <w:pPr>
              <w:snapToGrid w:val="0"/>
              <w:spacing w:after="120" w:line="380" w:lineRule="exact"/>
              <w:rPr>
                <w:rFonts w:ascii="宋体" w:hAnsi="宋体" w:eastAsia="宋体" w:cs="宋体"/>
                <w:color w:val="auto"/>
                <w:szCs w:val="21"/>
                <w:highlight w:val="none"/>
              </w:rPr>
            </w:pPr>
            <w:r>
              <w:rPr>
                <w:rFonts w:hint="eastAsia" w:ascii="宋体" w:hAnsi="宋体" w:eastAsia="宋体" w:cs="宋体"/>
                <w:b/>
                <w:bCs/>
                <w:color w:val="auto"/>
                <w:sz w:val="21"/>
                <w:szCs w:val="21"/>
                <w:highlight w:val="none"/>
                <w:u w:val="single"/>
              </w:rPr>
              <w:t>投标人无需提供证明资料</w:t>
            </w:r>
            <w:r>
              <w:rPr>
                <w:rFonts w:hint="eastAsia" w:ascii="宋体" w:hAnsi="宋体" w:eastAsia="宋体" w:cs="宋体"/>
                <w:b w:val="0"/>
                <w:bCs/>
                <w:color w:val="auto"/>
                <w:sz w:val="21"/>
                <w:szCs w:val="21"/>
                <w:highlight w:val="none"/>
                <w:u w:val="singl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3D439515">
            <w:pPr>
              <w:snapToGrid w:val="0"/>
              <w:spacing w:line="380" w:lineRule="exact"/>
              <w:jc w:val="center"/>
              <w:rPr>
                <w:rFonts w:ascii="宋体" w:hAnsi="宋体" w:eastAsia="宋体" w:cs="宋体"/>
                <w:color w:val="auto"/>
                <w:szCs w:val="21"/>
                <w:highlight w:val="none"/>
              </w:rPr>
            </w:pPr>
          </w:p>
        </w:tc>
      </w:tr>
      <w:tr w14:paraId="6BFD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85F52C3">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12</w:t>
            </w:r>
          </w:p>
        </w:tc>
        <w:tc>
          <w:tcPr>
            <w:tcW w:w="5562" w:type="dxa"/>
            <w:tcBorders>
              <w:top w:val="single" w:color="auto" w:sz="4" w:space="0"/>
              <w:left w:val="single" w:color="auto" w:sz="4" w:space="0"/>
              <w:bottom w:val="single" w:color="auto" w:sz="4" w:space="0"/>
              <w:right w:val="single" w:color="auto" w:sz="4" w:space="0"/>
            </w:tcBorders>
            <w:noWrap/>
            <w:vAlign w:val="center"/>
          </w:tcPr>
          <w:p w14:paraId="721A3375">
            <w:pPr>
              <w:snapToGrid w:val="0"/>
              <w:spacing w:after="120" w:line="380" w:lineRule="exact"/>
              <w:rPr>
                <w:rFonts w:ascii="宋体" w:hAnsi="宋体" w:eastAsia="宋体" w:cs="宋体"/>
                <w:color w:val="auto"/>
                <w:szCs w:val="21"/>
                <w:highlight w:val="none"/>
              </w:rPr>
            </w:pPr>
            <w:r>
              <w:rPr>
                <w:rFonts w:hint="default" w:ascii="宋体" w:hAnsi="宋体" w:eastAsia="宋体" w:cs="宋体"/>
                <w:color w:val="auto"/>
                <w:sz w:val="21"/>
                <w:szCs w:val="21"/>
                <w:highlight w:val="none"/>
              </w:rPr>
              <w:t>投标人</w:t>
            </w:r>
            <w:r>
              <w:rPr>
                <w:rFonts w:hint="default" w:ascii="宋体" w:hAnsi="宋体" w:eastAsia="宋体" w:cs="宋体"/>
                <w:color w:val="auto"/>
                <w:sz w:val="21"/>
                <w:szCs w:val="21"/>
                <w:highlight w:val="none"/>
                <w:u w:val="none"/>
              </w:rPr>
              <w:t>（若为联合体投标，指联合体各方）</w:t>
            </w:r>
            <w:r>
              <w:rPr>
                <w:rFonts w:hint="default" w:ascii="宋体" w:hAnsi="宋体" w:eastAsia="宋体" w:cs="宋体"/>
                <w:color w:val="auto"/>
                <w:sz w:val="21"/>
                <w:szCs w:val="21"/>
                <w:highlight w:val="none"/>
              </w:rPr>
              <w:t>未出现以下情形：与其它投标人的单位负责人为同一人或者存在控股、管理关系的《投标人声明（适用于独立投标或联合体主办方）》第</w:t>
            </w:r>
            <w:r>
              <w:rPr>
                <w:rFonts w:hint="default" w:ascii="宋体" w:hAnsi="宋体" w:eastAsia="宋体" w:cs="宋体"/>
                <w:color w:val="auto"/>
                <w:sz w:val="21"/>
                <w:szCs w:val="21"/>
                <w:highlight w:val="none"/>
                <w:lang w:val="en-US" w:eastAsia="zh-CN"/>
              </w:rPr>
              <w:t>九</w:t>
            </w:r>
            <w:r>
              <w:rPr>
                <w:rFonts w:hint="default" w:ascii="宋体" w:hAnsi="宋体" w:eastAsia="宋体" w:cs="宋体"/>
                <w:color w:val="auto"/>
                <w:sz w:val="21"/>
                <w:szCs w:val="21"/>
                <w:highlight w:val="none"/>
              </w:rPr>
              <w:t>条内容和《投标人声明（适用于联合体成员方）》第</w:t>
            </w:r>
            <w:r>
              <w:rPr>
                <w:rFonts w:hint="default" w:ascii="宋体" w:hAnsi="宋体" w:eastAsia="宋体" w:cs="宋体"/>
                <w:color w:val="auto"/>
                <w:sz w:val="21"/>
                <w:szCs w:val="21"/>
                <w:highlight w:val="none"/>
                <w:lang w:val="en-US" w:eastAsia="zh-CN"/>
              </w:rPr>
              <w:t>七</w:t>
            </w:r>
            <w:r>
              <w:rPr>
                <w:rFonts w:hint="default" w:ascii="宋体" w:hAnsi="宋体" w:eastAsia="宋体" w:cs="宋体"/>
                <w:color w:val="auto"/>
                <w:sz w:val="21"/>
                <w:szCs w:val="21"/>
                <w:highlight w:val="none"/>
              </w:rPr>
              <w:t>条内容（若为联合体投标，成员方需提供；若为独立投标人，无需提供）进行评审]。如不同投标申请人出现单位负责人为同一人或者存在控股、管理关系的情形，则</w:t>
            </w:r>
            <w:r>
              <w:rPr>
                <w:rFonts w:hint="default" w:ascii="宋体" w:hAnsi="宋体" w:eastAsia="宋体" w:cs="宋体"/>
                <w:color w:val="auto"/>
                <w:sz w:val="21"/>
                <w:szCs w:val="21"/>
                <w:highlight w:val="none"/>
                <w:u w:val="none"/>
              </w:rPr>
              <w:t>均按不符合投标人合格条件处理</w:t>
            </w:r>
            <w:r>
              <w:rPr>
                <w:rFonts w:hint="default" w:ascii="宋体" w:hAnsi="宋体" w:eastAsia="宋体" w:cs="宋体"/>
                <w:color w:val="auto"/>
                <w:sz w:val="21"/>
                <w:szCs w:val="21"/>
                <w:highlight w:val="none"/>
              </w:rPr>
              <w:t>。</w:t>
            </w:r>
          </w:p>
        </w:tc>
        <w:tc>
          <w:tcPr>
            <w:tcW w:w="7364" w:type="dxa"/>
            <w:tcBorders>
              <w:top w:val="single" w:color="auto" w:sz="4" w:space="0"/>
              <w:left w:val="single" w:color="auto" w:sz="4" w:space="0"/>
              <w:bottom w:val="single" w:color="auto" w:sz="4" w:space="0"/>
              <w:right w:val="single" w:color="auto" w:sz="4" w:space="0"/>
            </w:tcBorders>
            <w:noWrap/>
            <w:vAlign w:val="center"/>
          </w:tcPr>
          <w:p w14:paraId="5577133D">
            <w:pPr>
              <w:snapToGrid w:val="0"/>
              <w:spacing w:after="120" w:line="380" w:lineRule="exact"/>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投标人声明</w:t>
            </w:r>
            <w:r>
              <w:rPr>
                <w:rFonts w:hint="eastAsia" w:ascii="宋体" w:hAnsi="宋体" w:eastAsia="宋体" w:cs="宋体"/>
                <w:b w:val="0"/>
                <w:color w:val="auto"/>
                <w:sz w:val="21"/>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1F559FE2">
            <w:pPr>
              <w:snapToGrid w:val="0"/>
              <w:spacing w:line="380" w:lineRule="exact"/>
              <w:jc w:val="center"/>
              <w:rPr>
                <w:rFonts w:ascii="宋体" w:hAnsi="宋体" w:eastAsia="宋体" w:cs="宋体"/>
                <w:color w:val="auto"/>
                <w:szCs w:val="21"/>
                <w:highlight w:val="none"/>
              </w:rPr>
            </w:pPr>
          </w:p>
        </w:tc>
      </w:tr>
      <w:tr w14:paraId="2A3E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5DAEEA9">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13</w:t>
            </w:r>
          </w:p>
        </w:tc>
        <w:tc>
          <w:tcPr>
            <w:tcW w:w="5562" w:type="dxa"/>
            <w:tcBorders>
              <w:top w:val="single" w:color="auto" w:sz="4" w:space="0"/>
              <w:left w:val="single" w:color="auto" w:sz="4" w:space="0"/>
              <w:bottom w:val="single" w:color="auto" w:sz="4" w:space="0"/>
              <w:right w:val="single" w:color="auto" w:sz="4" w:space="0"/>
            </w:tcBorders>
            <w:noWrap/>
            <w:vAlign w:val="center"/>
          </w:tcPr>
          <w:p w14:paraId="46CB9E20">
            <w:pPr>
              <w:snapToGrid w:val="0"/>
              <w:spacing w:after="120" w:line="380" w:lineRule="exact"/>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w:t>
            </w:r>
            <w:r>
              <w:rPr>
                <w:rFonts w:hint="eastAsia" w:ascii="宋体" w:hAnsi="宋体" w:eastAsia="宋体" w:cs="宋体"/>
                <w:b w:val="0"/>
                <w:color w:val="auto"/>
                <w:sz w:val="21"/>
                <w:szCs w:val="21"/>
                <w:highlight w:val="none"/>
                <w:u w:val="single"/>
              </w:rPr>
              <w:t>（若为联合体投标，指联合体各方）</w:t>
            </w:r>
            <w:r>
              <w:rPr>
                <w:rFonts w:hint="eastAsia" w:ascii="宋体" w:hAnsi="宋体" w:eastAsia="宋体" w:cs="宋体"/>
                <w:b w:val="0"/>
                <w:color w:val="auto"/>
                <w:kern w:val="2"/>
                <w:sz w:val="21"/>
                <w:szCs w:val="21"/>
                <w:highlight w:val="none"/>
              </w:rPr>
              <w:t>未被列入拖欠农民工工资失信联合惩戒对象名单</w:t>
            </w:r>
            <w:r>
              <w:rPr>
                <w:rFonts w:hint="eastAsia" w:ascii="宋体" w:hAnsi="宋体" w:eastAsia="宋体" w:cs="宋体"/>
                <w:bCs w:val="0"/>
                <w:color w:val="auto"/>
                <w:kern w:val="2"/>
                <w:sz w:val="21"/>
                <w:szCs w:val="21"/>
                <w:highlight w:val="none"/>
              </w:rPr>
              <w:t>和失信被执行人</w:t>
            </w:r>
            <w:r>
              <w:rPr>
                <w:rFonts w:hint="eastAsia" w:ascii="宋体" w:hAnsi="宋体" w:eastAsia="宋体" w:cs="宋体"/>
                <w:b w:val="0"/>
                <w:color w:val="auto"/>
                <w:sz w:val="21"/>
                <w:szCs w:val="21"/>
                <w:highlight w:val="none"/>
              </w:rPr>
              <w:t>；</w:t>
            </w:r>
          </w:p>
        </w:tc>
        <w:tc>
          <w:tcPr>
            <w:tcW w:w="7364" w:type="dxa"/>
            <w:tcBorders>
              <w:top w:val="single" w:color="auto" w:sz="4" w:space="0"/>
              <w:left w:val="single" w:color="auto" w:sz="4" w:space="0"/>
              <w:bottom w:val="single" w:color="auto" w:sz="4" w:space="0"/>
              <w:right w:val="single" w:color="auto" w:sz="4" w:space="0"/>
            </w:tcBorders>
            <w:noWrap/>
            <w:vAlign w:val="center"/>
          </w:tcPr>
          <w:p w14:paraId="33EEFA15">
            <w:pPr>
              <w:snapToGrid w:val="0"/>
              <w:spacing w:after="120" w:line="380" w:lineRule="exact"/>
              <w:jc w:val="left"/>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投标人无需提供资料，按</w:t>
            </w:r>
            <w:r>
              <w:rPr>
                <w:rFonts w:hint="eastAsia" w:ascii="宋体" w:hAnsi="宋体" w:eastAsia="宋体" w:cs="宋体"/>
                <w:b w:val="0"/>
                <w:color w:val="auto"/>
                <w:sz w:val="21"/>
                <w:szCs w:val="21"/>
                <w:highlight w:val="none"/>
                <w:u w:val="single"/>
              </w:rPr>
              <w:t>投标截止时间广州交易集团有限公司（广州公共资源交易中心）</w:t>
            </w:r>
            <w:r>
              <w:rPr>
                <w:rFonts w:hint="eastAsia" w:ascii="宋体" w:hAnsi="宋体" w:eastAsia="宋体" w:cs="宋体"/>
                <w:b w:val="0"/>
                <w:color w:val="auto"/>
                <w:sz w:val="21"/>
                <w:szCs w:val="21"/>
                <w:highlight w:val="none"/>
              </w:rPr>
              <w:t>交易系统比对的结果进行评审。</w:t>
            </w:r>
          </w:p>
        </w:tc>
        <w:tc>
          <w:tcPr>
            <w:tcW w:w="1065" w:type="dxa"/>
            <w:tcBorders>
              <w:top w:val="single" w:color="auto" w:sz="4" w:space="0"/>
              <w:left w:val="single" w:color="auto" w:sz="4" w:space="0"/>
              <w:bottom w:val="single" w:color="auto" w:sz="4" w:space="0"/>
              <w:right w:val="single" w:color="auto" w:sz="4" w:space="0"/>
            </w:tcBorders>
            <w:noWrap/>
            <w:vAlign w:val="center"/>
          </w:tcPr>
          <w:p w14:paraId="21E2F1AE">
            <w:pPr>
              <w:snapToGrid w:val="0"/>
              <w:spacing w:line="380" w:lineRule="exact"/>
              <w:jc w:val="center"/>
              <w:rPr>
                <w:rFonts w:ascii="宋体" w:hAnsi="宋体" w:eastAsia="宋体" w:cs="宋体"/>
                <w:color w:val="auto"/>
                <w:szCs w:val="21"/>
                <w:highlight w:val="none"/>
              </w:rPr>
            </w:pPr>
          </w:p>
        </w:tc>
      </w:tr>
      <w:tr w14:paraId="5D32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8A079C9">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14</w:t>
            </w:r>
          </w:p>
        </w:tc>
        <w:tc>
          <w:tcPr>
            <w:tcW w:w="5562" w:type="dxa"/>
            <w:tcBorders>
              <w:top w:val="single" w:color="auto" w:sz="4" w:space="0"/>
              <w:left w:val="single" w:color="auto" w:sz="4" w:space="0"/>
              <w:bottom w:val="single" w:color="auto" w:sz="4" w:space="0"/>
              <w:right w:val="single" w:color="auto" w:sz="4" w:space="0"/>
            </w:tcBorders>
            <w:noWrap/>
            <w:vAlign w:val="center"/>
          </w:tcPr>
          <w:p w14:paraId="5BDB725E">
            <w:pPr>
              <w:snapToGrid w:val="0"/>
              <w:spacing w:after="120" w:line="380" w:lineRule="exact"/>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w:t>
            </w:r>
            <w:r>
              <w:rPr>
                <w:rFonts w:hint="eastAsia" w:ascii="宋体" w:hAnsi="宋体" w:eastAsia="宋体" w:cs="宋体"/>
                <w:b w:val="0"/>
                <w:color w:val="auto"/>
                <w:sz w:val="21"/>
                <w:szCs w:val="21"/>
                <w:highlight w:val="none"/>
                <w:u w:val="single"/>
              </w:rPr>
              <w:t>（若为联合体投标，指联合体各方）</w:t>
            </w:r>
            <w:r>
              <w:rPr>
                <w:rFonts w:hint="eastAsia" w:ascii="宋体" w:hAnsi="宋体" w:eastAsia="宋体" w:cs="宋体"/>
                <w:b w:val="0"/>
                <w:color w:val="auto"/>
                <w:sz w:val="21"/>
                <w:szCs w:val="21"/>
                <w:highlight w:val="none"/>
              </w:rPr>
              <w:t>未在以往工程中因不充分履约行为被本项目招标人书面拒绝投标的。</w:t>
            </w:r>
          </w:p>
        </w:tc>
        <w:tc>
          <w:tcPr>
            <w:tcW w:w="7364" w:type="dxa"/>
            <w:tcBorders>
              <w:top w:val="single" w:color="auto" w:sz="4" w:space="0"/>
              <w:left w:val="single" w:color="auto" w:sz="4" w:space="0"/>
              <w:bottom w:val="single" w:color="auto" w:sz="4" w:space="0"/>
              <w:right w:val="single" w:color="auto" w:sz="4" w:space="0"/>
            </w:tcBorders>
            <w:noWrap/>
            <w:vAlign w:val="center"/>
          </w:tcPr>
          <w:p w14:paraId="08E564D6">
            <w:pPr>
              <w:snapToGrid w:val="0"/>
              <w:spacing w:after="120" w:line="380" w:lineRule="exact"/>
              <w:jc w:val="left"/>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投标人无需提供资料，资格审查时，按招标公告附件三《被招标人拒绝投标的企业名单》进行评审。</w:t>
            </w:r>
          </w:p>
        </w:tc>
        <w:tc>
          <w:tcPr>
            <w:tcW w:w="1065" w:type="dxa"/>
            <w:tcBorders>
              <w:top w:val="single" w:color="auto" w:sz="4" w:space="0"/>
              <w:left w:val="single" w:color="auto" w:sz="4" w:space="0"/>
              <w:bottom w:val="single" w:color="auto" w:sz="4" w:space="0"/>
              <w:right w:val="single" w:color="auto" w:sz="4" w:space="0"/>
            </w:tcBorders>
            <w:noWrap/>
            <w:vAlign w:val="center"/>
          </w:tcPr>
          <w:p w14:paraId="4209313B">
            <w:pPr>
              <w:snapToGrid w:val="0"/>
              <w:spacing w:line="380" w:lineRule="exact"/>
              <w:jc w:val="center"/>
              <w:rPr>
                <w:rFonts w:ascii="宋体" w:hAnsi="宋体" w:eastAsia="宋体" w:cs="宋体"/>
                <w:color w:val="auto"/>
                <w:szCs w:val="21"/>
                <w:highlight w:val="none"/>
              </w:rPr>
            </w:pPr>
          </w:p>
        </w:tc>
      </w:tr>
    </w:tbl>
    <w:p w14:paraId="00267F0C">
      <w:pPr>
        <w:snapToGrid w:val="0"/>
        <w:spacing w:line="360" w:lineRule="auto"/>
        <w:ind w:firstLine="470" w:firstLineChars="224"/>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备注：</w:t>
      </w:r>
      <w:r>
        <w:rPr>
          <w:rFonts w:ascii="宋体" w:hAnsi="宋体" w:eastAsia="宋体" w:cs="宋体"/>
          <w:b w:val="0"/>
          <w:color w:val="auto"/>
          <w:sz w:val="21"/>
          <w:szCs w:val="21"/>
          <w:highlight w:val="none"/>
        </w:rPr>
        <w:t>1、每一项目符合的打“○”，不符合的打“×”；</w:t>
      </w:r>
    </w:p>
    <w:p w14:paraId="4714C640">
      <w:pPr>
        <w:snapToGrid w:val="0"/>
        <w:spacing w:line="360" w:lineRule="auto"/>
        <w:ind w:firstLine="470" w:firstLineChars="224"/>
        <w:rPr>
          <w:rFonts w:ascii="宋体" w:hAnsi="宋体" w:eastAsia="宋体" w:cs="宋体"/>
          <w:color w:val="auto"/>
          <w:szCs w:val="21"/>
          <w:highlight w:val="none"/>
        </w:rPr>
      </w:pPr>
      <w:r>
        <w:rPr>
          <w:rFonts w:ascii="宋体" w:hAnsi="宋体" w:eastAsia="宋体" w:cs="宋体"/>
          <w:b w:val="0"/>
          <w:color w:val="auto"/>
          <w:sz w:val="21"/>
          <w:szCs w:val="21"/>
          <w:highlight w:val="none"/>
        </w:rPr>
        <w:t>2、若评委意见不一致时，则按少数服从多数的原则，作出评审结论。汇总后，出现一个“×”的结论为“不通过”。</w:t>
      </w:r>
    </w:p>
    <w:p w14:paraId="5D195F90">
      <w:pPr>
        <w:snapToGrid w:val="0"/>
        <w:spacing w:line="360" w:lineRule="auto"/>
        <w:ind w:firstLine="470" w:firstLineChars="224"/>
        <w:rPr>
          <w:rFonts w:ascii="宋体" w:hAnsi="宋体" w:eastAsia="宋体" w:cs="宋体"/>
          <w:color w:val="auto"/>
          <w:szCs w:val="21"/>
          <w:highlight w:val="none"/>
        </w:rPr>
      </w:pPr>
      <w:r>
        <w:rPr>
          <w:rFonts w:ascii="宋体" w:hAnsi="宋体" w:eastAsia="宋体" w:cs="宋体"/>
          <w:b w:val="0"/>
          <w:color w:val="auto"/>
          <w:sz w:val="21"/>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B859394">
      <w:pPr>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Cs w:val="21"/>
          <w:highlight w:val="none"/>
        </w:rPr>
        <w:t>4.</w:t>
      </w:r>
      <w:r>
        <w:rPr>
          <w:rFonts w:hint="eastAsia" w:ascii="宋体" w:hAnsi="宋体" w:eastAsia="宋体" w:cs="宋体"/>
          <w:b w:val="0"/>
          <w:color w:val="auto"/>
          <w:szCs w:val="21"/>
          <w:highlight w:val="none"/>
          <w:u w:val="single"/>
        </w:rPr>
        <w:t>如对本表中某种情形的评审意见不一致时，以评标委员会过半数成员的意见作为评标委员会对该情形的认定结论</w:t>
      </w:r>
      <w:r>
        <w:rPr>
          <w:rFonts w:hint="eastAsia" w:ascii="宋体" w:hAnsi="宋体" w:eastAsia="宋体" w:cs="宋体"/>
          <w:b w:val="0"/>
          <w:color w:val="auto"/>
          <w:szCs w:val="21"/>
          <w:highlight w:val="none"/>
        </w:rPr>
        <w:t>。</w:t>
      </w:r>
    </w:p>
    <w:p w14:paraId="71B42FBC">
      <w:pPr>
        <w:spacing w:line="276" w:lineRule="auto"/>
        <w:ind w:firstLine="420" w:firstLineChars="200"/>
        <w:jc w:val="left"/>
        <w:rPr>
          <w:rFonts w:ascii="宋体" w:hAnsi="宋体" w:eastAsia="宋体" w:cs="宋体"/>
          <w:color w:val="auto"/>
          <w:szCs w:val="21"/>
          <w:highlight w:val="none"/>
        </w:rPr>
      </w:pPr>
    </w:p>
    <w:p w14:paraId="502782E4">
      <w:pPr>
        <w:snapToGrid w:val="0"/>
        <w:spacing w:line="360" w:lineRule="auto"/>
        <w:ind w:firstLine="472" w:firstLineChars="224"/>
        <w:rPr>
          <w:rFonts w:ascii="宋体" w:hAnsi="宋体" w:eastAsia="宋体" w:cs="宋体"/>
          <w:color w:val="auto"/>
          <w:szCs w:val="21"/>
          <w:highlight w:val="none"/>
        </w:rPr>
      </w:pPr>
      <w:r>
        <w:rPr>
          <w:rFonts w:hint="eastAsia" w:ascii="宋体" w:hAnsi="宋体" w:eastAsia="宋体" w:cs="宋体"/>
          <w:b/>
          <w:bCs/>
          <w:color w:val="auto"/>
          <w:szCs w:val="21"/>
          <w:highlight w:val="none"/>
        </w:rPr>
        <w:t>评委签名：</w:t>
      </w:r>
    </w:p>
    <w:p w14:paraId="57197EDF">
      <w:pPr>
        <w:snapToGrid w:val="0"/>
        <w:spacing w:line="360" w:lineRule="auto"/>
        <w:ind w:firstLine="537" w:firstLineChars="224"/>
        <w:rPr>
          <w:rFonts w:ascii="宋体" w:hAnsi="宋体" w:eastAsia="宋体" w:cs="宋体"/>
          <w:color w:val="auto"/>
          <w:sz w:val="24"/>
          <w:highlight w:val="none"/>
        </w:rPr>
      </w:pPr>
    </w:p>
    <w:p w14:paraId="6ED97F72">
      <w:pPr>
        <w:snapToGrid w:val="0"/>
        <w:spacing w:line="360" w:lineRule="auto"/>
        <w:rPr>
          <w:rFonts w:ascii="宋体" w:hAnsi="宋体" w:eastAsia="宋体" w:cs="宋体"/>
          <w:color w:val="auto"/>
          <w:sz w:val="24"/>
          <w:highlight w:val="none"/>
        </w:rPr>
        <w:sectPr>
          <w:endnotePr>
            <w:numFmt w:val="decimal"/>
          </w:endnotePr>
          <w:pgSz w:w="16838" w:h="11906" w:orient="landscape"/>
          <w:pgMar w:top="1440" w:right="1440" w:bottom="1440" w:left="1440" w:header="851" w:footer="992" w:gutter="0"/>
          <w:pgNumType w:fmt="decimal"/>
          <w:cols w:space="0" w:num="1"/>
          <w:docGrid w:type="lines" w:linePitch="322" w:charSpace="0"/>
        </w:sectPr>
      </w:pPr>
    </w:p>
    <w:p w14:paraId="0BC1A532">
      <w:pPr>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附表二</w:t>
      </w:r>
    </w:p>
    <w:p w14:paraId="3AFF3B3D">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技术标有效性审查表</w:t>
      </w:r>
    </w:p>
    <w:p w14:paraId="3CA69B23">
      <w:pPr>
        <w:snapToGrid w:val="0"/>
        <w:spacing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工程名称：</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2275"/>
        <w:gridCol w:w="507"/>
        <w:gridCol w:w="507"/>
        <w:gridCol w:w="507"/>
      </w:tblGrid>
      <w:tr w14:paraId="39F9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44E38586">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序号</w:t>
            </w:r>
          </w:p>
        </w:tc>
        <w:tc>
          <w:tcPr>
            <w:tcW w:w="4328" w:type="pct"/>
            <w:tcBorders>
              <w:top w:val="single" w:color="auto" w:sz="4" w:space="0"/>
              <w:left w:val="single" w:color="auto" w:sz="4" w:space="0"/>
              <w:bottom w:val="single" w:color="auto" w:sz="4" w:space="0"/>
              <w:right w:val="single" w:color="auto" w:sz="4" w:space="0"/>
              <w:tl2br w:val="single" w:color="auto" w:sz="4" w:space="0"/>
            </w:tcBorders>
            <w:noWrap/>
          </w:tcPr>
          <w:p w14:paraId="230BC3E9">
            <w:pPr>
              <w:adjustRightInd w:val="0"/>
              <w:snapToGrid w:val="0"/>
              <w:spacing w:line="360" w:lineRule="auto"/>
              <w:ind w:firstLine="8400" w:firstLineChars="40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w:t>
            </w:r>
          </w:p>
          <w:p w14:paraId="38366BD0">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评审内容</w:t>
            </w:r>
          </w:p>
        </w:tc>
        <w:tc>
          <w:tcPr>
            <w:tcW w:w="179" w:type="pct"/>
            <w:tcBorders>
              <w:top w:val="single" w:color="auto" w:sz="4" w:space="0"/>
              <w:left w:val="single" w:color="auto" w:sz="4" w:space="0"/>
              <w:bottom w:val="single" w:color="auto" w:sz="4" w:space="0"/>
              <w:right w:val="single" w:color="auto" w:sz="4" w:space="0"/>
            </w:tcBorders>
            <w:noWrap/>
          </w:tcPr>
          <w:p w14:paraId="74C6EEC0">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2FDE12B1">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27EF7E0C">
            <w:pPr>
              <w:adjustRightInd w:val="0"/>
              <w:snapToGrid w:val="0"/>
              <w:spacing w:line="360" w:lineRule="auto"/>
              <w:rPr>
                <w:rFonts w:ascii="宋体" w:hAnsi="宋体" w:eastAsia="宋体" w:cs="宋体"/>
                <w:color w:val="auto"/>
                <w:szCs w:val="21"/>
                <w:highlight w:val="none"/>
              </w:rPr>
            </w:pPr>
          </w:p>
        </w:tc>
      </w:tr>
      <w:tr w14:paraId="4F4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7723BB69">
            <w:pPr>
              <w:adjustRightInd w:val="0"/>
              <w:snapToGrid w:val="0"/>
              <w:spacing w:line="360"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1</w:t>
            </w:r>
          </w:p>
        </w:tc>
        <w:tc>
          <w:tcPr>
            <w:tcW w:w="4328" w:type="pct"/>
            <w:tcBorders>
              <w:top w:val="single" w:color="auto" w:sz="4" w:space="0"/>
              <w:left w:val="single" w:color="auto" w:sz="4" w:space="0"/>
              <w:bottom w:val="single" w:color="auto" w:sz="4" w:space="0"/>
              <w:right w:val="single" w:color="auto" w:sz="4" w:space="0"/>
            </w:tcBorders>
            <w:noWrap/>
            <w:vAlign w:val="center"/>
          </w:tcPr>
          <w:p w14:paraId="7E79A360">
            <w:pPr>
              <w:adjustRightInd w:val="0"/>
              <w:snapToGrid w:val="0"/>
              <w:spacing w:after="120" w:line="360"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u w:val="single"/>
              </w:rPr>
              <w:t>《广州建设工程施工招标投标书（技术标）》中填报的投标总工期不符合招标文件要求的；</w:t>
            </w:r>
          </w:p>
        </w:tc>
        <w:tc>
          <w:tcPr>
            <w:tcW w:w="179" w:type="pct"/>
            <w:tcBorders>
              <w:top w:val="single" w:color="auto" w:sz="4" w:space="0"/>
              <w:left w:val="single" w:color="auto" w:sz="4" w:space="0"/>
              <w:bottom w:val="single" w:color="auto" w:sz="4" w:space="0"/>
              <w:right w:val="single" w:color="auto" w:sz="4" w:space="0"/>
            </w:tcBorders>
            <w:noWrap/>
          </w:tcPr>
          <w:p w14:paraId="3363459B">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258109B6">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5624672A">
            <w:pPr>
              <w:adjustRightInd w:val="0"/>
              <w:snapToGrid w:val="0"/>
              <w:spacing w:line="360" w:lineRule="auto"/>
              <w:rPr>
                <w:rFonts w:ascii="宋体" w:hAnsi="宋体" w:eastAsia="宋体" w:cs="宋体"/>
                <w:color w:val="auto"/>
                <w:szCs w:val="21"/>
                <w:highlight w:val="none"/>
              </w:rPr>
            </w:pPr>
          </w:p>
        </w:tc>
      </w:tr>
      <w:tr w14:paraId="412F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2A1FAE8E">
            <w:pPr>
              <w:adjustRightInd w:val="0"/>
              <w:snapToGrid w:val="0"/>
              <w:spacing w:after="120" w:line="360"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2</w:t>
            </w:r>
          </w:p>
        </w:tc>
        <w:tc>
          <w:tcPr>
            <w:tcW w:w="4328" w:type="pct"/>
            <w:tcBorders>
              <w:top w:val="single" w:color="auto" w:sz="4" w:space="0"/>
              <w:left w:val="single" w:color="auto" w:sz="4" w:space="0"/>
              <w:bottom w:val="single" w:color="auto" w:sz="4" w:space="0"/>
              <w:right w:val="single" w:color="auto" w:sz="4" w:space="0"/>
            </w:tcBorders>
            <w:noWrap/>
            <w:vAlign w:val="center"/>
          </w:tcPr>
          <w:p w14:paraId="6AD73AA6">
            <w:pPr>
              <w:adjustRightInd w:val="0"/>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u w:val="single"/>
              </w:rPr>
              <w:t>《广州建设工程施工招标投标书（技术标）》中填报的工程质量标准不符合招标文件要求的；</w:t>
            </w:r>
          </w:p>
        </w:tc>
        <w:tc>
          <w:tcPr>
            <w:tcW w:w="179" w:type="pct"/>
            <w:tcBorders>
              <w:top w:val="single" w:color="auto" w:sz="4" w:space="0"/>
              <w:left w:val="single" w:color="auto" w:sz="4" w:space="0"/>
              <w:bottom w:val="single" w:color="auto" w:sz="4" w:space="0"/>
              <w:right w:val="single" w:color="auto" w:sz="4" w:space="0"/>
            </w:tcBorders>
            <w:noWrap/>
          </w:tcPr>
          <w:p w14:paraId="6C301FF4">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69618146">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73276EF6">
            <w:pPr>
              <w:adjustRightInd w:val="0"/>
              <w:snapToGrid w:val="0"/>
              <w:spacing w:line="360" w:lineRule="auto"/>
              <w:rPr>
                <w:rFonts w:ascii="宋体" w:hAnsi="宋体" w:eastAsia="宋体" w:cs="宋体"/>
                <w:color w:val="auto"/>
                <w:szCs w:val="21"/>
                <w:highlight w:val="none"/>
              </w:rPr>
            </w:pPr>
          </w:p>
        </w:tc>
      </w:tr>
      <w:tr w14:paraId="4328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5996364F">
            <w:pPr>
              <w:adjustRightInd w:val="0"/>
              <w:snapToGrid w:val="0"/>
              <w:spacing w:after="120" w:line="360" w:lineRule="auto"/>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3</w:t>
            </w:r>
          </w:p>
        </w:tc>
        <w:tc>
          <w:tcPr>
            <w:tcW w:w="4328" w:type="pct"/>
            <w:tcBorders>
              <w:top w:val="single" w:color="auto" w:sz="4" w:space="0"/>
              <w:left w:val="single" w:color="auto" w:sz="4" w:space="0"/>
              <w:bottom w:val="single" w:color="auto" w:sz="4" w:space="0"/>
              <w:right w:val="single" w:color="auto" w:sz="4" w:space="0"/>
            </w:tcBorders>
            <w:noWrap/>
            <w:vAlign w:val="center"/>
          </w:tcPr>
          <w:p w14:paraId="6217704C">
            <w:pPr>
              <w:adjustRightInd w:val="0"/>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投标文件中没有有效的法定代表人证明书，或由委托代理人签署的投标文件中没有法定代表人授权书；</w:t>
            </w:r>
          </w:p>
        </w:tc>
        <w:tc>
          <w:tcPr>
            <w:tcW w:w="179" w:type="pct"/>
            <w:tcBorders>
              <w:top w:val="single" w:color="auto" w:sz="4" w:space="0"/>
              <w:left w:val="single" w:color="auto" w:sz="4" w:space="0"/>
              <w:bottom w:val="single" w:color="auto" w:sz="4" w:space="0"/>
              <w:right w:val="single" w:color="auto" w:sz="4" w:space="0"/>
            </w:tcBorders>
            <w:noWrap/>
          </w:tcPr>
          <w:p w14:paraId="482166C0">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749A6F0F">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5B9D9544">
            <w:pPr>
              <w:adjustRightInd w:val="0"/>
              <w:snapToGrid w:val="0"/>
              <w:spacing w:line="360" w:lineRule="auto"/>
              <w:rPr>
                <w:rFonts w:ascii="宋体" w:hAnsi="宋体" w:eastAsia="宋体" w:cs="宋体"/>
                <w:color w:val="auto"/>
                <w:szCs w:val="21"/>
                <w:highlight w:val="none"/>
              </w:rPr>
            </w:pPr>
          </w:p>
        </w:tc>
      </w:tr>
      <w:tr w14:paraId="1C4E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0D424DD3">
            <w:pPr>
              <w:adjustRightInd w:val="0"/>
              <w:snapToGrid w:val="0"/>
              <w:spacing w:after="120" w:line="360" w:lineRule="auto"/>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4</w:t>
            </w:r>
          </w:p>
        </w:tc>
        <w:tc>
          <w:tcPr>
            <w:tcW w:w="4328" w:type="pct"/>
            <w:tcBorders>
              <w:top w:val="single" w:color="auto" w:sz="4" w:space="0"/>
              <w:left w:val="single" w:color="auto" w:sz="4" w:space="0"/>
              <w:bottom w:val="single" w:color="auto" w:sz="4" w:space="0"/>
              <w:right w:val="single" w:color="auto" w:sz="4" w:space="0"/>
            </w:tcBorders>
            <w:noWrap/>
            <w:vAlign w:val="center"/>
          </w:tcPr>
          <w:p w14:paraId="7032295C">
            <w:pPr>
              <w:adjustRightInd w:val="0"/>
              <w:snapToGrid w:val="0"/>
              <w:spacing w:after="120" w:line="360" w:lineRule="auto"/>
              <w:rPr>
                <w:rFonts w:ascii="宋体" w:hAnsi="宋体" w:eastAsia="宋体" w:cs="宋体"/>
                <w:color w:val="auto"/>
                <w:szCs w:val="21"/>
                <w:highlight w:val="none"/>
                <w:u w:val="single"/>
              </w:rPr>
            </w:pPr>
            <w:r>
              <w:rPr>
                <w:rFonts w:hint="eastAsia" w:ascii="宋体" w:hAnsi="宋体" w:eastAsia="宋体" w:cs="宋体"/>
                <w:b w:val="0"/>
                <w:color w:val="auto"/>
                <w:sz w:val="21"/>
                <w:szCs w:val="21"/>
                <w:highlight w:val="none"/>
              </w:rPr>
              <w:t>投标文件未按规定的格式填写</w:t>
            </w:r>
            <w:r>
              <w:rPr>
                <w:rFonts w:hint="eastAsia" w:ascii="宋体" w:hAnsi="宋体" w:eastAsia="宋体" w:cs="宋体"/>
                <w:b w:val="0"/>
                <w:color w:val="auto"/>
                <w:sz w:val="21"/>
                <w:szCs w:val="21"/>
                <w:highlight w:val="none"/>
                <w:u w:val="single"/>
              </w:rPr>
              <w:t>（指招标文件第四章提供格式的《广州建设工程施工招标投标书（技术标）》《投标函》《危险性较大的分部分项工程安全管理措施》）</w:t>
            </w:r>
            <w:r>
              <w:rPr>
                <w:rFonts w:hint="eastAsia" w:ascii="宋体" w:hAnsi="宋体" w:eastAsia="宋体" w:cs="宋体"/>
                <w:b w:val="0"/>
                <w:color w:val="auto"/>
                <w:sz w:val="21"/>
                <w:szCs w:val="21"/>
                <w:highlight w:val="none"/>
              </w:rPr>
              <w:t>，或主要内容（指投标文件组成内容）不全，或关键字迹模糊、无法辨认的；</w:t>
            </w:r>
          </w:p>
        </w:tc>
        <w:tc>
          <w:tcPr>
            <w:tcW w:w="179" w:type="pct"/>
            <w:tcBorders>
              <w:top w:val="single" w:color="auto" w:sz="4" w:space="0"/>
              <w:left w:val="single" w:color="auto" w:sz="4" w:space="0"/>
              <w:bottom w:val="single" w:color="auto" w:sz="4" w:space="0"/>
              <w:right w:val="single" w:color="auto" w:sz="4" w:space="0"/>
            </w:tcBorders>
            <w:noWrap/>
          </w:tcPr>
          <w:p w14:paraId="500F61BC">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08F8FBCB">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26E10ADF">
            <w:pPr>
              <w:adjustRightInd w:val="0"/>
              <w:snapToGrid w:val="0"/>
              <w:spacing w:line="360" w:lineRule="auto"/>
              <w:rPr>
                <w:rFonts w:ascii="宋体" w:hAnsi="宋体" w:eastAsia="宋体" w:cs="宋体"/>
                <w:color w:val="auto"/>
                <w:szCs w:val="21"/>
                <w:highlight w:val="none"/>
              </w:rPr>
            </w:pPr>
          </w:p>
        </w:tc>
      </w:tr>
      <w:tr w14:paraId="44C5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2739D3C6">
            <w:pPr>
              <w:adjustRightInd w:val="0"/>
              <w:snapToGrid w:val="0"/>
              <w:spacing w:after="120" w:line="360" w:lineRule="auto"/>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5</w:t>
            </w:r>
          </w:p>
        </w:tc>
        <w:tc>
          <w:tcPr>
            <w:tcW w:w="4328" w:type="pct"/>
            <w:tcBorders>
              <w:top w:val="single" w:color="auto" w:sz="4" w:space="0"/>
              <w:left w:val="single" w:color="auto" w:sz="4" w:space="0"/>
              <w:bottom w:val="single" w:color="auto" w:sz="4" w:space="0"/>
              <w:right w:val="single" w:color="auto" w:sz="4" w:space="0"/>
            </w:tcBorders>
            <w:noWrap/>
            <w:vAlign w:val="center"/>
          </w:tcPr>
          <w:p w14:paraId="2BABCEBE">
            <w:pPr>
              <w:adjustRightInd w:val="0"/>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投标人之间存在《广东省实施＜中华人民共和国招标投标法＞》第十六条所禁止的情形的；</w:t>
            </w:r>
          </w:p>
        </w:tc>
        <w:tc>
          <w:tcPr>
            <w:tcW w:w="179" w:type="pct"/>
            <w:tcBorders>
              <w:top w:val="single" w:color="auto" w:sz="4" w:space="0"/>
              <w:left w:val="single" w:color="auto" w:sz="4" w:space="0"/>
              <w:bottom w:val="single" w:color="auto" w:sz="4" w:space="0"/>
              <w:right w:val="single" w:color="auto" w:sz="4" w:space="0"/>
            </w:tcBorders>
            <w:noWrap/>
          </w:tcPr>
          <w:p w14:paraId="4FE9E842">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4A1F8932">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77118FAA">
            <w:pPr>
              <w:adjustRightInd w:val="0"/>
              <w:snapToGrid w:val="0"/>
              <w:spacing w:line="360" w:lineRule="auto"/>
              <w:rPr>
                <w:rFonts w:ascii="宋体" w:hAnsi="宋体" w:eastAsia="宋体" w:cs="宋体"/>
                <w:color w:val="auto"/>
                <w:szCs w:val="21"/>
                <w:highlight w:val="none"/>
              </w:rPr>
            </w:pPr>
          </w:p>
        </w:tc>
      </w:tr>
      <w:tr w14:paraId="452D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096D531B">
            <w:pPr>
              <w:adjustRightInd w:val="0"/>
              <w:snapToGrid w:val="0"/>
              <w:spacing w:after="120" w:line="360" w:lineRule="auto"/>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6</w:t>
            </w:r>
          </w:p>
        </w:tc>
        <w:tc>
          <w:tcPr>
            <w:tcW w:w="4328" w:type="pct"/>
            <w:tcBorders>
              <w:top w:val="single" w:color="auto" w:sz="4" w:space="0"/>
              <w:left w:val="single" w:color="auto" w:sz="4" w:space="0"/>
              <w:bottom w:val="single" w:color="auto" w:sz="4" w:space="0"/>
              <w:right w:val="single" w:color="auto" w:sz="4" w:space="0"/>
            </w:tcBorders>
            <w:noWrap/>
            <w:vAlign w:val="center"/>
          </w:tcPr>
          <w:p w14:paraId="3398BF00">
            <w:pPr>
              <w:adjustRightInd w:val="0"/>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无《参与编制技术标投标文件人员名单》的；</w:t>
            </w:r>
            <w:r>
              <w:rPr>
                <w:rFonts w:hint="eastAsia" w:ascii="宋体" w:hAnsi="宋体" w:eastAsia="宋体" w:cs="宋体"/>
                <w:b w:val="0"/>
                <w:color w:val="auto"/>
                <w:sz w:val="21"/>
                <w:szCs w:val="21"/>
                <w:highlight w:val="none"/>
                <w:u w:val="single"/>
              </w:rPr>
              <w:t>或未提供《参与编制技术标投标文件人员名单》表中人员</w:t>
            </w:r>
            <w:r>
              <w:rPr>
                <w:rFonts w:hint="eastAsia" w:ascii="宋体" w:hAnsi="宋体" w:eastAsia="宋体" w:cs="宋体"/>
                <w:b w:val="0"/>
                <w:color w:val="auto"/>
                <w:sz w:val="21"/>
                <w:szCs w:val="21"/>
                <w:highlight w:val="none"/>
                <w:u w:val="single"/>
                <w:lang w:val="en-US" w:eastAsia="zh-CN"/>
              </w:rPr>
              <w:t>的</w:t>
            </w:r>
            <w:r>
              <w:rPr>
                <w:rFonts w:hint="eastAsia" w:ascii="宋体" w:hAnsi="宋体" w:eastAsia="宋体" w:cs="宋体"/>
                <w:b w:val="0"/>
                <w:color w:val="auto"/>
                <w:sz w:val="21"/>
                <w:szCs w:val="21"/>
                <w:highlight w:val="none"/>
                <w:u w:val="single"/>
              </w:rPr>
              <w:t>离投标截止时间最近的至少1个月（</w:t>
            </w:r>
            <w:r>
              <w:rPr>
                <w:rFonts w:hint="eastAsia" w:ascii="宋体" w:hAnsi="宋体" w:eastAsia="宋体" w:cs="宋体"/>
                <w:b w:val="0"/>
                <w:color w:val="auto"/>
                <w:sz w:val="21"/>
                <w:szCs w:val="21"/>
                <w:highlight w:val="none"/>
                <w:u w:val="single"/>
                <w:lang w:eastAsia="zh-CN"/>
              </w:rPr>
              <w:t>2025年8月或7月</w:t>
            </w:r>
            <w:r>
              <w:rPr>
                <w:rFonts w:hint="eastAsia" w:ascii="宋体" w:hAnsi="宋体" w:eastAsia="宋体" w:cs="宋体"/>
                <w:b w:val="0"/>
                <w:color w:val="auto"/>
                <w:sz w:val="21"/>
                <w:szCs w:val="21"/>
                <w:highlight w:val="none"/>
                <w:u w:val="single"/>
              </w:rPr>
              <w:t>）在本单位缴纳的社保证明文件。</w:t>
            </w:r>
          </w:p>
        </w:tc>
        <w:tc>
          <w:tcPr>
            <w:tcW w:w="179" w:type="pct"/>
            <w:tcBorders>
              <w:top w:val="single" w:color="auto" w:sz="4" w:space="0"/>
              <w:left w:val="single" w:color="auto" w:sz="4" w:space="0"/>
              <w:bottom w:val="single" w:color="auto" w:sz="4" w:space="0"/>
              <w:right w:val="single" w:color="auto" w:sz="4" w:space="0"/>
            </w:tcBorders>
            <w:noWrap/>
          </w:tcPr>
          <w:p w14:paraId="18C54A29">
            <w:pPr>
              <w:adjustRightInd w:val="0"/>
              <w:snapToGrid w:val="0"/>
              <w:spacing w:line="360" w:lineRule="auto"/>
              <w:rPr>
                <w:rFonts w:ascii="宋体" w:hAnsi="宋体" w:eastAsia="宋体" w:cs="宋体"/>
                <w:color w:val="auto"/>
                <w:szCs w:val="21"/>
                <w:highlight w:val="none"/>
                <w:shd w:val="pct10" w:color="auto" w:fill="FFFFFF"/>
              </w:rPr>
            </w:pPr>
          </w:p>
        </w:tc>
        <w:tc>
          <w:tcPr>
            <w:tcW w:w="179" w:type="pct"/>
            <w:tcBorders>
              <w:top w:val="single" w:color="auto" w:sz="4" w:space="0"/>
              <w:left w:val="single" w:color="auto" w:sz="4" w:space="0"/>
              <w:bottom w:val="single" w:color="auto" w:sz="4" w:space="0"/>
              <w:right w:val="single" w:color="auto" w:sz="4" w:space="0"/>
            </w:tcBorders>
            <w:noWrap/>
          </w:tcPr>
          <w:p w14:paraId="13399F00">
            <w:pPr>
              <w:adjustRightInd w:val="0"/>
              <w:snapToGrid w:val="0"/>
              <w:spacing w:line="360" w:lineRule="auto"/>
              <w:rPr>
                <w:rFonts w:ascii="宋体" w:hAnsi="宋体" w:eastAsia="宋体" w:cs="宋体"/>
                <w:color w:val="auto"/>
                <w:szCs w:val="21"/>
                <w:highlight w:val="none"/>
                <w:shd w:val="pct10" w:color="auto" w:fill="FFFFFF"/>
              </w:rPr>
            </w:pPr>
          </w:p>
        </w:tc>
        <w:tc>
          <w:tcPr>
            <w:tcW w:w="179" w:type="pct"/>
            <w:tcBorders>
              <w:top w:val="single" w:color="auto" w:sz="4" w:space="0"/>
              <w:left w:val="single" w:color="auto" w:sz="4" w:space="0"/>
              <w:bottom w:val="single" w:color="auto" w:sz="4" w:space="0"/>
              <w:right w:val="single" w:color="auto" w:sz="4" w:space="0"/>
            </w:tcBorders>
            <w:noWrap/>
          </w:tcPr>
          <w:p w14:paraId="6E6551C9">
            <w:pPr>
              <w:adjustRightInd w:val="0"/>
              <w:snapToGrid w:val="0"/>
              <w:spacing w:line="360" w:lineRule="auto"/>
              <w:rPr>
                <w:rFonts w:ascii="宋体" w:hAnsi="宋体" w:eastAsia="宋体" w:cs="宋体"/>
                <w:color w:val="auto"/>
                <w:szCs w:val="21"/>
                <w:highlight w:val="none"/>
                <w:shd w:val="pct10" w:color="auto" w:fill="FFFFFF"/>
              </w:rPr>
            </w:pPr>
          </w:p>
        </w:tc>
      </w:tr>
      <w:tr w14:paraId="563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7A511B5A">
            <w:pPr>
              <w:adjustRightInd w:val="0"/>
              <w:snapToGrid w:val="0"/>
              <w:spacing w:after="120" w:line="360" w:lineRule="auto"/>
              <w:rPr>
                <w:rFonts w:ascii="宋体" w:hAnsi="宋体" w:eastAsia="宋体" w:cs="宋体"/>
                <w:color w:val="auto"/>
                <w:szCs w:val="21"/>
                <w:highlight w:val="none"/>
                <w:u w:val="single"/>
              </w:rPr>
            </w:pPr>
            <w:r>
              <w:rPr>
                <w:rFonts w:ascii="宋体" w:hAnsi="宋体" w:eastAsia="宋体" w:cs="宋体"/>
                <w:b w:val="0"/>
                <w:color w:val="auto"/>
                <w:sz w:val="21"/>
                <w:szCs w:val="21"/>
                <w:highlight w:val="none"/>
                <w:u w:val="single"/>
              </w:rPr>
              <w:t>7</w:t>
            </w:r>
          </w:p>
        </w:tc>
        <w:tc>
          <w:tcPr>
            <w:tcW w:w="4328" w:type="pct"/>
            <w:tcBorders>
              <w:top w:val="single" w:color="auto" w:sz="4" w:space="0"/>
              <w:left w:val="single" w:color="auto" w:sz="4" w:space="0"/>
              <w:bottom w:val="single" w:color="auto" w:sz="4" w:space="0"/>
              <w:right w:val="single" w:color="auto" w:sz="4" w:space="0"/>
            </w:tcBorders>
            <w:noWrap/>
            <w:vAlign w:val="center"/>
          </w:tcPr>
          <w:p w14:paraId="17EA7236">
            <w:pPr>
              <w:adjustRightInd w:val="0"/>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投标人与本项目其他投标人加密打包投标文件电脑机器特征码一致的</w:t>
            </w:r>
            <w:r>
              <w:rPr>
                <w:rFonts w:ascii="宋体" w:hAnsi="宋体" w:eastAsia="宋体" w:cs="宋体"/>
                <w:b w:val="0"/>
                <w:color w:val="auto"/>
                <w:sz w:val="21"/>
                <w:szCs w:val="21"/>
                <w:highlight w:val="none"/>
              </w:rPr>
              <w:t>[以</w:t>
            </w:r>
            <w:r>
              <w:rPr>
                <w:rFonts w:hint="eastAsia" w:ascii="宋体" w:hAnsi="宋体" w:eastAsia="宋体" w:cs="宋体"/>
                <w:b w:val="0"/>
                <w:color w:val="auto"/>
                <w:sz w:val="21"/>
                <w:szCs w:val="21"/>
                <w:highlight w:val="none"/>
                <w:u w:val="single"/>
              </w:rPr>
              <w:t>广州交易集团有限公司（广州公共资源交易中心）</w:t>
            </w:r>
            <w:r>
              <w:rPr>
                <w:rFonts w:hint="eastAsia" w:ascii="宋体" w:hAnsi="宋体" w:eastAsia="宋体" w:cs="宋体"/>
                <w:b w:val="0"/>
                <w:color w:val="auto"/>
                <w:sz w:val="21"/>
                <w:szCs w:val="21"/>
                <w:highlight w:val="none"/>
              </w:rPr>
              <w:t>交易平台评标系统的检索信息为准</w:t>
            </w:r>
            <w:r>
              <w:rPr>
                <w:rFonts w:ascii="宋体" w:hAnsi="宋体" w:eastAsia="宋体" w:cs="宋体"/>
                <w:b w:val="0"/>
                <w:color w:val="auto"/>
                <w:sz w:val="21"/>
                <w:szCs w:val="21"/>
                <w:highlight w:val="none"/>
              </w:rPr>
              <w:t>]。</w:t>
            </w:r>
          </w:p>
        </w:tc>
        <w:tc>
          <w:tcPr>
            <w:tcW w:w="179" w:type="pct"/>
            <w:tcBorders>
              <w:top w:val="single" w:color="auto" w:sz="4" w:space="0"/>
              <w:left w:val="single" w:color="auto" w:sz="4" w:space="0"/>
              <w:bottom w:val="single" w:color="auto" w:sz="4" w:space="0"/>
              <w:right w:val="single" w:color="auto" w:sz="4" w:space="0"/>
            </w:tcBorders>
            <w:noWrap/>
          </w:tcPr>
          <w:p w14:paraId="42FD2D5D">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552C762A">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0533D83B">
            <w:pPr>
              <w:adjustRightInd w:val="0"/>
              <w:snapToGrid w:val="0"/>
              <w:spacing w:line="360" w:lineRule="auto"/>
              <w:rPr>
                <w:rFonts w:ascii="宋体" w:hAnsi="宋体" w:eastAsia="宋体" w:cs="宋体"/>
                <w:color w:val="auto"/>
                <w:szCs w:val="21"/>
                <w:highlight w:val="none"/>
              </w:rPr>
            </w:pPr>
          </w:p>
        </w:tc>
      </w:tr>
    </w:tbl>
    <w:p w14:paraId="72E30B2A">
      <w:pPr>
        <w:snapToGrid w:val="0"/>
        <w:spacing w:line="360" w:lineRule="auto"/>
        <w:rPr>
          <w:rFonts w:ascii="宋体" w:hAnsi="宋体" w:eastAsia="宋体" w:cs="宋体"/>
          <w:color w:val="auto"/>
          <w:szCs w:val="21"/>
          <w:highlight w:val="none"/>
        </w:rPr>
      </w:pPr>
    </w:p>
    <w:p w14:paraId="72C2498E">
      <w:pPr>
        <w:snapToGrid w:val="0"/>
        <w:spacing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注：</w:t>
      </w:r>
      <w:r>
        <w:rPr>
          <w:rFonts w:ascii="宋体" w:hAnsi="宋体" w:eastAsia="宋体" w:cs="宋体"/>
          <w:b w:val="0"/>
          <w:color w:val="auto"/>
          <w:sz w:val="21"/>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14:paraId="6A06FE9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15FAB9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3.凡出现以上任何一项情形，结论均为无效，否则就为有效。</w:t>
      </w:r>
    </w:p>
    <w:p w14:paraId="49CC3EE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 w:val="0"/>
          <w:color w:val="auto"/>
          <w:sz w:val="21"/>
          <w:szCs w:val="21"/>
          <w:highlight w:val="none"/>
        </w:rPr>
        <w:t>4.如对本表中某种情形的评审意见不一致时，以评标委员会过半数成员的意见作为评标委员会对该情形的认定结论。</w:t>
      </w:r>
    </w:p>
    <w:p w14:paraId="442A8AF3">
      <w:pPr>
        <w:snapToGrid w:val="0"/>
        <w:spacing w:line="360" w:lineRule="auto"/>
        <w:ind w:firstLine="470" w:firstLineChars="224"/>
        <w:rPr>
          <w:rFonts w:ascii="宋体" w:hAnsi="宋体" w:eastAsia="宋体" w:cs="宋体"/>
          <w:color w:val="auto"/>
          <w:szCs w:val="21"/>
          <w:highlight w:val="none"/>
        </w:rPr>
      </w:pPr>
    </w:p>
    <w:p w14:paraId="330F947F">
      <w:pPr>
        <w:snapToGrid w:val="0"/>
        <w:spacing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评委签名：</w:t>
      </w:r>
    </w:p>
    <w:p w14:paraId="0F33CE67">
      <w:pPr>
        <w:snapToGrid w:val="0"/>
        <w:spacing w:line="360" w:lineRule="auto"/>
        <w:ind w:firstLine="470" w:firstLineChars="224"/>
        <w:rPr>
          <w:rFonts w:ascii="宋体" w:hAnsi="宋体" w:eastAsia="宋体" w:cs="宋体"/>
          <w:color w:val="auto"/>
          <w:szCs w:val="21"/>
          <w:highlight w:val="none"/>
        </w:rPr>
      </w:pPr>
    </w:p>
    <w:p w14:paraId="16E80843">
      <w:pPr>
        <w:snapToGrid w:val="0"/>
        <w:spacing w:line="360" w:lineRule="auto"/>
        <w:ind w:firstLine="470" w:firstLineChars="224"/>
        <w:rPr>
          <w:rFonts w:ascii="宋体" w:hAnsi="宋体" w:eastAsia="宋体" w:cs="宋体"/>
          <w:color w:val="auto"/>
          <w:szCs w:val="21"/>
          <w:highlight w:val="none"/>
        </w:rPr>
      </w:pPr>
    </w:p>
    <w:p w14:paraId="47A5D5BE">
      <w:pPr>
        <w:pStyle w:val="22"/>
        <w:snapToGrid w:val="0"/>
        <w:spacing w:line="360" w:lineRule="auto"/>
        <w:ind w:firstLine="0" w:firstLineChars="0"/>
        <w:rPr>
          <w:rFonts w:ascii="宋体" w:hAnsi="宋体" w:eastAsia="宋体" w:cs="宋体"/>
          <w:b/>
          <w:bCs/>
          <w:color w:val="auto"/>
          <w:sz w:val="24"/>
          <w:highlight w:val="none"/>
        </w:rPr>
      </w:pPr>
      <w:r>
        <w:rPr>
          <w:rFonts w:ascii="宋体" w:hAnsi="宋体" w:eastAsia="宋体" w:cs="宋体"/>
          <w:b w:val="0"/>
          <w:color w:val="auto"/>
          <w:sz w:val="24"/>
          <w:highlight w:val="none"/>
        </w:rPr>
        <w:br w:type="page"/>
      </w:r>
      <w:r>
        <w:rPr>
          <w:rFonts w:hint="eastAsia" w:ascii="宋体" w:hAnsi="宋体" w:eastAsia="宋体" w:cs="宋体"/>
          <w:b/>
          <w:bCs/>
          <w:color w:val="auto"/>
          <w:sz w:val="24"/>
          <w:highlight w:val="none"/>
        </w:rPr>
        <w:t>附表三</w:t>
      </w:r>
    </w:p>
    <w:p w14:paraId="5D0BCAF9">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经济标有效性审查表</w:t>
      </w:r>
    </w:p>
    <w:p w14:paraId="51C363B3">
      <w:pPr>
        <w:snapToGrid w:val="0"/>
        <w:spacing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工程名称：</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280"/>
        <w:gridCol w:w="493"/>
        <w:gridCol w:w="493"/>
        <w:gridCol w:w="496"/>
      </w:tblGrid>
      <w:tr w14:paraId="6FB1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7645C9FD">
            <w:pPr>
              <w:snapToGrid w:val="0"/>
              <w:spacing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序号</w:t>
            </w:r>
          </w:p>
        </w:tc>
        <w:tc>
          <w:tcPr>
            <w:tcW w:w="4331" w:type="pct"/>
            <w:tcBorders>
              <w:top w:val="single" w:color="auto" w:sz="4" w:space="0"/>
              <w:left w:val="single" w:color="auto" w:sz="4" w:space="0"/>
              <w:bottom w:val="single" w:color="auto" w:sz="4" w:space="0"/>
              <w:right w:val="single" w:color="auto" w:sz="4" w:space="0"/>
              <w:tl2br w:val="single" w:color="auto" w:sz="4" w:space="0"/>
            </w:tcBorders>
            <w:noWrap/>
          </w:tcPr>
          <w:p w14:paraId="6A53D8BE">
            <w:pPr>
              <w:snapToGrid w:val="0"/>
              <w:spacing w:line="360" w:lineRule="auto"/>
              <w:ind w:firstLine="7350" w:firstLineChars="350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w:t>
            </w:r>
          </w:p>
          <w:p w14:paraId="19E1FE3A">
            <w:pPr>
              <w:snapToGrid w:val="0"/>
              <w:spacing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评审内容</w:t>
            </w:r>
          </w:p>
        </w:tc>
        <w:tc>
          <w:tcPr>
            <w:tcW w:w="173" w:type="pct"/>
            <w:tcBorders>
              <w:top w:val="single" w:color="auto" w:sz="4" w:space="0"/>
              <w:left w:val="single" w:color="auto" w:sz="4" w:space="0"/>
              <w:bottom w:val="single" w:color="auto" w:sz="4" w:space="0"/>
              <w:right w:val="single" w:color="auto" w:sz="4" w:space="0"/>
            </w:tcBorders>
            <w:noWrap/>
          </w:tcPr>
          <w:p w14:paraId="375DA4EA">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03EE6D08">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6CFE987E">
            <w:pPr>
              <w:snapToGrid w:val="0"/>
              <w:spacing w:line="360" w:lineRule="auto"/>
              <w:rPr>
                <w:rFonts w:ascii="宋体" w:hAnsi="宋体" w:eastAsia="宋体" w:cs="宋体"/>
                <w:color w:val="auto"/>
                <w:szCs w:val="21"/>
                <w:highlight w:val="none"/>
              </w:rPr>
            </w:pPr>
          </w:p>
        </w:tc>
      </w:tr>
      <w:tr w14:paraId="3405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659AD050">
            <w:pPr>
              <w:snapToGrid w:val="0"/>
              <w:spacing w:line="360"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1</w:t>
            </w:r>
          </w:p>
        </w:tc>
        <w:tc>
          <w:tcPr>
            <w:tcW w:w="4331" w:type="pct"/>
            <w:tcBorders>
              <w:top w:val="single" w:color="auto" w:sz="4" w:space="0"/>
              <w:left w:val="single" w:color="auto" w:sz="4" w:space="0"/>
              <w:bottom w:val="single" w:color="auto" w:sz="4" w:space="0"/>
              <w:right w:val="single" w:color="auto" w:sz="4" w:space="0"/>
            </w:tcBorders>
            <w:noWrap/>
            <w:vAlign w:val="center"/>
          </w:tcPr>
          <w:p w14:paraId="6DD39CDB">
            <w:pPr>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对同一招标项目出现两个或以上的投标报价，且没有申明哪个有效；</w:t>
            </w:r>
          </w:p>
        </w:tc>
        <w:tc>
          <w:tcPr>
            <w:tcW w:w="173" w:type="pct"/>
            <w:tcBorders>
              <w:top w:val="single" w:color="auto" w:sz="4" w:space="0"/>
              <w:left w:val="single" w:color="auto" w:sz="4" w:space="0"/>
              <w:bottom w:val="single" w:color="auto" w:sz="4" w:space="0"/>
              <w:right w:val="single" w:color="auto" w:sz="4" w:space="0"/>
            </w:tcBorders>
            <w:noWrap/>
          </w:tcPr>
          <w:p w14:paraId="50C88431">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18B28DFC">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1ACD40E4">
            <w:pPr>
              <w:snapToGrid w:val="0"/>
              <w:spacing w:line="360" w:lineRule="auto"/>
              <w:rPr>
                <w:rFonts w:ascii="宋体" w:hAnsi="宋体" w:eastAsia="宋体" w:cs="宋体"/>
                <w:color w:val="auto"/>
                <w:szCs w:val="21"/>
                <w:highlight w:val="none"/>
              </w:rPr>
            </w:pPr>
          </w:p>
        </w:tc>
      </w:tr>
      <w:tr w14:paraId="065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2BF8AAF6">
            <w:pPr>
              <w:snapToGrid w:val="0"/>
              <w:spacing w:after="120" w:line="360"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2</w:t>
            </w:r>
          </w:p>
        </w:tc>
        <w:tc>
          <w:tcPr>
            <w:tcW w:w="4331" w:type="pct"/>
            <w:tcBorders>
              <w:top w:val="single" w:color="auto" w:sz="4" w:space="0"/>
              <w:left w:val="single" w:color="auto" w:sz="4" w:space="0"/>
              <w:bottom w:val="single" w:color="auto" w:sz="4" w:space="0"/>
              <w:right w:val="single" w:color="auto" w:sz="4" w:space="0"/>
            </w:tcBorders>
            <w:noWrap/>
            <w:vAlign w:val="center"/>
          </w:tcPr>
          <w:p w14:paraId="09FEBA8D">
            <w:pPr>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投标报价高于最高投标限价的；</w:t>
            </w:r>
          </w:p>
        </w:tc>
        <w:tc>
          <w:tcPr>
            <w:tcW w:w="173" w:type="pct"/>
            <w:tcBorders>
              <w:top w:val="single" w:color="auto" w:sz="4" w:space="0"/>
              <w:left w:val="single" w:color="auto" w:sz="4" w:space="0"/>
              <w:bottom w:val="single" w:color="auto" w:sz="4" w:space="0"/>
              <w:right w:val="single" w:color="auto" w:sz="4" w:space="0"/>
            </w:tcBorders>
            <w:noWrap/>
          </w:tcPr>
          <w:p w14:paraId="2CD0C68D">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5C9E9E3D">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7ABCB0F8">
            <w:pPr>
              <w:snapToGrid w:val="0"/>
              <w:spacing w:line="360" w:lineRule="auto"/>
              <w:rPr>
                <w:rFonts w:ascii="宋体" w:hAnsi="宋体" w:eastAsia="宋体" w:cs="宋体"/>
                <w:color w:val="auto"/>
                <w:szCs w:val="21"/>
                <w:highlight w:val="none"/>
              </w:rPr>
            </w:pPr>
          </w:p>
        </w:tc>
      </w:tr>
      <w:tr w14:paraId="56FF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55D363BC">
            <w:pPr>
              <w:snapToGrid w:val="0"/>
              <w:spacing w:after="120" w:line="360"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3</w:t>
            </w:r>
          </w:p>
        </w:tc>
        <w:tc>
          <w:tcPr>
            <w:tcW w:w="4331" w:type="pct"/>
            <w:tcBorders>
              <w:top w:val="single" w:color="auto" w:sz="4" w:space="0"/>
              <w:left w:val="single" w:color="auto" w:sz="4" w:space="0"/>
              <w:bottom w:val="single" w:color="auto" w:sz="4" w:space="0"/>
              <w:right w:val="single" w:color="auto" w:sz="4" w:space="0"/>
            </w:tcBorders>
            <w:noWrap/>
            <w:vAlign w:val="center"/>
          </w:tcPr>
          <w:p w14:paraId="35B7CFF6">
            <w:pPr>
              <w:autoSpaceDE w:val="0"/>
              <w:autoSpaceDN w:val="0"/>
              <w:adjustRightInd w:val="0"/>
              <w:snapToGrid w:val="0"/>
              <w:spacing w:after="120" w:line="360" w:lineRule="auto"/>
              <w:ind w:left="-2" w:leftChars="-1"/>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投标报价低于成本的</w:t>
            </w:r>
            <w:r>
              <w:rPr>
                <w:rFonts w:hint="eastAsia" w:ascii="宋体" w:hAnsi="宋体" w:eastAsia="宋体" w:cs="宋体"/>
                <w:b w:val="0"/>
                <w:color w:val="auto"/>
                <w:sz w:val="21"/>
                <w:szCs w:val="21"/>
                <w:highlight w:val="none"/>
                <w:u w:val="single"/>
              </w:rPr>
              <w:t>（投标人的报价明显低于其他投标报价或者低于</w:t>
            </w:r>
            <w:r>
              <w:rPr>
                <w:rFonts w:hint="eastAsia" w:ascii="宋体" w:hAnsi="宋体" w:eastAsia="宋体" w:cs="宋体"/>
                <w:b w:val="0"/>
                <w:color w:val="auto"/>
                <w:sz w:val="21"/>
                <w:szCs w:val="21"/>
                <w:highlight w:val="none"/>
                <w:u w:val="single"/>
                <w:lang w:eastAsia="zh-CN"/>
              </w:rPr>
              <w:t>成本警示价</w:t>
            </w:r>
            <w:r>
              <w:rPr>
                <w:rFonts w:hint="eastAsia" w:ascii="宋体" w:hAnsi="宋体" w:eastAsia="宋体" w:cs="宋体"/>
                <w:b w:val="0"/>
                <w:color w:val="auto"/>
                <w:sz w:val="21"/>
                <w:szCs w:val="21"/>
                <w:highlight w:val="none"/>
                <w:u w:val="single"/>
              </w:rPr>
              <w:t>，使得其投标报价可能低于其个别成本的，应当要求该投标人作出书面说明并提供相关证明材料。投标人不能合理说明或者不能提供相关证明材料的，由评标委员会认定该投标人以低于成本报价竞标）；</w:t>
            </w:r>
          </w:p>
        </w:tc>
        <w:tc>
          <w:tcPr>
            <w:tcW w:w="173" w:type="pct"/>
            <w:tcBorders>
              <w:top w:val="single" w:color="auto" w:sz="4" w:space="0"/>
              <w:left w:val="single" w:color="auto" w:sz="4" w:space="0"/>
              <w:bottom w:val="single" w:color="auto" w:sz="4" w:space="0"/>
              <w:right w:val="single" w:color="auto" w:sz="4" w:space="0"/>
            </w:tcBorders>
            <w:noWrap/>
          </w:tcPr>
          <w:p w14:paraId="54A842CE">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32B622C6">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15E6A578">
            <w:pPr>
              <w:snapToGrid w:val="0"/>
              <w:spacing w:line="360" w:lineRule="auto"/>
              <w:rPr>
                <w:rFonts w:ascii="宋体" w:hAnsi="宋体" w:eastAsia="宋体" w:cs="宋体"/>
                <w:color w:val="auto"/>
                <w:szCs w:val="21"/>
                <w:highlight w:val="none"/>
              </w:rPr>
            </w:pPr>
          </w:p>
        </w:tc>
      </w:tr>
      <w:tr w14:paraId="21C2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14BCF7C0">
            <w:pPr>
              <w:snapToGrid w:val="0"/>
              <w:spacing w:after="120" w:line="360"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4</w:t>
            </w:r>
          </w:p>
        </w:tc>
        <w:tc>
          <w:tcPr>
            <w:tcW w:w="4331" w:type="pct"/>
            <w:tcBorders>
              <w:top w:val="single" w:color="auto" w:sz="4" w:space="0"/>
              <w:left w:val="single" w:color="auto" w:sz="4" w:space="0"/>
              <w:bottom w:val="single" w:color="auto" w:sz="4" w:space="0"/>
              <w:right w:val="single" w:color="auto" w:sz="4" w:space="0"/>
            </w:tcBorders>
            <w:noWrap/>
            <w:vAlign w:val="center"/>
          </w:tcPr>
          <w:p w14:paraId="5BF9E135">
            <w:pPr>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投标文件未按规定的格式</w:t>
            </w:r>
            <w:r>
              <w:rPr>
                <w:rFonts w:hint="eastAsia" w:ascii="宋体" w:hAnsi="宋体" w:eastAsia="宋体" w:cs="宋体"/>
                <w:b w:val="0"/>
                <w:color w:val="auto"/>
                <w:sz w:val="21"/>
                <w:szCs w:val="21"/>
                <w:highlight w:val="none"/>
                <w:u w:val="single"/>
              </w:rPr>
              <w:t>（指招标文件第四章提供格式的《广州建设工程施工招标投标书（经济标）》《对投标文件编制的承诺》）</w:t>
            </w:r>
            <w:r>
              <w:rPr>
                <w:rFonts w:hint="eastAsia" w:ascii="宋体" w:hAnsi="宋体" w:eastAsia="宋体" w:cs="宋体"/>
                <w:b w:val="0"/>
                <w:color w:val="auto"/>
                <w:sz w:val="21"/>
                <w:szCs w:val="21"/>
                <w:highlight w:val="none"/>
              </w:rPr>
              <w:t>填写，或主要内容不全，或关键字迹模糊、无法辨认的；</w:t>
            </w:r>
          </w:p>
        </w:tc>
        <w:tc>
          <w:tcPr>
            <w:tcW w:w="173" w:type="pct"/>
            <w:tcBorders>
              <w:top w:val="single" w:color="auto" w:sz="4" w:space="0"/>
              <w:left w:val="single" w:color="auto" w:sz="4" w:space="0"/>
              <w:bottom w:val="single" w:color="auto" w:sz="4" w:space="0"/>
              <w:right w:val="single" w:color="auto" w:sz="4" w:space="0"/>
            </w:tcBorders>
            <w:noWrap/>
          </w:tcPr>
          <w:p w14:paraId="03A03B5A">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085FC2AE">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66B5720B">
            <w:pPr>
              <w:snapToGrid w:val="0"/>
              <w:spacing w:line="360" w:lineRule="auto"/>
              <w:rPr>
                <w:rFonts w:ascii="宋体" w:hAnsi="宋体" w:eastAsia="宋体" w:cs="宋体"/>
                <w:color w:val="auto"/>
                <w:szCs w:val="21"/>
                <w:highlight w:val="none"/>
              </w:rPr>
            </w:pPr>
          </w:p>
        </w:tc>
      </w:tr>
      <w:tr w14:paraId="2F20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7B053C95">
            <w:pPr>
              <w:snapToGrid w:val="0"/>
              <w:spacing w:after="120" w:line="360"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5</w:t>
            </w:r>
          </w:p>
        </w:tc>
        <w:tc>
          <w:tcPr>
            <w:tcW w:w="4331" w:type="pct"/>
            <w:tcBorders>
              <w:top w:val="single" w:color="auto" w:sz="4" w:space="0"/>
              <w:left w:val="single" w:color="auto" w:sz="4" w:space="0"/>
              <w:bottom w:val="single" w:color="auto" w:sz="4" w:space="0"/>
              <w:right w:val="single" w:color="auto" w:sz="4" w:space="0"/>
            </w:tcBorders>
            <w:noWrap/>
            <w:vAlign w:val="center"/>
          </w:tcPr>
          <w:p w14:paraId="640872A5">
            <w:pPr>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投标人之间存在《广东省实施＜中华人民共和国招标投标法＞》第十六条所禁止的情形的；</w:t>
            </w:r>
          </w:p>
        </w:tc>
        <w:tc>
          <w:tcPr>
            <w:tcW w:w="173" w:type="pct"/>
            <w:tcBorders>
              <w:top w:val="single" w:color="auto" w:sz="4" w:space="0"/>
              <w:left w:val="single" w:color="auto" w:sz="4" w:space="0"/>
              <w:bottom w:val="single" w:color="auto" w:sz="4" w:space="0"/>
              <w:right w:val="single" w:color="auto" w:sz="4" w:space="0"/>
            </w:tcBorders>
            <w:noWrap/>
          </w:tcPr>
          <w:p w14:paraId="5E251CF6">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1F928600">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3D0FF98C">
            <w:pPr>
              <w:snapToGrid w:val="0"/>
              <w:spacing w:line="360" w:lineRule="auto"/>
              <w:rPr>
                <w:rFonts w:ascii="宋体" w:hAnsi="宋体" w:eastAsia="宋体" w:cs="宋体"/>
                <w:color w:val="auto"/>
                <w:szCs w:val="21"/>
                <w:highlight w:val="none"/>
              </w:rPr>
            </w:pPr>
          </w:p>
        </w:tc>
      </w:tr>
      <w:tr w14:paraId="5DA4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414716E5">
            <w:pPr>
              <w:snapToGrid w:val="0"/>
              <w:spacing w:after="120" w:line="360"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6</w:t>
            </w:r>
          </w:p>
        </w:tc>
        <w:tc>
          <w:tcPr>
            <w:tcW w:w="4331" w:type="pct"/>
            <w:tcBorders>
              <w:top w:val="single" w:color="auto" w:sz="4" w:space="0"/>
              <w:left w:val="single" w:color="auto" w:sz="4" w:space="0"/>
              <w:bottom w:val="single" w:color="auto" w:sz="4" w:space="0"/>
              <w:right w:val="single" w:color="auto" w:sz="4" w:space="0"/>
            </w:tcBorders>
            <w:noWrap/>
            <w:vAlign w:val="center"/>
          </w:tcPr>
          <w:p w14:paraId="62130E18">
            <w:pPr>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无《参与编制经济标投标文件人员名单》的；</w:t>
            </w:r>
            <w:r>
              <w:rPr>
                <w:rFonts w:hint="eastAsia" w:ascii="宋体" w:hAnsi="宋体" w:eastAsia="宋体" w:cs="宋体"/>
                <w:b w:val="0"/>
                <w:color w:val="auto"/>
                <w:sz w:val="21"/>
                <w:szCs w:val="21"/>
                <w:highlight w:val="none"/>
                <w:u w:val="single"/>
              </w:rPr>
              <w:t>或未提供《参与编制经济标投标文件人员名单》表中人员</w:t>
            </w:r>
            <w:r>
              <w:rPr>
                <w:rFonts w:hint="eastAsia" w:ascii="宋体" w:hAnsi="宋体" w:eastAsia="宋体" w:cs="宋体"/>
                <w:b w:val="0"/>
                <w:color w:val="auto"/>
                <w:sz w:val="21"/>
                <w:szCs w:val="21"/>
                <w:highlight w:val="none"/>
                <w:u w:val="single"/>
                <w:lang w:val="en-US" w:eastAsia="zh-CN"/>
              </w:rPr>
              <w:t>的</w:t>
            </w:r>
            <w:r>
              <w:rPr>
                <w:rFonts w:hint="eastAsia" w:ascii="宋体" w:hAnsi="宋体" w:eastAsia="宋体" w:cs="宋体"/>
                <w:b w:val="0"/>
                <w:color w:val="auto"/>
                <w:sz w:val="21"/>
                <w:szCs w:val="21"/>
                <w:highlight w:val="none"/>
                <w:u w:val="single"/>
              </w:rPr>
              <w:t>离投标截止时间最近的至少1个月（</w:t>
            </w:r>
            <w:r>
              <w:rPr>
                <w:rFonts w:hint="eastAsia" w:ascii="宋体" w:hAnsi="宋体" w:eastAsia="宋体" w:cs="宋体"/>
                <w:b w:val="0"/>
                <w:color w:val="auto"/>
                <w:sz w:val="21"/>
                <w:szCs w:val="21"/>
                <w:highlight w:val="none"/>
                <w:u w:val="single"/>
                <w:lang w:eastAsia="zh-CN"/>
              </w:rPr>
              <w:t>2025年8月或7月</w:t>
            </w:r>
            <w:r>
              <w:rPr>
                <w:rFonts w:hint="eastAsia" w:ascii="宋体" w:hAnsi="宋体" w:eastAsia="宋体" w:cs="宋体"/>
                <w:b w:val="0"/>
                <w:color w:val="auto"/>
                <w:sz w:val="21"/>
                <w:szCs w:val="21"/>
                <w:highlight w:val="none"/>
                <w:u w:val="single"/>
              </w:rPr>
              <w:t>）在本单位</w:t>
            </w:r>
            <w:r>
              <w:rPr>
                <w:rFonts w:hint="eastAsia" w:ascii="宋体" w:hAnsi="宋体" w:eastAsia="宋体" w:cs="宋体"/>
                <w:b w:val="0"/>
                <w:color w:val="auto"/>
                <w:sz w:val="21"/>
                <w:szCs w:val="21"/>
                <w:highlight w:val="none"/>
                <w:u w:val="single"/>
                <w:lang w:eastAsia="zh-CN"/>
              </w:rPr>
              <w:t>（</w:t>
            </w:r>
            <w:r>
              <w:rPr>
                <w:rFonts w:hint="eastAsia" w:ascii="宋体" w:hAnsi="宋体" w:eastAsia="宋体" w:cs="宋体"/>
                <w:b w:val="0"/>
                <w:color w:val="auto"/>
                <w:sz w:val="21"/>
                <w:szCs w:val="21"/>
                <w:highlight w:val="none"/>
                <w:u w:val="single"/>
                <w:lang w:val="en-US" w:eastAsia="zh-CN"/>
              </w:rPr>
              <w:t>委托编制投标文件报价的，指在委托单位</w:t>
            </w:r>
            <w:r>
              <w:rPr>
                <w:rFonts w:hint="eastAsia" w:ascii="宋体" w:hAnsi="宋体" w:eastAsia="宋体" w:cs="宋体"/>
                <w:b w:val="0"/>
                <w:color w:val="auto"/>
                <w:sz w:val="21"/>
                <w:szCs w:val="21"/>
                <w:highlight w:val="none"/>
                <w:u w:val="single"/>
                <w:lang w:eastAsia="zh-CN"/>
              </w:rPr>
              <w:t>）</w:t>
            </w:r>
            <w:r>
              <w:rPr>
                <w:rFonts w:hint="eastAsia" w:ascii="宋体" w:hAnsi="宋体" w:eastAsia="宋体" w:cs="宋体"/>
                <w:b w:val="0"/>
                <w:color w:val="auto"/>
                <w:sz w:val="21"/>
                <w:szCs w:val="21"/>
                <w:highlight w:val="none"/>
                <w:u w:val="single"/>
              </w:rPr>
              <w:t>缴纳的社保证明文件。</w:t>
            </w:r>
          </w:p>
        </w:tc>
        <w:tc>
          <w:tcPr>
            <w:tcW w:w="173" w:type="pct"/>
            <w:tcBorders>
              <w:top w:val="single" w:color="auto" w:sz="4" w:space="0"/>
              <w:left w:val="single" w:color="auto" w:sz="4" w:space="0"/>
              <w:bottom w:val="single" w:color="auto" w:sz="4" w:space="0"/>
              <w:right w:val="single" w:color="auto" w:sz="4" w:space="0"/>
            </w:tcBorders>
            <w:noWrap/>
          </w:tcPr>
          <w:p w14:paraId="050C4F5C">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28ADF0B6">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7D382E02">
            <w:pPr>
              <w:snapToGrid w:val="0"/>
              <w:spacing w:line="360" w:lineRule="auto"/>
              <w:rPr>
                <w:rFonts w:ascii="宋体" w:hAnsi="宋体" w:eastAsia="宋体" w:cs="宋体"/>
                <w:color w:val="auto"/>
                <w:szCs w:val="21"/>
                <w:highlight w:val="none"/>
              </w:rPr>
            </w:pPr>
          </w:p>
        </w:tc>
      </w:tr>
      <w:tr w14:paraId="1835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61BB0500">
            <w:pPr>
              <w:snapToGrid w:val="0"/>
              <w:spacing w:after="120" w:line="360"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7</w:t>
            </w:r>
          </w:p>
        </w:tc>
        <w:tc>
          <w:tcPr>
            <w:tcW w:w="4331" w:type="pct"/>
            <w:tcBorders>
              <w:top w:val="single" w:color="auto" w:sz="4" w:space="0"/>
              <w:left w:val="single" w:color="auto" w:sz="4" w:space="0"/>
              <w:bottom w:val="single" w:color="auto" w:sz="4" w:space="0"/>
              <w:right w:val="single" w:color="auto" w:sz="4" w:space="0"/>
            </w:tcBorders>
            <w:noWrap/>
            <w:vAlign w:val="center"/>
          </w:tcPr>
          <w:p w14:paraId="712D6888">
            <w:pPr>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无《对投标文件编制的承诺》；</w:t>
            </w:r>
          </w:p>
        </w:tc>
        <w:tc>
          <w:tcPr>
            <w:tcW w:w="173" w:type="pct"/>
            <w:tcBorders>
              <w:top w:val="single" w:color="auto" w:sz="4" w:space="0"/>
              <w:left w:val="single" w:color="auto" w:sz="4" w:space="0"/>
              <w:bottom w:val="single" w:color="auto" w:sz="4" w:space="0"/>
              <w:right w:val="single" w:color="auto" w:sz="4" w:space="0"/>
            </w:tcBorders>
            <w:noWrap/>
          </w:tcPr>
          <w:p w14:paraId="3AF420B5">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7F76C21D">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77617DDC">
            <w:pPr>
              <w:snapToGrid w:val="0"/>
              <w:spacing w:line="360" w:lineRule="auto"/>
              <w:rPr>
                <w:rFonts w:ascii="宋体" w:hAnsi="宋体" w:eastAsia="宋体" w:cs="宋体"/>
                <w:color w:val="auto"/>
                <w:szCs w:val="21"/>
                <w:highlight w:val="none"/>
              </w:rPr>
            </w:pPr>
          </w:p>
        </w:tc>
      </w:tr>
      <w:tr w14:paraId="3A7B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4BED1FC8">
            <w:pPr>
              <w:snapToGrid w:val="0"/>
              <w:spacing w:after="120" w:line="360" w:lineRule="auto"/>
              <w:rPr>
                <w:rFonts w:ascii="宋体" w:hAnsi="宋体" w:eastAsia="宋体" w:cs="宋体"/>
                <w:color w:val="auto"/>
                <w:szCs w:val="21"/>
                <w:highlight w:val="none"/>
              </w:rPr>
            </w:pPr>
            <w:r>
              <w:rPr>
                <w:rFonts w:ascii="宋体" w:hAnsi="宋体" w:eastAsia="宋体" w:cs="宋体"/>
                <w:b w:val="0"/>
                <w:color w:val="auto"/>
                <w:sz w:val="21"/>
                <w:szCs w:val="21"/>
                <w:highlight w:val="none"/>
              </w:rPr>
              <w:t>8</w:t>
            </w:r>
          </w:p>
        </w:tc>
        <w:tc>
          <w:tcPr>
            <w:tcW w:w="4331" w:type="pct"/>
            <w:tcBorders>
              <w:top w:val="single" w:color="auto" w:sz="4" w:space="0"/>
              <w:left w:val="single" w:color="auto" w:sz="4" w:space="0"/>
              <w:bottom w:val="single" w:color="auto" w:sz="4" w:space="0"/>
              <w:right w:val="single" w:color="auto" w:sz="4" w:space="0"/>
            </w:tcBorders>
            <w:noWrap/>
            <w:vAlign w:val="center"/>
          </w:tcPr>
          <w:p w14:paraId="27C599BA">
            <w:pPr>
              <w:snapToGrid w:val="0"/>
              <w:spacing w:after="120"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投标人与本项目其他投标人的投标文件工程量清单编制机器硬件信息一致的</w:t>
            </w:r>
            <w:r>
              <w:rPr>
                <w:rFonts w:ascii="宋体" w:hAnsi="宋体" w:eastAsia="宋体" w:cs="宋体"/>
                <w:b w:val="0"/>
                <w:color w:val="auto"/>
                <w:sz w:val="21"/>
                <w:szCs w:val="21"/>
                <w:highlight w:val="none"/>
              </w:rPr>
              <w:t>[以</w:t>
            </w:r>
            <w:r>
              <w:rPr>
                <w:rFonts w:hint="eastAsia" w:ascii="宋体" w:hAnsi="宋体" w:eastAsia="宋体" w:cs="宋体"/>
                <w:b w:val="0"/>
                <w:color w:val="auto"/>
                <w:sz w:val="21"/>
                <w:szCs w:val="21"/>
                <w:highlight w:val="none"/>
                <w:u w:val="single"/>
              </w:rPr>
              <w:t>广州交易集团有限公司（广州公共资源交易中心）</w:t>
            </w:r>
            <w:r>
              <w:rPr>
                <w:rFonts w:hint="eastAsia" w:ascii="宋体" w:hAnsi="宋体" w:eastAsia="宋体" w:cs="宋体"/>
                <w:b w:val="0"/>
                <w:color w:val="auto"/>
                <w:sz w:val="21"/>
                <w:szCs w:val="21"/>
                <w:highlight w:val="none"/>
              </w:rPr>
              <w:t>交易平台评标系统的检索信息为准</w:t>
            </w:r>
            <w:r>
              <w:rPr>
                <w:rFonts w:ascii="宋体" w:hAnsi="宋体" w:eastAsia="宋体" w:cs="宋体"/>
                <w:b w:val="0"/>
                <w:color w:val="auto"/>
                <w:sz w:val="21"/>
                <w:szCs w:val="21"/>
                <w:highlight w:val="none"/>
              </w:rPr>
              <w:t>]。</w:t>
            </w:r>
          </w:p>
        </w:tc>
        <w:tc>
          <w:tcPr>
            <w:tcW w:w="173" w:type="pct"/>
            <w:tcBorders>
              <w:top w:val="single" w:color="auto" w:sz="4" w:space="0"/>
              <w:left w:val="single" w:color="auto" w:sz="4" w:space="0"/>
              <w:bottom w:val="single" w:color="auto" w:sz="4" w:space="0"/>
              <w:right w:val="single" w:color="auto" w:sz="4" w:space="0"/>
            </w:tcBorders>
            <w:noWrap/>
          </w:tcPr>
          <w:p w14:paraId="63530257">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7DF146AE">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0DB92BE1">
            <w:pPr>
              <w:snapToGrid w:val="0"/>
              <w:spacing w:line="360" w:lineRule="auto"/>
              <w:rPr>
                <w:rFonts w:ascii="宋体" w:hAnsi="宋体" w:eastAsia="宋体" w:cs="宋体"/>
                <w:color w:val="auto"/>
                <w:szCs w:val="21"/>
                <w:highlight w:val="none"/>
              </w:rPr>
            </w:pPr>
          </w:p>
        </w:tc>
      </w:tr>
    </w:tbl>
    <w:p w14:paraId="65B68AC1">
      <w:pPr>
        <w:snapToGrid w:val="0"/>
        <w:spacing w:line="360" w:lineRule="auto"/>
        <w:ind w:firstLine="458"/>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注：</w:t>
      </w:r>
      <w:r>
        <w:rPr>
          <w:rFonts w:ascii="宋体" w:hAnsi="宋体" w:eastAsia="宋体" w:cs="宋体"/>
          <w:b w:val="0"/>
          <w:color w:val="auto"/>
          <w:sz w:val="21"/>
          <w:szCs w:val="21"/>
          <w:highlight w:val="none"/>
        </w:rPr>
        <w:t>1.本表使用GZZB2018-3招标文件范本，与范本内容不同之处均以下划线标明。</w:t>
      </w:r>
    </w:p>
    <w:p w14:paraId="677AB820">
      <w:pPr>
        <w:snapToGrid w:val="0"/>
        <w:spacing w:line="360" w:lineRule="auto"/>
        <w:ind w:firstLine="458"/>
        <w:rPr>
          <w:rFonts w:ascii="宋体" w:hAnsi="宋体" w:eastAsia="宋体" w:cs="宋体"/>
          <w:color w:val="auto"/>
          <w:szCs w:val="21"/>
          <w:highlight w:val="none"/>
        </w:rPr>
      </w:pPr>
      <w:r>
        <w:rPr>
          <w:rFonts w:ascii="宋体" w:hAnsi="宋体" w:eastAsia="宋体" w:cs="宋体"/>
          <w:b w:val="0"/>
          <w:color w:val="auto"/>
          <w:sz w:val="21"/>
          <w:szCs w:val="21"/>
          <w:highlight w:val="none"/>
        </w:rPr>
        <w:t>2.凡出现以上任何一项情形，结论均为无效，否则就为有效。</w:t>
      </w:r>
    </w:p>
    <w:p w14:paraId="392CA1E4">
      <w:pPr>
        <w:snapToGrid w:val="0"/>
        <w:spacing w:line="360" w:lineRule="auto"/>
        <w:ind w:firstLine="458"/>
        <w:rPr>
          <w:rFonts w:ascii="宋体" w:hAnsi="宋体" w:eastAsia="宋体" w:cs="宋体"/>
          <w:color w:val="auto"/>
          <w:szCs w:val="21"/>
          <w:highlight w:val="none"/>
        </w:rPr>
      </w:pPr>
      <w:r>
        <w:rPr>
          <w:rFonts w:ascii="宋体" w:hAnsi="宋体" w:eastAsia="宋体" w:cs="宋体"/>
          <w:b w:val="0"/>
          <w:color w:val="auto"/>
          <w:sz w:val="21"/>
          <w:szCs w:val="21"/>
          <w:highlight w:val="none"/>
        </w:rPr>
        <w:t>3.如对本表中某种情形的评审意见不一致时，以评标委员会过半数成员的意见作为评标委员会对该情形的认定结论。</w:t>
      </w:r>
    </w:p>
    <w:p w14:paraId="683EEB50">
      <w:pPr>
        <w:snapToGrid w:val="0"/>
        <w:spacing w:line="360" w:lineRule="auto"/>
        <w:ind w:firstLine="458"/>
        <w:rPr>
          <w:rFonts w:ascii="宋体" w:hAnsi="宋体" w:eastAsia="宋体" w:cs="宋体"/>
          <w:color w:val="auto"/>
          <w:szCs w:val="21"/>
          <w:highlight w:val="none"/>
        </w:rPr>
      </w:pPr>
      <w:r>
        <w:rPr>
          <w:rFonts w:ascii="宋体" w:hAnsi="宋体" w:eastAsia="宋体" w:cs="宋体"/>
          <w:color w:val="auto"/>
          <w:sz w:val="21"/>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28C168D">
      <w:pPr>
        <w:snapToGrid w:val="0"/>
        <w:spacing w:line="360" w:lineRule="auto"/>
        <w:ind w:firstLine="470" w:firstLineChars="224"/>
        <w:rPr>
          <w:rFonts w:ascii="宋体" w:hAnsi="宋体" w:eastAsia="宋体" w:cs="宋体"/>
          <w:color w:val="auto"/>
          <w:szCs w:val="21"/>
          <w:highlight w:val="none"/>
        </w:rPr>
      </w:pPr>
    </w:p>
    <w:p w14:paraId="51F0C5C9">
      <w:pPr>
        <w:snapToGrid w:val="0"/>
        <w:spacing w:line="360" w:lineRule="auto"/>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评委签名：</w:t>
      </w:r>
    </w:p>
    <w:p w14:paraId="36EF0EFE">
      <w:pPr>
        <w:snapToGrid w:val="0"/>
        <w:spacing w:line="360" w:lineRule="auto"/>
        <w:ind w:firstLine="470" w:firstLineChars="224"/>
        <w:rPr>
          <w:rFonts w:ascii="宋体" w:hAnsi="宋体" w:eastAsia="宋体" w:cs="宋体"/>
          <w:color w:val="auto"/>
          <w:szCs w:val="21"/>
          <w:highlight w:val="none"/>
        </w:rPr>
      </w:pPr>
    </w:p>
    <w:p w14:paraId="3FDA2907">
      <w:pPr>
        <w:pStyle w:val="22"/>
        <w:snapToGrid w:val="0"/>
        <w:spacing w:line="360" w:lineRule="auto"/>
        <w:ind w:firstLine="0" w:firstLineChars="0"/>
        <w:rPr>
          <w:rFonts w:ascii="宋体" w:hAnsi="宋体" w:eastAsia="宋体" w:cs="宋体"/>
          <w:color w:val="auto"/>
          <w:sz w:val="24"/>
          <w:highlight w:val="none"/>
        </w:rPr>
      </w:pPr>
    </w:p>
    <w:p w14:paraId="0EDAA10D">
      <w:pPr>
        <w:snapToGrid w:val="0"/>
        <w:spacing w:line="360" w:lineRule="auto"/>
        <w:jc w:val="left"/>
        <w:rPr>
          <w:rFonts w:ascii="宋体" w:hAnsi="宋体" w:eastAsia="宋体" w:cs="宋体"/>
          <w:b/>
          <w:bCs/>
          <w:color w:val="auto"/>
          <w:sz w:val="24"/>
          <w:highlight w:val="none"/>
        </w:rPr>
        <w:sectPr>
          <w:footerReference r:id="rId9" w:type="default"/>
          <w:pgSz w:w="16838" w:h="11906" w:orient="landscape"/>
          <w:pgMar w:top="1440" w:right="1440" w:bottom="1440" w:left="1440" w:header="851" w:footer="992" w:gutter="0"/>
          <w:pgNumType w:fmt="decimal"/>
          <w:cols w:space="0" w:num="1"/>
          <w:docGrid w:type="lines" w:linePitch="322" w:charSpace="0"/>
        </w:sectPr>
      </w:pPr>
    </w:p>
    <w:p w14:paraId="16B8AA34">
      <w:pPr>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附表四</w:t>
      </w:r>
    </w:p>
    <w:p w14:paraId="3ED11091">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算术复核表</w:t>
      </w:r>
    </w:p>
    <w:p w14:paraId="78677071">
      <w:pPr>
        <w:snapToGrid w:val="0"/>
        <w:spacing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工程名称：投标人：单位：元</w:t>
      </w:r>
    </w:p>
    <w:tbl>
      <w:tblPr>
        <w:tblStyle w:val="88"/>
        <w:tblW w:w="5000" w:type="pct"/>
        <w:tblInd w:w="0" w:type="dxa"/>
        <w:tblLayout w:type="fixed"/>
        <w:tblCellMar>
          <w:top w:w="0" w:type="dxa"/>
          <w:left w:w="108" w:type="dxa"/>
          <w:bottom w:w="0" w:type="dxa"/>
          <w:right w:w="108" w:type="dxa"/>
        </w:tblCellMar>
      </w:tblPr>
      <w:tblGrid>
        <w:gridCol w:w="742"/>
        <w:gridCol w:w="2142"/>
        <w:gridCol w:w="2185"/>
        <w:gridCol w:w="2037"/>
        <w:gridCol w:w="2016"/>
        <w:gridCol w:w="1446"/>
        <w:gridCol w:w="3606"/>
      </w:tblGrid>
      <w:tr w14:paraId="5AB213A8">
        <w:tblPrEx>
          <w:tblCellMar>
            <w:top w:w="0" w:type="dxa"/>
            <w:left w:w="108" w:type="dxa"/>
            <w:bottom w:w="0" w:type="dxa"/>
            <w:right w:w="108" w:type="dxa"/>
          </w:tblCellMar>
        </w:tblPrEx>
        <w:trPr>
          <w:trHeight w:val="705" w:hRule="atLeast"/>
        </w:trPr>
        <w:tc>
          <w:tcPr>
            <w:tcW w:w="262" w:type="pct"/>
            <w:tcBorders>
              <w:top w:val="single" w:color="auto" w:sz="4" w:space="0"/>
              <w:left w:val="single" w:color="auto" w:sz="4" w:space="0"/>
              <w:bottom w:val="single" w:color="auto" w:sz="4" w:space="0"/>
              <w:right w:val="single" w:color="auto" w:sz="4" w:space="0"/>
            </w:tcBorders>
            <w:noWrap/>
            <w:vAlign w:val="center"/>
          </w:tcPr>
          <w:p w14:paraId="58340BE0">
            <w:pPr>
              <w:snapToGrid w:val="0"/>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编号</w:t>
            </w:r>
          </w:p>
        </w:tc>
        <w:tc>
          <w:tcPr>
            <w:tcW w:w="755" w:type="pct"/>
            <w:tcBorders>
              <w:top w:val="single" w:color="auto" w:sz="4" w:space="0"/>
              <w:left w:val="nil"/>
              <w:bottom w:val="single" w:color="auto" w:sz="4" w:space="0"/>
              <w:right w:val="single" w:color="auto" w:sz="4" w:space="0"/>
            </w:tcBorders>
            <w:noWrap/>
            <w:vAlign w:val="center"/>
          </w:tcPr>
          <w:p w14:paraId="0B4DAD7A">
            <w:pPr>
              <w:snapToGrid w:val="0"/>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算术校核项目</w:t>
            </w:r>
          </w:p>
        </w:tc>
        <w:tc>
          <w:tcPr>
            <w:tcW w:w="770" w:type="pct"/>
            <w:tcBorders>
              <w:top w:val="single" w:color="auto" w:sz="4" w:space="0"/>
              <w:left w:val="nil"/>
              <w:bottom w:val="single" w:color="auto" w:sz="4" w:space="0"/>
              <w:right w:val="single" w:color="auto" w:sz="4" w:space="0"/>
            </w:tcBorders>
            <w:noWrap/>
            <w:vAlign w:val="center"/>
          </w:tcPr>
          <w:p w14:paraId="121AD737">
            <w:pPr>
              <w:snapToGrid w:val="0"/>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修正前投标报价</w:t>
            </w:r>
            <w:r>
              <w:rPr>
                <w:rFonts w:ascii="宋体" w:hAnsi="宋体" w:eastAsia="宋体" w:cs="宋体"/>
                <w:b/>
                <w:bCs/>
                <w:color w:val="auto"/>
                <w:kern w:val="0"/>
                <w:sz w:val="24"/>
                <w:highlight w:val="none"/>
              </w:rPr>
              <w:t>A</w:t>
            </w:r>
          </w:p>
        </w:tc>
        <w:tc>
          <w:tcPr>
            <w:tcW w:w="718" w:type="pct"/>
            <w:tcBorders>
              <w:top w:val="single" w:color="auto" w:sz="4" w:space="0"/>
              <w:left w:val="nil"/>
              <w:bottom w:val="single" w:color="auto" w:sz="4" w:space="0"/>
              <w:right w:val="single" w:color="auto" w:sz="4" w:space="0"/>
            </w:tcBorders>
            <w:noWrap/>
            <w:vAlign w:val="center"/>
          </w:tcPr>
          <w:p w14:paraId="318A28CC">
            <w:pPr>
              <w:snapToGrid w:val="0"/>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修正后投标报价</w:t>
            </w:r>
            <w:r>
              <w:rPr>
                <w:rFonts w:ascii="宋体" w:hAnsi="宋体" w:eastAsia="宋体" w:cs="宋体"/>
                <w:b/>
                <w:bCs/>
                <w:color w:val="auto"/>
                <w:kern w:val="0"/>
                <w:sz w:val="24"/>
                <w:highlight w:val="none"/>
              </w:rPr>
              <w:t>B</w:t>
            </w:r>
          </w:p>
        </w:tc>
        <w:tc>
          <w:tcPr>
            <w:tcW w:w="710" w:type="pct"/>
            <w:tcBorders>
              <w:top w:val="single" w:color="auto" w:sz="4" w:space="0"/>
              <w:left w:val="nil"/>
              <w:bottom w:val="single" w:color="auto" w:sz="4" w:space="0"/>
              <w:right w:val="single" w:color="auto" w:sz="4" w:space="0"/>
            </w:tcBorders>
            <w:noWrap/>
            <w:vAlign w:val="center"/>
          </w:tcPr>
          <w:p w14:paraId="711FD3D5">
            <w:pPr>
              <w:snapToGrid w:val="0"/>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修正率</w:t>
            </w:r>
          </w:p>
          <w:p w14:paraId="4E2EDD22">
            <w:pPr>
              <w:snapToGrid w:val="0"/>
              <w:spacing w:line="360" w:lineRule="auto"/>
              <w:jc w:val="center"/>
              <w:rPr>
                <w:rFonts w:ascii="宋体" w:hAnsi="宋体" w:eastAsia="宋体" w:cs="宋体"/>
                <w:b/>
                <w:bCs/>
                <w:color w:val="auto"/>
                <w:kern w:val="0"/>
                <w:sz w:val="24"/>
                <w:highlight w:val="none"/>
              </w:rPr>
            </w:pPr>
            <w:r>
              <w:rPr>
                <w:rFonts w:ascii="宋体" w:hAnsi="宋体" w:eastAsia="宋体" w:cs="宋体"/>
                <w:b/>
                <w:bCs/>
                <w:color w:val="auto"/>
                <w:kern w:val="0"/>
                <w:sz w:val="24"/>
                <w:highlight w:val="none"/>
              </w:rPr>
              <w:t>r=|A-B|/A*100%</w:t>
            </w:r>
          </w:p>
        </w:tc>
        <w:tc>
          <w:tcPr>
            <w:tcW w:w="510" w:type="pct"/>
            <w:tcBorders>
              <w:top w:val="single" w:color="auto" w:sz="4" w:space="0"/>
              <w:left w:val="nil"/>
              <w:bottom w:val="single" w:color="auto" w:sz="4" w:space="0"/>
              <w:right w:val="single" w:color="auto" w:sz="4" w:space="0"/>
            </w:tcBorders>
            <w:noWrap/>
            <w:vAlign w:val="center"/>
          </w:tcPr>
          <w:p w14:paraId="7E115F88">
            <w:pPr>
              <w:snapToGrid w:val="0"/>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经评审的最终投标报价</w:t>
            </w:r>
          </w:p>
        </w:tc>
        <w:tc>
          <w:tcPr>
            <w:tcW w:w="1271" w:type="pct"/>
            <w:tcBorders>
              <w:top w:val="single" w:color="auto" w:sz="4" w:space="0"/>
              <w:left w:val="nil"/>
              <w:bottom w:val="single" w:color="auto" w:sz="4" w:space="0"/>
              <w:right w:val="single" w:color="auto" w:sz="4" w:space="0"/>
            </w:tcBorders>
            <w:noWrap/>
            <w:vAlign w:val="center"/>
          </w:tcPr>
          <w:p w14:paraId="50506E9F">
            <w:pPr>
              <w:snapToGrid w:val="0"/>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当</w:t>
            </w:r>
            <w:r>
              <w:rPr>
                <w:rFonts w:ascii="宋体" w:hAnsi="宋体" w:eastAsia="宋体" w:cs="宋体"/>
                <w:b/>
                <w:bCs/>
                <w:color w:val="auto"/>
                <w:kern w:val="0"/>
                <w:sz w:val="24"/>
                <w:highlight w:val="none"/>
              </w:rPr>
              <w:t>B</w:t>
            </w:r>
            <w:r>
              <w:rPr>
                <w:rFonts w:hint="eastAsia" w:ascii="宋体" w:hAnsi="宋体" w:eastAsia="宋体" w:cs="宋体"/>
                <w:b/>
                <w:bCs/>
                <w:color w:val="auto"/>
                <w:kern w:val="0"/>
                <w:sz w:val="24"/>
                <w:highlight w:val="none"/>
              </w:rPr>
              <w:t>＞</w:t>
            </w:r>
            <w:r>
              <w:rPr>
                <w:rFonts w:ascii="宋体" w:hAnsi="宋体" w:eastAsia="宋体" w:cs="宋体"/>
                <w:b/>
                <w:bCs/>
                <w:color w:val="auto"/>
                <w:kern w:val="0"/>
                <w:sz w:val="24"/>
                <w:highlight w:val="none"/>
              </w:rPr>
              <w:t>A时，修正后报价与原报价的差额；当B≤A时,R=0</w:t>
            </w:r>
          </w:p>
        </w:tc>
      </w:tr>
      <w:tr w14:paraId="006A70FC">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478AF194">
            <w:pPr>
              <w:snapToGrid w:val="0"/>
              <w:spacing w:line="360" w:lineRule="auto"/>
              <w:rPr>
                <w:rFonts w:ascii="宋体" w:hAnsi="宋体" w:eastAsia="宋体" w:cs="宋体"/>
                <w:color w:val="auto"/>
                <w:kern w:val="0"/>
                <w:sz w:val="24"/>
                <w:highlight w:val="none"/>
              </w:rPr>
            </w:pPr>
            <w:r>
              <w:rPr>
                <w:rFonts w:ascii="宋体" w:hAnsi="宋体" w:eastAsia="宋体" w:cs="宋体"/>
                <w:b w:val="0"/>
                <w:color w:val="auto"/>
                <w:kern w:val="0"/>
                <w:sz w:val="24"/>
                <w:highlight w:val="none"/>
              </w:rPr>
              <w:t>1</w:t>
            </w:r>
          </w:p>
        </w:tc>
        <w:tc>
          <w:tcPr>
            <w:tcW w:w="755" w:type="pct"/>
            <w:tcBorders>
              <w:top w:val="nil"/>
              <w:left w:val="nil"/>
              <w:bottom w:val="single" w:color="auto" w:sz="4" w:space="0"/>
              <w:right w:val="single" w:color="auto" w:sz="4" w:space="0"/>
            </w:tcBorders>
            <w:noWrap/>
            <w:vAlign w:val="center"/>
          </w:tcPr>
          <w:p w14:paraId="1885167A">
            <w:pPr>
              <w:snapToGrid w:val="0"/>
              <w:spacing w:after="120" w:line="360" w:lineRule="auto"/>
              <w:rPr>
                <w:rFonts w:ascii="宋体" w:hAnsi="宋体" w:eastAsia="宋体" w:cs="宋体"/>
                <w:color w:val="auto"/>
                <w:kern w:val="0"/>
                <w:sz w:val="24"/>
                <w:highlight w:val="none"/>
              </w:rPr>
            </w:pPr>
            <w:r>
              <w:rPr>
                <w:rFonts w:ascii="宋体" w:hAnsi="宋体" w:eastAsia="宋体" w:cs="宋体"/>
                <w:b w:val="0"/>
                <w:color w:val="auto"/>
                <w:kern w:val="0"/>
                <w:sz w:val="24"/>
                <w:highlight w:val="none"/>
              </w:rPr>
              <w:t>[单位工程1]</w:t>
            </w:r>
          </w:p>
        </w:tc>
        <w:tc>
          <w:tcPr>
            <w:tcW w:w="770" w:type="pct"/>
            <w:tcBorders>
              <w:top w:val="nil"/>
              <w:left w:val="nil"/>
              <w:bottom w:val="single" w:color="auto" w:sz="4" w:space="0"/>
              <w:right w:val="single" w:color="auto" w:sz="4" w:space="0"/>
            </w:tcBorders>
            <w:noWrap/>
            <w:vAlign w:val="center"/>
          </w:tcPr>
          <w:p w14:paraId="0245B877">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7D6361FD">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4AB2977F">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48E1F0FA">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48EA6B1A">
            <w:pPr>
              <w:snapToGrid w:val="0"/>
              <w:spacing w:line="360" w:lineRule="auto"/>
              <w:rPr>
                <w:rFonts w:ascii="宋体" w:hAnsi="宋体" w:eastAsia="宋体" w:cs="宋体"/>
                <w:color w:val="auto"/>
                <w:kern w:val="0"/>
                <w:sz w:val="24"/>
                <w:highlight w:val="none"/>
              </w:rPr>
            </w:pPr>
          </w:p>
        </w:tc>
      </w:tr>
      <w:tr w14:paraId="3D72E068">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3136F0D4">
            <w:pPr>
              <w:snapToGrid w:val="0"/>
              <w:spacing w:after="120" w:line="360" w:lineRule="auto"/>
              <w:rPr>
                <w:rFonts w:ascii="宋体" w:hAnsi="宋体" w:eastAsia="宋体" w:cs="宋体"/>
                <w:color w:val="auto"/>
                <w:kern w:val="0"/>
                <w:sz w:val="24"/>
                <w:highlight w:val="none"/>
              </w:rPr>
            </w:pPr>
            <w:r>
              <w:rPr>
                <w:rFonts w:ascii="宋体" w:hAnsi="宋体" w:eastAsia="宋体" w:cs="宋体"/>
                <w:b w:val="0"/>
                <w:color w:val="auto"/>
                <w:kern w:val="0"/>
                <w:sz w:val="24"/>
                <w:highlight w:val="none"/>
              </w:rPr>
              <w:t>2</w:t>
            </w:r>
          </w:p>
        </w:tc>
        <w:tc>
          <w:tcPr>
            <w:tcW w:w="755" w:type="pct"/>
            <w:tcBorders>
              <w:top w:val="nil"/>
              <w:left w:val="nil"/>
              <w:bottom w:val="single" w:color="auto" w:sz="4" w:space="0"/>
              <w:right w:val="single" w:color="auto" w:sz="4" w:space="0"/>
            </w:tcBorders>
            <w:noWrap/>
            <w:vAlign w:val="center"/>
          </w:tcPr>
          <w:p w14:paraId="5E190549">
            <w:pPr>
              <w:snapToGrid w:val="0"/>
              <w:spacing w:after="120" w:line="360" w:lineRule="auto"/>
              <w:rPr>
                <w:rFonts w:ascii="宋体" w:hAnsi="宋体" w:eastAsia="宋体" w:cs="宋体"/>
                <w:color w:val="auto"/>
                <w:kern w:val="0"/>
                <w:sz w:val="24"/>
                <w:highlight w:val="none"/>
              </w:rPr>
            </w:pPr>
            <w:r>
              <w:rPr>
                <w:rFonts w:ascii="宋体" w:hAnsi="宋体" w:eastAsia="宋体" w:cs="宋体"/>
                <w:b w:val="0"/>
                <w:color w:val="auto"/>
                <w:kern w:val="0"/>
                <w:sz w:val="24"/>
                <w:highlight w:val="none"/>
              </w:rPr>
              <w:t>[单位工程2]</w:t>
            </w:r>
          </w:p>
        </w:tc>
        <w:tc>
          <w:tcPr>
            <w:tcW w:w="770" w:type="pct"/>
            <w:tcBorders>
              <w:top w:val="nil"/>
              <w:left w:val="nil"/>
              <w:bottom w:val="single" w:color="auto" w:sz="4" w:space="0"/>
              <w:right w:val="single" w:color="auto" w:sz="4" w:space="0"/>
            </w:tcBorders>
            <w:noWrap/>
            <w:vAlign w:val="center"/>
          </w:tcPr>
          <w:p w14:paraId="77149121">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646F8715">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695BBE1E">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16E34ABE">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7BC35C96">
            <w:pPr>
              <w:snapToGrid w:val="0"/>
              <w:spacing w:line="360" w:lineRule="auto"/>
              <w:rPr>
                <w:rFonts w:ascii="宋体" w:hAnsi="宋体" w:eastAsia="宋体" w:cs="宋体"/>
                <w:color w:val="auto"/>
                <w:kern w:val="0"/>
                <w:sz w:val="24"/>
                <w:highlight w:val="none"/>
              </w:rPr>
            </w:pPr>
          </w:p>
        </w:tc>
      </w:tr>
      <w:tr w14:paraId="08D12F00">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4A6312BD">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w:t>
            </w:r>
          </w:p>
        </w:tc>
        <w:tc>
          <w:tcPr>
            <w:tcW w:w="755" w:type="pct"/>
            <w:tcBorders>
              <w:top w:val="nil"/>
              <w:left w:val="nil"/>
              <w:bottom w:val="single" w:color="auto" w:sz="4" w:space="0"/>
              <w:right w:val="single" w:color="auto" w:sz="4" w:space="0"/>
            </w:tcBorders>
            <w:noWrap/>
            <w:vAlign w:val="center"/>
          </w:tcPr>
          <w:p w14:paraId="2626E13C">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w:t>
            </w:r>
          </w:p>
        </w:tc>
        <w:tc>
          <w:tcPr>
            <w:tcW w:w="770" w:type="pct"/>
            <w:tcBorders>
              <w:top w:val="nil"/>
              <w:left w:val="nil"/>
              <w:bottom w:val="single" w:color="auto" w:sz="4" w:space="0"/>
              <w:right w:val="single" w:color="auto" w:sz="4" w:space="0"/>
            </w:tcBorders>
            <w:noWrap/>
            <w:vAlign w:val="center"/>
          </w:tcPr>
          <w:p w14:paraId="65FFB491">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7BFE60BC">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6E4373AA">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6098342D">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54FC446D">
            <w:pPr>
              <w:snapToGrid w:val="0"/>
              <w:spacing w:line="360" w:lineRule="auto"/>
              <w:rPr>
                <w:rFonts w:ascii="宋体" w:hAnsi="宋体" w:eastAsia="宋体" w:cs="宋体"/>
                <w:color w:val="auto"/>
                <w:kern w:val="0"/>
                <w:sz w:val="24"/>
                <w:highlight w:val="none"/>
              </w:rPr>
            </w:pPr>
          </w:p>
        </w:tc>
      </w:tr>
      <w:tr w14:paraId="0B763F88">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795D7A2F">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w:t>
            </w:r>
          </w:p>
        </w:tc>
        <w:tc>
          <w:tcPr>
            <w:tcW w:w="755" w:type="pct"/>
            <w:tcBorders>
              <w:top w:val="nil"/>
              <w:left w:val="nil"/>
              <w:bottom w:val="single" w:color="auto" w:sz="4" w:space="0"/>
              <w:right w:val="single" w:color="auto" w:sz="4" w:space="0"/>
            </w:tcBorders>
            <w:noWrap/>
            <w:vAlign w:val="center"/>
          </w:tcPr>
          <w:p w14:paraId="66CFD2BE">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w:t>
            </w:r>
          </w:p>
        </w:tc>
        <w:tc>
          <w:tcPr>
            <w:tcW w:w="770" w:type="pct"/>
            <w:tcBorders>
              <w:top w:val="nil"/>
              <w:left w:val="nil"/>
              <w:bottom w:val="single" w:color="auto" w:sz="4" w:space="0"/>
              <w:right w:val="single" w:color="auto" w:sz="4" w:space="0"/>
            </w:tcBorders>
            <w:noWrap/>
            <w:vAlign w:val="center"/>
          </w:tcPr>
          <w:p w14:paraId="4330D9D0">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54E6C90D">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22EBAE0B">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3C0FC78B">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7431DCDA">
            <w:pPr>
              <w:snapToGrid w:val="0"/>
              <w:spacing w:line="360" w:lineRule="auto"/>
              <w:rPr>
                <w:rFonts w:ascii="宋体" w:hAnsi="宋体" w:eastAsia="宋体" w:cs="宋体"/>
                <w:color w:val="auto"/>
                <w:kern w:val="0"/>
                <w:sz w:val="24"/>
                <w:highlight w:val="none"/>
              </w:rPr>
            </w:pPr>
          </w:p>
        </w:tc>
      </w:tr>
      <w:tr w14:paraId="4F6DA70C">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13B7CEFC">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w:t>
            </w:r>
          </w:p>
        </w:tc>
        <w:tc>
          <w:tcPr>
            <w:tcW w:w="755" w:type="pct"/>
            <w:tcBorders>
              <w:top w:val="nil"/>
              <w:left w:val="nil"/>
              <w:bottom w:val="single" w:color="auto" w:sz="4" w:space="0"/>
              <w:right w:val="single" w:color="auto" w:sz="4" w:space="0"/>
            </w:tcBorders>
            <w:noWrap/>
            <w:vAlign w:val="center"/>
          </w:tcPr>
          <w:p w14:paraId="15165737">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w:t>
            </w:r>
          </w:p>
        </w:tc>
        <w:tc>
          <w:tcPr>
            <w:tcW w:w="770" w:type="pct"/>
            <w:tcBorders>
              <w:top w:val="nil"/>
              <w:left w:val="nil"/>
              <w:bottom w:val="single" w:color="auto" w:sz="4" w:space="0"/>
              <w:right w:val="single" w:color="auto" w:sz="4" w:space="0"/>
            </w:tcBorders>
            <w:noWrap/>
            <w:vAlign w:val="center"/>
          </w:tcPr>
          <w:p w14:paraId="160F6615">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2EA88666">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7B2E5EDF">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283BBE0E">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27ED33FF">
            <w:pPr>
              <w:snapToGrid w:val="0"/>
              <w:spacing w:line="360" w:lineRule="auto"/>
              <w:rPr>
                <w:rFonts w:ascii="宋体" w:hAnsi="宋体" w:eastAsia="宋体" w:cs="宋体"/>
                <w:color w:val="auto"/>
                <w:kern w:val="0"/>
                <w:sz w:val="24"/>
                <w:highlight w:val="none"/>
              </w:rPr>
            </w:pPr>
          </w:p>
        </w:tc>
      </w:tr>
      <w:tr w14:paraId="0E511182">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00B8F901">
            <w:pPr>
              <w:snapToGrid w:val="0"/>
              <w:spacing w:after="120" w:line="360" w:lineRule="auto"/>
              <w:rPr>
                <w:rFonts w:ascii="宋体" w:hAnsi="宋体" w:eastAsia="宋体" w:cs="宋体"/>
                <w:color w:val="auto"/>
                <w:kern w:val="0"/>
                <w:sz w:val="24"/>
                <w:highlight w:val="none"/>
              </w:rPr>
            </w:pPr>
            <w:r>
              <w:rPr>
                <w:rFonts w:ascii="宋体" w:hAnsi="宋体" w:eastAsia="宋体" w:cs="宋体"/>
                <w:b w:val="0"/>
                <w:color w:val="auto"/>
                <w:kern w:val="0"/>
                <w:sz w:val="24"/>
                <w:highlight w:val="none"/>
              </w:rPr>
              <w:t>n</w:t>
            </w:r>
          </w:p>
        </w:tc>
        <w:tc>
          <w:tcPr>
            <w:tcW w:w="755" w:type="pct"/>
            <w:tcBorders>
              <w:top w:val="nil"/>
              <w:left w:val="nil"/>
              <w:bottom w:val="single" w:color="auto" w:sz="4" w:space="0"/>
              <w:right w:val="single" w:color="auto" w:sz="4" w:space="0"/>
            </w:tcBorders>
            <w:noWrap/>
            <w:vAlign w:val="center"/>
          </w:tcPr>
          <w:p w14:paraId="1C262162">
            <w:pPr>
              <w:snapToGrid w:val="0"/>
              <w:spacing w:after="120" w:line="360" w:lineRule="auto"/>
              <w:rPr>
                <w:rFonts w:ascii="宋体" w:hAnsi="宋体" w:eastAsia="宋体" w:cs="宋体"/>
                <w:color w:val="auto"/>
                <w:kern w:val="0"/>
                <w:sz w:val="24"/>
                <w:highlight w:val="none"/>
              </w:rPr>
            </w:pPr>
            <w:r>
              <w:rPr>
                <w:rFonts w:ascii="宋体" w:hAnsi="宋体" w:eastAsia="宋体" w:cs="宋体"/>
                <w:b w:val="0"/>
                <w:color w:val="auto"/>
                <w:kern w:val="0"/>
                <w:sz w:val="24"/>
                <w:highlight w:val="none"/>
              </w:rPr>
              <w:t>[单位工程n]</w:t>
            </w:r>
          </w:p>
        </w:tc>
        <w:tc>
          <w:tcPr>
            <w:tcW w:w="770" w:type="pct"/>
            <w:tcBorders>
              <w:top w:val="nil"/>
              <w:left w:val="nil"/>
              <w:bottom w:val="single" w:color="auto" w:sz="4" w:space="0"/>
              <w:right w:val="single" w:color="auto" w:sz="4" w:space="0"/>
            </w:tcBorders>
            <w:noWrap/>
            <w:vAlign w:val="center"/>
          </w:tcPr>
          <w:p w14:paraId="023F9B5B">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7103B35A">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34FA8AF1">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03A89CC9">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3548B975">
            <w:pPr>
              <w:snapToGrid w:val="0"/>
              <w:spacing w:line="360" w:lineRule="auto"/>
              <w:rPr>
                <w:rFonts w:ascii="宋体" w:hAnsi="宋体" w:eastAsia="宋体" w:cs="宋体"/>
                <w:color w:val="auto"/>
                <w:kern w:val="0"/>
                <w:sz w:val="24"/>
                <w:highlight w:val="none"/>
              </w:rPr>
            </w:pPr>
          </w:p>
        </w:tc>
      </w:tr>
      <w:tr w14:paraId="509CF87C">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610DA0A0">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w:t>
            </w:r>
          </w:p>
        </w:tc>
        <w:tc>
          <w:tcPr>
            <w:tcW w:w="755" w:type="pct"/>
            <w:tcBorders>
              <w:top w:val="nil"/>
              <w:left w:val="nil"/>
              <w:bottom w:val="single" w:color="auto" w:sz="4" w:space="0"/>
              <w:right w:val="single" w:color="auto" w:sz="4" w:space="0"/>
            </w:tcBorders>
            <w:noWrap/>
            <w:vAlign w:val="center"/>
          </w:tcPr>
          <w:p w14:paraId="6968307D">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投标总报价</w:t>
            </w:r>
          </w:p>
        </w:tc>
        <w:tc>
          <w:tcPr>
            <w:tcW w:w="770" w:type="pct"/>
            <w:tcBorders>
              <w:top w:val="nil"/>
              <w:left w:val="nil"/>
              <w:bottom w:val="single" w:color="auto" w:sz="4" w:space="0"/>
              <w:right w:val="single" w:color="auto" w:sz="4" w:space="0"/>
            </w:tcBorders>
            <w:noWrap/>
            <w:vAlign w:val="center"/>
          </w:tcPr>
          <w:p w14:paraId="5BA22823">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11DA218F">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710" w:type="pct"/>
            <w:tcBorders>
              <w:top w:val="nil"/>
              <w:left w:val="nil"/>
              <w:bottom w:val="single" w:color="auto" w:sz="4" w:space="0"/>
              <w:right w:val="single" w:color="auto" w:sz="4" w:space="0"/>
              <w:tr2bl w:val="single" w:color="auto" w:sz="4" w:space="0"/>
            </w:tcBorders>
            <w:noWrap/>
            <w:vAlign w:val="center"/>
          </w:tcPr>
          <w:p w14:paraId="79CB181E">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1FF78B26">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541240B2">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w:t>
            </w:r>
            <w:r>
              <w:rPr>
                <w:rFonts w:ascii="宋体" w:hAnsi="宋体" w:eastAsia="宋体" w:cs="宋体"/>
                <w:b w:val="0"/>
                <w:color w:val="auto"/>
                <w:kern w:val="0"/>
                <w:sz w:val="24"/>
                <w:highlight w:val="none"/>
              </w:rPr>
              <w:t>A=A</w:t>
            </w:r>
            <w:r>
              <w:rPr>
                <w:rFonts w:ascii="宋体" w:hAnsi="宋体" w:eastAsia="宋体" w:cs="宋体"/>
                <w:b w:val="0"/>
                <w:color w:val="auto"/>
                <w:kern w:val="0"/>
                <w:sz w:val="24"/>
                <w:highlight w:val="none"/>
                <w:vertAlign w:val="subscript"/>
              </w:rPr>
              <w:t>1</w:t>
            </w:r>
            <w:r>
              <w:rPr>
                <w:rFonts w:ascii="宋体" w:hAnsi="宋体" w:eastAsia="宋体" w:cs="宋体"/>
                <w:b w:val="0"/>
                <w:color w:val="auto"/>
                <w:kern w:val="0"/>
                <w:sz w:val="24"/>
                <w:highlight w:val="none"/>
              </w:rPr>
              <w:t>+A</w:t>
            </w:r>
            <w:r>
              <w:rPr>
                <w:rFonts w:ascii="宋体" w:hAnsi="宋体" w:eastAsia="宋体" w:cs="宋体"/>
                <w:b w:val="0"/>
                <w:color w:val="auto"/>
                <w:kern w:val="0"/>
                <w:sz w:val="24"/>
                <w:highlight w:val="none"/>
                <w:vertAlign w:val="subscript"/>
              </w:rPr>
              <w:t>2</w:t>
            </w:r>
            <w:r>
              <w:rPr>
                <w:rFonts w:ascii="宋体" w:hAnsi="宋体" w:eastAsia="宋体" w:cs="宋体"/>
                <w:b w:val="0"/>
                <w:color w:val="auto"/>
                <w:kern w:val="0"/>
                <w:sz w:val="24"/>
                <w:highlight w:val="none"/>
              </w:rPr>
              <w:t>+…An；∑B=B</w:t>
            </w:r>
            <w:r>
              <w:rPr>
                <w:rFonts w:ascii="宋体" w:hAnsi="宋体" w:eastAsia="宋体" w:cs="宋体"/>
                <w:b w:val="0"/>
                <w:color w:val="auto"/>
                <w:kern w:val="0"/>
                <w:sz w:val="24"/>
                <w:highlight w:val="none"/>
                <w:vertAlign w:val="subscript"/>
              </w:rPr>
              <w:t>1</w:t>
            </w:r>
            <w:r>
              <w:rPr>
                <w:rFonts w:ascii="宋体" w:hAnsi="宋体" w:eastAsia="宋体" w:cs="宋体"/>
                <w:b w:val="0"/>
                <w:color w:val="auto"/>
                <w:kern w:val="0"/>
                <w:sz w:val="24"/>
                <w:highlight w:val="none"/>
              </w:rPr>
              <w:t>+B</w:t>
            </w:r>
            <w:r>
              <w:rPr>
                <w:rFonts w:ascii="宋体" w:hAnsi="宋体" w:eastAsia="宋体" w:cs="宋体"/>
                <w:b w:val="0"/>
                <w:color w:val="auto"/>
                <w:kern w:val="0"/>
                <w:sz w:val="24"/>
                <w:highlight w:val="none"/>
                <w:vertAlign w:val="subscript"/>
              </w:rPr>
              <w:t>2</w:t>
            </w:r>
            <w:r>
              <w:rPr>
                <w:rFonts w:ascii="宋体" w:hAnsi="宋体" w:eastAsia="宋体" w:cs="宋体"/>
                <w:b w:val="0"/>
                <w:color w:val="auto"/>
                <w:kern w:val="0"/>
                <w:sz w:val="24"/>
                <w:highlight w:val="none"/>
              </w:rPr>
              <w:t>+…Bn</w:t>
            </w:r>
          </w:p>
        </w:tc>
      </w:tr>
    </w:tbl>
    <w:p w14:paraId="5D948FAD">
      <w:pPr>
        <w:snapToGrid w:val="0"/>
        <w:spacing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修正原则：</w:t>
      </w:r>
      <w:r>
        <w:rPr>
          <w:rFonts w:hint="eastAsia" w:ascii="宋体" w:hAnsi="宋体" w:eastAsia="宋体" w:cs="宋体"/>
          <w:b w:val="0"/>
          <w:color w:val="auto"/>
          <w:sz w:val="24"/>
          <w:highlight w:val="none"/>
        </w:rPr>
        <w:t>按就低不就高原则，当修正后报价小于原报价，总价按修正后报价；当修正后报价大于原报价，总价按原报价，并在签订合同时载明在结算价中扣除修正报价与原报价的差额。</w:t>
      </w:r>
    </w:p>
    <w:p w14:paraId="4987C84C">
      <w:pPr>
        <w:snapToGrid w:val="0"/>
        <w:spacing w:line="360" w:lineRule="auto"/>
        <w:rPr>
          <w:rFonts w:ascii="宋体" w:hAnsi="宋体" w:eastAsia="宋体" w:cs="宋体"/>
          <w:color w:val="auto"/>
          <w:kern w:val="0"/>
          <w:sz w:val="24"/>
          <w:highlight w:val="none"/>
        </w:rPr>
      </w:pPr>
      <w:r>
        <w:rPr>
          <w:rFonts w:hint="eastAsia" w:ascii="宋体" w:hAnsi="宋体" w:eastAsia="宋体" w:cs="宋体"/>
          <w:b w:val="0"/>
          <w:color w:val="auto"/>
          <w:kern w:val="0"/>
          <w:sz w:val="24"/>
          <w:highlight w:val="none"/>
        </w:rPr>
        <w:t>评委签名：日期：</w:t>
      </w:r>
    </w:p>
    <w:p w14:paraId="51DE05DC">
      <w:pPr>
        <w:pStyle w:val="243"/>
        <w:ind w:firstLine="420" w:firstLineChars="200"/>
        <w:rPr>
          <w:rFonts w:ascii="宋体" w:hAnsi="宋体" w:eastAsia="宋体" w:cs="宋体"/>
          <w:color w:val="auto"/>
          <w:sz w:val="21"/>
          <w:szCs w:val="21"/>
          <w:highlight w:val="none"/>
        </w:rPr>
      </w:pPr>
    </w:p>
    <w:p w14:paraId="77CD357A">
      <w:pPr>
        <w:snapToGrid w:val="0"/>
        <w:spacing w:line="360" w:lineRule="auto"/>
        <w:jc w:val="left"/>
        <w:rPr>
          <w:rFonts w:ascii="宋体" w:hAnsi="宋体" w:eastAsia="宋体" w:cs="宋体"/>
          <w:b/>
          <w:bCs/>
          <w:color w:val="auto"/>
          <w:sz w:val="24"/>
          <w:highlight w:val="none"/>
        </w:rPr>
        <w:sectPr>
          <w:pgSz w:w="16838" w:h="11906" w:orient="landscape"/>
          <w:pgMar w:top="1440" w:right="1440" w:bottom="1440" w:left="1440" w:header="851" w:footer="992" w:gutter="0"/>
          <w:pgNumType w:fmt="decimal"/>
          <w:cols w:space="0" w:num="1"/>
          <w:docGrid w:type="lines" w:linePitch="322" w:charSpace="0"/>
        </w:sectPr>
      </w:pPr>
    </w:p>
    <w:p w14:paraId="51ED4695">
      <w:pPr>
        <w:snapToGrid w:val="0"/>
        <w:spacing w:line="360" w:lineRule="auto"/>
        <w:rPr>
          <w:rFonts w:ascii="宋体" w:hAnsi="宋体" w:eastAsia="宋体" w:cs="宋体"/>
          <w:b/>
          <w:color w:val="auto"/>
          <w:sz w:val="24"/>
          <w:highlight w:val="none"/>
        </w:rPr>
      </w:pPr>
    </w:p>
    <w:p w14:paraId="71DE3A89">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算术复核表</w:t>
      </w:r>
    </w:p>
    <w:p w14:paraId="1ED5FED9">
      <w:pPr>
        <w:snapToGrid w:val="0"/>
        <w:spacing w:line="360" w:lineRule="auto"/>
        <w:rPr>
          <w:rFonts w:ascii="宋体" w:hAnsi="宋体" w:eastAsia="宋体" w:cs="宋体"/>
          <w:color w:val="auto"/>
          <w:sz w:val="24"/>
          <w:highlight w:val="none"/>
        </w:rPr>
      </w:pPr>
      <w:r>
        <w:rPr>
          <w:rFonts w:hint="eastAsia" w:ascii="宋体" w:hAnsi="宋体" w:eastAsia="宋体" w:cs="宋体"/>
          <w:b w:val="0"/>
          <w:color w:val="auto"/>
          <w:sz w:val="24"/>
          <w:highlight w:val="none"/>
        </w:rPr>
        <w:t>工程名称：</w:t>
      </w:r>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4299"/>
        <w:gridCol w:w="2328"/>
        <w:gridCol w:w="3100"/>
        <w:gridCol w:w="3423"/>
      </w:tblGrid>
      <w:tr w14:paraId="0357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59" w:type="pct"/>
            <w:tcBorders>
              <w:top w:val="single" w:color="auto" w:sz="4" w:space="0"/>
              <w:left w:val="single" w:color="auto" w:sz="4" w:space="0"/>
              <w:bottom w:val="single" w:color="auto" w:sz="4" w:space="0"/>
              <w:right w:val="single" w:color="auto" w:sz="4" w:space="0"/>
            </w:tcBorders>
            <w:noWrap/>
          </w:tcPr>
          <w:p w14:paraId="4C203FD5">
            <w:pPr>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编号</w:t>
            </w:r>
          </w:p>
        </w:tc>
        <w:tc>
          <w:tcPr>
            <w:tcW w:w="1516" w:type="pct"/>
            <w:tcBorders>
              <w:top w:val="single" w:color="auto" w:sz="4" w:space="0"/>
              <w:left w:val="single" w:color="auto" w:sz="4" w:space="0"/>
              <w:bottom w:val="single" w:color="auto" w:sz="4" w:space="0"/>
              <w:right w:val="single" w:color="auto" w:sz="4" w:space="0"/>
            </w:tcBorders>
            <w:noWrap/>
          </w:tcPr>
          <w:p w14:paraId="7885916A">
            <w:pPr>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821" w:type="pct"/>
            <w:tcBorders>
              <w:top w:val="single" w:color="auto" w:sz="4" w:space="0"/>
              <w:left w:val="single" w:color="auto" w:sz="4" w:space="0"/>
              <w:bottom w:val="single" w:color="auto" w:sz="4" w:space="0"/>
              <w:right w:val="single" w:color="auto" w:sz="4" w:space="0"/>
            </w:tcBorders>
            <w:noWrap/>
          </w:tcPr>
          <w:p w14:paraId="0E0BF045">
            <w:pPr>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原投标报价（</w:t>
            </w:r>
            <w:r>
              <w:rPr>
                <w:rFonts w:ascii="宋体" w:hAnsi="宋体" w:eastAsia="宋体" w:cs="宋体"/>
                <w:b/>
                <w:color w:val="auto"/>
                <w:sz w:val="24"/>
                <w:highlight w:val="none"/>
              </w:rPr>
              <w:t>A）</w:t>
            </w:r>
          </w:p>
        </w:tc>
        <w:tc>
          <w:tcPr>
            <w:tcW w:w="1093" w:type="pct"/>
            <w:tcBorders>
              <w:top w:val="single" w:color="auto" w:sz="4" w:space="0"/>
              <w:left w:val="single" w:color="auto" w:sz="4" w:space="0"/>
              <w:bottom w:val="single" w:color="auto" w:sz="4" w:space="0"/>
              <w:right w:val="single" w:color="auto" w:sz="4" w:space="0"/>
            </w:tcBorders>
            <w:noWrap/>
          </w:tcPr>
          <w:p w14:paraId="3A45F187">
            <w:pPr>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算数复核后投标报价（</w:t>
            </w:r>
            <w:r>
              <w:rPr>
                <w:rFonts w:ascii="宋体" w:hAnsi="宋体" w:eastAsia="宋体" w:cs="宋体"/>
                <w:b/>
                <w:color w:val="auto"/>
                <w:sz w:val="24"/>
                <w:highlight w:val="none"/>
              </w:rPr>
              <w:t>B）</w:t>
            </w:r>
          </w:p>
        </w:tc>
        <w:tc>
          <w:tcPr>
            <w:tcW w:w="1207" w:type="pct"/>
            <w:tcBorders>
              <w:top w:val="single" w:color="auto" w:sz="4" w:space="0"/>
              <w:left w:val="single" w:color="auto" w:sz="4" w:space="0"/>
              <w:bottom w:val="single" w:color="auto" w:sz="4" w:space="0"/>
              <w:right w:val="single" w:color="auto" w:sz="4" w:space="0"/>
            </w:tcBorders>
            <w:noWrap/>
          </w:tcPr>
          <w:p w14:paraId="2A07FF64">
            <w:pPr>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误差率（</w:t>
            </w:r>
            <w:r>
              <w:rPr>
                <w:rFonts w:ascii="宋体" w:hAnsi="宋体" w:eastAsia="宋体" w:cs="宋体"/>
                <w:b/>
                <w:color w:val="auto"/>
                <w:sz w:val="24"/>
                <w:highlight w:val="none"/>
              </w:rPr>
              <w:t>r=|A-B|/A*100%）</w:t>
            </w:r>
          </w:p>
        </w:tc>
      </w:tr>
      <w:tr w14:paraId="67A6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6901A481">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57CD0A45">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73BF6C36">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408B67EF">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24BE2BFE">
            <w:pPr>
              <w:snapToGrid w:val="0"/>
              <w:spacing w:line="360" w:lineRule="auto"/>
              <w:jc w:val="center"/>
              <w:rPr>
                <w:rFonts w:ascii="宋体" w:hAnsi="宋体" w:eastAsia="宋体" w:cs="宋体"/>
                <w:color w:val="auto"/>
                <w:sz w:val="24"/>
                <w:highlight w:val="none"/>
              </w:rPr>
            </w:pPr>
          </w:p>
        </w:tc>
      </w:tr>
      <w:tr w14:paraId="7A95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53303B80">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561ED64A">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503583A5">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02D4B52B">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2774CC2D">
            <w:pPr>
              <w:snapToGrid w:val="0"/>
              <w:spacing w:line="360" w:lineRule="auto"/>
              <w:jc w:val="center"/>
              <w:rPr>
                <w:rFonts w:ascii="宋体" w:hAnsi="宋体" w:eastAsia="宋体" w:cs="宋体"/>
                <w:color w:val="auto"/>
                <w:sz w:val="24"/>
                <w:highlight w:val="none"/>
              </w:rPr>
            </w:pPr>
          </w:p>
        </w:tc>
      </w:tr>
      <w:tr w14:paraId="4C92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6C35936E">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531628F9">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5CCDEEC3">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4CB59F58">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4038E44B">
            <w:pPr>
              <w:snapToGrid w:val="0"/>
              <w:spacing w:line="360" w:lineRule="auto"/>
              <w:jc w:val="center"/>
              <w:rPr>
                <w:rFonts w:ascii="宋体" w:hAnsi="宋体" w:eastAsia="宋体" w:cs="宋体"/>
                <w:color w:val="auto"/>
                <w:sz w:val="24"/>
                <w:highlight w:val="none"/>
              </w:rPr>
            </w:pPr>
          </w:p>
        </w:tc>
      </w:tr>
      <w:tr w14:paraId="6C65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6DE784B3">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5EAF1957">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3E236A29">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4708E5EA">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2625F091">
            <w:pPr>
              <w:snapToGrid w:val="0"/>
              <w:spacing w:line="360" w:lineRule="auto"/>
              <w:jc w:val="center"/>
              <w:rPr>
                <w:rFonts w:ascii="宋体" w:hAnsi="宋体" w:eastAsia="宋体" w:cs="宋体"/>
                <w:color w:val="auto"/>
                <w:sz w:val="24"/>
                <w:highlight w:val="none"/>
              </w:rPr>
            </w:pPr>
          </w:p>
        </w:tc>
      </w:tr>
      <w:tr w14:paraId="2A77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14FA15D8">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44374EE1">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26F36474">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017F5EF8">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6B05E5DF">
            <w:pPr>
              <w:snapToGrid w:val="0"/>
              <w:spacing w:line="360" w:lineRule="auto"/>
              <w:jc w:val="center"/>
              <w:rPr>
                <w:rFonts w:ascii="宋体" w:hAnsi="宋体" w:eastAsia="宋体" w:cs="宋体"/>
                <w:color w:val="auto"/>
                <w:sz w:val="24"/>
                <w:highlight w:val="none"/>
              </w:rPr>
            </w:pPr>
          </w:p>
        </w:tc>
      </w:tr>
      <w:tr w14:paraId="0AC9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24CBD12F">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4B4E1F17">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7F83511B">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7F7B31FF">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76A47DD9">
            <w:pPr>
              <w:snapToGrid w:val="0"/>
              <w:spacing w:line="360" w:lineRule="auto"/>
              <w:jc w:val="center"/>
              <w:rPr>
                <w:rFonts w:ascii="宋体" w:hAnsi="宋体" w:eastAsia="宋体" w:cs="宋体"/>
                <w:color w:val="auto"/>
                <w:sz w:val="24"/>
                <w:highlight w:val="none"/>
              </w:rPr>
            </w:pPr>
          </w:p>
        </w:tc>
      </w:tr>
      <w:tr w14:paraId="7A7B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6C2E0DBB">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61E44259">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749E3C8E">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67FAF545">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57A943D0">
            <w:pPr>
              <w:snapToGrid w:val="0"/>
              <w:spacing w:line="360" w:lineRule="auto"/>
              <w:jc w:val="center"/>
              <w:rPr>
                <w:rFonts w:ascii="宋体" w:hAnsi="宋体" w:eastAsia="宋体" w:cs="宋体"/>
                <w:color w:val="auto"/>
                <w:sz w:val="24"/>
                <w:highlight w:val="none"/>
              </w:rPr>
            </w:pPr>
          </w:p>
        </w:tc>
      </w:tr>
      <w:tr w14:paraId="3A10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69511F88">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34AAA5E0">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59B1C300">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63E0DE89">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7E9F355A">
            <w:pPr>
              <w:snapToGrid w:val="0"/>
              <w:spacing w:line="360" w:lineRule="auto"/>
              <w:jc w:val="center"/>
              <w:rPr>
                <w:rFonts w:ascii="宋体" w:hAnsi="宋体" w:eastAsia="宋体" w:cs="宋体"/>
                <w:color w:val="auto"/>
                <w:sz w:val="24"/>
                <w:highlight w:val="none"/>
              </w:rPr>
            </w:pPr>
          </w:p>
        </w:tc>
      </w:tr>
    </w:tbl>
    <w:p w14:paraId="771EB2F0">
      <w:pPr>
        <w:snapToGrid w:val="0"/>
        <w:spacing w:line="360" w:lineRule="auto"/>
        <w:rPr>
          <w:rFonts w:ascii="宋体" w:hAnsi="宋体" w:eastAsia="宋体" w:cs="宋体"/>
          <w:color w:val="auto"/>
          <w:sz w:val="24"/>
          <w:highlight w:val="none"/>
        </w:rPr>
      </w:pPr>
      <w:r>
        <w:rPr>
          <w:rFonts w:hint="eastAsia" w:ascii="宋体" w:hAnsi="宋体" w:eastAsia="宋体" w:cs="宋体"/>
          <w:b w:val="0"/>
          <w:color w:val="auto"/>
          <w:sz w:val="24"/>
          <w:highlight w:val="none"/>
        </w:rPr>
        <w:t>评委签名：</w:t>
      </w:r>
    </w:p>
    <w:p w14:paraId="285B724A">
      <w:pPr>
        <w:pStyle w:val="243"/>
        <w:ind w:firstLine="420" w:firstLineChars="200"/>
        <w:rPr>
          <w:rFonts w:ascii="宋体" w:hAnsi="宋体" w:eastAsia="宋体" w:cs="宋体"/>
          <w:color w:val="auto"/>
          <w:sz w:val="21"/>
          <w:szCs w:val="21"/>
          <w:highlight w:val="none"/>
        </w:rPr>
      </w:pPr>
    </w:p>
    <w:p w14:paraId="4A2AB0A4">
      <w:pPr>
        <w:pStyle w:val="22"/>
        <w:snapToGrid w:val="0"/>
        <w:spacing w:line="360" w:lineRule="auto"/>
        <w:ind w:firstLine="0" w:firstLineChars="0"/>
        <w:rPr>
          <w:rFonts w:ascii="宋体" w:hAnsi="宋体" w:eastAsia="宋体" w:cs="宋体"/>
          <w:color w:val="auto"/>
          <w:sz w:val="24"/>
          <w:highlight w:val="none"/>
        </w:rPr>
      </w:pPr>
    </w:p>
    <w:p w14:paraId="6C52CA2C">
      <w:pPr>
        <w:snapToGrid w:val="0"/>
        <w:spacing w:line="360" w:lineRule="auto"/>
        <w:jc w:val="left"/>
        <w:rPr>
          <w:rFonts w:ascii="宋体" w:hAnsi="宋体" w:eastAsia="宋体" w:cs="宋体"/>
          <w:b/>
          <w:bCs/>
          <w:color w:val="auto"/>
          <w:sz w:val="24"/>
          <w:highlight w:val="none"/>
        </w:rPr>
        <w:sectPr>
          <w:footerReference r:id="rId10" w:type="default"/>
          <w:pgSz w:w="16838" w:h="11906" w:orient="landscape"/>
          <w:pgMar w:top="1440" w:right="1440" w:bottom="1440" w:left="1440" w:header="851" w:footer="992" w:gutter="0"/>
          <w:pgNumType w:fmt="decimal"/>
          <w:cols w:space="0" w:num="1"/>
          <w:docGrid w:type="lines" w:linePitch="322" w:charSpace="0"/>
        </w:sectPr>
      </w:pPr>
    </w:p>
    <w:p w14:paraId="5C116D96">
      <w:pPr>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附表五</w:t>
      </w:r>
    </w:p>
    <w:p w14:paraId="0BFF89E9">
      <w:pPr>
        <w:pStyle w:val="243"/>
        <w:spacing w:line="240" w:lineRule="exact"/>
        <w:ind w:firstLine="420" w:firstLineChars="200"/>
        <w:rPr>
          <w:rFonts w:ascii="宋体" w:hAnsi="宋体" w:eastAsia="宋体" w:cs="宋体"/>
          <w:color w:val="auto"/>
          <w:sz w:val="21"/>
          <w:szCs w:val="21"/>
          <w:highlight w:val="none"/>
        </w:rPr>
      </w:pPr>
    </w:p>
    <w:p w14:paraId="4DC33446">
      <w:pPr>
        <w:snapToGrid w:val="0"/>
        <w:spacing w:line="360" w:lineRule="auto"/>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投标报价折算标准表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6679"/>
        <w:gridCol w:w="6619"/>
      </w:tblGrid>
      <w:tr w14:paraId="7DD3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14:paraId="41585422">
            <w:pPr>
              <w:pStyle w:val="81"/>
              <w:spacing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量化因素</w:t>
            </w:r>
          </w:p>
        </w:tc>
        <w:tc>
          <w:tcPr>
            <w:tcW w:w="6679" w:type="dxa"/>
            <w:vAlign w:val="center"/>
          </w:tcPr>
          <w:p w14:paraId="1F32699B">
            <w:pPr>
              <w:pStyle w:val="81"/>
              <w:spacing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量化标准</w:t>
            </w:r>
          </w:p>
        </w:tc>
        <w:tc>
          <w:tcPr>
            <w:tcW w:w="6619" w:type="dxa"/>
            <w:vAlign w:val="center"/>
          </w:tcPr>
          <w:p w14:paraId="70821CED">
            <w:pPr>
              <w:pStyle w:val="81"/>
              <w:spacing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备注</w:t>
            </w:r>
          </w:p>
        </w:tc>
      </w:tr>
      <w:tr w14:paraId="1F1D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14:paraId="5E78E7DE">
            <w:pPr>
              <w:pStyle w:val="81"/>
              <w:spacing w:line="360" w:lineRule="auto"/>
              <w:jc w:val="center"/>
              <w:rPr>
                <w:rFonts w:ascii="宋体" w:hAnsi="宋体" w:eastAsia="宋体" w:cs="宋体"/>
                <w:color w:val="auto"/>
                <w:highlight w:val="none"/>
              </w:rPr>
            </w:pPr>
            <w:r>
              <w:rPr>
                <w:rFonts w:hint="eastAsia" w:ascii="宋体" w:hAnsi="宋体" w:eastAsia="宋体" w:cs="宋体"/>
                <w:b w:val="0"/>
                <w:color w:val="auto"/>
                <w:sz w:val="24"/>
                <w:highlight w:val="none"/>
              </w:rPr>
              <w:t>诚信评价</w:t>
            </w:r>
          </w:p>
        </w:tc>
        <w:tc>
          <w:tcPr>
            <w:tcW w:w="6679" w:type="dxa"/>
            <w:vAlign w:val="center"/>
          </w:tcPr>
          <w:p w14:paraId="596B360E">
            <w:pPr>
              <w:pStyle w:val="81"/>
              <w:spacing w:line="360" w:lineRule="auto"/>
              <w:rPr>
                <w:rFonts w:ascii="宋体" w:hAnsi="宋体" w:eastAsia="宋体" w:cs="宋体"/>
                <w:color w:val="auto"/>
                <w:highlight w:val="none"/>
              </w:rPr>
            </w:pPr>
            <w:r>
              <w:rPr>
                <w:rFonts w:hint="eastAsia" w:ascii="宋体" w:hAnsi="宋体" w:eastAsia="宋体" w:cs="宋体"/>
                <w:b w:val="0"/>
                <w:color w:val="auto"/>
                <w:sz w:val="24"/>
                <w:highlight w:val="none"/>
              </w:rPr>
              <w:t>根据投标人诚信评价</w:t>
            </w:r>
            <w:r>
              <w:rPr>
                <w:rFonts w:ascii="宋体" w:hAnsi="宋体" w:eastAsia="宋体" w:cs="宋体"/>
                <w:b w:val="0"/>
                <w:color w:val="auto"/>
                <w:sz w:val="24"/>
                <w:highlight w:val="none"/>
              </w:rPr>
              <w:t>60日诚信分，对其投标报价作如下调整：</w:t>
            </w:r>
          </w:p>
          <w:p w14:paraId="023ED793">
            <w:pPr>
              <w:pStyle w:val="81"/>
              <w:spacing w:line="360" w:lineRule="auto"/>
              <w:rPr>
                <w:rFonts w:ascii="宋体" w:hAnsi="宋体" w:eastAsia="宋体" w:cs="宋体"/>
                <w:color w:val="auto"/>
                <w:highlight w:val="none"/>
              </w:rPr>
            </w:pPr>
            <w:r>
              <w:rPr>
                <w:rFonts w:ascii="宋体" w:hAnsi="宋体" w:eastAsia="宋体" w:cs="宋体"/>
                <w:b w:val="0"/>
                <w:color w:val="auto"/>
                <w:sz w:val="24"/>
                <w:highlight w:val="none"/>
              </w:rPr>
              <w:t>1、诚信分85分（含）或以上，经评审的投标价＝投标价×0.95；</w:t>
            </w:r>
          </w:p>
          <w:p w14:paraId="47A0CC68">
            <w:pPr>
              <w:pStyle w:val="81"/>
              <w:spacing w:line="360" w:lineRule="auto"/>
              <w:rPr>
                <w:rFonts w:ascii="宋体" w:hAnsi="宋体" w:eastAsia="宋体" w:cs="宋体"/>
                <w:color w:val="auto"/>
                <w:highlight w:val="none"/>
              </w:rPr>
            </w:pPr>
            <w:r>
              <w:rPr>
                <w:rFonts w:ascii="宋体" w:hAnsi="宋体" w:eastAsia="宋体" w:cs="宋体"/>
                <w:b w:val="0"/>
                <w:color w:val="auto"/>
                <w:sz w:val="24"/>
                <w:highlight w:val="none"/>
              </w:rPr>
              <w:t>2、诚信分85分（不含）-80分（含），经评审的投标价＝投标价×0.98；</w:t>
            </w:r>
          </w:p>
          <w:p w14:paraId="0D9FCB7C">
            <w:pPr>
              <w:pStyle w:val="81"/>
              <w:spacing w:line="360" w:lineRule="auto"/>
              <w:rPr>
                <w:rFonts w:ascii="宋体" w:hAnsi="宋体" w:eastAsia="宋体" w:cs="宋体"/>
                <w:color w:val="auto"/>
                <w:highlight w:val="none"/>
              </w:rPr>
            </w:pPr>
            <w:r>
              <w:rPr>
                <w:rFonts w:ascii="宋体" w:hAnsi="宋体" w:eastAsia="宋体" w:cs="宋体"/>
                <w:b w:val="0"/>
                <w:color w:val="auto"/>
                <w:sz w:val="24"/>
                <w:highlight w:val="none"/>
              </w:rPr>
              <w:t>3、诚信分8</w:t>
            </w:r>
            <w:r>
              <w:rPr>
                <w:rFonts w:hint="eastAsia" w:ascii="宋体" w:hAnsi="宋体" w:eastAsia="宋体" w:cs="宋体"/>
                <w:b w:val="0"/>
                <w:color w:val="auto"/>
                <w:sz w:val="24"/>
                <w:highlight w:val="none"/>
                <w:lang w:val="en-US" w:eastAsia="zh-CN"/>
              </w:rPr>
              <w:t>0</w:t>
            </w:r>
            <w:r>
              <w:rPr>
                <w:rFonts w:ascii="宋体" w:hAnsi="宋体" w:eastAsia="宋体" w:cs="宋体"/>
                <w:b w:val="0"/>
                <w:color w:val="auto"/>
                <w:sz w:val="24"/>
                <w:highlight w:val="none"/>
              </w:rPr>
              <w:t>分（不含）-65分（含），经评审的投标价＝投标价；</w:t>
            </w:r>
          </w:p>
          <w:p w14:paraId="01766D29">
            <w:pPr>
              <w:pStyle w:val="81"/>
              <w:spacing w:line="360" w:lineRule="auto"/>
              <w:rPr>
                <w:rFonts w:ascii="宋体" w:hAnsi="宋体" w:eastAsia="宋体" w:cs="宋体"/>
                <w:color w:val="auto"/>
                <w:highlight w:val="none"/>
              </w:rPr>
            </w:pPr>
            <w:r>
              <w:rPr>
                <w:rFonts w:ascii="宋体" w:hAnsi="宋体" w:eastAsia="宋体" w:cs="宋体"/>
                <w:b w:val="0"/>
                <w:color w:val="auto"/>
                <w:sz w:val="24"/>
                <w:highlight w:val="none"/>
              </w:rPr>
              <w:t>4、诚信分65分（不含）以下或未获得，经评审的投标价＝投标价×1.02。</w:t>
            </w:r>
          </w:p>
        </w:tc>
        <w:tc>
          <w:tcPr>
            <w:tcW w:w="6619" w:type="dxa"/>
            <w:vAlign w:val="center"/>
          </w:tcPr>
          <w:p w14:paraId="1A22DBF9">
            <w:pPr>
              <w:pStyle w:val="81"/>
              <w:wordWrap w:val="0"/>
              <w:spacing w:line="360" w:lineRule="auto"/>
              <w:rPr>
                <w:rFonts w:ascii="宋体" w:hAnsi="宋体" w:eastAsia="宋体" w:cs="宋体"/>
                <w:color w:val="auto"/>
                <w:highlight w:val="none"/>
              </w:rPr>
            </w:pPr>
            <w:r>
              <w:rPr>
                <w:rFonts w:ascii="宋体" w:hAnsi="宋体" w:eastAsia="宋体" w:cs="宋体"/>
                <w:b w:val="0"/>
                <w:color w:val="auto"/>
                <w:sz w:val="24"/>
                <w:highlight w:val="none"/>
              </w:rPr>
              <w:t>1.本项目通过投标人的诚信评价“广州交易集团有限公司门户网站-信用信息-广州市住房和城乡建设局信用建设专栏诚信评价中“施工企业”专栏（http://121.8.226.218:8081/eval/evalGateWay/list?typeCode=CONSTRUCTION）上投标截止当日查询的公布的“施工-房建排名”【即“施工企业房建诚信评价排名”】中“60日诚信分”为准。</w:t>
            </w:r>
          </w:p>
          <w:p w14:paraId="6EFF6AF2">
            <w:pPr>
              <w:pStyle w:val="81"/>
              <w:wordWrap w:val="0"/>
              <w:spacing w:line="360" w:lineRule="auto"/>
              <w:rPr>
                <w:rFonts w:ascii="宋体" w:hAnsi="宋体" w:eastAsia="宋体" w:cs="宋体"/>
                <w:color w:val="auto"/>
                <w:highlight w:val="none"/>
              </w:rPr>
            </w:pPr>
            <w:r>
              <w:rPr>
                <w:rFonts w:ascii="宋体" w:hAnsi="宋体" w:eastAsia="宋体" w:cs="宋体"/>
                <w:b w:val="0"/>
                <w:color w:val="auto"/>
                <w:sz w:val="24"/>
                <w:highlight w:val="none"/>
              </w:rPr>
              <w:t>2.</w:t>
            </w:r>
            <w:r>
              <w:rPr>
                <w:rFonts w:hint="eastAsia" w:ascii="宋体" w:hAnsi="宋体" w:eastAsia="宋体" w:cs="宋体"/>
                <w:b w:val="0"/>
                <w:color w:val="auto"/>
                <w:sz w:val="24"/>
                <w:highlight w:val="none"/>
              </w:rPr>
              <w:t>联合体投标的，按联合体主办方的企业信用评价分数计取。</w:t>
            </w:r>
          </w:p>
          <w:p w14:paraId="7B19FFDA">
            <w:pPr>
              <w:pStyle w:val="81"/>
              <w:wordWrap w:val="0"/>
              <w:spacing w:line="360" w:lineRule="auto"/>
              <w:rPr>
                <w:rFonts w:ascii="宋体" w:hAnsi="宋体" w:eastAsia="宋体" w:cs="宋体"/>
                <w:color w:val="auto"/>
                <w:highlight w:val="none"/>
              </w:rPr>
            </w:pPr>
            <w:r>
              <w:rPr>
                <w:rFonts w:ascii="宋体" w:hAnsi="宋体" w:eastAsia="宋体" w:cs="宋体"/>
                <w:b w:val="0"/>
                <w:color w:val="auto"/>
                <w:sz w:val="24"/>
                <w:highlight w:val="none"/>
              </w:rPr>
              <w:t>3.经评审的投标报价以元为单位，若出现小数点时，保留小数点后二位，第三位小数四舍五入。</w:t>
            </w:r>
          </w:p>
        </w:tc>
      </w:tr>
    </w:tbl>
    <w:p w14:paraId="4CD0092A">
      <w:pPr>
        <w:wordWrap w:val="0"/>
        <w:adjustRightInd w:val="0"/>
        <w:snapToGrid w:val="0"/>
        <w:ind w:firstLine="480" w:firstLineChars="200"/>
        <w:rPr>
          <w:rFonts w:ascii="宋体" w:hAnsi="宋体" w:eastAsia="宋体" w:cs="宋体"/>
          <w:snapToGrid w:val="0"/>
          <w:color w:val="auto"/>
          <w:sz w:val="24"/>
          <w:highlight w:val="none"/>
        </w:rPr>
      </w:pPr>
    </w:p>
    <w:p w14:paraId="438DD397">
      <w:pPr>
        <w:snapToGrid w:val="0"/>
        <w:contextualSpacing/>
        <w:rPr>
          <w:rFonts w:ascii="宋体" w:hAnsi="宋体" w:eastAsia="宋体" w:cs="宋体"/>
          <w:color w:val="auto"/>
          <w:szCs w:val="21"/>
          <w:highlight w:val="none"/>
        </w:rPr>
      </w:pPr>
      <w:r>
        <w:rPr>
          <w:rFonts w:hint="eastAsia" w:ascii="宋体" w:hAnsi="宋体" w:eastAsia="宋体" w:cs="宋体"/>
          <w:b/>
          <w:bCs/>
          <w:color w:val="auto"/>
          <w:szCs w:val="21"/>
          <w:highlight w:val="none"/>
        </w:rPr>
        <w:t>经评审的投标价按下列公式计算：</w:t>
      </w:r>
      <w:r>
        <w:rPr>
          <w:rFonts w:hint="eastAsia" w:ascii="宋体" w:hAnsi="宋体" w:eastAsia="宋体" w:cs="宋体"/>
          <w:b w:val="0"/>
          <w:color w:val="auto"/>
          <w:szCs w:val="21"/>
          <w:highlight w:val="none"/>
        </w:rPr>
        <w:t>经评审的投标价</w:t>
      </w:r>
      <w:r>
        <w:rPr>
          <w:rFonts w:ascii="宋体" w:hAnsi="宋体" w:eastAsia="宋体" w:cs="宋体"/>
          <w:b w:val="0"/>
          <w:color w:val="auto"/>
          <w:szCs w:val="21"/>
          <w:highlight w:val="none"/>
        </w:rPr>
        <w:t>=投标价</w:t>
      </w:r>
      <w:r>
        <w:rPr>
          <w:rFonts w:hint="eastAsia" w:ascii="宋体" w:hAnsi="宋体" w:eastAsia="宋体" w:cs="宋体"/>
          <w:b w:val="0"/>
          <w:color w:val="auto"/>
          <w:szCs w:val="21"/>
          <w:highlight w:val="none"/>
        </w:rPr>
        <w:t>×折算系数</w:t>
      </w:r>
    </w:p>
    <w:p w14:paraId="52F9F58E">
      <w:pPr>
        <w:pStyle w:val="243"/>
        <w:rPr>
          <w:rFonts w:ascii="宋体" w:hAnsi="宋体" w:eastAsia="宋体" w:cs="宋体"/>
          <w:color w:val="auto"/>
          <w:sz w:val="21"/>
          <w:szCs w:val="21"/>
          <w:highlight w:val="none"/>
        </w:rPr>
        <w:sectPr>
          <w:pgSz w:w="16838" w:h="11906" w:orient="landscape"/>
          <w:pgMar w:top="1440" w:right="1440" w:bottom="1440" w:left="1440" w:header="851" w:footer="992" w:gutter="0"/>
          <w:pgNumType w:fmt="decimal"/>
          <w:cols w:space="0" w:num="1"/>
          <w:docGrid w:type="lines" w:linePitch="322" w:charSpace="0"/>
        </w:sectPr>
      </w:pPr>
    </w:p>
    <w:p w14:paraId="50431D99">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附表六</w:t>
      </w:r>
    </w:p>
    <w:p w14:paraId="620EDD22">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定标因素表（定标阶段用表）</w:t>
      </w:r>
    </w:p>
    <w:p w14:paraId="3646936C">
      <w:pPr>
        <w:pStyle w:val="22"/>
        <w:spacing w:line="360" w:lineRule="exact"/>
        <w:ind w:firstLine="420"/>
        <w:rPr>
          <w:rFonts w:ascii="宋体" w:hAnsi="宋体" w:eastAsia="宋体" w:cs="宋体"/>
          <w:color w:val="auto"/>
          <w:highlight w:val="none"/>
        </w:rPr>
      </w:pPr>
      <w:r>
        <w:rPr>
          <w:rFonts w:hint="eastAsia" w:ascii="宋体" w:hAnsi="宋体" w:eastAsia="宋体" w:cs="宋体"/>
          <w:b w:val="0"/>
          <w:color w:val="auto"/>
          <w:sz w:val="21"/>
          <w:highlight w:val="none"/>
        </w:rPr>
        <w:t>项目名称：</w:t>
      </w:r>
    </w:p>
    <w:tbl>
      <w:tblPr>
        <w:tblStyle w:val="88"/>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55"/>
        <w:gridCol w:w="684"/>
        <w:gridCol w:w="7114"/>
      </w:tblGrid>
      <w:tr w14:paraId="6E47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18DF65BE">
            <w:pPr>
              <w:pStyle w:val="22"/>
              <w:spacing w:line="360" w:lineRule="exact"/>
              <w:ind w:firstLine="0" w:firstLineChars="0"/>
              <w:jc w:val="center"/>
              <w:rPr>
                <w:rFonts w:ascii="宋体" w:hAnsi="宋体" w:eastAsia="宋体" w:cs="宋体"/>
                <w:color w:val="auto"/>
                <w:highlight w:val="none"/>
              </w:rPr>
            </w:pPr>
            <w:r>
              <w:rPr>
                <w:rFonts w:ascii="宋体" w:hAnsi="宋体" w:eastAsia="宋体" w:cs="宋体"/>
                <w:b w:val="0"/>
                <w:color w:val="auto"/>
                <w:sz w:val="21"/>
                <w:highlight w:val="none"/>
              </w:rPr>
              <w:br w:type="page"/>
            </w:r>
            <w:r>
              <w:rPr>
                <w:rFonts w:hint="eastAsia" w:ascii="宋体" w:hAnsi="宋体" w:eastAsia="宋体" w:cs="宋体"/>
                <w:b w:val="0"/>
                <w:color w:val="auto"/>
                <w:sz w:val="21"/>
                <w:highlight w:val="none"/>
              </w:rPr>
              <w:t>序号</w:t>
            </w:r>
          </w:p>
        </w:tc>
        <w:tc>
          <w:tcPr>
            <w:tcW w:w="955" w:type="dxa"/>
            <w:tcBorders>
              <w:top w:val="single" w:color="auto" w:sz="4" w:space="0"/>
              <w:left w:val="single" w:color="auto" w:sz="4" w:space="0"/>
              <w:bottom w:val="single" w:color="auto" w:sz="4" w:space="0"/>
              <w:right w:val="single" w:color="auto" w:sz="4" w:space="0"/>
            </w:tcBorders>
            <w:vAlign w:val="center"/>
          </w:tcPr>
          <w:p w14:paraId="2330F803">
            <w:pPr>
              <w:pStyle w:val="22"/>
              <w:spacing w:line="360" w:lineRule="exact"/>
              <w:ind w:firstLine="0" w:firstLineChars="0"/>
              <w:jc w:val="center"/>
              <w:rPr>
                <w:rFonts w:ascii="宋体" w:hAnsi="宋体" w:eastAsia="宋体" w:cs="宋体"/>
                <w:color w:val="auto"/>
                <w:highlight w:val="none"/>
              </w:rPr>
            </w:pPr>
            <w:r>
              <w:rPr>
                <w:rFonts w:hint="eastAsia" w:ascii="宋体" w:hAnsi="宋体" w:eastAsia="宋体" w:cs="宋体"/>
                <w:b w:val="0"/>
                <w:color w:val="auto"/>
                <w:sz w:val="21"/>
                <w:highlight w:val="none"/>
              </w:rPr>
              <w:t>评价项目</w:t>
            </w:r>
          </w:p>
        </w:tc>
        <w:tc>
          <w:tcPr>
            <w:tcW w:w="684" w:type="dxa"/>
            <w:tcBorders>
              <w:top w:val="single" w:color="auto" w:sz="4" w:space="0"/>
              <w:left w:val="single" w:color="auto" w:sz="4" w:space="0"/>
              <w:bottom w:val="single" w:color="auto" w:sz="4" w:space="0"/>
              <w:right w:val="single" w:color="auto" w:sz="4" w:space="0"/>
            </w:tcBorders>
            <w:vAlign w:val="center"/>
          </w:tcPr>
          <w:p w14:paraId="1BA78F4B">
            <w:pPr>
              <w:pStyle w:val="22"/>
              <w:spacing w:line="360" w:lineRule="exact"/>
              <w:ind w:firstLine="0" w:firstLineChars="0"/>
              <w:jc w:val="center"/>
              <w:rPr>
                <w:rFonts w:ascii="宋体" w:hAnsi="宋体" w:eastAsia="宋体" w:cs="宋体"/>
                <w:color w:val="auto"/>
                <w:highlight w:val="none"/>
              </w:rPr>
            </w:pPr>
            <w:r>
              <w:rPr>
                <w:rFonts w:hint="eastAsia" w:ascii="宋体" w:hAnsi="宋体" w:eastAsia="宋体" w:cs="宋体"/>
                <w:b w:val="0"/>
                <w:color w:val="auto"/>
                <w:sz w:val="21"/>
                <w:highlight w:val="none"/>
              </w:rPr>
              <w:t>分值</w:t>
            </w:r>
          </w:p>
        </w:tc>
        <w:tc>
          <w:tcPr>
            <w:tcW w:w="7114" w:type="dxa"/>
            <w:tcBorders>
              <w:top w:val="single" w:color="auto" w:sz="4" w:space="0"/>
              <w:left w:val="single" w:color="auto" w:sz="4" w:space="0"/>
              <w:bottom w:val="single" w:color="auto" w:sz="4" w:space="0"/>
              <w:right w:val="single" w:color="auto" w:sz="4" w:space="0"/>
            </w:tcBorders>
            <w:vAlign w:val="center"/>
          </w:tcPr>
          <w:p w14:paraId="067EBF77">
            <w:pPr>
              <w:pStyle w:val="22"/>
              <w:spacing w:line="360" w:lineRule="exact"/>
              <w:ind w:firstLine="0" w:firstLineChars="0"/>
              <w:jc w:val="center"/>
              <w:rPr>
                <w:rFonts w:ascii="宋体" w:hAnsi="宋体" w:eastAsia="宋体" w:cs="宋体"/>
                <w:color w:val="auto"/>
                <w:highlight w:val="none"/>
              </w:rPr>
            </w:pPr>
            <w:r>
              <w:rPr>
                <w:rFonts w:hint="eastAsia" w:ascii="宋体" w:hAnsi="宋体" w:eastAsia="宋体" w:cs="宋体"/>
                <w:b w:val="0"/>
                <w:color w:val="auto"/>
                <w:sz w:val="21"/>
                <w:highlight w:val="none"/>
              </w:rPr>
              <w:t>定标评价的内容</w:t>
            </w:r>
          </w:p>
        </w:tc>
      </w:tr>
      <w:tr w14:paraId="63C1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restart"/>
            <w:tcBorders>
              <w:top w:val="single" w:color="auto" w:sz="4" w:space="0"/>
              <w:left w:val="single" w:color="auto" w:sz="4" w:space="0"/>
              <w:right w:val="single" w:color="auto" w:sz="4" w:space="0"/>
            </w:tcBorders>
            <w:vAlign w:val="center"/>
          </w:tcPr>
          <w:p w14:paraId="48EB1FB8">
            <w:pPr>
              <w:pStyle w:val="22"/>
              <w:spacing w:line="360" w:lineRule="exact"/>
              <w:ind w:firstLine="0" w:firstLineChars="0"/>
              <w:jc w:val="center"/>
              <w:rPr>
                <w:rFonts w:ascii="宋体" w:hAnsi="宋体" w:eastAsia="宋体" w:cs="宋体"/>
                <w:color w:val="auto"/>
                <w:highlight w:val="none"/>
              </w:rPr>
            </w:pPr>
            <w:r>
              <w:rPr>
                <w:rFonts w:ascii="宋体" w:hAnsi="宋体" w:eastAsia="宋体" w:cs="宋体"/>
                <w:b w:val="0"/>
                <w:color w:val="auto"/>
                <w:sz w:val="21"/>
                <w:highlight w:val="none"/>
              </w:rPr>
              <w:t>1</w:t>
            </w:r>
          </w:p>
        </w:tc>
        <w:tc>
          <w:tcPr>
            <w:tcW w:w="955" w:type="dxa"/>
            <w:vMerge w:val="restart"/>
            <w:tcBorders>
              <w:top w:val="single" w:color="auto" w:sz="4" w:space="0"/>
              <w:left w:val="single" w:color="auto" w:sz="4" w:space="0"/>
              <w:right w:val="single" w:color="auto" w:sz="4" w:space="0"/>
            </w:tcBorders>
            <w:vAlign w:val="center"/>
          </w:tcPr>
          <w:p w14:paraId="2B80287B">
            <w:pPr>
              <w:pStyle w:val="22"/>
              <w:spacing w:after="120"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rPr>
              <w:t>方案因素（</w:t>
            </w:r>
            <w:r>
              <w:rPr>
                <w:rFonts w:ascii="宋体" w:hAnsi="宋体" w:eastAsia="宋体" w:cs="宋体"/>
                <w:b w:val="0"/>
                <w:color w:val="auto"/>
                <w:sz w:val="21"/>
                <w:highlight w:val="none"/>
              </w:rPr>
              <w:t>100</w:t>
            </w:r>
            <w:r>
              <w:rPr>
                <w:rFonts w:hint="eastAsia" w:ascii="宋体" w:hAnsi="宋体" w:eastAsia="宋体" w:cs="宋体"/>
                <w:b w:val="0"/>
                <w:color w:val="auto"/>
                <w:sz w:val="21"/>
                <w:highlight w:val="none"/>
              </w:rPr>
              <w:t>）</w:t>
            </w:r>
          </w:p>
        </w:tc>
        <w:tc>
          <w:tcPr>
            <w:tcW w:w="684" w:type="dxa"/>
            <w:tcBorders>
              <w:top w:val="single" w:color="auto" w:sz="4" w:space="0"/>
              <w:left w:val="single" w:color="auto" w:sz="4" w:space="0"/>
              <w:bottom w:val="single" w:color="auto" w:sz="4" w:space="0"/>
              <w:right w:val="single" w:color="auto" w:sz="4" w:space="0"/>
            </w:tcBorders>
            <w:vAlign w:val="center"/>
          </w:tcPr>
          <w:p w14:paraId="161CDD08">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b w:val="0"/>
                <w:color w:val="auto"/>
                <w:sz w:val="21"/>
                <w:highlight w:val="none"/>
              </w:rPr>
              <w:t>25</w:t>
            </w:r>
          </w:p>
        </w:tc>
        <w:tc>
          <w:tcPr>
            <w:tcW w:w="7114" w:type="dxa"/>
            <w:tcBorders>
              <w:top w:val="single" w:color="auto" w:sz="4" w:space="0"/>
              <w:left w:val="single" w:color="auto" w:sz="4" w:space="0"/>
              <w:bottom w:val="single" w:color="auto" w:sz="4" w:space="0"/>
              <w:right w:val="single" w:color="auto" w:sz="4" w:space="0"/>
            </w:tcBorders>
            <w:vAlign w:val="center"/>
          </w:tcPr>
          <w:p w14:paraId="549FE31C">
            <w:pPr>
              <w:pStyle w:val="22"/>
              <w:spacing w:after="120"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lang w:val="zh-CN"/>
              </w:rPr>
              <w:t>对拟投入本项目的团队配置进行评审：</w:t>
            </w:r>
            <w:r>
              <w:rPr>
                <w:rFonts w:ascii="宋体" w:hAnsi="宋体" w:eastAsia="宋体" w:cs="宋体"/>
                <w:b w:val="0"/>
                <w:color w:val="auto"/>
                <w:sz w:val="21"/>
                <w:highlight w:val="none"/>
              </w:rPr>
              <w:t xml:space="preserve"> </w:t>
            </w:r>
          </w:p>
          <w:p w14:paraId="0864EC52">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（团队配置应能体现投入充分满足项目需求的管理力量和技术力量，包括不限于：人员资质、专业匹配度、类似项目经验、团队稳定性等内容）</w:t>
            </w:r>
          </w:p>
          <w:p w14:paraId="492C529A">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优得【</w:t>
            </w:r>
            <w:r>
              <w:rPr>
                <w:rFonts w:ascii="宋体" w:hAnsi="宋体" w:eastAsia="宋体" w:cs="宋体"/>
                <w:b w:val="0"/>
                <w:color w:val="auto"/>
                <w:sz w:val="21"/>
                <w:highlight w:val="none"/>
              </w:rPr>
              <w:t>19，25】</w:t>
            </w:r>
            <w:r>
              <w:rPr>
                <w:rFonts w:hint="eastAsia" w:ascii="宋体" w:hAnsi="宋体" w:eastAsia="宋体" w:cs="宋体"/>
                <w:b w:val="0"/>
                <w:color w:val="auto"/>
                <w:sz w:val="21"/>
                <w:highlight w:val="none"/>
                <w:lang w:val="zh-CN"/>
              </w:rPr>
              <w:t>分</w:t>
            </w:r>
          </w:p>
          <w:p w14:paraId="7A875B0E">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良得【</w:t>
            </w:r>
            <w:r>
              <w:rPr>
                <w:rFonts w:ascii="宋体" w:hAnsi="宋体" w:eastAsia="宋体" w:cs="宋体"/>
                <w:b w:val="0"/>
                <w:color w:val="auto"/>
                <w:sz w:val="21"/>
                <w:highlight w:val="none"/>
              </w:rPr>
              <w:t>12，18】</w:t>
            </w:r>
            <w:r>
              <w:rPr>
                <w:rFonts w:hint="eastAsia" w:ascii="宋体" w:hAnsi="宋体" w:eastAsia="宋体" w:cs="宋体"/>
                <w:b w:val="0"/>
                <w:color w:val="auto"/>
                <w:sz w:val="21"/>
                <w:highlight w:val="none"/>
                <w:lang w:val="zh-CN"/>
              </w:rPr>
              <w:t>分。</w:t>
            </w:r>
          </w:p>
          <w:p w14:paraId="0FDB703E">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中得【</w:t>
            </w:r>
            <w:r>
              <w:rPr>
                <w:rFonts w:ascii="宋体" w:hAnsi="宋体" w:eastAsia="宋体" w:cs="宋体"/>
                <w:b w:val="0"/>
                <w:color w:val="auto"/>
                <w:sz w:val="21"/>
                <w:highlight w:val="none"/>
              </w:rPr>
              <w:t>5，11】</w:t>
            </w:r>
            <w:r>
              <w:rPr>
                <w:rFonts w:hint="eastAsia" w:ascii="宋体" w:hAnsi="宋体" w:eastAsia="宋体" w:cs="宋体"/>
                <w:b w:val="0"/>
                <w:color w:val="auto"/>
                <w:sz w:val="21"/>
                <w:highlight w:val="none"/>
                <w:lang w:val="zh-CN"/>
              </w:rPr>
              <w:t>分。</w:t>
            </w:r>
          </w:p>
          <w:p w14:paraId="0ED31F2B">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rPr>
              <w:t>差得</w:t>
            </w:r>
            <w:r>
              <w:rPr>
                <w:rFonts w:hint="eastAsia" w:ascii="宋体" w:hAnsi="宋体" w:eastAsia="宋体" w:cs="宋体"/>
                <w:b w:val="0"/>
                <w:color w:val="auto"/>
                <w:sz w:val="21"/>
                <w:highlight w:val="none"/>
                <w:lang w:val="zh-CN"/>
              </w:rPr>
              <w:t>【</w:t>
            </w:r>
            <w:r>
              <w:rPr>
                <w:rFonts w:ascii="宋体" w:hAnsi="宋体" w:eastAsia="宋体" w:cs="宋体"/>
                <w:b w:val="0"/>
                <w:color w:val="auto"/>
                <w:sz w:val="21"/>
                <w:highlight w:val="none"/>
              </w:rPr>
              <w:t>1，4】</w:t>
            </w:r>
            <w:r>
              <w:rPr>
                <w:rFonts w:hint="eastAsia" w:ascii="宋体" w:hAnsi="宋体" w:eastAsia="宋体" w:cs="宋体"/>
                <w:b w:val="0"/>
                <w:color w:val="auto"/>
                <w:sz w:val="21"/>
                <w:highlight w:val="none"/>
                <w:lang w:val="zh-CN"/>
              </w:rPr>
              <w:t>分。</w:t>
            </w:r>
          </w:p>
          <w:p w14:paraId="13C281F9">
            <w:pPr>
              <w:pStyle w:val="22"/>
              <w:spacing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rPr>
              <w:t>不满足或</w:t>
            </w:r>
            <w:r>
              <w:rPr>
                <w:rFonts w:hint="eastAsia" w:ascii="宋体" w:hAnsi="宋体" w:eastAsia="宋体" w:cs="宋体"/>
                <w:b w:val="0"/>
                <w:color w:val="auto"/>
                <w:sz w:val="21"/>
                <w:highlight w:val="none"/>
                <w:lang w:val="zh-CN"/>
              </w:rPr>
              <w:t>未能按要求</w:t>
            </w:r>
            <w:r>
              <w:rPr>
                <w:rFonts w:hint="eastAsia" w:ascii="宋体" w:hAnsi="宋体" w:eastAsia="宋体" w:cs="宋体"/>
                <w:b w:val="0"/>
                <w:color w:val="auto"/>
                <w:sz w:val="21"/>
                <w:highlight w:val="none"/>
              </w:rPr>
              <w:t>提供相关资料</w:t>
            </w:r>
            <w:r>
              <w:rPr>
                <w:rFonts w:hint="eastAsia" w:ascii="宋体" w:hAnsi="宋体" w:eastAsia="宋体" w:cs="宋体"/>
                <w:b w:val="0"/>
                <w:color w:val="auto"/>
                <w:sz w:val="21"/>
                <w:highlight w:val="none"/>
                <w:lang w:val="zh-CN"/>
              </w:rPr>
              <w:t>得</w:t>
            </w:r>
            <w:r>
              <w:rPr>
                <w:rFonts w:ascii="宋体" w:hAnsi="宋体" w:eastAsia="宋体" w:cs="宋体"/>
                <w:b w:val="0"/>
                <w:color w:val="auto"/>
                <w:sz w:val="21"/>
                <w:highlight w:val="none"/>
                <w:lang w:val="zh-CN"/>
              </w:rPr>
              <w:t>0分。</w:t>
            </w:r>
          </w:p>
        </w:tc>
      </w:tr>
      <w:tr w14:paraId="1E8C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continue"/>
            <w:tcBorders>
              <w:left w:val="single" w:color="auto" w:sz="4" w:space="0"/>
              <w:right w:val="single" w:color="auto" w:sz="4" w:space="0"/>
            </w:tcBorders>
            <w:vAlign w:val="center"/>
          </w:tcPr>
          <w:p w14:paraId="41C087F4">
            <w:pPr>
              <w:pStyle w:val="22"/>
              <w:spacing w:line="360" w:lineRule="exact"/>
              <w:jc w:val="center"/>
              <w:rPr>
                <w:rFonts w:ascii="宋体" w:hAnsi="宋体" w:eastAsia="宋体" w:cs="宋体"/>
                <w:color w:val="auto"/>
                <w:highlight w:val="none"/>
              </w:rPr>
            </w:pPr>
          </w:p>
        </w:tc>
        <w:tc>
          <w:tcPr>
            <w:tcW w:w="955" w:type="dxa"/>
            <w:vMerge w:val="continue"/>
            <w:tcBorders>
              <w:left w:val="single" w:color="auto" w:sz="4" w:space="0"/>
              <w:right w:val="single" w:color="auto" w:sz="4" w:space="0"/>
            </w:tcBorders>
            <w:vAlign w:val="center"/>
          </w:tcPr>
          <w:p w14:paraId="2251F5E7">
            <w:pPr>
              <w:pStyle w:val="22"/>
              <w:spacing w:line="360" w:lineRule="exact"/>
              <w:jc w:val="center"/>
              <w:rPr>
                <w:rFonts w:ascii="宋体" w:hAnsi="宋体" w:eastAsia="宋体" w:cs="宋体"/>
                <w:color w:val="auto"/>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4D70A04B">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b w:val="0"/>
                <w:color w:val="auto"/>
                <w:sz w:val="21"/>
                <w:highlight w:val="none"/>
              </w:rPr>
              <w:t>25</w:t>
            </w:r>
          </w:p>
        </w:tc>
        <w:tc>
          <w:tcPr>
            <w:tcW w:w="7114" w:type="dxa"/>
            <w:tcBorders>
              <w:top w:val="single" w:color="auto" w:sz="4" w:space="0"/>
              <w:left w:val="single" w:color="auto" w:sz="4" w:space="0"/>
              <w:bottom w:val="single" w:color="auto" w:sz="4" w:space="0"/>
              <w:right w:val="single" w:color="auto" w:sz="4" w:space="0"/>
            </w:tcBorders>
            <w:vAlign w:val="center"/>
          </w:tcPr>
          <w:p w14:paraId="2E11B319">
            <w:pPr>
              <w:pStyle w:val="22"/>
              <w:spacing w:after="120"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rPr>
              <w:t>对本项目施工管理措施进行</w:t>
            </w:r>
            <w:r>
              <w:rPr>
                <w:rFonts w:hint="eastAsia" w:ascii="宋体" w:hAnsi="宋体" w:eastAsia="宋体" w:cs="宋体"/>
                <w:b w:val="0"/>
                <w:color w:val="auto"/>
                <w:sz w:val="21"/>
                <w:highlight w:val="none"/>
                <w:lang w:val="zh-CN"/>
              </w:rPr>
              <w:t>评审：</w:t>
            </w:r>
            <w:r>
              <w:rPr>
                <w:rFonts w:ascii="宋体" w:hAnsi="宋体" w:eastAsia="宋体" w:cs="宋体"/>
                <w:b w:val="0"/>
                <w:color w:val="auto"/>
                <w:sz w:val="21"/>
                <w:highlight w:val="none"/>
              </w:rPr>
              <w:t xml:space="preserve"> </w:t>
            </w:r>
          </w:p>
          <w:p w14:paraId="58D5B931">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w:t>
            </w:r>
            <w:r>
              <w:rPr>
                <w:rFonts w:hint="eastAsia" w:ascii="宋体" w:hAnsi="宋体" w:eastAsia="宋体" w:cs="宋体"/>
                <w:b w:val="0"/>
                <w:color w:val="auto"/>
                <w:sz w:val="21"/>
                <w:highlight w:val="none"/>
              </w:rPr>
              <w:t>施工管理措施应根据本项目实际、结合企业优势编制，应响应项目需求、具备</w:t>
            </w:r>
            <w:r>
              <w:rPr>
                <w:rFonts w:hint="eastAsia" w:ascii="宋体" w:hAnsi="宋体" w:eastAsia="宋体" w:cs="宋体"/>
                <w:b w:val="0"/>
                <w:color w:val="auto"/>
                <w:sz w:val="21"/>
                <w:highlight w:val="none"/>
                <w:lang w:val="zh-CN"/>
              </w:rPr>
              <w:t>针对性、可行性、创新性</w:t>
            </w:r>
            <w:r>
              <w:rPr>
                <w:rFonts w:hint="eastAsia" w:ascii="宋体" w:hAnsi="宋体" w:eastAsia="宋体" w:cs="宋体"/>
                <w:b w:val="0"/>
                <w:color w:val="auto"/>
                <w:sz w:val="21"/>
                <w:highlight w:val="none"/>
              </w:rPr>
              <w:t>。包括不限于：</w:t>
            </w:r>
            <w:r>
              <w:rPr>
                <w:rFonts w:hint="eastAsia" w:ascii="宋体" w:hAnsi="宋体" w:eastAsia="宋体" w:cs="宋体"/>
                <w:b w:val="0"/>
                <w:color w:val="auto"/>
                <w:sz w:val="21"/>
                <w:highlight w:val="none"/>
                <w:lang w:val="zh-CN"/>
              </w:rPr>
              <w:t>确保本工程质量、安全、进度目标的管理措施、危大分部分项管理措施、技术难点解决措施、应急响应措施等内容）</w:t>
            </w:r>
          </w:p>
          <w:p w14:paraId="27BB609C">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优得【</w:t>
            </w:r>
            <w:r>
              <w:rPr>
                <w:rFonts w:ascii="宋体" w:hAnsi="宋体" w:eastAsia="宋体" w:cs="宋体"/>
                <w:b w:val="0"/>
                <w:color w:val="auto"/>
                <w:sz w:val="21"/>
                <w:highlight w:val="none"/>
              </w:rPr>
              <w:t>19，25】</w:t>
            </w:r>
            <w:r>
              <w:rPr>
                <w:rFonts w:hint="eastAsia" w:ascii="宋体" w:hAnsi="宋体" w:eastAsia="宋体" w:cs="宋体"/>
                <w:b w:val="0"/>
                <w:color w:val="auto"/>
                <w:sz w:val="21"/>
                <w:highlight w:val="none"/>
                <w:lang w:val="zh-CN"/>
              </w:rPr>
              <w:t>分</w:t>
            </w:r>
          </w:p>
          <w:p w14:paraId="3D3B2C3A">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良得【</w:t>
            </w:r>
            <w:r>
              <w:rPr>
                <w:rFonts w:ascii="宋体" w:hAnsi="宋体" w:eastAsia="宋体" w:cs="宋体"/>
                <w:b w:val="0"/>
                <w:color w:val="auto"/>
                <w:sz w:val="21"/>
                <w:highlight w:val="none"/>
              </w:rPr>
              <w:t>12，18】</w:t>
            </w:r>
            <w:r>
              <w:rPr>
                <w:rFonts w:hint="eastAsia" w:ascii="宋体" w:hAnsi="宋体" w:eastAsia="宋体" w:cs="宋体"/>
                <w:b w:val="0"/>
                <w:color w:val="auto"/>
                <w:sz w:val="21"/>
                <w:highlight w:val="none"/>
                <w:lang w:val="zh-CN"/>
              </w:rPr>
              <w:t>分。</w:t>
            </w:r>
          </w:p>
          <w:p w14:paraId="3B22316F">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中得【</w:t>
            </w:r>
            <w:r>
              <w:rPr>
                <w:rFonts w:ascii="宋体" w:hAnsi="宋体" w:eastAsia="宋体" w:cs="宋体"/>
                <w:b w:val="0"/>
                <w:color w:val="auto"/>
                <w:sz w:val="21"/>
                <w:highlight w:val="none"/>
              </w:rPr>
              <w:t>5，11】</w:t>
            </w:r>
            <w:r>
              <w:rPr>
                <w:rFonts w:hint="eastAsia" w:ascii="宋体" w:hAnsi="宋体" w:eastAsia="宋体" w:cs="宋体"/>
                <w:b w:val="0"/>
                <w:color w:val="auto"/>
                <w:sz w:val="21"/>
                <w:highlight w:val="none"/>
                <w:lang w:val="zh-CN"/>
              </w:rPr>
              <w:t>分。</w:t>
            </w:r>
          </w:p>
          <w:p w14:paraId="45F200A3">
            <w:pPr>
              <w:pStyle w:val="22"/>
              <w:spacing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rPr>
              <w:t>差得</w:t>
            </w:r>
            <w:r>
              <w:rPr>
                <w:rFonts w:hint="eastAsia" w:ascii="宋体" w:hAnsi="宋体" w:eastAsia="宋体" w:cs="宋体"/>
                <w:b w:val="0"/>
                <w:color w:val="auto"/>
                <w:sz w:val="21"/>
                <w:highlight w:val="none"/>
                <w:lang w:val="zh-CN"/>
              </w:rPr>
              <w:t>【</w:t>
            </w:r>
            <w:r>
              <w:rPr>
                <w:rFonts w:ascii="宋体" w:hAnsi="宋体" w:eastAsia="宋体" w:cs="宋体"/>
                <w:b w:val="0"/>
                <w:color w:val="auto"/>
                <w:sz w:val="21"/>
                <w:highlight w:val="none"/>
              </w:rPr>
              <w:t>1，4】</w:t>
            </w:r>
            <w:r>
              <w:rPr>
                <w:rFonts w:hint="eastAsia" w:ascii="宋体" w:hAnsi="宋体" w:eastAsia="宋体" w:cs="宋体"/>
                <w:b w:val="0"/>
                <w:color w:val="auto"/>
                <w:sz w:val="21"/>
                <w:highlight w:val="none"/>
                <w:lang w:val="zh-CN"/>
              </w:rPr>
              <w:t>分。</w:t>
            </w:r>
          </w:p>
          <w:p w14:paraId="71166CF7">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rPr>
              <w:t>不满足或</w:t>
            </w:r>
            <w:r>
              <w:rPr>
                <w:rFonts w:hint="eastAsia" w:ascii="宋体" w:hAnsi="宋体" w:eastAsia="宋体" w:cs="宋体"/>
                <w:b w:val="0"/>
                <w:color w:val="auto"/>
                <w:sz w:val="21"/>
                <w:highlight w:val="none"/>
                <w:lang w:val="zh-CN"/>
              </w:rPr>
              <w:t>未能按要求</w:t>
            </w:r>
            <w:r>
              <w:rPr>
                <w:rFonts w:hint="eastAsia" w:ascii="宋体" w:hAnsi="宋体" w:eastAsia="宋体" w:cs="宋体"/>
                <w:b w:val="0"/>
                <w:color w:val="auto"/>
                <w:sz w:val="21"/>
                <w:highlight w:val="none"/>
              </w:rPr>
              <w:t>提供相关资料</w:t>
            </w:r>
            <w:r>
              <w:rPr>
                <w:rFonts w:hint="eastAsia" w:ascii="宋体" w:hAnsi="宋体" w:eastAsia="宋体" w:cs="宋体"/>
                <w:b w:val="0"/>
                <w:color w:val="auto"/>
                <w:sz w:val="21"/>
                <w:highlight w:val="none"/>
                <w:lang w:val="zh-CN"/>
              </w:rPr>
              <w:t>得</w:t>
            </w:r>
            <w:r>
              <w:rPr>
                <w:rFonts w:ascii="宋体" w:hAnsi="宋体" w:eastAsia="宋体" w:cs="宋体"/>
                <w:b w:val="0"/>
                <w:color w:val="auto"/>
                <w:sz w:val="21"/>
                <w:highlight w:val="none"/>
                <w:lang w:val="zh-CN"/>
              </w:rPr>
              <w:t>0分。</w:t>
            </w:r>
          </w:p>
        </w:tc>
      </w:tr>
      <w:tr w14:paraId="0787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continue"/>
            <w:tcBorders>
              <w:left w:val="single" w:color="auto" w:sz="4" w:space="0"/>
              <w:right w:val="single" w:color="auto" w:sz="4" w:space="0"/>
            </w:tcBorders>
            <w:vAlign w:val="center"/>
          </w:tcPr>
          <w:p w14:paraId="22FFA181">
            <w:pPr>
              <w:pStyle w:val="22"/>
              <w:spacing w:line="360" w:lineRule="exact"/>
              <w:jc w:val="center"/>
              <w:rPr>
                <w:rFonts w:ascii="宋体" w:hAnsi="宋体" w:eastAsia="宋体" w:cs="宋体"/>
                <w:color w:val="auto"/>
                <w:highlight w:val="none"/>
              </w:rPr>
            </w:pPr>
          </w:p>
        </w:tc>
        <w:tc>
          <w:tcPr>
            <w:tcW w:w="955" w:type="dxa"/>
            <w:vMerge w:val="continue"/>
            <w:tcBorders>
              <w:left w:val="single" w:color="auto" w:sz="4" w:space="0"/>
              <w:right w:val="single" w:color="auto" w:sz="4" w:space="0"/>
            </w:tcBorders>
            <w:vAlign w:val="center"/>
          </w:tcPr>
          <w:p w14:paraId="20A8E521">
            <w:pPr>
              <w:pStyle w:val="22"/>
              <w:spacing w:line="360" w:lineRule="exact"/>
              <w:jc w:val="center"/>
              <w:rPr>
                <w:rFonts w:ascii="宋体" w:hAnsi="宋体" w:eastAsia="宋体" w:cs="宋体"/>
                <w:color w:val="auto"/>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70F96623">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b w:val="0"/>
                <w:color w:val="auto"/>
                <w:sz w:val="21"/>
                <w:highlight w:val="none"/>
              </w:rPr>
              <w:t>25</w:t>
            </w:r>
          </w:p>
        </w:tc>
        <w:tc>
          <w:tcPr>
            <w:tcW w:w="7114" w:type="dxa"/>
            <w:tcBorders>
              <w:top w:val="single" w:color="auto" w:sz="4" w:space="0"/>
              <w:left w:val="single" w:color="auto" w:sz="4" w:space="0"/>
              <w:bottom w:val="single" w:color="auto" w:sz="4" w:space="0"/>
              <w:right w:val="single" w:color="auto" w:sz="4" w:space="0"/>
            </w:tcBorders>
            <w:vAlign w:val="center"/>
          </w:tcPr>
          <w:p w14:paraId="578BBB98">
            <w:pPr>
              <w:pStyle w:val="22"/>
              <w:spacing w:after="120"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lang w:val="zh-CN"/>
              </w:rPr>
              <w:t>对本项目成本控制措施</w:t>
            </w:r>
            <w:r>
              <w:rPr>
                <w:rFonts w:hint="eastAsia" w:ascii="宋体" w:hAnsi="宋体" w:eastAsia="宋体" w:cs="宋体"/>
                <w:b w:val="0"/>
                <w:color w:val="auto"/>
                <w:sz w:val="21"/>
                <w:highlight w:val="none"/>
              </w:rPr>
              <w:t>进行</w:t>
            </w:r>
            <w:r>
              <w:rPr>
                <w:rFonts w:hint="eastAsia" w:ascii="宋体" w:hAnsi="宋体" w:eastAsia="宋体" w:cs="宋体"/>
                <w:b w:val="0"/>
                <w:color w:val="auto"/>
                <w:sz w:val="21"/>
                <w:highlight w:val="none"/>
                <w:lang w:val="zh-CN"/>
              </w:rPr>
              <w:t>评审：</w:t>
            </w:r>
            <w:r>
              <w:rPr>
                <w:rFonts w:ascii="宋体" w:hAnsi="宋体" w:eastAsia="宋体" w:cs="宋体"/>
                <w:b w:val="0"/>
                <w:color w:val="auto"/>
                <w:sz w:val="21"/>
                <w:highlight w:val="none"/>
              </w:rPr>
              <w:t xml:space="preserve"> </w:t>
            </w:r>
          </w:p>
          <w:p w14:paraId="363CD5C6">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（成本控制措施包括不限于：成本控制目标、变更管理措施、成本控制风险防范措施等）</w:t>
            </w:r>
          </w:p>
          <w:p w14:paraId="319A4960">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优得【</w:t>
            </w:r>
            <w:r>
              <w:rPr>
                <w:rFonts w:ascii="宋体" w:hAnsi="宋体" w:eastAsia="宋体" w:cs="宋体"/>
                <w:b w:val="0"/>
                <w:color w:val="auto"/>
                <w:sz w:val="21"/>
                <w:highlight w:val="none"/>
              </w:rPr>
              <w:t>19，25】</w:t>
            </w:r>
            <w:r>
              <w:rPr>
                <w:rFonts w:hint="eastAsia" w:ascii="宋体" w:hAnsi="宋体" w:eastAsia="宋体" w:cs="宋体"/>
                <w:b w:val="0"/>
                <w:color w:val="auto"/>
                <w:sz w:val="21"/>
                <w:highlight w:val="none"/>
                <w:lang w:val="zh-CN"/>
              </w:rPr>
              <w:t>分</w:t>
            </w:r>
          </w:p>
          <w:p w14:paraId="5C377463">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良得【</w:t>
            </w:r>
            <w:r>
              <w:rPr>
                <w:rFonts w:ascii="宋体" w:hAnsi="宋体" w:eastAsia="宋体" w:cs="宋体"/>
                <w:b w:val="0"/>
                <w:color w:val="auto"/>
                <w:sz w:val="21"/>
                <w:highlight w:val="none"/>
              </w:rPr>
              <w:t>12，18】</w:t>
            </w:r>
            <w:r>
              <w:rPr>
                <w:rFonts w:hint="eastAsia" w:ascii="宋体" w:hAnsi="宋体" w:eastAsia="宋体" w:cs="宋体"/>
                <w:b w:val="0"/>
                <w:color w:val="auto"/>
                <w:sz w:val="21"/>
                <w:highlight w:val="none"/>
                <w:lang w:val="zh-CN"/>
              </w:rPr>
              <w:t>分。</w:t>
            </w:r>
          </w:p>
          <w:p w14:paraId="4A36EE8F">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lang w:val="zh-CN"/>
              </w:rPr>
              <w:t>中得【</w:t>
            </w:r>
            <w:r>
              <w:rPr>
                <w:rFonts w:ascii="宋体" w:hAnsi="宋体" w:eastAsia="宋体" w:cs="宋体"/>
                <w:b w:val="0"/>
                <w:color w:val="auto"/>
                <w:sz w:val="21"/>
                <w:highlight w:val="none"/>
              </w:rPr>
              <w:t>5，11】</w:t>
            </w:r>
            <w:r>
              <w:rPr>
                <w:rFonts w:hint="eastAsia" w:ascii="宋体" w:hAnsi="宋体" w:eastAsia="宋体" w:cs="宋体"/>
                <w:b w:val="0"/>
                <w:color w:val="auto"/>
                <w:sz w:val="21"/>
                <w:highlight w:val="none"/>
                <w:lang w:val="zh-CN"/>
              </w:rPr>
              <w:t>分。</w:t>
            </w:r>
          </w:p>
          <w:p w14:paraId="7272CA3E">
            <w:pPr>
              <w:pStyle w:val="22"/>
              <w:spacing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rPr>
              <w:t>差得</w:t>
            </w:r>
            <w:r>
              <w:rPr>
                <w:rFonts w:hint="eastAsia" w:ascii="宋体" w:hAnsi="宋体" w:eastAsia="宋体" w:cs="宋体"/>
                <w:b w:val="0"/>
                <w:color w:val="auto"/>
                <w:sz w:val="21"/>
                <w:highlight w:val="none"/>
                <w:lang w:val="zh-CN"/>
              </w:rPr>
              <w:t>【</w:t>
            </w:r>
            <w:r>
              <w:rPr>
                <w:rFonts w:ascii="宋体" w:hAnsi="宋体" w:eastAsia="宋体" w:cs="宋体"/>
                <w:b w:val="0"/>
                <w:color w:val="auto"/>
                <w:sz w:val="21"/>
                <w:highlight w:val="none"/>
              </w:rPr>
              <w:t>1，4】</w:t>
            </w:r>
            <w:r>
              <w:rPr>
                <w:rFonts w:hint="eastAsia" w:ascii="宋体" w:hAnsi="宋体" w:eastAsia="宋体" w:cs="宋体"/>
                <w:b w:val="0"/>
                <w:color w:val="auto"/>
                <w:sz w:val="21"/>
                <w:highlight w:val="none"/>
                <w:lang w:val="zh-CN"/>
              </w:rPr>
              <w:t>分。</w:t>
            </w:r>
          </w:p>
          <w:p w14:paraId="11E9D79A">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rPr>
              <w:t>不满足或</w:t>
            </w:r>
            <w:r>
              <w:rPr>
                <w:rFonts w:hint="eastAsia" w:ascii="宋体" w:hAnsi="宋体" w:eastAsia="宋体" w:cs="宋体"/>
                <w:b w:val="0"/>
                <w:color w:val="auto"/>
                <w:sz w:val="21"/>
                <w:highlight w:val="none"/>
                <w:lang w:val="zh-CN"/>
              </w:rPr>
              <w:t>未能按要求</w:t>
            </w:r>
            <w:r>
              <w:rPr>
                <w:rFonts w:hint="eastAsia" w:ascii="宋体" w:hAnsi="宋体" w:eastAsia="宋体" w:cs="宋体"/>
                <w:b w:val="0"/>
                <w:color w:val="auto"/>
                <w:sz w:val="21"/>
                <w:highlight w:val="none"/>
              </w:rPr>
              <w:t>提供相关资料</w:t>
            </w:r>
            <w:r>
              <w:rPr>
                <w:rFonts w:hint="eastAsia" w:ascii="宋体" w:hAnsi="宋体" w:eastAsia="宋体" w:cs="宋体"/>
                <w:b w:val="0"/>
                <w:color w:val="auto"/>
                <w:sz w:val="21"/>
                <w:highlight w:val="none"/>
                <w:lang w:val="zh-CN"/>
              </w:rPr>
              <w:t>得</w:t>
            </w:r>
            <w:r>
              <w:rPr>
                <w:rFonts w:ascii="宋体" w:hAnsi="宋体" w:eastAsia="宋体" w:cs="宋体"/>
                <w:b w:val="0"/>
                <w:color w:val="auto"/>
                <w:sz w:val="21"/>
                <w:highlight w:val="none"/>
                <w:lang w:val="zh-CN"/>
              </w:rPr>
              <w:t>0分。</w:t>
            </w:r>
          </w:p>
        </w:tc>
      </w:tr>
      <w:tr w14:paraId="452B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continue"/>
            <w:tcBorders>
              <w:left w:val="single" w:color="auto" w:sz="4" w:space="0"/>
              <w:right w:val="single" w:color="auto" w:sz="4" w:space="0"/>
            </w:tcBorders>
            <w:vAlign w:val="center"/>
          </w:tcPr>
          <w:p w14:paraId="7A3292E1">
            <w:pPr>
              <w:pStyle w:val="22"/>
              <w:spacing w:line="360" w:lineRule="exact"/>
              <w:jc w:val="center"/>
              <w:rPr>
                <w:rFonts w:ascii="宋体" w:hAnsi="宋体" w:eastAsia="宋体" w:cs="宋体"/>
                <w:color w:val="auto"/>
                <w:highlight w:val="none"/>
              </w:rPr>
            </w:pPr>
          </w:p>
        </w:tc>
        <w:tc>
          <w:tcPr>
            <w:tcW w:w="955" w:type="dxa"/>
            <w:vMerge w:val="continue"/>
            <w:tcBorders>
              <w:left w:val="single" w:color="auto" w:sz="4" w:space="0"/>
              <w:right w:val="single" w:color="auto" w:sz="4" w:space="0"/>
            </w:tcBorders>
            <w:vAlign w:val="center"/>
          </w:tcPr>
          <w:p w14:paraId="029A6DAE">
            <w:pPr>
              <w:pStyle w:val="22"/>
              <w:spacing w:line="360" w:lineRule="exact"/>
              <w:jc w:val="center"/>
              <w:rPr>
                <w:rFonts w:ascii="宋体" w:hAnsi="宋体" w:eastAsia="宋体" w:cs="宋体"/>
                <w:color w:val="auto"/>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6A9646EB">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b w:val="0"/>
                <w:color w:val="auto"/>
                <w:sz w:val="21"/>
                <w:highlight w:val="none"/>
              </w:rPr>
              <w:t>25</w:t>
            </w:r>
          </w:p>
        </w:tc>
        <w:tc>
          <w:tcPr>
            <w:tcW w:w="7114" w:type="dxa"/>
            <w:tcBorders>
              <w:top w:val="single" w:color="auto" w:sz="4" w:space="0"/>
              <w:left w:val="single" w:color="auto" w:sz="4" w:space="0"/>
              <w:bottom w:val="single" w:color="auto" w:sz="4" w:space="0"/>
              <w:right w:val="single" w:color="auto" w:sz="4" w:space="0"/>
            </w:tcBorders>
            <w:vAlign w:val="center"/>
          </w:tcPr>
          <w:p w14:paraId="2E9C5710">
            <w:pPr>
              <w:pStyle w:val="22"/>
              <w:spacing w:after="120"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rPr>
              <w:t>对本项目资金管理措施进行评审：</w:t>
            </w:r>
          </w:p>
          <w:p w14:paraId="5EF6FE62">
            <w:pPr>
              <w:pStyle w:val="22"/>
              <w:spacing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rPr>
              <w:t>（资金管理措施包括不限于：工程款专款专用、项目资金投入规划、农民工工资保障、应急周转资金制度、工程款支付担保等措施等）</w:t>
            </w:r>
          </w:p>
          <w:p w14:paraId="749A54D3">
            <w:pPr>
              <w:pStyle w:val="22"/>
              <w:spacing w:line="360" w:lineRule="exact"/>
              <w:ind w:firstLine="0" w:firstLineChars="0"/>
              <w:rPr>
                <w:rFonts w:ascii="宋体" w:hAnsi="宋体" w:eastAsia="宋体" w:cs="宋体"/>
                <w:color w:val="auto"/>
                <w:highlight w:val="none"/>
                <w:lang w:val="en-US"/>
              </w:rPr>
            </w:pPr>
            <w:r>
              <w:rPr>
                <w:rFonts w:hint="eastAsia" w:ascii="宋体" w:hAnsi="宋体" w:eastAsia="宋体" w:cs="宋体"/>
                <w:b w:val="0"/>
                <w:color w:val="auto"/>
                <w:sz w:val="21"/>
                <w:highlight w:val="none"/>
                <w:lang w:val="zh-CN"/>
              </w:rPr>
              <w:t>优得【</w:t>
            </w:r>
            <w:r>
              <w:rPr>
                <w:rFonts w:ascii="宋体" w:hAnsi="宋体" w:eastAsia="宋体" w:cs="宋体"/>
                <w:b w:val="0"/>
                <w:color w:val="auto"/>
                <w:sz w:val="21"/>
                <w:highlight w:val="none"/>
              </w:rPr>
              <w:t>19，25】</w:t>
            </w:r>
            <w:r>
              <w:rPr>
                <w:rFonts w:hint="eastAsia" w:ascii="宋体" w:hAnsi="宋体" w:eastAsia="宋体" w:cs="宋体"/>
                <w:b w:val="0"/>
                <w:color w:val="auto"/>
                <w:sz w:val="21"/>
                <w:highlight w:val="none"/>
                <w:lang w:val="zh-CN"/>
              </w:rPr>
              <w:t>分</w:t>
            </w:r>
          </w:p>
          <w:p w14:paraId="7B804039">
            <w:pPr>
              <w:pStyle w:val="22"/>
              <w:spacing w:line="360" w:lineRule="exact"/>
              <w:ind w:firstLine="0" w:firstLineChars="0"/>
              <w:rPr>
                <w:rFonts w:ascii="宋体" w:hAnsi="宋体" w:eastAsia="宋体" w:cs="宋体"/>
                <w:color w:val="auto"/>
                <w:highlight w:val="none"/>
                <w:lang w:val="en-US"/>
              </w:rPr>
            </w:pPr>
            <w:r>
              <w:rPr>
                <w:rFonts w:hint="eastAsia" w:ascii="宋体" w:hAnsi="宋体" w:eastAsia="宋体" w:cs="宋体"/>
                <w:b w:val="0"/>
                <w:color w:val="auto"/>
                <w:sz w:val="21"/>
                <w:highlight w:val="none"/>
                <w:lang w:val="zh-CN"/>
              </w:rPr>
              <w:t>良得【</w:t>
            </w:r>
            <w:r>
              <w:rPr>
                <w:rFonts w:ascii="宋体" w:hAnsi="宋体" w:eastAsia="宋体" w:cs="宋体"/>
                <w:b w:val="0"/>
                <w:color w:val="auto"/>
                <w:sz w:val="21"/>
                <w:highlight w:val="none"/>
              </w:rPr>
              <w:t>12，18】</w:t>
            </w:r>
            <w:r>
              <w:rPr>
                <w:rFonts w:hint="eastAsia" w:ascii="宋体" w:hAnsi="宋体" w:eastAsia="宋体" w:cs="宋体"/>
                <w:b w:val="0"/>
                <w:color w:val="auto"/>
                <w:sz w:val="21"/>
                <w:highlight w:val="none"/>
                <w:lang w:val="zh-CN"/>
              </w:rPr>
              <w:t>分。</w:t>
            </w:r>
          </w:p>
          <w:p w14:paraId="5A7F3A80">
            <w:pPr>
              <w:pStyle w:val="22"/>
              <w:spacing w:line="360" w:lineRule="exact"/>
              <w:ind w:firstLine="0" w:firstLineChars="0"/>
              <w:rPr>
                <w:rFonts w:ascii="宋体" w:hAnsi="宋体" w:eastAsia="宋体" w:cs="宋体"/>
                <w:color w:val="auto"/>
                <w:highlight w:val="none"/>
                <w:lang w:val="en-US"/>
              </w:rPr>
            </w:pPr>
            <w:r>
              <w:rPr>
                <w:rFonts w:hint="eastAsia" w:ascii="宋体" w:hAnsi="宋体" w:eastAsia="宋体" w:cs="宋体"/>
                <w:b w:val="0"/>
                <w:color w:val="auto"/>
                <w:sz w:val="21"/>
                <w:highlight w:val="none"/>
                <w:lang w:val="zh-CN"/>
              </w:rPr>
              <w:t>中得【</w:t>
            </w:r>
            <w:r>
              <w:rPr>
                <w:rFonts w:ascii="宋体" w:hAnsi="宋体" w:eastAsia="宋体" w:cs="宋体"/>
                <w:b w:val="0"/>
                <w:color w:val="auto"/>
                <w:sz w:val="21"/>
                <w:highlight w:val="none"/>
              </w:rPr>
              <w:t>5，11】</w:t>
            </w:r>
            <w:r>
              <w:rPr>
                <w:rFonts w:hint="eastAsia" w:ascii="宋体" w:hAnsi="宋体" w:eastAsia="宋体" w:cs="宋体"/>
                <w:b w:val="0"/>
                <w:color w:val="auto"/>
                <w:sz w:val="21"/>
                <w:highlight w:val="none"/>
                <w:lang w:val="zh-CN"/>
              </w:rPr>
              <w:t>分。</w:t>
            </w:r>
          </w:p>
          <w:p w14:paraId="2097EFDF">
            <w:pPr>
              <w:pStyle w:val="22"/>
              <w:spacing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rPr>
              <w:t>差得</w:t>
            </w:r>
            <w:r>
              <w:rPr>
                <w:rFonts w:hint="eastAsia" w:ascii="宋体" w:hAnsi="宋体" w:eastAsia="宋体" w:cs="宋体"/>
                <w:b w:val="0"/>
                <w:color w:val="auto"/>
                <w:sz w:val="21"/>
                <w:highlight w:val="none"/>
                <w:lang w:val="zh-CN"/>
              </w:rPr>
              <w:t>【</w:t>
            </w:r>
            <w:r>
              <w:rPr>
                <w:rFonts w:ascii="宋体" w:hAnsi="宋体" w:eastAsia="宋体" w:cs="宋体"/>
                <w:b w:val="0"/>
                <w:color w:val="auto"/>
                <w:sz w:val="21"/>
                <w:highlight w:val="none"/>
              </w:rPr>
              <w:t>1，4】</w:t>
            </w:r>
            <w:r>
              <w:rPr>
                <w:rFonts w:hint="eastAsia" w:ascii="宋体" w:hAnsi="宋体" w:eastAsia="宋体" w:cs="宋体"/>
                <w:b w:val="0"/>
                <w:color w:val="auto"/>
                <w:sz w:val="21"/>
                <w:highlight w:val="none"/>
                <w:lang w:val="zh-CN"/>
              </w:rPr>
              <w:t>分。</w:t>
            </w:r>
          </w:p>
          <w:p w14:paraId="07A3C6F8">
            <w:pPr>
              <w:pStyle w:val="22"/>
              <w:spacing w:line="360" w:lineRule="exact"/>
              <w:ind w:firstLine="0" w:firstLineChars="0"/>
              <w:rPr>
                <w:rFonts w:ascii="宋体" w:hAnsi="宋体" w:eastAsia="宋体" w:cs="宋体"/>
                <w:color w:val="auto"/>
                <w:highlight w:val="none"/>
                <w:lang w:val="zh-CN"/>
              </w:rPr>
            </w:pPr>
            <w:r>
              <w:rPr>
                <w:rFonts w:hint="eastAsia" w:ascii="宋体" w:hAnsi="宋体" w:eastAsia="宋体" w:cs="宋体"/>
                <w:b w:val="0"/>
                <w:color w:val="auto"/>
                <w:sz w:val="21"/>
                <w:highlight w:val="none"/>
              </w:rPr>
              <w:t>不满足或</w:t>
            </w:r>
            <w:r>
              <w:rPr>
                <w:rFonts w:hint="eastAsia" w:ascii="宋体" w:hAnsi="宋体" w:eastAsia="宋体" w:cs="宋体"/>
                <w:b w:val="0"/>
                <w:color w:val="auto"/>
                <w:sz w:val="21"/>
                <w:highlight w:val="none"/>
                <w:lang w:val="zh-CN"/>
              </w:rPr>
              <w:t>未能按要求</w:t>
            </w:r>
            <w:r>
              <w:rPr>
                <w:rFonts w:hint="eastAsia" w:ascii="宋体" w:hAnsi="宋体" w:eastAsia="宋体" w:cs="宋体"/>
                <w:b w:val="0"/>
                <w:color w:val="auto"/>
                <w:sz w:val="21"/>
                <w:highlight w:val="none"/>
              </w:rPr>
              <w:t>提供相关资料</w:t>
            </w:r>
            <w:r>
              <w:rPr>
                <w:rFonts w:hint="eastAsia" w:ascii="宋体" w:hAnsi="宋体" w:eastAsia="宋体" w:cs="宋体"/>
                <w:b w:val="0"/>
                <w:color w:val="auto"/>
                <w:sz w:val="21"/>
                <w:highlight w:val="none"/>
                <w:lang w:val="zh-CN"/>
              </w:rPr>
              <w:t>得</w:t>
            </w:r>
            <w:r>
              <w:rPr>
                <w:rFonts w:ascii="宋体" w:hAnsi="宋体" w:eastAsia="宋体" w:cs="宋体"/>
                <w:b w:val="0"/>
                <w:color w:val="auto"/>
                <w:sz w:val="21"/>
                <w:highlight w:val="none"/>
                <w:lang w:val="zh-CN"/>
              </w:rPr>
              <w:t>0分。</w:t>
            </w:r>
          </w:p>
        </w:tc>
      </w:tr>
      <w:tr w14:paraId="55E1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205A2598">
            <w:pPr>
              <w:pStyle w:val="22"/>
              <w:spacing w:after="120" w:line="360" w:lineRule="exact"/>
              <w:ind w:firstLine="0" w:firstLineChars="0"/>
              <w:jc w:val="center"/>
              <w:rPr>
                <w:rFonts w:ascii="宋体" w:hAnsi="宋体" w:eastAsia="宋体" w:cs="宋体"/>
                <w:color w:val="auto"/>
                <w:highlight w:val="none"/>
                <w:lang w:val="zh-CN"/>
              </w:rPr>
            </w:pPr>
            <w:r>
              <w:rPr>
                <w:rFonts w:ascii="宋体" w:hAnsi="宋体" w:eastAsia="宋体" w:cs="宋体"/>
                <w:b w:val="0"/>
                <w:color w:val="auto"/>
                <w:sz w:val="21"/>
                <w:highlight w:val="none"/>
              </w:rPr>
              <w:t>2</w:t>
            </w:r>
          </w:p>
        </w:tc>
        <w:tc>
          <w:tcPr>
            <w:tcW w:w="955" w:type="dxa"/>
            <w:tcBorders>
              <w:top w:val="single" w:color="auto" w:sz="4" w:space="0"/>
              <w:left w:val="single" w:color="auto" w:sz="4" w:space="0"/>
              <w:bottom w:val="single" w:color="auto" w:sz="4" w:space="0"/>
              <w:right w:val="single" w:color="auto" w:sz="4" w:space="0"/>
            </w:tcBorders>
            <w:vAlign w:val="center"/>
          </w:tcPr>
          <w:p w14:paraId="7626E774">
            <w:pPr>
              <w:pStyle w:val="22"/>
              <w:spacing w:after="120" w:line="360" w:lineRule="exact"/>
              <w:ind w:firstLine="0" w:firstLineChars="0"/>
              <w:jc w:val="center"/>
              <w:rPr>
                <w:rFonts w:ascii="宋体" w:hAnsi="宋体" w:eastAsia="宋体" w:cs="宋体"/>
                <w:color w:val="auto"/>
                <w:highlight w:val="none"/>
              </w:rPr>
            </w:pPr>
            <w:r>
              <w:rPr>
                <w:rFonts w:hint="eastAsia" w:ascii="宋体" w:hAnsi="宋体" w:eastAsia="宋体" w:cs="宋体"/>
                <w:b w:val="0"/>
                <w:color w:val="auto"/>
                <w:sz w:val="21"/>
                <w:highlight w:val="none"/>
              </w:rPr>
              <w:t>价格因素</w:t>
            </w:r>
          </w:p>
          <w:p w14:paraId="7B52D453">
            <w:pPr>
              <w:pStyle w:val="22"/>
              <w:spacing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rPr>
              <w:t>（</w:t>
            </w:r>
            <w:r>
              <w:rPr>
                <w:rFonts w:ascii="宋体" w:hAnsi="宋体" w:eastAsia="宋体" w:cs="宋体"/>
                <w:b w:val="0"/>
                <w:color w:val="auto"/>
                <w:sz w:val="21"/>
                <w:highlight w:val="none"/>
              </w:rPr>
              <w:t>100</w:t>
            </w:r>
            <w:r>
              <w:rPr>
                <w:rFonts w:hint="eastAsia" w:ascii="宋体" w:hAnsi="宋体" w:eastAsia="宋体" w:cs="宋体"/>
                <w:b w:val="0"/>
                <w:color w:val="auto"/>
                <w:sz w:val="21"/>
                <w:highlight w:val="none"/>
              </w:rPr>
              <w:t>）</w:t>
            </w:r>
          </w:p>
        </w:tc>
        <w:tc>
          <w:tcPr>
            <w:tcW w:w="684" w:type="dxa"/>
            <w:tcBorders>
              <w:top w:val="single" w:color="auto" w:sz="4" w:space="0"/>
              <w:left w:val="single" w:color="auto" w:sz="4" w:space="0"/>
              <w:bottom w:val="single" w:color="auto" w:sz="4" w:space="0"/>
              <w:right w:val="single" w:color="auto" w:sz="4" w:space="0"/>
            </w:tcBorders>
            <w:vAlign w:val="center"/>
          </w:tcPr>
          <w:p w14:paraId="2C63A27A">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b w:val="0"/>
                <w:color w:val="auto"/>
                <w:sz w:val="21"/>
                <w:highlight w:val="none"/>
              </w:rPr>
              <w:t>100</w:t>
            </w:r>
          </w:p>
        </w:tc>
        <w:tc>
          <w:tcPr>
            <w:tcW w:w="7114" w:type="dxa"/>
            <w:tcBorders>
              <w:top w:val="single" w:color="auto" w:sz="4" w:space="0"/>
              <w:left w:val="single" w:color="auto" w:sz="4" w:space="0"/>
              <w:bottom w:val="single" w:color="auto" w:sz="4" w:space="0"/>
              <w:right w:val="single" w:color="auto" w:sz="4" w:space="0"/>
            </w:tcBorders>
            <w:vAlign w:val="center"/>
          </w:tcPr>
          <w:p w14:paraId="66B8DDE3">
            <w:pPr>
              <w:pStyle w:val="22"/>
              <w:spacing w:after="120" w:line="36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p>
        </w:tc>
      </w:tr>
      <w:tr w14:paraId="5B61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9" w:type="dxa"/>
            <w:tcBorders>
              <w:left w:val="single" w:color="auto" w:sz="4" w:space="0"/>
              <w:right w:val="single" w:color="auto" w:sz="4" w:space="0"/>
            </w:tcBorders>
            <w:vAlign w:val="center"/>
          </w:tcPr>
          <w:p w14:paraId="3EBEE3D7">
            <w:pPr>
              <w:pStyle w:val="22"/>
              <w:spacing w:after="120" w:line="360" w:lineRule="exact"/>
              <w:ind w:firstLine="0" w:firstLineChars="0"/>
              <w:jc w:val="center"/>
              <w:rPr>
                <w:rFonts w:ascii="宋体" w:hAnsi="宋体" w:eastAsia="宋体" w:cs="宋体"/>
                <w:color w:val="auto"/>
                <w:highlight w:val="none"/>
              </w:rPr>
            </w:pPr>
            <w:r>
              <w:rPr>
                <w:rFonts w:hint="eastAsia" w:ascii="宋体" w:hAnsi="宋体" w:eastAsia="宋体" w:cs="宋体"/>
                <w:b w:val="0"/>
                <w:color w:val="auto"/>
                <w:sz w:val="21"/>
                <w:highlight w:val="none"/>
              </w:rPr>
              <w:t>合计</w:t>
            </w:r>
          </w:p>
        </w:tc>
        <w:tc>
          <w:tcPr>
            <w:tcW w:w="955" w:type="dxa"/>
            <w:tcBorders>
              <w:left w:val="single" w:color="auto" w:sz="4" w:space="0"/>
              <w:right w:val="single" w:color="auto" w:sz="4" w:space="0"/>
            </w:tcBorders>
            <w:vAlign w:val="center"/>
          </w:tcPr>
          <w:p w14:paraId="6764FFA1">
            <w:pPr>
              <w:pStyle w:val="22"/>
              <w:spacing w:after="120" w:line="360" w:lineRule="exact"/>
              <w:ind w:firstLine="0" w:firstLineChars="0"/>
              <w:jc w:val="center"/>
              <w:rPr>
                <w:rFonts w:ascii="宋体" w:hAnsi="宋体" w:eastAsia="宋体" w:cs="宋体"/>
                <w:color w:val="auto"/>
                <w:highlight w:val="none"/>
              </w:rPr>
            </w:pPr>
            <w:r>
              <w:rPr>
                <w:rFonts w:hint="eastAsia" w:ascii="宋体" w:hAnsi="宋体" w:eastAsia="宋体" w:cs="宋体"/>
                <w:b w:val="0"/>
                <w:color w:val="auto"/>
                <w:sz w:val="21"/>
                <w:highlight w:val="none"/>
              </w:rPr>
              <w:t>定标因素得分</w:t>
            </w:r>
          </w:p>
        </w:tc>
        <w:tc>
          <w:tcPr>
            <w:tcW w:w="684" w:type="dxa"/>
            <w:tcBorders>
              <w:top w:val="single" w:color="auto" w:sz="4" w:space="0"/>
              <w:left w:val="single" w:color="auto" w:sz="4" w:space="0"/>
              <w:bottom w:val="single" w:color="auto" w:sz="4" w:space="0"/>
              <w:right w:val="single" w:color="auto" w:sz="4" w:space="0"/>
            </w:tcBorders>
            <w:vAlign w:val="center"/>
          </w:tcPr>
          <w:p w14:paraId="48525720">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b w:val="0"/>
                <w:color w:val="auto"/>
                <w:sz w:val="21"/>
                <w:highlight w:val="none"/>
              </w:rPr>
              <w:t>100</w:t>
            </w:r>
          </w:p>
        </w:tc>
        <w:tc>
          <w:tcPr>
            <w:tcW w:w="7114" w:type="dxa"/>
            <w:tcBorders>
              <w:top w:val="single" w:color="auto" w:sz="4" w:space="0"/>
              <w:left w:val="single" w:color="auto" w:sz="4" w:space="0"/>
              <w:right w:val="single" w:color="auto" w:sz="4" w:space="0"/>
            </w:tcBorders>
            <w:vAlign w:val="center"/>
          </w:tcPr>
          <w:p w14:paraId="27564283">
            <w:pPr>
              <w:pStyle w:val="22"/>
              <w:spacing w:after="120" w:line="360" w:lineRule="exact"/>
              <w:ind w:firstLine="0" w:firstLineChars="0"/>
              <w:rPr>
                <w:rFonts w:ascii="宋体" w:hAnsi="宋体" w:eastAsia="宋体" w:cs="宋体"/>
                <w:color w:val="auto"/>
                <w:highlight w:val="none"/>
              </w:rPr>
            </w:pPr>
            <w:r>
              <w:rPr>
                <w:rFonts w:hint="eastAsia" w:ascii="宋体" w:hAnsi="宋体" w:eastAsia="宋体" w:cs="宋体"/>
                <w:b w:val="0"/>
                <w:color w:val="auto"/>
                <w:sz w:val="21"/>
                <w:highlight w:val="none"/>
              </w:rPr>
              <w:t>总得分（</w:t>
            </w:r>
            <w:r>
              <w:rPr>
                <w:rFonts w:ascii="宋体" w:hAnsi="宋体" w:eastAsia="宋体" w:cs="宋体"/>
                <w:b w:val="0"/>
                <w:color w:val="auto"/>
                <w:sz w:val="21"/>
                <w:highlight w:val="none"/>
              </w:rPr>
              <w:t>100分）=</w:t>
            </w:r>
            <w:r>
              <w:rPr>
                <w:rFonts w:hint="eastAsia" w:ascii="宋体" w:hAnsi="宋体" w:eastAsia="宋体" w:cs="宋体"/>
                <w:b w:val="0"/>
                <w:color w:val="auto"/>
                <w:sz w:val="21"/>
                <w:highlight w:val="none"/>
                <w:lang w:val="zh-CN"/>
              </w:rPr>
              <w:t>方案</w:t>
            </w:r>
            <w:r>
              <w:rPr>
                <w:rFonts w:hint="eastAsia" w:ascii="宋体" w:hAnsi="宋体" w:eastAsia="宋体" w:cs="宋体"/>
                <w:b w:val="0"/>
                <w:color w:val="auto"/>
                <w:sz w:val="21"/>
                <w:highlight w:val="none"/>
                <w:lang w:val="en-US" w:eastAsia="zh-CN"/>
              </w:rPr>
              <w:t>因素</w:t>
            </w:r>
            <w:r>
              <w:rPr>
                <w:rFonts w:hint="eastAsia" w:ascii="宋体" w:hAnsi="宋体" w:eastAsia="宋体" w:cs="宋体"/>
                <w:b w:val="0"/>
                <w:color w:val="auto"/>
                <w:sz w:val="21"/>
                <w:highlight w:val="none"/>
              </w:rPr>
              <w:t>得分（</w:t>
            </w:r>
            <w:r>
              <w:rPr>
                <w:rFonts w:ascii="宋体" w:hAnsi="宋体" w:eastAsia="宋体" w:cs="宋体"/>
                <w:b w:val="0"/>
                <w:color w:val="auto"/>
                <w:sz w:val="21"/>
                <w:highlight w:val="none"/>
              </w:rPr>
              <w:t>100分）*</w:t>
            </w:r>
            <w:r>
              <w:rPr>
                <w:rFonts w:hint="eastAsia" w:ascii="宋体" w:hAnsi="宋体" w:eastAsia="宋体" w:cs="宋体"/>
                <w:b w:val="0"/>
                <w:color w:val="auto"/>
                <w:sz w:val="21"/>
                <w:highlight w:val="none"/>
                <w:lang w:val="zh-CN"/>
              </w:rPr>
              <w:t>方案</w:t>
            </w:r>
            <w:r>
              <w:rPr>
                <w:rFonts w:hint="eastAsia" w:ascii="宋体" w:hAnsi="宋体" w:eastAsia="宋体" w:cs="宋体"/>
                <w:b w:val="0"/>
                <w:color w:val="auto"/>
                <w:sz w:val="21"/>
                <w:highlight w:val="none"/>
                <w:lang w:val="en-US" w:eastAsia="zh-CN"/>
              </w:rPr>
              <w:t>因素</w:t>
            </w:r>
            <w:r>
              <w:rPr>
                <w:rFonts w:hint="eastAsia" w:ascii="宋体" w:hAnsi="宋体" w:eastAsia="宋体" w:cs="宋体"/>
                <w:b w:val="0"/>
                <w:color w:val="auto"/>
                <w:sz w:val="21"/>
                <w:highlight w:val="none"/>
              </w:rPr>
              <w:t>权重（</w:t>
            </w:r>
            <w:r>
              <w:rPr>
                <w:rFonts w:ascii="宋体" w:hAnsi="宋体" w:eastAsia="宋体" w:cs="宋体"/>
                <w:b w:val="0"/>
                <w:color w:val="auto"/>
                <w:sz w:val="21"/>
                <w:highlight w:val="none"/>
              </w:rPr>
              <w:t>70%）+价格因素得分（100分）*价格因素权重（30%）。</w:t>
            </w:r>
          </w:p>
        </w:tc>
      </w:tr>
    </w:tbl>
    <w:p w14:paraId="292BCCAB">
      <w:pPr>
        <w:pStyle w:val="22"/>
        <w:spacing w:line="360" w:lineRule="exact"/>
        <w:ind w:firstLine="420"/>
        <w:rPr>
          <w:rFonts w:ascii="宋体" w:hAnsi="宋体" w:eastAsia="宋体" w:cs="宋体"/>
          <w:color w:val="auto"/>
          <w:highlight w:val="none"/>
        </w:rPr>
      </w:pPr>
      <w:r>
        <w:rPr>
          <w:rFonts w:hint="eastAsia" w:ascii="宋体" w:hAnsi="宋体" w:eastAsia="宋体" w:cs="宋体"/>
          <w:b w:val="0"/>
          <w:color w:val="auto"/>
          <w:sz w:val="21"/>
          <w:highlight w:val="none"/>
        </w:rPr>
        <w:t>备注：</w:t>
      </w:r>
    </w:p>
    <w:p w14:paraId="4378652C">
      <w:pPr>
        <w:pStyle w:val="22"/>
        <w:spacing w:line="360" w:lineRule="exact"/>
        <w:ind w:firstLine="420"/>
        <w:rPr>
          <w:rFonts w:ascii="宋体" w:hAnsi="宋体" w:eastAsia="宋体" w:cs="宋体"/>
          <w:b w:val="0"/>
          <w:color w:val="auto"/>
          <w:sz w:val="21"/>
          <w:highlight w:val="none"/>
        </w:rPr>
      </w:pPr>
      <w:r>
        <w:rPr>
          <w:rFonts w:ascii="宋体" w:hAnsi="宋体" w:eastAsia="宋体" w:cs="宋体"/>
          <w:b w:val="0"/>
          <w:color w:val="auto"/>
          <w:sz w:val="21"/>
          <w:highlight w:val="none"/>
        </w:rPr>
        <w:t>1、</w:t>
      </w:r>
      <w:r>
        <w:rPr>
          <w:rFonts w:hint="eastAsia" w:ascii="宋体" w:hAnsi="宋体" w:cs="宋体"/>
          <w:color w:val="auto"/>
          <w:sz w:val="21"/>
          <w:szCs w:val="21"/>
          <w:highlight w:val="none"/>
        </w:rPr>
        <w:t>分值范围的解释:定标委员会对定标阶段定标</w:t>
      </w:r>
      <w:r>
        <w:rPr>
          <w:rFonts w:hint="eastAsia" w:hAnsi="宋体" w:cs="宋体"/>
          <w:color w:val="auto"/>
          <w:sz w:val="21"/>
          <w:szCs w:val="21"/>
          <w:highlight w:val="none"/>
          <w:shd w:val="clear" w:color="auto" w:fill="FFFFFF"/>
          <w:lang w:val="zh-CN"/>
        </w:rPr>
        <w:t>方案</w:t>
      </w:r>
      <w:r>
        <w:rPr>
          <w:rFonts w:hint="eastAsia" w:hAnsi="宋体" w:cs="宋体"/>
          <w:color w:val="auto"/>
          <w:sz w:val="21"/>
          <w:szCs w:val="21"/>
          <w:highlight w:val="none"/>
          <w:shd w:val="clear" w:color="auto" w:fill="FFFFFF"/>
        </w:rPr>
        <w:t>因素评审</w:t>
      </w:r>
      <w:r>
        <w:rPr>
          <w:rFonts w:hint="eastAsia" w:ascii="宋体" w:hAnsi="宋体" w:cs="宋体"/>
          <w:color w:val="auto"/>
          <w:sz w:val="21"/>
          <w:szCs w:val="21"/>
          <w:highlight w:val="none"/>
        </w:rPr>
        <w:t>时，</w:t>
      </w:r>
      <w:r>
        <w:rPr>
          <w:rFonts w:hint="eastAsia" w:hAnsi="宋体" w:cs="宋体"/>
          <w:color w:val="auto"/>
          <w:sz w:val="21"/>
          <w:szCs w:val="21"/>
          <w:highlight w:val="none"/>
          <w:shd w:val="clear" w:color="auto" w:fill="FFFFFF"/>
        </w:rPr>
        <w:t>定标因素表中</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”等分值，以整数进行评分（如1.0、2.0、3.0等，以此类推）。“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”表示含本数。</w:t>
      </w:r>
      <w:r>
        <w:rPr>
          <w:rFonts w:ascii="宋体" w:hAnsi="宋体" w:eastAsia="宋体" w:cs="宋体"/>
          <w:b w:val="0"/>
          <w:color w:val="auto"/>
          <w:sz w:val="21"/>
          <w:highlight w:val="none"/>
        </w:rPr>
        <w:t>。</w:t>
      </w:r>
    </w:p>
    <w:p w14:paraId="5C5630F4">
      <w:pPr>
        <w:pStyle w:val="22"/>
        <w:spacing w:line="360" w:lineRule="exact"/>
        <w:ind w:firstLine="420"/>
        <w:rPr>
          <w:rFonts w:ascii="宋体" w:hAnsi="宋体" w:eastAsia="宋体" w:cs="宋体"/>
          <w:color w:val="auto"/>
          <w:szCs w:val="21"/>
          <w:highlight w:val="none"/>
        </w:rPr>
      </w:pPr>
      <w:r>
        <w:rPr>
          <w:rFonts w:ascii="宋体" w:hAnsi="宋体" w:eastAsia="宋体" w:cs="宋体"/>
          <w:b w:val="0"/>
          <w:color w:val="auto"/>
          <w:sz w:val="21"/>
          <w:highlight w:val="none"/>
        </w:rPr>
        <w:t>2、</w:t>
      </w:r>
      <w:r>
        <w:rPr>
          <w:rFonts w:hint="eastAsia" w:ascii="宋体" w:hAnsi="宋体" w:eastAsia="宋体" w:cs="宋体"/>
          <w:b w:val="0"/>
          <w:color w:val="auto"/>
          <w:sz w:val="21"/>
          <w:highlight w:val="none"/>
        </w:rPr>
        <w:t>合格中标候选人定标方案得分为所有定标委员会成员对同一投标人方案因素的各项评分相加去掉一个最高分和一个最低分后计取的算术平均分（分数出现小数点时，保留小数点后二位，第三位小数四舍五入）</w:t>
      </w:r>
      <w:r>
        <w:rPr>
          <w:rFonts w:hint="eastAsia" w:ascii="宋体" w:hAnsi="宋体" w:eastAsia="宋体" w:cs="宋体"/>
          <w:b w:val="0"/>
          <w:color w:val="auto"/>
          <w:sz w:val="21"/>
          <w:highlight w:val="none"/>
          <w:lang w:eastAsia="zh-CN"/>
        </w:rPr>
        <w:t>。</w:t>
      </w:r>
      <w:r>
        <w:rPr>
          <w:rFonts w:ascii="宋体" w:hAnsi="宋体" w:eastAsia="宋体" w:cs="宋体"/>
          <w:b w:val="0"/>
          <w:color w:val="auto"/>
          <w:szCs w:val="21"/>
          <w:highlight w:val="none"/>
        </w:rPr>
        <w:br w:type="page"/>
      </w:r>
    </w:p>
    <w:p w14:paraId="77AA5B18">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附表七</w:t>
      </w:r>
    </w:p>
    <w:p w14:paraId="192EB1DA">
      <w:pPr>
        <w:rPr>
          <w:rFonts w:ascii="宋体" w:hAnsi="宋体" w:eastAsia="宋体" w:cs="宋体"/>
          <w:b/>
          <w:color w:val="auto"/>
          <w:sz w:val="24"/>
          <w:highlight w:val="none"/>
        </w:rPr>
      </w:pPr>
    </w:p>
    <w:p w14:paraId="1B4FD3FF">
      <w:pPr>
        <w:snapToGrid w:val="0"/>
        <w:spacing w:line="360" w:lineRule="auto"/>
        <w:jc w:val="center"/>
        <w:outlineLvl w:val="2"/>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定标阶段（方案因素）评审得分表</w:t>
      </w:r>
    </w:p>
    <w:p w14:paraId="29D15B8C">
      <w:pPr>
        <w:snapToGrid w:val="0"/>
        <w:spacing w:line="360" w:lineRule="auto"/>
        <w:ind w:left="0"/>
        <w:jc w:val="center"/>
        <w:outlineLvl w:val="2"/>
        <w:rPr>
          <w:rFonts w:ascii="宋体" w:hAnsi="宋体" w:eastAsia="宋体" w:cs="宋体"/>
          <w:smallCaps/>
          <w:color w:val="auto"/>
          <w:sz w:val="20"/>
          <w:szCs w:val="20"/>
          <w:highlight w:val="none"/>
        </w:rPr>
      </w:pPr>
      <w:r>
        <w:rPr>
          <w:rFonts w:hint="eastAsia" w:ascii="宋体" w:hAnsi="宋体" w:eastAsia="宋体" w:cs="宋体"/>
          <w:b/>
          <w:color w:val="auto"/>
          <w:sz w:val="30"/>
          <w:szCs w:val="30"/>
          <w:highlight w:val="none"/>
        </w:rPr>
        <w:t>（定标委员个人用表）</w:t>
      </w:r>
    </w:p>
    <w:p w14:paraId="5CC1E77D">
      <w:pPr>
        <w:rPr>
          <w:rFonts w:ascii="宋体" w:hAnsi="宋体" w:eastAsia="宋体" w:cs="宋体"/>
          <w:color w:val="auto"/>
          <w:sz w:val="24"/>
          <w:highlight w:val="none"/>
        </w:rPr>
      </w:pPr>
      <w:r>
        <w:rPr>
          <w:rFonts w:hint="eastAsia" w:ascii="宋体" w:hAnsi="宋体" w:eastAsia="宋体" w:cs="宋体"/>
          <w:b w:val="0"/>
          <w:color w:val="auto"/>
          <w:sz w:val="24"/>
          <w:szCs w:val="22"/>
          <w:highlight w:val="none"/>
        </w:rPr>
        <w:t>工程名称</w:t>
      </w:r>
      <w:r>
        <w:rPr>
          <w:rFonts w:hint="eastAsia" w:ascii="宋体" w:hAnsi="宋体" w:eastAsia="宋体" w:cs="宋体"/>
          <w:b w:val="0"/>
          <w:color w:val="auto"/>
          <w:sz w:val="24"/>
          <w:highlight w:val="none"/>
        </w:rPr>
        <w:t>：</w:t>
      </w:r>
    </w:p>
    <w:tbl>
      <w:tblPr>
        <w:tblStyle w:val="88"/>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2126"/>
        <w:gridCol w:w="2954"/>
        <w:gridCol w:w="1607"/>
        <w:gridCol w:w="918"/>
        <w:gridCol w:w="1007"/>
      </w:tblGrid>
      <w:tr w14:paraId="2787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287303F5">
            <w:pPr>
              <w:spacing w:line="360" w:lineRule="atLeast"/>
              <w:jc w:val="center"/>
              <w:rPr>
                <w:rFonts w:ascii="宋体" w:hAnsi="宋体" w:eastAsia="宋体" w:cs="宋体"/>
                <w:b/>
                <w:bCs/>
                <w:color w:val="auto"/>
                <w:szCs w:val="21"/>
                <w:highlight w:val="none"/>
              </w:rPr>
            </w:pPr>
            <w:r>
              <w:rPr>
                <w:rFonts w:hint="eastAsia" w:ascii="宋体" w:hAnsi="宋体" w:eastAsia="宋体" w:cs="宋体"/>
                <w:b/>
                <w:bCs/>
                <w:color w:val="auto"/>
                <w:sz w:val="21"/>
                <w:szCs w:val="21"/>
                <w:highlight w:val="none"/>
              </w:rPr>
              <w:t>序号</w:t>
            </w:r>
          </w:p>
        </w:tc>
        <w:tc>
          <w:tcPr>
            <w:tcW w:w="1155" w:type="pct"/>
            <w:tcBorders>
              <w:top w:val="single" w:color="auto" w:sz="4" w:space="0"/>
              <w:left w:val="single" w:color="auto" w:sz="4" w:space="0"/>
              <w:bottom w:val="single" w:color="auto" w:sz="4" w:space="0"/>
              <w:right w:val="single" w:color="auto" w:sz="4" w:space="0"/>
            </w:tcBorders>
            <w:vAlign w:val="center"/>
          </w:tcPr>
          <w:p w14:paraId="7BB2715B">
            <w:pPr>
              <w:spacing w:line="360" w:lineRule="atLeast"/>
              <w:jc w:val="center"/>
              <w:rPr>
                <w:rFonts w:ascii="宋体" w:hAnsi="宋体" w:eastAsia="宋体" w:cs="宋体"/>
                <w:b/>
                <w:bCs/>
                <w:color w:val="auto"/>
                <w:szCs w:val="21"/>
                <w:highlight w:val="none"/>
              </w:rPr>
            </w:pPr>
            <w:r>
              <w:rPr>
                <w:rFonts w:hint="eastAsia" w:ascii="宋体" w:hAnsi="宋体" w:eastAsia="宋体" w:cs="宋体"/>
                <w:b/>
                <w:bCs/>
                <w:color w:val="auto"/>
                <w:sz w:val="21"/>
                <w:szCs w:val="21"/>
                <w:highlight w:val="none"/>
              </w:rPr>
              <w:t>合格中标候选人名称</w:t>
            </w:r>
          </w:p>
        </w:tc>
        <w:tc>
          <w:tcPr>
            <w:tcW w:w="1605" w:type="pct"/>
            <w:tcBorders>
              <w:top w:val="single" w:color="auto" w:sz="4" w:space="0"/>
              <w:left w:val="single" w:color="auto" w:sz="4" w:space="0"/>
              <w:bottom w:val="single" w:color="auto" w:sz="4" w:space="0"/>
              <w:right w:val="single" w:color="auto" w:sz="4" w:space="0"/>
            </w:tcBorders>
            <w:vAlign w:val="center"/>
          </w:tcPr>
          <w:p w14:paraId="43C860AA">
            <w:pPr>
              <w:spacing w:line="360" w:lineRule="atLeast"/>
              <w:jc w:val="center"/>
              <w:rPr>
                <w:rFonts w:ascii="宋体" w:hAnsi="宋体" w:eastAsia="宋体" w:cs="宋体"/>
                <w:b/>
                <w:bCs/>
                <w:color w:val="auto"/>
                <w:szCs w:val="21"/>
                <w:highlight w:val="none"/>
              </w:rPr>
            </w:pPr>
            <w:r>
              <w:rPr>
                <w:rFonts w:hint="eastAsia" w:ascii="宋体" w:hAnsi="宋体" w:eastAsia="宋体" w:cs="宋体"/>
                <w:b/>
                <w:bCs/>
                <w:color w:val="auto"/>
                <w:sz w:val="21"/>
                <w:szCs w:val="21"/>
                <w:highlight w:val="none"/>
              </w:rPr>
              <w:t>评语</w:t>
            </w:r>
          </w:p>
        </w:tc>
        <w:tc>
          <w:tcPr>
            <w:tcW w:w="1372" w:type="pct"/>
            <w:gridSpan w:val="2"/>
            <w:tcBorders>
              <w:top w:val="single" w:color="auto" w:sz="4" w:space="0"/>
              <w:left w:val="single" w:color="auto" w:sz="4" w:space="0"/>
              <w:bottom w:val="single" w:color="auto" w:sz="4" w:space="0"/>
              <w:right w:val="single" w:color="auto" w:sz="4" w:space="0"/>
            </w:tcBorders>
            <w:vAlign w:val="center"/>
          </w:tcPr>
          <w:p w14:paraId="2DE276E3">
            <w:pPr>
              <w:spacing w:line="360" w:lineRule="atLeast"/>
              <w:jc w:val="center"/>
              <w:rPr>
                <w:rFonts w:ascii="宋体" w:hAnsi="宋体" w:eastAsia="宋体" w:cs="宋体"/>
                <w:b/>
                <w:bCs/>
                <w:color w:val="auto"/>
                <w:szCs w:val="21"/>
                <w:highlight w:val="none"/>
              </w:rPr>
            </w:pPr>
            <w:r>
              <w:rPr>
                <w:rFonts w:hint="eastAsia" w:ascii="宋体" w:hAnsi="宋体" w:eastAsia="宋体" w:cs="宋体"/>
                <w:b/>
                <w:color w:val="auto"/>
                <w:sz w:val="24"/>
                <w:highlight w:val="none"/>
              </w:rPr>
              <w:t>方案因素分项得分</w:t>
            </w:r>
          </w:p>
        </w:tc>
        <w:tc>
          <w:tcPr>
            <w:tcW w:w="547" w:type="pct"/>
            <w:tcBorders>
              <w:top w:val="single" w:color="auto" w:sz="4" w:space="0"/>
              <w:left w:val="single" w:color="auto" w:sz="4" w:space="0"/>
              <w:bottom w:val="single" w:color="auto" w:sz="4" w:space="0"/>
              <w:right w:val="single" w:color="auto" w:sz="4" w:space="0"/>
            </w:tcBorders>
            <w:vAlign w:val="center"/>
          </w:tcPr>
          <w:p w14:paraId="172655E9">
            <w:pPr>
              <w:spacing w:line="360" w:lineRule="atLeast"/>
              <w:jc w:val="center"/>
              <w:rPr>
                <w:rFonts w:ascii="宋体" w:hAnsi="宋体" w:eastAsia="宋体" w:cs="宋体"/>
                <w:b/>
                <w:bCs/>
                <w:color w:val="auto"/>
                <w:szCs w:val="21"/>
                <w:highlight w:val="none"/>
              </w:rPr>
            </w:pPr>
            <w:r>
              <w:rPr>
                <w:rFonts w:hint="eastAsia" w:ascii="宋体" w:hAnsi="宋体" w:eastAsia="宋体" w:cs="宋体"/>
                <w:b/>
                <w:bCs/>
                <w:color w:val="auto"/>
                <w:sz w:val="21"/>
                <w:szCs w:val="21"/>
                <w:highlight w:val="none"/>
              </w:rPr>
              <w:t>方案因素得分</w:t>
            </w:r>
          </w:p>
        </w:tc>
      </w:tr>
      <w:tr w14:paraId="78F7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restart"/>
            <w:tcBorders>
              <w:top w:val="single" w:color="auto" w:sz="4" w:space="0"/>
              <w:left w:val="single" w:color="auto" w:sz="4" w:space="0"/>
              <w:right w:val="single" w:color="auto" w:sz="4" w:space="0"/>
            </w:tcBorders>
            <w:vAlign w:val="center"/>
          </w:tcPr>
          <w:p w14:paraId="3679DF0A">
            <w:pPr>
              <w:spacing w:line="360" w:lineRule="atLeast"/>
              <w:jc w:val="center"/>
              <w:rPr>
                <w:rFonts w:ascii="宋体" w:hAnsi="宋体" w:eastAsia="宋体" w:cs="宋体"/>
                <w:color w:val="auto"/>
                <w:sz w:val="24"/>
                <w:highlight w:val="none"/>
              </w:rPr>
            </w:pPr>
            <w:r>
              <w:rPr>
                <w:rFonts w:ascii="宋体" w:hAnsi="宋体" w:eastAsia="宋体" w:cs="宋体"/>
                <w:b w:val="0"/>
                <w:color w:val="auto"/>
                <w:sz w:val="24"/>
                <w:highlight w:val="none"/>
              </w:rPr>
              <w:t>1</w:t>
            </w:r>
          </w:p>
        </w:tc>
        <w:tc>
          <w:tcPr>
            <w:tcW w:w="1155" w:type="pct"/>
            <w:vMerge w:val="restart"/>
            <w:tcBorders>
              <w:top w:val="single" w:color="auto" w:sz="4" w:space="0"/>
              <w:left w:val="single" w:color="auto" w:sz="4" w:space="0"/>
              <w:right w:val="single" w:color="auto" w:sz="4" w:space="0"/>
            </w:tcBorders>
            <w:vAlign w:val="center"/>
          </w:tcPr>
          <w:p w14:paraId="009E8D02">
            <w:pPr>
              <w:spacing w:line="360" w:lineRule="atLeast"/>
              <w:jc w:val="center"/>
              <w:rPr>
                <w:rFonts w:ascii="宋体" w:hAnsi="宋体" w:eastAsia="宋体" w:cs="宋体"/>
                <w:color w:val="auto"/>
                <w:sz w:val="24"/>
                <w:highlight w:val="none"/>
              </w:rPr>
            </w:pPr>
          </w:p>
        </w:tc>
        <w:tc>
          <w:tcPr>
            <w:tcW w:w="1605" w:type="pct"/>
            <w:vMerge w:val="restart"/>
            <w:tcBorders>
              <w:top w:val="single" w:color="auto" w:sz="4" w:space="0"/>
              <w:left w:val="single" w:color="auto" w:sz="4" w:space="0"/>
              <w:right w:val="single" w:color="auto" w:sz="4" w:space="0"/>
            </w:tcBorders>
            <w:vAlign w:val="center"/>
          </w:tcPr>
          <w:p w14:paraId="43AB3FEE">
            <w:pPr>
              <w:spacing w:line="360" w:lineRule="atLeast"/>
              <w:jc w:val="center"/>
              <w:rPr>
                <w:rFonts w:ascii="宋体" w:hAnsi="宋体" w:eastAsia="宋体" w:cs="宋体"/>
                <w:color w:val="auto"/>
                <w:sz w:val="24"/>
                <w:highlight w:val="none"/>
              </w:rPr>
            </w:pPr>
          </w:p>
        </w:tc>
        <w:tc>
          <w:tcPr>
            <w:tcW w:w="873" w:type="pct"/>
            <w:tcBorders>
              <w:top w:val="single" w:color="auto" w:sz="4" w:space="0"/>
              <w:left w:val="single" w:color="auto" w:sz="4" w:space="0"/>
              <w:bottom w:val="single" w:color="auto" w:sz="4" w:space="0"/>
              <w:right w:val="single" w:color="auto" w:sz="4" w:space="0"/>
            </w:tcBorders>
            <w:vAlign w:val="center"/>
          </w:tcPr>
          <w:p w14:paraId="73271CDB">
            <w:pPr>
              <w:spacing w:after="120" w:line="360" w:lineRule="atLeast"/>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团队配置评审得分</w:t>
            </w:r>
          </w:p>
        </w:tc>
        <w:tc>
          <w:tcPr>
            <w:tcW w:w="499" w:type="pct"/>
            <w:tcBorders>
              <w:top w:val="single" w:color="auto" w:sz="4" w:space="0"/>
              <w:left w:val="single" w:color="auto" w:sz="4" w:space="0"/>
              <w:bottom w:val="single" w:color="auto" w:sz="4" w:space="0"/>
              <w:right w:val="single" w:color="auto" w:sz="4" w:space="0"/>
            </w:tcBorders>
            <w:vAlign w:val="center"/>
          </w:tcPr>
          <w:p w14:paraId="7FF82356">
            <w:pPr>
              <w:spacing w:line="360" w:lineRule="atLeast"/>
              <w:jc w:val="center"/>
              <w:rPr>
                <w:rFonts w:ascii="宋体" w:hAnsi="宋体" w:eastAsia="宋体" w:cs="宋体"/>
                <w:color w:val="auto"/>
                <w:sz w:val="24"/>
                <w:highlight w:val="none"/>
              </w:rPr>
            </w:pPr>
          </w:p>
        </w:tc>
        <w:tc>
          <w:tcPr>
            <w:tcW w:w="547" w:type="pct"/>
            <w:vMerge w:val="restart"/>
            <w:tcBorders>
              <w:top w:val="single" w:color="auto" w:sz="4" w:space="0"/>
              <w:left w:val="single" w:color="auto" w:sz="4" w:space="0"/>
              <w:right w:val="single" w:color="auto" w:sz="4" w:space="0"/>
            </w:tcBorders>
            <w:vAlign w:val="center"/>
          </w:tcPr>
          <w:p w14:paraId="48F754FD">
            <w:pPr>
              <w:spacing w:line="360" w:lineRule="atLeast"/>
              <w:jc w:val="center"/>
              <w:rPr>
                <w:rFonts w:ascii="宋体" w:hAnsi="宋体" w:eastAsia="宋体" w:cs="宋体"/>
                <w:color w:val="auto"/>
                <w:sz w:val="24"/>
                <w:highlight w:val="none"/>
              </w:rPr>
            </w:pPr>
          </w:p>
        </w:tc>
      </w:tr>
      <w:tr w14:paraId="11A6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tcBorders>
              <w:left w:val="single" w:color="auto" w:sz="4" w:space="0"/>
              <w:right w:val="single" w:color="auto" w:sz="4" w:space="0"/>
            </w:tcBorders>
            <w:vAlign w:val="center"/>
          </w:tcPr>
          <w:p w14:paraId="1F55F52C">
            <w:pPr>
              <w:spacing w:line="360" w:lineRule="atLeast"/>
              <w:jc w:val="center"/>
              <w:rPr>
                <w:rFonts w:ascii="宋体" w:hAnsi="宋体" w:eastAsia="宋体" w:cs="宋体"/>
                <w:color w:val="auto"/>
                <w:sz w:val="24"/>
                <w:highlight w:val="none"/>
              </w:rPr>
            </w:pPr>
          </w:p>
        </w:tc>
        <w:tc>
          <w:tcPr>
            <w:tcW w:w="1155" w:type="pct"/>
            <w:vMerge w:val="continue"/>
            <w:tcBorders>
              <w:left w:val="single" w:color="auto" w:sz="4" w:space="0"/>
              <w:right w:val="single" w:color="auto" w:sz="4" w:space="0"/>
            </w:tcBorders>
            <w:vAlign w:val="center"/>
          </w:tcPr>
          <w:p w14:paraId="3AAE5A67">
            <w:pPr>
              <w:spacing w:line="360" w:lineRule="atLeast"/>
              <w:jc w:val="center"/>
              <w:rPr>
                <w:rFonts w:ascii="宋体" w:hAnsi="宋体" w:eastAsia="宋体" w:cs="宋体"/>
                <w:color w:val="auto"/>
                <w:sz w:val="24"/>
                <w:highlight w:val="none"/>
              </w:rPr>
            </w:pPr>
          </w:p>
        </w:tc>
        <w:tc>
          <w:tcPr>
            <w:tcW w:w="1605" w:type="pct"/>
            <w:vMerge w:val="continue"/>
            <w:tcBorders>
              <w:left w:val="single" w:color="auto" w:sz="4" w:space="0"/>
              <w:right w:val="single" w:color="auto" w:sz="4" w:space="0"/>
            </w:tcBorders>
            <w:vAlign w:val="center"/>
          </w:tcPr>
          <w:p w14:paraId="6568D826">
            <w:pPr>
              <w:spacing w:line="360" w:lineRule="atLeast"/>
              <w:jc w:val="center"/>
              <w:rPr>
                <w:rFonts w:ascii="宋体" w:hAnsi="宋体" w:eastAsia="宋体" w:cs="宋体"/>
                <w:color w:val="auto"/>
                <w:sz w:val="24"/>
                <w:highlight w:val="none"/>
              </w:rPr>
            </w:pPr>
          </w:p>
        </w:tc>
        <w:tc>
          <w:tcPr>
            <w:tcW w:w="873" w:type="pct"/>
            <w:tcBorders>
              <w:top w:val="single" w:color="auto" w:sz="4" w:space="0"/>
              <w:left w:val="single" w:color="auto" w:sz="4" w:space="0"/>
              <w:bottom w:val="single" w:color="auto" w:sz="4" w:space="0"/>
              <w:right w:val="single" w:color="auto" w:sz="4" w:space="0"/>
            </w:tcBorders>
            <w:vAlign w:val="center"/>
          </w:tcPr>
          <w:p w14:paraId="31ECD454">
            <w:pPr>
              <w:spacing w:after="120" w:line="360" w:lineRule="atLeast"/>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施工管理措施评审得分</w:t>
            </w:r>
          </w:p>
        </w:tc>
        <w:tc>
          <w:tcPr>
            <w:tcW w:w="499" w:type="pct"/>
            <w:tcBorders>
              <w:top w:val="single" w:color="auto" w:sz="4" w:space="0"/>
              <w:left w:val="single" w:color="auto" w:sz="4" w:space="0"/>
              <w:bottom w:val="single" w:color="auto" w:sz="4" w:space="0"/>
              <w:right w:val="single" w:color="auto" w:sz="4" w:space="0"/>
            </w:tcBorders>
            <w:vAlign w:val="center"/>
          </w:tcPr>
          <w:p w14:paraId="0E658172">
            <w:pPr>
              <w:spacing w:line="360" w:lineRule="atLeast"/>
              <w:jc w:val="center"/>
              <w:rPr>
                <w:rFonts w:ascii="宋体" w:hAnsi="宋体" w:eastAsia="宋体" w:cs="宋体"/>
                <w:color w:val="auto"/>
                <w:sz w:val="24"/>
                <w:highlight w:val="none"/>
              </w:rPr>
            </w:pPr>
          </w:p>
        </w:tc>
        <w:tc>
          <w:tcPr>
            <w:tcW w:w="547" w:type="pct"/>
            <w:vMerge w:val="continue"/>
            <w:tcBorders>
              <w:left w:val="single" w:color="auto" w:sz="4" w:space="0"/>
              <w:right w:val="single" w:color="auto" w:sz="4" w:space="0"/>
            </w:tcBorders>
            <w:vAlign w:val="center"/>
          </w:tcPr>
          <w:p w14:paraId="41DEB44F">
            <w:pPr>
              <w:spacing w:line="360" w:lineRule="atLeast"/>
              <w:jc w:val="center"/>
              <w:rPr>
                <w:rFonts w:ascii="宋体" w:hAnsi="宋体" w:eastAsia="宋体" w:cs="宋体"/>
                <w:color w:val="auto"/>
                <w:sz w:val="24"/>
                <w:highlight w:val="none"/>
              </w:rPr>
            </w:pPr>
          </w:p>
        </w:tc>
      </w:tr>
      <w:tr w14:paraId="6889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tcBorders>
              <w:left w:val="single" w:color="auto" w:sz="4" w:space="0"/>
              <w:right w:val="single" w:color="auto" w:sz="4" w:space="0"/>
            </w:tcBorders>
            <w:vAlign w:val="center"/>
          </w:tcPr>
          <w:p w14:paraId="7F420617">
            <w:pPr>
              <w:spacing w:line="360" w:lineRule="atLeast"/>
              <w:jc w:val="center"/>
              <w:rPr>
                <w:rFonts w:ascii="宋体" w:hAnsi="宋体" w:eastAsia="宋体" w:cs="宋体"/>
                <w:color w:val="auto"/>
                <w:sz w:val="24"/>
                <w:highlight w:val="none"/>
              </w:rPr>
            </w:pPr>
          </w:p>
        </w:tc>
        <w:tc>
          <w:tcPr>
            <w:tcW w:w="1155" w:type="pct"/>
            <w:vMerge w:val="continue"/>
            <w:tcBorders>
              <w:left w:val="single" w:color="auto" w:sz="4" w:space="0"/>
              <w:right w:val="single" w:color="auto" w:sz="4" w:space="0"/>
            </w:tcBorders>
            <w:vAlign w:val="center"/>
          </w:tcPr>
          <w:p w14:paraId="3FDC1CA8">
            <w:pPr>
              <w:spacing w:line="360" w:lineRule="atLeast"/>
              <w:jc w:val="center"/>
              <w:rPr>
                <w:rFonts w:ascii="宋体" w:hAnsi="宋体" w:eastAsia="宋体" w:cs="宋体"/>
                <w:color w:val="auto"/>
                <w:sz w:val="24"/>
                <w:highlight w:val="none"/>
              </w:rPr>
            </w:pPr>
          </w:p>
        </w:tc>
        <w:tc>
          <w:tcPr>
            <w:tcW w:w="1605" w:type="pct"/>
            <w:vMerge w:val="continue"/>
            <w:tcBorders>
              <w:left w:val="single" w:color="auto" w:sz="4" w:space="0"/>
              <w:right w:val="single" w:color="auto" w:sz="4" w:space="0"/>
            </w:tcBorders>
            <w:vAlign w:val="center"/>
          </w:tcPr>
          <w:p w14:paraId="20F2FEBE">
            <w:pPr>
              <w:spacing w:line="360" w:lineRule="atLeast"/>
              <w:jc w:val="center"/>
              <w:rPr>
                <w:rFonts w:ascii="宋体" w:hAnsi="宋体" w:eastAsia="宋体" w:cs="宋体"/>
                <w:color w:val="auto"/>
                <w:sz w:val="24"/>
                <w:highlight w:val="none"/>
              </w:rPr>
            </w:pPr>
          </w:p>
        </w:tc>
        <w:tc>
          <w:tcPr>
            <w:tcW w:w="873" w:type="pct"/>
            <w:tcBorders>
              <w:top w:val="single" w:color="auto" w:sz="4" w:space="0"/>
              <w:left w:val="single" w:color="auto" w:sz="4" w:space="0"/>
              <w:bottom w:val="single" w:color="auto" w:sz="4" w:space="0"/>
              <w:right w:val="single" w:color="auto" w:sz="4" w:space="0"/>
            </w:tcBorders>
            <w:vAlign w:val="center"/>
          </w:tcPr>
          <w:p w14:paraId="0A55F29A">
            <w:pPr>
              <w:spacing w:after="120" w:line="360" w:lineRule="atLeast"/>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成本控制措施评审得分</w:t>
            </w:r>
          </w:p>
        </w:tc>
        <w:tc>
          <w:tcPr>
            <w:tcW w:w="499" w:type="pct"/>
            <w:tcBorders>
              <w:top w:val="single" w:color="auto" w:sz="4" w:space="0"/>
              <w:left w:val="single" w:color="auto" w:sz="4" w:space="0"/>
              <w:bottom w:val="single" w:color="auto" w:sz="4" w:space="0"/>
              <w:right w:val="single" w:color="auto" w:sz="4" w:space="0"/>
            </w:tcBorders>
            <w:vAlign w:val="center"/>
          </w:tcPr>
          <w:p w14:paraId="6A2B203A">
            <w:pPr>
              <w:spacing w:line="360" w:lineRule="atLeast"/>
              <w:jc w:val="center"/>
              <w:rPr>
                <w:rFonts w:ascii="宋体" w:hAnsi="宋体" w:eastAsia="宋体" w:cs="宋体"/>
                <w:color w:val="auto"/>
                <w:sz w:val="24"/>
                <w:highlight w:val="none"/>
              </w:rPr>
            </w:pPr>
          </w:p>
        </w:tc>
        <w:tc>
          <w:tcPr>
            <w:tcW w:w="547" w:type="pct"/>
            <w:vMerge w:val="continue"/>
            <w:tcBorders>
              <w:left w:val="single" w:color="auto" w:sz="4" w:space="0"/>
              <w:right w:val="single" w:color="auto" w:sz="4" w:space="0"/>
            </w:tcBorders>
            <w:vAlign w:val="center"/>
          </w:tcPr>
          <w:p w14:paraId="6F46DB85">
            <w:pPr>
              <w:spacing w:line="360" w:lineRule="atLeast"/>
              <w:jc w:val="center"/>
              <w:rPr>
                <w:rFonts w:ascii="宋体" w:hAnsi="宋体" w:eastAsia="宋体" w:cs="宋体"/>
                <w:color w:val="auto"/>
                <w:sz w:val="24"/>
                <w:highlight w:val="none"/>
              </w:rPr>
            </w:pPr>
          </w:p>
        </w:tc>
      </w:tr>
      <w:tr w14:paraId="0A3D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tcBorders>
              <w:left w:val="single" w:color="auto" w:sz="4" w:space="0"/>
              <w:right w:val="single" w:color="auto" w:sz="4" w:space="0"/>
            </w:tcBorders>
            <w:vAlign w:val="center"/>
          </w:tcPr>
          <w:p w14:paraId="50A9A0C0">
            <w:pPr>
              <w:spacing w:line="360" w:lineRule="atLeast"/>
              <w:jc w:val="center"/>
              <w:rPr>
                <w:rFonts w:ascii="宋体" w:hAnsi="宋体" w:eastAsia="宋体" w:cs="宋体"/>
                <w:color w:val="auto"/>
                <w:sz w:val="24"/>
                <w:highlight w:val="none"/>
              </w:rPr>
            </w:pPr>
          </w:p>
        </w:tc>
        <w:tc>
          <w:tcPr>
            <w:tcW w:w="1155" w:type="pct"/>
            <w:vMerge w:val="continue"/>
            <w:tcBorders>
              <w:left w:val="single" w:color="auto" w:sz="4" w:space="0"/>
              <w:right w:val="single" w:color="auto" w:sz="4" w:space="0"/>
            </w:tcBorders>
            <w:vAlign w:val="center"/>
          </w:tcPr>
          <w:p w14:paraId="2688B47B">
            <w:pPr>
              <w:spacing w:line="360" w:lineRule="atLeast"/>
              <w:jc w:val="center"/>
              <w:rPr>
                <w:rFonts w:ascii="宋体" w:hAnsi="宋体" w:eastAsia="宋体" w:cs="宋体"/>
                <w:color w:val="auto"/>
                <w:sz w:val="24"/>
                <w:highlight w:val="none"/>
              </w:rPr>
            </w:pPr>
          </w:p>
        </w:tc>
        <w:tc>
          <w:tcPr>
            <w:tcW w:w="1605" w:type="pct"/>
            <w:vMerge w:val="continue"/>
            <w:tcBorders>
              <w:left w:val="single" w:color="auto" w:sz="4" w:space="0"/>
              <w:right w:val="single" w:color="auto" w:sz="4" w:space="0"/>
            </w:tcBorders>
            <w:vAlign w:val="center"/>
          </w:tcPr>
          <w:p w14:paraId="4BDB4B02">
            <w:pPr>
              <w:spacing w:line="360" w:lineRule="atLeast"/>
              <w:jc w:val="center"/>
              <w:rPr>
                <w:rFonts w:ascii="宋体" w:hAnsi="宋体" w:eastAsia="宋体" w:cs="宋体"/>
                <w:color w:val="auto"/>
                <w:sz w:val="24"/>
                <w:highlight w:val="none"/>
              </w:rPr>
            </w:pPr>
          </w:p>
        </w:tc>
        <w:tc>
          <w:tcPr>
            <w:tcW w:w="873" w:type="pct"/>
            <w:tcBorders>
              <w:top w:val="single" w:color="auto" w:sz="4" w:space="0"/>
              <w:left w:val="single" w:color="auto" w:sz="4" w:space="0"/>
              <w:bottom w:val="single" w:color="auto" w:sz="4" w:space="0"/>
              <w:right w:val="single" w:color="auto" w:sz="4" w:space="0"/>
            </w:tcBorders>
            <w:vAlign w:val="center"/>
          </w:tcPr>
          <w:p w14:paraId="7B290626">
            <w:pPr>
              <w:spacing w:after="120" w:line="360" w:lineRule="atLeast"/>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资金管理措施评审得分</w:t>
            </w:r>
          </w:p>
        </w:tc>
        <w:tc>
          <w:tcPr>
            <w:tcW w:w="499" w:type="pct"/>
            <w:tcBorders>
              <w:top w:val="single" w:color="auto" w:sz="4" w:space="0"/>
              <w:left w:val="single" w:color="auto" w:sz="4" w:space="0"/>
              <w:bottom w:val="single" w:color="auto" w:sz="4" w:space="0"/>
              <w:right w:val="single" w:color="auto" w:sz="4" w:space="0"/>
            </w:tcBorders>
            <w:vAlign w:val="center"/>
          </w:tcPr>
          <w:p w14:paraId="7BB9973B">
            <w:pPr>
              <w:spacing w:line="360" w:lineRule="atLeast"/>
              <w:jc w:val="center"/>
              <w:rPr>
                <w:rFonts w:ascii="宋体" w:hAnsi="宋体" w:eastAsia="宋体" w:cs="宋体"/>
                <w:color w:val="auto"/>
                <w:sz w:val="24"/>
                <w:highlight w:val="none"/>
              </w:rPr>
            </w:pPr>
          </w:p>
        </w:tc>
        <w:tc>
          <w:tcPr>
            <w:tcW w:w="547" w:type="pct"/>
            <w:vMerge w:val="continue"/>
            <w:tcBorders>
              <w:left w:val="single" w:color="auto" w:sz="4" w:space="0"/>
              <w:right w:val="single" w:color="auto" w:sz="4" w:space="0"/>
            </w:tcBorders>
            <w:vAlign w:val="center"/>
          </w:tcPr>
          <w:p w14:paraId="1A146F7C">
            <w:pPr>
              <w:spacing w:line="360" w:lineRule="atLeast"/>
              <w:jc w:val="center"/>
              <w:rPr>
                <w:rFonts w:ascii="宋体" w:hAnsi="宋体" w:eastAsia="宋体" w:cs="宋体"/>
                <w:color w:val="auto"/>
                <w:sz w:val="24"/>
                <w:highlight w:val="none"/>
              </w:rPr>
            </w:pPr>
          </w:p>
        </w:tc>
      </w:tr>
      <w:tr w14:paraId="0864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restart"/>
            <w:tcBorders>
              <w:top w:val="single" w:color="auto" w:sz="4" w:space="0"/>
              <w:left w:val="single" w:color="auto" w:sz="4" w:space="0"/>
              <w:right w:val="single" w:color="auto" w:sz="4" w:space="0"/>
            </w:tcBorders>
            <w:shd w:val="clear" w:color="auto" w:fill="auto"/>
            <w:vAlign w:val="center"/>
          </w:tcPr>
          <w:p w14:paraId="4542894C">
            <w:pPr>
              <w:spacing w:after="120" w:line="360" w:lineRule="atLeast"/>
              <w:jc w:val="center"/>
              <w:rPr>
                <w:rFonts w:ascii="宋体" w:hAnsi="宋体" w:eastAsia="宋体" w:cs="宋体"/>
                <w:color w:val="auto"/>
                <w:sz w:val="24"/>
                <w:highlight w:val="none"/>
              </w:rPr>
            </w:pPr>
            <w:r>
              <w:rPr>
                <w:rFonts w:ascii="宋体" w:hAnsi="宋体" w:eastAsia="宋体" w:cs="宋体"/>
                <w:b w:val="0"/>
                <w:color w:val="auto"/>
                <w:sz w:val="24"/>
                <w:highlight w:val="none"/>
              </w:rPr>
              <w:t>2</w:t>
            </w:r>
          </w:p>
        </w:tc>
        <w:tc>
          <w:tcPr>
            <w:tcW w:w="1155" w:type="pct"/>
            <w:vMerge w:val="restart"/>
            <w:tcBorders>
              <w:top w:val="single" w:color="auto" w:sz="4" w:space="0"/>
              <w:left w:val="single" w:color="auto" w:sz="4" w:space="0"/>
              <w:right w:val="single" w:color="auto" w:sz="4" w:space="0"/>
            </w:tcBorders>
            <w:shd w:val="clear" w:color="auto" w:fill="auto"/>
            <w:vAlign w:val="center"/>
          </w:tcPr>
          <w:p w14:paraId="62C57824">
            <w:pPr>
              <w:spacing w:line="360" w:lineRule="atLeast"/>
              <w:jc w:val="center"/>
              <w:rPr>
                <w:rFonts w:ascii="宋体" w:hAnsi="宋体" w:eastAsia="宋体" w:cs="宋体"/>
                <w:color w:val="auto"/>
                <w:sz w:val="24"/>
                <w:szCs w:val="22"/>
                <w:highlight w:val="none"/>
              </w:rPr>
            </w:pPr>
          </w:p>
        </w:tc>
        <w:tc>
          <w:tcPr>
            <w:tcW w:w="1605" w:type="pct"/>
            <w:vMerge w:val="restart"/>
            <w:tcBorders>
              <w:top w:val="single" w:color="auto" w:sz="4" w:space="0"/>
              <w:left w:val="single" w:color="auto" w:sz="4" w:space="0"/>
              <w:right w:val="single" w:color="auto" w:sz="4" w:space="0"/>
            </w:tcBorders>
            <w:shd w:val="clear" w:color="auto" w:fill="auto"/>
            <w:vAlign w:val="center"/>
          </w:tcPr>
          <w:p w14:paraId="05C763B9">
            <w:pPr>
              <w:spacing w:line="360" w:lineRule="atLeast"/>
              <w:jc w:val="center"/>
              <w:rPr>
                <w:rFonts w:ascii="宋体" w:hAnsi="宋体" w:eastAsia="宋体" w:cs="宋体"/>
                <w:color w:val="auto"/>
                <w:sz w:val="24"/>
                <w:szCs w:val="22"/>
                <w:highlight w:val="none"/>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4590FA2D">
            <w:pPr>
              <w:spacing w:after="120" w:line="360" w:lineRule="atLeast"/>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团队配置评审得分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06251227">
            <w:pPr>
              <w:spacing w:line="360" w:lineRule="atLeast"/>
              <w:jc w:val="center"/>
              <w:rPr>
                <w:rFonts w:ascii="宋体" w:hAnsi="宋体" w:eastAsia="宋体" w:cs="宋体"/>
                <w:color w:val="auto"/>
                <w:sz w:val="24"/>
                <w:szCs w:val="22"/>
                <w:highlight w:val="none"/>
              </w:rPr>
            </w:pPr>
          </w:p>
        </w:tc>
        <w:tc>
          <w:tcPr>
            <w:tcW w:w="547" w:type="pct"/>
            <w:vMerge w:val="restart"/>
            <w:tcBorders>
              <w:top w:val="single" w:color="auto" w:sz="4" w:space="0"/>
              <w:left w:val="single" w:color="auto" w:sz="4" w:space="0"/>
              <w:right w:val="single" w:color="auto" w:sz="4" w:space="0"/>
            </w:tcBorders>
            <w:shd w:val="clear" w:color="auto" w:fill="auto"/>
            <w:vAlign w:val="center"/>
          </w:tcPr>
          <w:p w14:paraId="5B10F7FC">
            <w:pPr>
              <w:spacing w:line="360" w:lineRule="atLeast"/>
              <w:jc w:val="center"/>
              <w:rPr>
                <w:rFonts w:ascii="宋体" w:hAnsi="宋体" w:eastAsia="宋体" w:cs="宋体"/>
                <w:color w:val="auto"/>
                <w:sz w:val="24"/>
                <w:szCs w:val="22"/>
                <w:highlight w:val="none"/>
              </w:rPr>
            </w:pPr>
          </w:p>
        </w:tc>
      </w:tr>
      <w:tr w14:paraId="00A1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tcBorders>
              <w:left w:val="single" w:color="auto" w:sz="4" w:space="0"/>
              <w:right w:val="single" w:color="auto" w:sz="4" w:space="0"/>
            </w:tcBorders>
            <w:vAlign w:val="center"/>
          </w:tcPr>
          <w:p w14:paraId="7D53A018">
            <w:pPr>
              <w:spacing w:line="360" w:lineRule="atLeast"/>
              <w:jc w:val="center"/>
              <w:rPr>
                <w:rFonts w:ascii="宋体" w:hAnsi="宋体" w:eastAsia="宋体" w:cs="宋体"/>
                <w:color w:val="auto"/>
                <w:sz w:val="24"/>
                <w:highlight w:val="none"/>
              </w:rPr>
            </w:pPr>
          </w:p>
        </w:tc>
        <w:tc>
          <w:tcPr>
            <w:tcW w:w="1155" w:type="pct"/>
            <w:vMerge w:val="continue"/>
            <w:tcBorders>
              <w:left w:val="single" w:color="auto" w:sz="4" w:space="0"/>
              <w:right w:val="single" w:color="auto" w:sz="4" w:space="0"/>
            </w:tcBorders>
            <w:vAlign w:val="center"/>
          </w:tcPr>
          <w:p w14:paraId="774C050A">
            <w:pPr>
              <w:spacing w:line="360" w:lineRule="atLeast"/>
              <w:jc w:val="center"/>
              <w:rPr>
                <w:rFonts w:ascii="宋体" w:hAnsi="宋体" w:eastAsia="宋体" w:cs="宋体"/>
                <w:color w:val="auto"/>
                <w:sz w:val="24"/>
                <w:highlight w:val="none"/>
              </w:rPr>
            </w:pPr>
          </w:p>
        </w:tc>
        <w:tc>
          <w:tcPr>
            <w:tcW w:w="1605" w:type="pct"/>
            <w:vMerge w:val="continue"/>
            <w:tcBorders>
              <w:left w:val="single" w:color="auto" w:sz="4" w:space="0"/>
              <w:right w:val="single" w:color="auto" w:sz="4" w:space="0"/>
            </w:tcBorders>
            <w:vAlign w:val="center"/>
          </w:tcPr>
          <w:p w14:paraId="672CB9C8">
            <w:pPr>
              <w:spacing w:line="360" w:lineRule="atLeast"/>
              <w:jc w:val="center"/>
              <w:rPr>
                <w:rFonts w:ascii="宋体" w:hAnsi="宋体" w:eastAsia="宋体" w:cs="宋体"/>
                <w:color w:val="auto"/>
                <w:sz w:val="24"/>
                <w:highlight w:val="none"/>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07C477B8">
            <w:pPr>
              <w:spacing w:after="120" w:line="360" w:lineRule="atLeast"/>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施工管理措施评审得分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6B0BB3DD">
            <w:pPr>
              <w:spacing w:line="360" w:lineRule="atLeast"/>
              <w:jc w:val="center"/>
              <w:rPr>
                <w:rFonts w:ascii="宋体" w:hAnsi="宋体" w:eastAsia="宋体" w:cs="宋体"/>
                <w:color w:val="auto"/>
                <w:sz w:val="24"/>
                <w:szCs w:val="22"/>
                <w:highlight w:val="none"/>
              </w:rPr>
            </w:pPr>
          </w:p>
        </w:tc>
        <w:tc>
          <w:tcPr>
            <w:tcW w:w="547" w:type="pct"/>
            <w:vMerge w:val="continue"/>
            <w:tcBorders>
              <w:left w:val="single" w:color="auto" w:sz="4" w:space="0"/>
              <w:right w:val="single" w:color="auto" w:sz="4" w:space="0"/>
            </w:tcBorders>
            <w:vAlign w:val="center"/>
          </w:tcPr>
          <w:p w14:paraId="3F60C63E">
            <w:pPr>
              <w:spacing w:line="360" w:lineRule="atLeast"/>
              <w:jc w:val="center"/>
              <w:rPr>
                <w:rFonts w:ascii="宋体" w:hAnsi="宋体" w:eastAsia="宋体" w:cs="宋体"/>
                <w:color w:val="auto"/>
                <w:sz w:val="24"/>
                <w:highlight w:val="none"/>
              </w:rPr>
            </w:pPr>
          </w:p>
        </w:tc>
      </w:tr>
      <w:tr w14:paraId="4CE8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tcBorders>
              <w:left w:val="single" w:color="auto" w:sz="4" w:space="0"/>
              <w:right w:val="single" w:color="auto" w:sz="4" w:space="0"/>
            </w:tcBorders>
            <w:vAlign w:val="center"/>
          </w:tcPr>
          <w:p w14:paraId="534C266F">
            <w:pPr>
              <w:spacing w:line="360" w:lineRule="atLeast"/>
              <w:jc w:val="center"/>
              <w:rPr>
                <w:rFonts w:ascii="宋体" w:hAnsi="宋体" w:eastAsia="宋体" w:cs="宋体"/>
                <w:color w:val="auto"/>
                <w:sz w:val="24"/>
                <w:highlight w:val="none"/>
              </w:rPr>
            </w:pPr>
          </w:p>
        </w:tc>
        <w:tc>
          <w:tcPr>
            <w:tcW w:w="1155" w:type="pct"/>
            <w:vMerge w:val="continue"/>
            <w:tcBorders>
              <w:left w:val="single" w:color="auto" w:sz="4" w:space="0"/>
              <w:right w:val="single" w:color="auto" w:sz="4" w:space="0"/>
            </w:tcBorders>
            <w:vAlign w:val="center"/>
          </w:tcPr>
          <w:p w14:paraId="3CFE9641">
            <w:pPr>
              <w:spacing w:line="360" w:lineRule="atLeast"/>
              <w:jc w:val="center"/>
              <w:rPr>
                <w:rFonts w:ascii="宋体" w:hAnsi="宋体" w:eastAsia="宋体" w:cs="宋体"/>
                <w:color w:val="auto"/>
                <w:sz w:val="24"/>
                <w:highlight w:val="none"/>
              </w:rPr>
            </w:pPr>
          </w:p>
        </w:tc>
        <w:tc>
          <w:tcPr>
            <w:tcW w:w="1605" w:type="pct"/>
            <w:vMerge w:val="continue"/>
            <w:tcBorders>
              <w:left w:val="single" w:color="auto" w:sz="4" w:space="0"/>
              <w:right w:val="single" w:color="auto" w:sz="4" w:space="0"/>
            </w:tcBorders>
            <w:vAlign w:val="center"/>
          </w:tcPr>
          <w:p w14:paraId="7D37ACCA">
            <w:pPr>
              <w:spacing w:line="360" w:lineRule="atLeast"/>
              <w:jc w:val="center"/>
              <w:rPr>
                <w:rFonts w:ascii="宋体" w:hAnsi="宋体" w:eastAsia="宋体" w:cs="宋体"/>
                <w:color w:val="auto"/>
                <w:sz w:val="24"/>
                <w:highlight w:val="none"/>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36710797">
            <w:pPr>
              <w:spacing w:after="120" w:line="360" w:lineRule="atLeast"/>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成本控制措施评审得分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5D3B4180">
            <w:pPr>
              <w:spacing w:line="360" w:lineRule="atLeast"/>
              <w:jc w:val="center"/>
              <w:rPr>
                <w:rFonts w:ascii="宋体" w:hAnsi="宋体" w:eastAsia="宋体" w:cs="宋体"/>
                <w:color w:val="auto"/>
                <w:sz w:val="24"/>
                <w:szCs w:val="22"/>
                <w:highlight w:val="none"/>
              </w:rPr>
            </w:pPr>
          </w:p>
        </w:tc>
        <w:tc>
          <w:tcPr>
            <w:tcW w:w="547" w:type="pct"/>
            <w:vMerge w:val="continue"/>
            <w:tcBorders>
              <w:left w:val="single" w:color="auto" w:sz="4" w:space="0"/>
              <w:right w:val="single" w:color="auto" w:sz="4" w:space="0"/>
            </w:tcBorders>
            <w:vAlign w:val="center"/>
          </w:tcPr>
          <w:p w14:paraId="056B9060">
            <w:pPr>
              <w:spacing w:line="360" w:lineRule="atLeast"/>
              <w:jc w:val="center"/>
              <w:rPr>
                <w:rFonts w:ascii="宋体" w:hAnsi="宋体" w:eastAsia="宋体" w:cs="宋体"/>
                <w:color w:val="auto"/>
                <w:sz w:val="24"/>
                <w:highlight w:val="none"/>
              </w:rPr>
            </w:pPr>
          </w:p>
        </w:tc>
      </w:tr>
      <w:tr w14:paraId="2D6F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tcBorders>
              <w:left w:val="single" w:color="auto" w:sz="4" w:space="0"/>
              <w:right w:val="single" w:color="auto" w:sz="4" w:space="0"/>
            </w:tcBorders>
            <w:vAlign w:val="center"/>
          </w:tcPr>
          <w:p w14:paraId="796790D3">
            <w:pPr>
              <w:spacing w:line="360" w:lineRule="atLeast"/>
              <w:jc w:val="center"/>
              <w:rPr>
                <w:rFonts w:ascii="宋体" w:hAnsi="宋体" w:eastAsia="宋体" w:cs="宋体"/>
                <w:color w:val="auto"/>
                <w:sz w:val="24"/>
                <w:highlight w:val="none"/>
              </w:rPr>
            </w:pPr>
          </w:p>
        </w:tc>
        <w:tc>
          <w:tcPr>
            <w:tcW w:w="1155" w:type="pct"/>
            <w:vMerge w:val="continue"/>
            <w:tcBorders>
              <w:left w:val="single" w:color="auto" w:sz="4" w:space="0"/>
              <w:right w:val="single" w:color="auto" w:sz="4" w:space="0"/>
            </w:tcBorders>
            <w:vAlign w:val="center"/>
          </w:tcPr>
          <w:p w14:paraId="08356DCA">
            <w:pPr>
              <w:spacing w:line="360" w:lineRule="atLeast"/>
              <w:jc w:val="center"/>
              <w:rPr>
                <w:rFonts w:ascii="宋体" w:hAnsi="宋体" w:eastAsia="宋体" w:cs="宋体"/>
                <w:color w:val="auto"/>
                <w:sz w:val="24"/>
                <w:highlight w:val="none"/>
              </w:rPr>
            </w:pPr>
          </w:p>
        </w:tc>
        <w:tc>
          <w:tcPr>
            <w:tcW w:w="1605" w:type="pct"/>
            <w:vMerge w:val="continue"/>
            <w:tcBorders>
              <w:left w:val="single" w:color="auto" w:sz="4" w:space="0"/>
              <w:right w:val="single" w:color="auto" w:sz="4" w:space="0"/>
            </w:tcBorders>
            <w:vAlign w:val="center"/>
          </w:tcPr>
          <w:p w14:paraId="5EFF8B79">
            <w:pPr>
              <w:spacing w:line="360" w:lineRule="atLeast"/>
              <w:jc w:val="center"/>
              <w:rPr>
                <w:rFonts w:ascii="宋体" w:hAnsi="宋体" w:eastAsia="宋体" w:cs="宋体"/>
                <w:color w:val="auto"/>
                <w:sz w:val="24"/>
                <w:highlight w:val="none"/>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5BE5782E">
            <w:pPr>
              <w:spacing w:after="120" w:line="360" w:lineRule="atLeast"/>
              <w:jc w:val="center"/>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资金管理措施评审得分</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635621B1">
            <w:pPr>
              <w:spacing w:line="360" w:lineRule="atLeast"/>
              <w:jc w:val="center"/>
              <w:rPr>
                <w:rFonts w:ascii="宋体" w:hAnsi="宋体" w:eastAsia="宋体" w:cs="宋体"/>
                <w:color w:val="auto"/>
                <w:sz w:val="24"/>
                <w:szCs w:val="22"/>
                <w:highlight w:val="none"/>
              </w:rPr>
            </w:pPr>
          </w:p>
        </w:tc>
        <w:tc>
          <w:tcPr>
            <w:tcW w:w="547" w:type="pct"/>
            <w:vMerge w:val="continue"/>
            <w:tcBorders>
              <w:left w:val="single" w:color="auto" w:sz="4" w:space="0"/>
              <w:right w:val="single" w:color="auto" w:sz="4" w:space="0"/>
            </w:tcBorders>
            <w:vAlign w:val="center"/>
          </w:tcPr>
          <w:p w14:paraId="495C77E2">
            <w:pPr>
              <w:spacing w:line="360" w:lineRule="atLeast"/>
              <w:jc w:val="center"/>
              <w:rPr>
                <w:rFonts w:ascii="宋体" w:hAnsi="宋体" w:eastAsia="宋体" w:cs="宋体"/>
                <w:color w:val="auto"/>
                <w:sz w:val="24"/>
                <w:highlight w:val="none"/>
              </w:rPr>
            </w:pPr>
          </w:p>
        </w:tc>
      </w:tr>
      <w:tr w14:paraId="1C68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restart"/>
            <w:shd w:val="clear" w:color="auto" w:fill="auto"/>
            <w:vAlign w:val="center"/>
          </w:tcPr>
          <w:p w14:paraId="597FE97C">
            <w:pPr>
              <w:spacing w:after="120" w:line="360" w:lineRule="atLeast"/>
              <w:jc w:val="center"/>
              <w:rPr>
                <w:rFonts w:ascii="宋体" w:hAnsi="宋体" w:eastAsia="宋体" w:cs="宋体"/>
                <w:color w:val="auto"/>
                <w:sz w:val="24"/>
                <w:szCs w:val="22"/>
                <w:highlight w:val="none"/>
              </w:rPr>
            </w:pPr>
            <w:r>
              <w:rPr>
                <w:rFonts w:ascii="宋体" w:hAnsi="宋体" w:eastAsia="宋体" w:cs="宋体"/>
                <w:b w:val="0"/>
                <w:color w:val="auto"/>
                <w:sz w:val="24"/>
                <w:szCs w:val="22"/>
                <w:highlight w:val="none"/>
              </w:rPr>
              <w:t>3</w:t>
            </w:r>
          </w:p>
        </w:tc>
        <w:tc>
          <w:tcPr>
            <w:tcW w:w="1155" w:type="pct"/>
            <w:vMerge w:val="restart"/>
            <w:shd w:val="clear" w:color="auto" w:fill="auto"/>
            <w:vAlign w:val="center"/>
          </w:tcPr>
          <w:p w14:paraId="33ABF570">
            <w:pPr>
              <w:spacing w:line="360" w:lineRule="atLeast"/>
              <w:jc w:val="center"/>
              <w:rPr>
                <w:rFonts w:ascii="宋体" w:hAnsi="宋体" w:eastAsia="宋体" w:cs="宋体"/>
                <w:color w:val="auto"/>
                <w:sz w:val="24"/>
                <w:szCs w:val="22"/>
                <w:highlight w:val="none"/>
              </w:rPr>
            </w:pPr>
          </w:p>
        </w:tc>
        <w:tc>
          <w:tcPr>
            <w:tcW w:w="1605" w:type="pct"/>
            <w:vMerge w:val="restart"/>
            <w:shd w:val="clear" w:color="auto" w:fill="auto"/>
            <w:vAlign w:val="center"/>
          </w:tcPr>
          <w:p w14:paraId="6CB81CA6">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5CF00785">
            <w:pPr>
              <w:spacing w:after="120" w:line="360" w:lineRule="atLeast"/>
              <w:jc w:val="center"/>
              <w:rPr>
                <w:rFonts w:ascii="宋体" w:hAnsi="宋体" w:eastAsia="宋体" w:cs="宋体"/>
                <w:color w:val="auto"/>
                <w:sz w:val="24"/>
                <w:szCs w:val="22"/>
                <w:highlight w:val="none"/>
              </w:rPr>
            </w:pPr>
            <w:r>
              <w:rPr>
                <w:rFonts w:hint="eastAsia" w:ascii="宋体" w:hAnsi="宋体" w:eastAsia="宋体" w:cs="宋体"/>
                <w:b w:val="0"/>
                <w:color w:val="auto"/>
                <w:sz w:val="21"/>
                <w:szCs w:val="21"/>
                <w:highlight w:val="none"/>
              </w:rPr>
              <w:t>团队配置评审得分</w:t>
            </w:r>
          </w:p>
        </w:tc>
        <w:tc>
          <w:tcPr>
            <w:tcW w:w="499" w:type="pct"/>
            <w:shd w:val="clear" w:color="auto" w:fill="auto"/>
            <w:vAlign w:val="center"/>
          </w:tcPr>
          <w:p w14:paraId="445AE074">
            <w:pPr>
              <w:spacing w:line="360" w:lineRule="atLeast"/>
              <w:jc w:val="center"/>
              <w:rPr>
                <w:rFonts w:ascii="宋体" w:hAnsi="宋体" w:eastAsia="宋体" w:cs="宋体"/>
                <w:color w:val="auto"/>
                <w:sz w:val="24"/>
                <w:szCs w:val="22"/>
                <w:highlight w:val="none"/>
              </w:rPr>
            </w:pPr>
          </w:p>
        </w:tc>
        <w:tc>
          <w:tcPr>
            <w:tcW w:w="547" w:type="pct"/>
            <w:vMerge w:val="restart"/>
            <w:shd w:val="clear" w:color="auto" w:fill="auto"/>
            <w:vAlign w:val="center"/>
          </w:tcPr>
          <w:p w14:paraId="2F12DB00">
            <w:pPr>
              <w:spacing w:line="360" w:lineRule="atLeast"/>
              <w:jc w:val="center"/>
              <w:rPr>
                <w:rFonts w:ascii="宋体" w:hAnsi="宋体" w:eastAsia="宋体" w:cs="宋体"/>
                <w:color w:val="auto"/>
                <w:sz w:val="24"/>
                <w:szCs w:val="22"/>
                <w:highlight w:val="none"/>
              </w:rPr>
            </w:pPr>
          </w:p>
        </w:tc>
      </w:tr>
      <w:tr w14:paraId="7D6F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shd w:val="clear" w:color="auto" w:fill="auto"/>
            <w:vAlign w:val="center"/>
          </w:tcPr>
          <w:p w14:paraId="0F5357F0">
            <w:pPr>
              <w:spacing w:line="360" w:lineRule="atLeast"/>
              <w:jc w:val="center"/>
              <w:rPr>
                <w:rFonts w:ascii="宋体" w:hAnsi="宋体" w:eastAsia="宋体" w:cs="宋体"/>
                <w:color w:val="auto"/>
                <w:sz w:val="24"/>
                <w:szCs w:val="22"/>
                <w:highlight w:val="none"/>
              </w:rPr>
            </w:pPr>
          </w:p>
        </w:tc>
        <w:tc>
          <w:tcPr>
            <w:tcW w:w="1155" w:type="pct"/>
            <w:vMerge w:val="continue"/>
            <w:shd w:val="clear" w:color="auto" w:fill="auto"/>
            <w:vAlign w:val="center"/>
          </w:tcPr>
          <w:p w14:paraId="1E4BA394">
            <w:pPr>
              <w:spacing w:line="360" w:lineRule="atLeast"/>
              <w:jc w:val="center"/>
              <w:rPr>
                <w:rFonts w:ascii="宋体" w:hAnsi="宋体" w:eastAsia="宋体" w:cs="宋体"/>
                <w:color w:val="auto"/>
                <w:sz w:val="24"/>
                <w:szCs w:val="22"/>
                <w:highlight w:val="none"/>
              </w:rPr>
            </w:pPr>
          </w:p>
        </w:tc>
        <w:tc>
          <w:tcPr>
            <w:tcW w:w="1605" w:type="pct"/>
            <w:vMerge w:val="continue"/>
            <w:shd w:val="clear" w:color="auto" w:fill="auto"/>
            <w:vAlign w:val="center"/>
          </w:tcPr>
          <w:p w14:paraId="73AA4145">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78BE3018">
            <w:pPr>
              <w:spacing w:after="120" w:line="360" w:lineRule="atLeast"/>
              <w:jc w:val="center"/>
              <w:rPr>
                <w:rFonts w:ascii="宋体" w:hAnsi="宋体" w:eastAsia="宋体" w:cs="宋体"/>
                <w:color w:val="auto"/>
                <w:sz w:val="24"/>
                <w:szCs w:val="22"/>
                <w:highlight w:val="none"/>
              </w:rPr>
            </w:pPr>
            <w:r>
              <w:rPr>
                <w:rFonts w:hint="eastAsia" w:ascii="宋体" w:hAnsi="宋体" w:eastAsia="宋体" w:cs="宋体"/>
                <w:b w:val="0"/>
                <w:color w:val="auto"/>
                <w:sz w:val="21"/>
                <w:szCs w:val="21"/>
                <w:highlight w:val="none"/>
              </w:rPr>
              <w:t>施工管理措施评审得分</w:t>
            </w:r>
          </w:p>
        </w:tc>
        <w:tc>
          <w:tcPr>
            <w:tcW w:w="499" w:type="pct"/>
            <w:shd w:val="clear" w:color="auto" w:fill="auto"/>
            <w:vAlign w:val="center"/>
          </w:tcPr>
          <w:p w14:paraId="4C7C32B5">
            <w:pPr>
              <w:spacing w:line="360" w:lineRule="atLeast"/>
              <w:jc w:val="center"/>
              <w:rPr>
                <w:rFonts w:ascii="宋体" w:hAnsi="宋体" w:eastAsia="宋体" w:cs="宋体"/>
                <w:color w:val="auto"/>
                <w:sz w:val="24"/>
                <w:szCs w:val="22"/>
                <w:highlight w:val="none"/>
              </w:rPr>
            </w:pPr>
          </w:p>
        </w:tc>
        <w:tc>
          <w:tcPr>
            <w:tcW w:w="547" w:type="pct"/>
            <w:vMerge w:val="continue"/>
            <w:shd w:val="clear" w:color="auto" w:fill="auto"/>
            <w:vAlign w:val="center"/>
          </w:tcPr>
          <w:p w14:paraId="6F227DAB">
            <w:pPr>
              <w:spacing w:line="360" w:lineRule="atLeast"/>
              <w:jc w:val="center"/>
              <w:rPr>
                <w:rFonts w:ascii="宋体" w:hAnsi="宋体" w:eastAsia="宋体" w:cs="宋体"/>
                <w:color w:val="auto"/>
                <w:sz w:val="24"/>
                <w:szCs w:val="22"/>
                <w:highlight w:val="none"/>
              </w:rPr>
            </w:pPr>
          </w:p>
        </w:tc>
      </w:tr>
      <w:tr w14:paraId="4F50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shd w:val="clear" w:color="auto" w:fill="auto"/>
            <w:vAlign w:val="center"/>
          </w:tcPr>
          <w:p w14:paraId="12CE314D">
            <w:pPr>
              <w:spacing w:line="360" w:lineRule="atLeast"/>
              <w:jc w:val="center"/>
              <w:rPr>
                <w:rFonts w:ascii="宋体" w:hAnsi="宋体" w:eastAsia="宋体" w:cs="宋体"/>
                <w:color w:val="auto"/>
                <w:sz w:val="24"/>
                <w:szCs w:val="22"/>
                <w:highlight w:val="none"/>
              </w:rPr>
            </w:pPr>
          </w:p>
        </w:tc>
        <w:tc>
          <w:tcPr>
            <w:tcW w:w="1155" w:type="pct"/>
            <w:vMerge w:val="continue"/>
            <w:shd w:val="clear" w:color="auto" w:fill="auto"/>
            <w:vAlign w:val="center"/>
          </w:tcPr>
          <w:p w14:paraId="1D9EC0B5">
            <w:pPr>
              <w:spacing w:line="360" w:lineRule="atLeast"/>
              <w:jc w:val="center"/>
              <w:rPr>
                <w:rFonts w:ascii="宋体" w:hAnsi="宋体" w:eastAsia="宋体" w:cs="宋体"/>
                <w:color w:val="auto"/>
                <w:sz w:val="24"/>
                <w:szCs w:val="22"/>
                <w:highlight w:val="none"/>
              </w:rPr>
            </w:pPr>
          </w:p>
        </w:tc>
        <w:tc>
          <w:tcPr>
            <w:tcW w:w="1605" w:type="pct"/>
            <w:vMerge w:val="continue"/>
            <w:shd w:val="clear" w:color="auto" w:fill="auto"/>
            <w:vAlign w:val="center"/>
          </w:tcPr>
          <w:p w14:paraId="13866B7E">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2DCE004B">
            <w:pPr>
              <w:spacing w:after="120" w:line="360" w:lineRule="atLeast"/>
              <w:jc w:val="center"/>
              <w:rPr>
                <w:rFonts w:ascii="宋体" w:hAnsi="宋体" w:eastAsia="宋体" w:cs="宋体"/>
                <w:color w:val="auto"/>
                <w:sz w:val="24"/>
                <w:szCs w:val="22"/>
                <w:highlight w:val="none"/>
              </w:rPr>
            </w:pPr>
            <w:r>
              <w:rPr>
                <w:rFonts w:hint="eastAsia" w:ascii="宋体" w:hAnsi="宋体" w:eastAsia="宋体" w:cs="宋体"/>
                <w:b w:val="0"/>
                <w:color w:val="auto"/>
                <w:sz w:val="21"/>
                <w:szCs w:val="21"/>
                <w:highlight w:val="none"/>
              </w:rPr>
              <w:t>成本控制措施评审得分</w:t>
            </w:r>
          </w:p>
        </w:tc>
        <w:tc>
          <w:tcPr>
            <w:tcW w:w="499" w:type="pct"/>
            <w:shd w:val="clear" w:color="auto" w:fill="auto"/>
            <w:vAlign w:val="center"/>
          </w:tcPr>
          <w:p w14:paraId="27A42E86">
            <w:pPr>
              <w:spacing w:line="360" w:lineRule="atLeast"/>
              <w:jc w:val="center"/>
              <w:rPr>
                <w:rFonts w:ascii="宋体" w:hAnsi="宋体" w:eastAsia="宋体" w:cs="宋体"/>
                <w:color w:val="auto"/>
                <w:sz w:val="24"/>
                <w:szCs w:val="22"/>
                <w:highlight w:val="none"/>
              </w:rPr>
            </w:pPr>
          </w:p>
        </w:tc>
        <w:tc>
          <w:tcPr>
            <w:tcW w:w="547" w:type="pct"/>
            <w:vMerge w:val="continue"/>
            <w:shd w:val="clear" w:color="auto" w:fill="auto"/>
            <w:vAlign w:val="center"/>
          </w:tcPr>
          <w:p w14:paraId="08F8A0BE">
            <w:pPr>
              <w:spacing w:line="360" w:lineRule="atLeast"/>
              <w:jc w:val="center"/>
              <w:rPr>
                <w:rFonts w:ascii="宋体" w:hAnsi="宋体" w:eastAsia="宋体" w:cs="宋体"/>
                <w:color w:val="auto"/>
                <w:sz w:val="24"/>
                <w:szCs w:val="22"/>
                <w:highlight w:val="none"/>
              </w:rPr>
            </w:pPr>
          </w:p>
        </w:tc>
      </w:tr>
      <w:tr w14:paraId="529D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shd w:val="clear" w:color="auto" w:fill="auto"/>
            <w:vAlign w:val="center"/>
          </w:tcPr>
          <w:p w14:paraId="375271AE">
            <w:pPr>
              <w:spacing w:line="360" w:lineRule="atLeast"/>
              <w:jc w:val="center"/>
              <w:rPr>
                <w:rFonts w:ascii="宋体" w:hAnsi="宋体" w:eastAsia="宋体" w:cs="宋体"/>
                <w:color w:val="auto"/>
                <w:sz w:val="24"/>
                <w:szCs w:val="22"/>
                <w:highlight w:val="none"/>
              </w:rPr>
            </w:pPr>
          </w:p>
        </w:tc>
        <w:tc>
          <w:tcPr>
            <w:tcW w:w="1155" w:type="pct"/>
            <w:vMerge w:val="continue"/>
            <w:shd w:val="clear" w:color="auto" w:fill="auto"/>
            <w:vAlign w:val="center"/>
          </w:tcPr>
          <w:p w14:paraId="4928FAEC">
            <w:pPr>
              <w:spacing w:line="360" w:lineRule="atLeast"/>
              <w:jc w:val="center"/>
              <w:rPr>
                <w:rFonts w:ascii="宋体" w:hAnsi="宋体" w:eastAsia="宋体" w:cs="宋体"/>
                <w:color w:val="auto"/>
                <w:sz w:val="24"/>
                <w:szCs w:val="22"/>
                <w:highlight w:val="none"/>
              </w:rPr>
            </w:pPr>
          </w:p>
        </w:tc>
        <w:tc>
          <w:tcPr>
            <w:tcW w:w="1605" w:type="pct"/>
            <w:vMerge w:val="continue"/>
            <w:shd w:val="clear" w:color="auto" w:fill="auto"/>
            <w:vAlign w:val="center"/>
          </w:tcPr>
          <w:p w14:paraId="76CBBE06">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723B6EA0">
            <w:pPr>
              <w:spacing w:after="120" w:line="360" w:lineRule="atLeast"/>
              <w:jc w:val="center"/>
              <w:rPr>
                <w:rFonts w:ascii="宋体" w:hAnsi="宋体" w:eastAsia="宋体" w:cs="宋体"/>
                <w:color w:val="auto"/>
                <w:sz w:val="24"/>
                <w:szCs w:val="22"/>
                <w:highlight w:val="none"/>
              </w:rPr>
            </w:pPr>
            <w:r>
              <w:rPr>
                <w:rFonts w:hint="eastAsia" w:ascii="宋体" w:hAnsi="宋体" w:eastAsia="宋体" w:cs="宋体"/>
                <w:b w:val="0"/>
                <w:color w:val="auto"/>
                <w:sz w:val="21"/>
                <w:szCs w:val="21"/>
                <w:highlight w:val="none"/>
              </w:rPr>
              <w:t>资金管理措施评审得分</w:t>
            </w:r>
          </w:p>
        </w:tc>
        <w:tc>
          <w:tcPr>
            <w:tcW w:w="499" w:type="pct"/>
            <w:shd w:val="clear" w:color="auto" w:fill="auto"/>
            <w:vAlign w:val="center"/>
          </w:tcPr>
          <w:p w14:paraId="552F7B4F">
            <w:pPr>
              <w:spacing w:line="360" w:lineRule="atLeast"/>
              <w:jc w:val="center"/>
              <w:rPr>
                <w:rFonts w:ascii="宋体" w:hAnsi="宋体" w:eastAsia="宋体" w:cs="宋体"/>
                <w:color w:val="auto"/>
                <w:sz w:val="24"/>
                <w:szCs w:val="22"/>
                <w:highlight w:val="none"/>
              </w:rPr>
            </w:pPr>
          </w:p>
        </w:tc>
        <w:tc>
          <w:tcPr>
            <w:tcW w:w="547" w:type="pct"/>
            <w:vMerge w:val="continue"/>
            <w:shd w:val="clear" w:color="auto" w:fill="auto"/>
            <w:vAlign w:val="center"/>
          </w:tcPr>
          <w:p w14:paraId="16D68643">
            <w:pPr>
              <w:spacing w:line="360" w:lineRule="atLeast"/>
              <w:jc w:val="center"/>
              <w:rPr>
                <w:rFonts w:ascii="宋体" w:hAnsi="宋体" w:eastAsia="宋体" w:cs="宋体"/>
                <w:color w:val="auto"/>
                <w:sz w:val="24"/>
                <w:szCs w:val="22"/>
                <w:highlight w:val="none"/>
              </w:rPr>
            </w:pPr>
          </w:p>
        </w:tc>
      </w:tr>
      <w:tr w14:paraId="1797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restart"/>
            <w:shd w:val="clear" w:color="auto" w:fill="auto"/>
            <w:vAlign w:val="center"/>
          </w:tcPr>
          <w:p w14:paraId="76CB33EA">
            <w:pPr>
              <w:spacing w:after="120" w:line="360" w:lineRule="atLeast"/>
              <w:jc w:val="center"/>
              <w:rPr>
                <w:rFonts w:ascii="宋体" w:hAnsi="宋体" w:eastAsia="宋体" w:cs="宋体"/>
                <w:color w:val="auto"/>
                <w:sz w:val="24"/>
                <w:szCs w:val="22"/>
                <w:highlight w:val="none"/>
              </w:rPr>
            </w:pPr>
            <w:r>
              <w:rPr>
                <w:rFonts w:ascii="宋体" w:hAnsi="宋体" w:eastAsia="宋体" w:cs="宋体"/>
                <w:b w:val="0"/>
                <w:color w:val="auto"/>
                <w:sz w:val="24"/>
                <w:szCs w:val="22"/>
                <w:highlight w:val="none"/>
              </w:rPr>
              <w:t>4</w:t>
            </w:r>
          </w:p>
        </w:tc>
        <w:tc>
          <w:tcPr>
            <w:tcW w:w="1155" w:type="pct"/>
            <w:vMerge w:val="restart"/>
            <w:shd w:val="clear" w:color="auto" w:fill="auto"/>
            <w:vAlign w:val="center"/>
          </w:tcPr>
          <w:p w14:paraId="24518909">
            <w:pPr>
              <w:spacing w:line="360" w:lineRule="atLeast"/>
              <w:jc w:val="center"/>
              <w:rPr>
                <w:rFonts w:ascii="宋体" w:hAnsi="宋体" w:eastAsia="宋体" w:cs="宋体"/>
                <w:color w:val="auto"/>
                <w:sz w:val="24"/>
                <w:szCs w:val="22"/>
                <w:highlight w:val="none"/>
              </w:rPr>
            </w:pPr>
          </w:p>
        </w:tc>
        <w:tc>
          <w:tcPr>
            <w:tcW w:w="1605" w:type="pct"/>
            <w:vMerge w:val="restart"/>
            <w:shd w:val="clear" w:color="auto" w:fill="auto"/>
            <w:vAlign w:val="center"/>
          </w:tcPr>
          <w:p w14:paraId="3CD15AB7">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024DB6EC">
            <w:pPr>
              <w:spacing w:after="120" w:line="360" w:lineRule="atLeast"/>
              <w:jc w:val="center"/>
              <w:rPr>
                <w:rFonts w:ascii="宋体" w:hAnsi="宋体" w:eastAsia="宋体" w:cs="宋体"/>
                <w:color w:val="auto"/>
                <w:szCs w:val="21"/>
                <w:highlight w:val="none"/>
                <w:lang w:val="zh-CN"/>
              </w:rPr>
            </w:pPr>
            <w:r>
              <w:rPr>
                <w:rFonts w:hint="eastAsia" w:ascii="宋体" w:hAnsi="宋体" w:eastAsia="宋体" w:cs="宋体"/>
                <w:b w:val="0"/>
                <w:color w:val="auto"/>
                <w:sz w:val="21"/>
                <w:szCs w:val="21"/>
                <w:highlight w:val="none"/>
              </w:rPr>
              <w:t>团队配置评审得分</w:t>
            </w:r>
          </w:p>
        </w:tc>
        <w:tc>
          <w:tcPr>
            <w:tcW w:w="499" w:type="pct"/>
            <w:shd w:val="clear" w:color="auto" w:fill="auto"/>
            <w:vAlign w:val="center"/>
          </w:tcPr>
          <w:p w14:paraId="389B3FE7">
            <w:pPr>
              <w:spacing w:line="360" w:lineRule="atLeast"/>
              <w:jc w:val="center"/>
              <w:rPr>
                <w:rFonts w:ascii="宋体" w:hAnsi="宋体" w:eastAsia="宋体" w:cs="宋体"/>
                <w:color w:val="auto"/>
                <w:sz w:val="24"/>
                <w:szCs w:val="22"/>
                <w:highlight w:val="none"/>
              </w:rPr>
            </w:pPr>
          </w:p>
        </w:tc>
        <w:tc>
          <w:tcPr>
            <w:tcW w:w="547" w:type="pct"/>
            <w:vMerge w:val="restart"/>
            <w:shd w:val="clear" w:color="auto" w:fill="auto"/>
            <w:vAlign w:val="center"/>
          </w:tcPr>
          <w:p w14:paraId="1BECF9F4">
            <w:pPr>
              <w:spacing w:line="360" w:lineRule="atLeast"/>
              <w:jc w:val="center"/>
              <w:rPr>
                <w:rFonts w:ascii="宋体" w:hAnsi="宋体" w:eastAsia="宋体" w:cs="宋体"/>
                <w:color w:val="auto"/>
                <w:sz w:val="24"/>
                <w:szCs w:val="22"/>
                <w:highlight w:val="none"/>
              </w:rPr>
            </w:pPr>
          </w:p>
        </w:tc>
      </w:tr>
      <w:tr w14:paraId="7013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shd w:val="clear" w:color="auto" w:fill="auto"/>
            <w:vAlign w:val="center"/>
          </w:tcPr>
          <w:p w14:paraId="2F1E350C">
            <w:pPr>
              <w:spacing w:line="360" w:lineRule="atLeast"/>
              <w:jc w:val="center"/>
              <w:rPr>
                <w:rFonts w:ascii="宋体" w:hAnsi="宋体" w:eastAsia="宋体" w:cs="宋体"/>
                <w:color w:val="auto"/>
                <w:sz w:val="24"/>
                <w:szCs w:val="22"/>
                <w:highlight w:val="none"/>
              </w:rPr>
            </w:pPr>
          </w:p>
        </w:tc>
        <w:tc>
          <w:tcPr>
            <w:tcW w:w="1155" w:type="pct"/>
            <w:vMerge w:val="continue"/>
            <w:shd w:val="clear" w:color="auto" w:fill="auto"/>
            <w:vAlign w:val="center"/>
          </w:tcPr>
          <w:p w14:paraId="042B3EF5">
            <w:pPr>
              <w:spacing w:line="360" w:lineRule="atLeast"/>
              <w:jc w:val="center"/>
              <w:rPr>
                <w:rFonts w:ascii="宋体" w:hAnsi="宋体" w:eastAsia="宋体" w:cs="宋体"/>
                <w:color w:val="auto"/>
                <w:sz w:val="24"/>
                <w:szCs w:val="22"/>
                <w:highlight w:val="none"/>
              </w:rPr>
            </w:pPr>
          </w:p>
        </w:tc>
        <w:tc>
          <w:tcPr>
            <w:tcW w:w="1605" w:type="pct"/>
            <w:vMerge w:val="continue"/>
            <w:shd w:val="clear" w:color="auto" w:fill="auto"/>
            <w:vAlign w:val="center"/>
          </w:tcPr>
          <w:p w14:paraId="3E99CE4C">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79391AB4">
            <w:pPr>
              <w:spacing w:after="120" w:line="360" w:lineRule="atLeast"/>
              <w:jc w:val="center"/>
              <w:rPr>
                <w:rFonts w:ascii="宋体" w:hAnsi="宋体" w:eastAsia="宋体" w:cs="宋体"/>
                <w:color w:val="auto"/>
                <w:szCs w:val="21"/>
                <w:highlight w:val="none"/>
                <w:lang w:val="zh-CN"/>
              </w:rPr>
            </w:pPr>
            <w:r>
              <w:rPr>
                <w:rFonts w:hint="eastAsia" w:ascii="宋体" w:hAnsi="宋体" w:eastAsia="宋体" w:cs="宋体"/>
                <w:b w:val="0"/>
                <w:color w:val="auto"/>
                <w:sz w:val="21"/>
                <w:szCs w:val="21"/>
                <w:highlight w:val="none"/>
              </w:rPr>
              <w:t>施工管理措施评审得分</w:t>
            </w:r>
          </w:p>
        </w:tc>
        <w:tc>
          <w:tcPr>
            <w:tcW w:w="499" w:type="pct"/>
            <w:shd w:val="clear" w:color="auto" w:fill="auto"/>
            <w:vAlign w:val="center"/>
          </w:tcPr>
          <w:p w14:paraId="32B723A2">
            <w:pPr>
              <w:spacing w:line="360" w:lineRule="atLeast"/>
              <w:jc w:val="center"/>
              <w:rPr>
                <w:rFonts w:ascii="宋体" w:hAnsi="宋体" w:eastAsia="宋体" w:cs="宋体"/>
                <w:color w:val="auto"/>
                <w:sz w:val="24"/>
                <w:szCs w:val="22"/>
                <w:highlight w:val="none"/>
              </w:rPr>
            </w:pPr>
          </w:p>
        </w:tc>
        <w:tc>
          <w:tcPr>
            <w:tcW w:w="547" w:type="pct"/>
            <w:vMerge w:val="continue"/>
            <w:shd w:val="clear" w:color="auto" w:fill="auto"/>
            <w:vAlign w:val="center"/>
          </w:tcPr>
          <w:p w14:paraId="242C4D51">
            <w:pPr>
              <w:spacing w:line="360" w:lineRule="atLeast"/>
              <w:jc w:val="center"/>
              <w:rPr>
                <w:rFonts w:ascii="宋体" w:hAnsi="宋体" w:eastAsia="宋体" w:cs="宋体"/>
                <w:color w:val="auto"/>
                <w:sz w:val="24"/>
                <w:szCs w:val="22"/>
                <w:highlight w:val="none"/>
              </w:rPr>
            </w:pPr>
          </w:p>
        </w:tc>
      </w:tr>
      <w:tr w14:paraId="631B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shd w:val="clear" w:color="auto" w:fill="auto"/>
            <w:vAlign w:val="center"/>
          </w:tcPr>
          <w:p w14:paraId="7E40F103">
            <w:pPr>
              <w:spacing w:line="360" w:lineRule="atLeast"/>
              <w:jc w:val="center"/>
              <w:rPr>
                <w:rFonts w:ascii="宋体" w:hAnsi="宋体" w:eastAsia="宋体" w:cs="宋体"/>
                <w:color w:val="auto"/>
                <w:sz w:val="24"/>
                <w:szCs w:val="22"/>
                <w:highlight w:val="none"/>
              </w:rPr>
            </w:pPr>
          </w:p>
        </w:tc>
        <w:tc>
          <w:tcPr>
            <w:tcW w:w="1155" w:type="pct"/>
            <w:vMerge w:val="continue"/>
            <w:shd w:val="clear" w:color="auto" w:fill="auto"/>
            <w:vAlign w:val="center"/>
          </w:tcPr>
          <w:p w14:paraId="1920A35B">
            <w:pPr>
              <w:spacing w:line="360" w:lineRule="atLeast"/>
              <w:jc w:val="center"/>
              <w:rPr>
                <w:rFonts w:ascii="宋体" w:hAnsi="宋体" w:eastAsia="宋体" w:cs="宋体"/>
                <w:color w:val="auto"/>
                <w:sz w:val="24"/>
                <w:szCs w:val="22"/>
                <w:highlight w:val="none"/>
              </w:rPr>
            </w:pPr>
          </w:p>
        </w:tc>
        <w:tc>
          <w:tcPr>
            <w:tcW w:w="1605" w:type="pct"/>
            <w:vMerge w:val="continue"/>
            <w:shd w:val="clear" w:color="auto" w:fill="auto"/>
            <w:vAlign w:val="center"/>
          </w:tcPr>
          <w:p w14:paraId="77B372E8">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32553DF6">
            <w:pPr>
              <w:spacing w:after="120" w:line="360" w:lineRule="atLeast"/>
              <w:jc w:val="center"/>
              <w:rPr>
                <w:rFonts w:ascii="宋体" w:hAnsi="宋体" w:eastAsia="宋体" w:cs="宋体"/>
                <w:color w:val="auto"/>
                <w:szCs w:val="21"/>
                <w:highlight w:val="none"/>
                <w:lang w:val="zh-CN"/>
              </w:rPr>
            </w:pPr>
            <w:r>
              <w:rPr>
                <w:rFonts w:hint="eastAsia" w:ascii="宋体" w:hAnsi="宋体" w:eastAsia="宋体" w:cs="宋体"/>
                <w:b w:val="0"/>
                <w:color w:val="auto"/>
                <w:sz w:val="21"/>
                <w:szCs w:val="21"/>
                <w:highlight w:val="none"/>
              </w:rPr>
              <w:t>成本控制措施评审得分</w:t>
            </w:r>
          </w:p>
        </w:tc>
        <w:tc>
          <w:tcPr>
            <w:tcW w:w="499" w:type="pct"/>
            <w:shd w:val="clear" w:color="auto" w:fill="auto"/>
            <w:vAlign w:val="center"/>
          </w:tcPr>
          <w:p w14:paraId="03DAB7A8">
            <w:pPr>
              <w:spacing w:line="360" w:lineRule="atLeast"/>
              <w:jc w:val="center"/>
              <w:rPr>
                <w:rFonts w:ascii="宋体" w:hAnsi="宋体" w:eastAsia="宋体" w:cs="宋体"/>
                <w:color w:val="auto"/>
                <w:sz w:val="24"/>
                <w:szCs w:val="22"/>
                <w:highlight w:val="none"/>
              </w:rPr>
            </w:pPr>
          </w:p>
        </w:tc>
        <w:tc>
          <w:tcPr>
            <w:tcW w:w="547" w:type="pct"/>
            <w:vMerge w:val="continue"/>
            <w:shd w:val="clear" w:color="auto" w:fill="auto"/>
            <w:vAlign w:val="center"/>
          </w:tcPr>
          <w:p w14:paraId="6B304EDF">
            <w:pPr>
              <w:spacing w:line="360" w:lineRule="atLeast"/>
              <w:jc w:val="center"/>
              <w:rPr>
                <w:rFonts w:ascii="宋体" w:hAnsi="宋体" w:eastAsia="宋体" w:cs="宋体"/>
                <w:color w:val="auto"/>
                <w:sz w:val="24"/>
                <w:szCs w:val="22"/>
                <w:highlight w:val="none"/>
              </w:rPr>
            </w:pPr>
          </w:p>
        </w:tc>
      </w:tr>
      <w:tr w14:paraId="362A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shd w:val="clear" w:color="auto" w:fill="auto"/>
            <w:vAlign w:val="center"/>
          </w:tcPr>
          <w:p w14:paraId="4E30F754">
            <w:pPr>
              <w:spacing w:line="360" w:lineRule="atLeast"/>
              <w:jc w:val="center"/>
              <w:rPr>
                <w:rFonts w:ascii="宋体" w:hAnsi="宋体" w:eastAsia="宋体" w:cs="宋体"/>
                <w:color w:val="auto"/>
                <w:sz w:val="24"/>
                <w:szCs w:val="22"/>
                <w:highlight w:val="none"/>
              </w:rPr>
            </w:pPr>
          </w:p>
        </w:tc>
        <w:tc>
          <w:tcPr>
            <w:tcW w:w="1155" w:type="pct"/>
            <w:vMerge w:val="continue"/>
            <w:shd w:val="clear" w:color="auto" w:fill="auto"/>
            <w:vAlign w:val="center"/>
          </w:tcPr>
          <w:p w14:paraId="7C9A6DA0">
            <w:pPr>
              <w:spacing w:line="360" w:lineRule="atLeast"/>
              <w:jc w:val="center"/>
              <w:rPr>
                <w:rFonts w:ascii="宋体" w:hAnsi="宋体" w:eastAsia="宋体" w:cs="宋体"/>
                <w:color w:val="auto"/>
                <w:sz w:val="24"/>
                <w:szCs w:val="22"/>
                <w:highlight w:val="none"/>
              </w:rPr>
            </w:pPr>
          </w:p>
        </w:tc>
        <w:tc>
          <w:tcPr>
            <w:tcW w:w="1605" w:type="pct"/>
            <w:vMerge w:val="continue"/>
            <w:shd w:val="clear" w:color="auto" w:fill="auto"/>
            <w:vAlign w:val="center"/>
          </w:tcPr>
          <w:p w14:paraId="120DC381">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2C79AF2C">
            <w:pPr>
              <w:spacing w:after="120" w:line="360" w:lineRule="atLeast"/>
              <w:jc w:val="center"/>
              <w:rPr>
                <w:rFonts w:ascii="宋体" w:hAnsi="宋体" w:eastAsia="宋体" w:cs="宋体"/>
                <w:color w:val="auto"/>
                <w:szCs w:val="21"/>
                <w:highlight w:val="none"/>
                <w:lang w:val="zh-CN"/>
              </w:rPr>
            </w:pPr>
            <w:r>
              <w:rPr>
                <w:rFonts w:hint="eastAsia" w:ascii="宋体" w:hAnsi="宋体" w:eastAsia="宋体" w:cs="宋体"/>
                <w:b w:val="0"/>
                <w:color w:val="auto"/>
                <w:sz w:val="21"/>
                <w:szCs w:val="21"/>
                <w:highlight w:val="none"/>
              </w:rPr>
              <w:t>资金管理措施评审得分</w:t>
            </w:r>
          </w:p>
        </w:tc>
        <w:tc>
          <w:tcPr>
            <w:tcW w:w="499" w:type="pct"/>
            <w:shd w:val="clear" w:color="auto" w:fill="auto"/>
            <w:vAlign w:val="center"/>
          </w:tcPr>
          <w:p w14:paraId="6CC728E1">
            <w:pPr>
              <w:spacing w:line="360" w:lineRule="atLeast"/>
              <w:jc w:val="center"/>
              <w:rPr>
                <w:rFonts w:ascii="宋体" w:hAnsi="宋体" w:eastAsia="宋体" w:cs="宋体"/>
                <w:color w:val="auto"/>
                <w:sz w:val="24"/>
                <w:szCs w:val="22"/>
                <w:highlight w:val="none"/>
              </w:rPr>
            </w:pPr>
          </w:p>
        </w:tc>
        <w:tc>
          <w:tcPr>
            <w:tcW w:w="547" w:type="pct"/>
            <w:vMerge w:val="continue"/>
            <w:shd w:val="clear" w:color="auto" w:fill="auto"/>
            <w:vAlign w:val="center"/>
          </w:tcPr>
          <w:p w14:paraId="3285EEE7">
            <w:pPr>
              <w:spacing w:line="360" w:lineRule="atLeast"/>
              <w:jc w:val="center"/>
              <w:rPr>
                <w:rFonts w:ascii="宋体" w:hAnsi="宋体" w:eastAsia="宋体" w:cs="宋体"/>
                <w:color w:val="auto"/>
                <w:sz w:val="24"/>
                <w:szCs w:val="22"/>
                <w:highlight w:val="none"/>
              </w:rPr>
            </w:pPr>
          </w:p>
        </w:tc>
      </w:tr>
      <w:tr w14:paraId="6D89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restart"/>
            <w:shd w:val="clear" w:color="auto" w:fill="auto"/>
            <w:vAlign w:val="center"/>
          </w:tcPr>
          <w:p w14:paraId="658F4A70">
            <w:pPr>
              <w:spacing w:after="120" w:line="360" w:lineRule="atLeast"/>
              <w:jc w:val="center"/>
              <w:rPr>
                <w:rFonts w:ascii="宋体" w:hAnsi="宋体" w:eastAsia="宋体" w:cs="宋体"/>
                <w:color w:val="auto"/>
                <w:sz w:val="24"/>
                <w:szCs w:val="22"/>
                <w:highlight w:val="none"/>
              </w:rPr>
            </w:pPr>
            <w:r>
              <w:rPr>
                <w:rFonts w:ascii="宋体" w:hAnsi="宋体" w:eastAsia="宋体" w:cs="宋体"/>
                <w:b w:val="0"/>
                <w:color w:val="auto"/>
                <w:sz w:val="24"/>
                <w:szCs w:val="22"/>
                <w:highlight w:val="none"/>
              </w:rPr>
              <w:t>5</w:t>
            </w:r>
          </w:p>
        </w:tc>
        <w:tc>
          <w:tcPr>
            <w:tcW w:w="1155" w:type="pct"/>
            <w:vMerge w:val="restart"/>
            <w:shd w:val="clear" w:color="auto" w:fill="auto"/>
            <w:vAlign w:val="center"/>
          </w:tcPr>
          <w:p w14:paraId="361B1EA2">
            <w:pPr>
              <w:spacing w:line="360" w:lineRule="atLeast"/>
              <w:jc w:val="center"/>
              <w:rPr>
                <w:rFonts w:ascii="宋体" w:hAnsi="宋体" w:eastAsia="宋体" w:cs="宋体"/>
                <w:color w:val="auto"/>
                <w:sz w:val="24"/>
                <w:szCs w:val="22"/>
                <w:highlight w:val="none"/>
              </w:rPr>
            </w:pPr>
          </w:p>
        </w:tc>
        <w:tc>
          <w:tcPr>
            <w:tcW w:w="1605" w:type="pct"/>
            <w:vMerge w:val="restart"/>
            <w:shd w:val="clear" w:color="auto" w:fill="auto"/>
            <w:vAlign w:val="center"/>
          </w:tcPr>
          <w:p w14:paraId="667E0BB2">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27704064">
            <w:pPr>
              <w:spacing w:after="120" w:line="360" w:lineRule="atLeast"/>
              <w:jc w:val="center"/>
              <w:rPr>
                <w:rFonts w:ascii="宋体" w:hAnsi="宋体" w:eastAsia="宋体" w:cs="宋体"/>
                <w:color w:val="auto"/>
                <w:szCs w:val="21"/>
                <w:highlight w:val="none"/>
                <w:lang w:val="zh-CN"/>
              </w:rPr>
            </w:pPr>
            <w:r>
              <w:rPr>
                <w:rFonts w:hint="eastAsia" w:ascii="宋体" w:hAnsi="宋体" w:eastAsia="宋体" w:cs="宋体"/>
                <w:b w:val="0"/>
                <w:color w:val="auto"/>
                <w:sz w:val="21"/>
                <w:szCs w:val="21"/>
                <w:highlight w:val="none"/>
              </w:rPr>
              <w:t>团队配置评审得分</w:t>
            </w:r>
          </w:p>
        </w:tc>
        <w:tc>
          <w:tcPr>
            <w:tcW w:w="499" w:type="pct"/>
            <w:shd w:val="clear" w:color="auto" w:fill="auto"/>
            <w:vAlign w:val="center"/>
          </w:tcPr>
          <w:p w14:paraId="2FD39861">
            <w:pPr>
              <w:spacing w:line="360" w:lineRule="atLeast"/>
              <w:jc w:val="center"/>
              <w:rPr>
                <w:rFonts w:ascii="宋体" w:hAnsi="宋体" w:eastAsia="宋体" w:cs="宋体"/>
                <w:color w:val="auto"/>
                <w:sz w:val="24"/>
                <w:szCs w:val="22"/>
                <w:highlight w:val="none"/>
              </w:rPr>
            </w:pPr>
          </w:p>
        </w:tc>
        <w:tc>
          <w:tcPr>
            <w:tcW w:w="547" w:type="pct"/>
            <w:vMerge w:val="restart"/>
            <w:shd w:val="clear" w:color="auto" w:fill="auto"/>
            <w:vAlign w:val="center"/>
          </w:tcPr>
          <w:p w14:paraId="0CBDE48E">
            <w:pPr>
              <w:spacing w:line="360" w:lineRule="atLeast"/>
              <w:jc w:val="center"/>
              <w:rPr>
                <w:rFonts w:ascii="宋体" w:hAnsi="宋体" w:eastAsia="宋体" w:cs="宋体"/>
                <w:color w:val="auto"/>
                <w:sz w:val="24"/>
                <w:szCs w:val="22"/>
                <w:highlight w:val="none"/>
              </w:rPr>
            </w:pPr>
          </w:p>
        </w:tc>
      </w:tr>
      <w:tr w14:paraId="7D3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shd w:val="clear" w:color="auto" w:fill="auto"/>
            <w:vAlign w:val="center"/>
          </w:tcPr>
          <w:p w14:paraId="4BD58C4D">
            <w:pPr>
              <w:spacing w:line="360" w:lineRule="atLeast"/>
              <w:jc w:val="center"/>
              <w:rPr>
                <w:rFonts w:ascii="宋体" w:hAnsi="宋体" w:eastAsia="宋体" w:cs="宋体"/>
                <w:color w:val="auto"/>
                <w:sz w:val="24"/>
                <w:szCs w:val="22"/>
                <w:highlight w:val="none"/>
              </w:rPr>
            </w:pPr>
          </w:p>
        </w:tc>
        <w:tc>
          <w:tcPr>
            <w:tcW w:w="1155" w:type="pct"/>
            <w:vMerge w:val="continue"/>
            <w:shd w:val="clear" w:color="auto" w:fill="auto"/>
            <w:vAlign w:val="center"/>
          </w:tcPr>
          <w:p w14:paraId="62316ECF">
            <w:pPr>
              <w:spacing w:line="360" w:lineRule="atLeast"/>
              <w:jc w:val="center"/>
              <w:rPr>
                <w:rFonts w:ascii="宋体" w:hAnsi="宋体" w:eastAsia="宋体" w:cs="宋体"/>
                <w:color w:val="auto"/>
                <w:sz w:val="24"/>
                <w:szCs w:val="22"/>
                <w:highlight w:val="none"/>
              </w:rPr>
            </w:pPr>
          </w:p>
        </w:tc>
        <w:tc>
          <w:tcPr>
            <w:tcW w:w="1605" w:type="pct"/>
            <w:vMerge w:val="continue"/>
            <w:shd w:val="clear" w:color="auto" w:fill="auto"/>
            <w:vAlign w:val="center"/>
          </w:tcPr>
          <w:p w14:paraId="478C8688">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7E7AE37C">
            <w:pPr>
              <w:spacing w:after="120" w:line="360" w:lineRule="atLeast"/>
              <w:jc w:val="center"/>
              <w:rPr>
                <w:rFonts w:ascii="宋体" w:hAnsi="宋体" w:eastAsia="宋体" w:cs="宋体"/>
                <w:color w:val="auto"/>
                <w:szCs w:val="21"/>
                <w:highlight w:val="none"/>
                <w:lang w:val="zh-CN"/>
              </w:rPr>
            </w:pPr>
            <w:r>
              <w:rPr>
                <w:rFonts w:hint="eastAsia" w:ascii="宋体" w:hAnsi="宋体" w:eastAsia="宋体" w:cs="宋体"/>
                <w:b w:val="0"/>
                <w:color w:val="auto"/>
                <w:sz w:val="21"/>
                <w:szCs w:val="21"/>
                <w:highlight w:val="none"/>
              </w:rPr>
              <w:t>施工管理措施评审得分</w:t>
            </w:r>
          </w:p>
        </w:tc>
        <w:tc>
          <w:tcPr>
            <w:tcW w:w="499" w:type="pct"/>
            <w:shd w:val="clear" w:color="auto" w:fill="auto"/>
            <w:vAlign w:val="center"/>
          </w:tcPr>
          <w:p w14:paraId="6C769FB5">
            <w:pPr>
              <w:spacing w:line="360" w:lineRule="atLeast"/>
              <w:jc w:val="center"/>
              <w:rPr>
                <w:rFonts w:ascii="宋体" w:hAnsi="宋体" w:eastAsia="宋体" w:cs="宋体"/>
                <w:color w:val="auto"/>
                <w:sz w:val="24"/>
                <w:szCs w:val="22"/>
                <w:highlight w:val="none"/>
              </w:rPr>
            </w:pPr>
          </w:p>
        </w:tc>
        <w:tc>
          <w:tcPr>
            <w:tcW w:w="547" w:type="pct"/>
            <w:vMerge w:val="continue"/>
            <w:shd w:val="clear" w:color="auto" w:fill="auto"/>
            <w:vAlign w:val="center"/>
          </w:tcPr>
          <w:p w14:paraId="06FF16A2">
            <w:pPr>
              <w:spacing w:line="360" w:lineRule="atLeast"/>
              <w:jc w:val="center"/>
              <w:rPr>
                <w:rFonts w:ascii="宋体" w:hAnsi="宋体" w:eastAsia="宋体" w:cs="宋体"/>
                <w:color w:val="auto"/>
                <w:sz w:val="24"/>
                <w:szCs w:val="22"/>
                <w:highlight w:val="none"/>
              </w:rPr>
            </w:pPr>
          </w:p>
        </w:tc>
      </w:tr>
      <w:tr w14:paraId="4FE8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shd w:val="clear" w:color="auto" w:fill="auto"/>
            <w:vAlign w:val="center"/>
          </w:tcPr>
          <w:p w14:paraId="53FB3578">
            <w:pPr>
              <w:spacing w:line="360" w:lineRule="atLeast"/>
              <w:jc w:val="center"/>
              <w:rPr>
                <w:rFonts w:ascii="宋体" w:hAnsi="宋体" w:eastAsia="宋体" w:cs="宋体"/>
                <w:color w:val="auto"/>
                <w:sz w:val="24"/>
                <w:szCs w:val="22"/>
                <w:highlight w:val="none"/>
              </w:rPr>
            </w:pPr>
          </w:p>
        </w:tc>
        <w:tc>
          <w:tcPr>
            <w:tcW w:w="1155" w:type="pct"/>
            <w:vMerge w:val="continue"/>
            <w:shd w:val="clear" w:color="auto" w:fill="auto"/>
            <w:vAlign w:val="center"/>
          </w:tcPr>
          <w:p w14:paraId="36BA14ED">
            <w:pPr>
              <w:spacing w:line="360" w:lineRule="atLeast"/>
              <w:jc w:val="center"/>
              <w:rPr>
                <w:rFonts w:ascii="宋体" w:hAnsi="宋体" w:eastAsia="宋体" w:cs="宋体"/>
                <w:color w:val="auto"/>
                <w:sz w:val="24"/>
                <w:szCs w:val="22"/>
                <w:highlight w:val="none"/>
              </w:rPr>
            </w:pPr>
          </w:p>
        </w:tc>
        <w:tc>
          <w:tcPr>
            <w:tcW w:w="1605" w:type="pct"/>
            <w:vMerge w:val="continue"/>
            <w:shd w:val="clear" w:color="auto" w:fill="auto"/>
            <w:vAlign w:val="center"/>
          </w:tcPr>
          <w:p w14:paraId="7D0C59FC">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68E8B55A">
            <w:pPr>
              <w:spacing w:after="120" w:line="360" w:lineRule="atLeast"/>
              <w:jc w:val="center"/>
              <w:rPr>
                <w:rFonts w:ascii="宋体" w:hAnsi="宋体" w:eastAsia="宋体" w:cs="宋体"/>
                <w:color w:val="auto"/>
                <w:szCs w:val="21"/>
                <w:highlight w:val="none"/>
                <w:lang w:val="zh-CN"/>
              </w:rPr>
            </w:pPr>
            <w:r>
              <w:rPr>
                <w:rFonts w:hint="eastAsia" w:ascii="宋体" w:hAnsi="宋体" w:eastAsia="宋体" w:cs="宋体"/>
                <w:b w:val="0"/>
                <w:color w:val="auto"/>
                <w:sz w:val="21"/>
                <w:szCs w:val="21"/>
                <w:highlight w:val="none"/>
              </w:rPr>
              <w:t>成本控制措施评审得分</w:t>
            </w:r>
          </w:p>
        </w:tc>
        <w:tc>
          <w:tcPr>
            <w:tcW w:w="499" w:type="pct"/>
            <w:shd w:val="clear" w:color="auto" w:fill="auto"/>
            <w:vAlign w:val="center"/>
          </w:tcPr>
          <w:p w14:paraId="33FA74FA">
            <w:pPr>
              <w:spacing w:line="360" w:lineRule="atLeast"/>
              <w:jc w:val="center"/>
              <w:rPr>
                <w:rFonts w:ascii="宋体" w:hAnsi="宋体" w:eastAsia="宋体" w:cs="宋体"/>
                <w:color w:val="auto"/>
                <w:sz w:val="24"/>
                <w:szCs w:val="22"/>
                <w:highlight w:val="none"/>
              </w:rPr>
            </w:pPr>
          </w:p>
        </w:tc>
        <w:tc>
          <w:tcPr>
            <w:tcW w:w="547" w:type="pct"/>
            <w:vMerge w:val="continue"/>
            <w:shd w:val="clear" w:color="auto" w:fill="auto"/>
            <w:vAlign w:val="center"/>
          </w:tcPr>
          <w:p w14:paraId="339003EC">
            <w:pPr>
              <w:spacing w:line="360" w:lineRule="atLeast"/>
              <w:jc w:val="center"/>
              <w:rPr>
                <w:rFonts w:ascii="宋体" w:hAnsi="宋体" w:eastAsia="宋体" w:cs="宋体"/>
                <w:color w:val="auto"/>
                <w:sz w:val="24"/>
                <w:szCs w:val="22"/>
                <w:highlight w:val="none"/>
              </w:rPr>
            </w:pPr>
          </w:p>
        </w:tc>
      </w:tr>
      <w:tr w14:paraId="190D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shd w:val="clear" w:color="auto" w:fill="auto"/>
            <w:vAlign w:val="center"/>
          </w:tcPr>
          <w:p w14:paraId="79E09FC6">
            <w:pPr>
              <w:spacing w:line="360" w:lineRule="atLeast"/>
              <w:jc w:val="center"/>
              <w:rPr>
                <w:rFonts w:ascii="宋体" w:hAnsi="宋体" w:eastAsia="宋体" w:cs="宋体"/>
                <w:color w:val="auto"/>
                <w:sz w:val="24"/>
                <w:szCs w:val="22"/>
                <w:highlight w:val="none"/>
              </w:rPr>
            </w:pPr>
          </w:p>
        </w:tc>
        <w:tc>
          <w:tcPr>
            <w:tcW w:w="1155" w:type="pct"/>
            <w:vMerge w:val="continue"/>
            <w:shd w:val="clear" w:color="auto" w:fill="auto"/>
            <w:vAlign w:val="center"/>
          </w:tcPr>
          <w:p w14:paraId="14C6ECD1">
            <w:pPr>
              <w:spacing w:line="360" w:lineRule="atLeast"/>
              <w:jc w:val="center"/>
              <w:rPr>
                <w:rFonts w:ascii="宋体" w:hAnsi="宋体" w:eastAsia="宋体" w:cs="宋体"/>
                <w:color w:val="auto"/>
                <w:sz w:val="24"/>
                <w:szCs w:val="22"/>
                <w:highlight w:val="none"/>
              </w:rPr>
            </w:pPr>
          </w:p>
        </w:tc>
        <w:tc>
          <w:tcPr>
            <w:tcW w:w="1605" w:type="pct"/>
            <w:vMerge w:val="continue"/>
            <w:shd w:val="clear" w:color="auto" w:fill="auto"/>
            <w:vAlign w:val="center"/>
          </w:tcPr>
          <w:p w14:paraId="5AC0E49E">
            <w:pPr>
              <w:spacing w:line="360" w:lineRule="atLeast"/>
              <w:jc w:val="center"/>
              <w:rPr>
                <w:rFonts w:ascii="宋体" w:hAnsi="宋体" w:eastAsia="宋体" w:cs="宋体"/>
                <w:color w:val="auto"/>
                <w:sz w:val="24"/>
                <w:szCs w:val="22"/>
                <w:highlight w:val="none"/>
              </w:rPr>
            </w:pPr>
          </w:p>
        </w:tc>
        <w:tc>
          <w:tcPr>
            <w:tcW w:w="873" w:type="pct"/>
            <w:shd w:val="clear" w:color="auto" w:fill="auto"/>
            <w:vAlign w:val="center"/>
          </w:tcPr>
          <w:p w14:paraId="60202C05">
            <w:pPr>
              <w:spacing w:after="120" w:line="360" w:lineRule="atLeast"/>
              <w:jc w:val="center"/>
              <w:rPr>
                <w:rFonts w:ascii="宋体" w:hAnsi="宋体" w:eastAsia="宋体" w:cs="宋体"/>
                <w:color w:val="auto"/>
                <w:szCs w:val="21"/>
                <w:highlight w:val="none"/>
                <w:lang w:val="zh-CN"/>
              </w:rPr>
            </w:pPr>
            <w:r>
              <w:rPr>
                <w:rFonts w:hint="eastAsia" w:ascii="宋体" w:hAnsi="宋体" w:eastAsia="宋体" w:cs="宋体"/>
                <w:b w:val="0"/>
                <w:color w:val="auto"/>
                <w:sz w:val="21"/>
                <w:szCs w:val="21"/>
                <w:highlight w:val="none"/>
              </w:rPr>
              <w:t>资金管理措施评审得分</w:t>
            </w:r>
          </w:p>
        </w:tc>
        <w:tc>
          <w:tcPr>
            <w:tcW w:w="499" w:type="pct"/>
            <w:shd w:val="clear" w:color="auto" w:fill="auto"/>
            <w:vAlign w:val="center"/>
          </w:tcPr>
          <w:p w14:paraId="3ABE4430">
            <w:pPr>
              <w:spacing w:line="360" w:lineRule="atLeast"/>
              <w:jc w:val="center"/>
              <w:rPr>
                <w:rFonts w:ascii="宋体" w:hAnsi="宋体" w:eastAsia="宋体" w:cs="宋体"/>
                <w:color w:val="auto"/>
                <w:sz w:val="24"/>
                <w:szCs w:val="22"/>
                <w:highlight w:val="none"/>
              </w:rPr>
            </w:pPr>
          </w:p>
        </w:tc>
        <w:tc>
          <w:tcPr>
            <w:tcW w:w="547" w:type="pct"/>
            <w:vMerge w:val="continue"/>
            <w:shd w:val="clear" w:color="auto" w:fill="auto"/>
            <w:vAlign w:val="center"/>
          </w:tcPr>
          <w:p w14:paraId="389FEBD3">
            <w:pPr>
              <w:spacing w:line="360" w:lineRule="atLeast"/>
              <w:jc w:val="center"/>
              <w:rPr>
                <w:rFonts w:ascii="宋体" w:hAnsi="宋体" w:eastAsia="宋体" w:cs="宋体"/>
                <w:color w:val="auto"/>
                <w:sz w:val="24"/>
                <w:szCs w:val="22"/>
                <w:highlight w:val="none"/>
              </w:rPr>
            </w:pPr>
          </w:p>
        </w:tc>
      </w:tr>
    </w:tbl>
    <w:p w14:paraId="55A97B87">
      <w:pPr>
        <w:spacing w:line="360" w:lineRule="atLeast"/>
        <w:ind w:right="42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备注：</w:t>
      </w:r>
    </w:p>
    <w:p w14:paraId="05F2DA24">
      <w:pPr>
        <w:spacing w:line="360" w:lineRule="atLeast"/>
        <w:ind w:right="-2" w:firstLine="210" w:firstLineChars="100"/>
        <w:rPr>
          <w:rFonts w:ascii="宋体" w:hAnsi="宋体" w:eastAsia="宋体" w:cs="宋体"/>
          <w:color w:val="auto"/>
          <w:szCs w:val="21"/>
          <w:highlight w:val="none"/>
        </w:rPr>
      </w:pPr>
      <w:r>
        <w:rPr>
          <w:rFonts w:ascii="宋体" w:hAnsi="宋体" w:eastAsia="宋体" w:cs="宋体"/>
          <w:b w:val="0"/>
          <w:color w:val="auto"/>
          <w:sz w:val="21"/>
          <w:szCs w:val="21"/>
          <w:highlight w:val="none"/>
        </w:rPr>
        <w:t>1、本表格用于定标阶段</w:t>
      </w:r>
      <w:r>
        <w:rPr>
          <w:rFonts w:hint="eastAsia" w:ascii="宋体" w:hAnsi="宋体" w:eastAsia="宋体" w:cs="宋体"/>
          <w:b w:val="0"/>
          <w:color w:val="auto"/>
          <w:sz w:val="21"/>
          <w:szCs w:val="21"/>
          <w:highlight w:val="none"/>
          <w:lang w:val="en-US" w:eastAsia="zh-CN"/>
        </w:rPr>
        <w:t>方案</w:t>
      </w:r>
      <w:r>
        <w:rPr>
          <w:rFonts w:ascii="宋体" w:hAnsi="宋体" w:eastAsia="宋体" w:cs="宋体"/>
          <w:b w:val="0"/>
          <w:color w:val="auto"/>
          <w:sz w:val="21"/>
          <w:szCs w:val="21"/>
          <w:highlight w:val="none"/>
        </w:rPr>
        <w:t>因素评审计分，每行限填一个合格中标候选人，定标委员会成员应当独立撰写评语</w:t>
      </w:r>
      <w:r>
        <w:rPr>
          <w:rFonts w:hint="eastAsia" w:ascii="宋体" w:hAnsi="宋体" w:eastAsia="宋体" w:cs="宋体"/>
          <w:b w:val="0"/>
          <w:color w:val="auto"/>
          <w:sz w:val="21"/>
          <w:szCs w:val="21"/>
          <w:highlight w:val="none"/>
        </w:rPr>
        <w:t>、打分；</w:t>
      </w:r>
    </w:p>
    <w:p w14:paraId="1E4760DF">
      <w:pPr>
        <w:spacing w:line="360" w:lineRule="atLeast"/>
        <w:ind w:firstLine="210" w:firstLineChars="100"/>
        <w:rPr>
          <w:rFonts w:ascii="宋体" w:hAnsi="宋体" w:eastAsia="宋体" w:cs="宋体"/>
          <w:color w:val="auto"/>
          <w:szCs w:val="21"/>
          <w:highlight w:val="none"/>
        </w:rPr>
      </w:pPr>
      <w:r>
        <w:rPr>
          <w:rFonts w:ascii="宋体" w:hAnsi="宋体" w:eastAsia="宋体" w:cs="宋体"/>
          <w:b w:val="0"/>
          <w:color w:val="auto"/>
          <w:sz w:val="21"/>
          <w:szCs w:val="21"/>
          <w:highlight w:val="none"/>
        </w:rPr>
        <w:t>2、定标委员会各成员对所有进入定标程序的合格中标候选人按《定标因素表（定标阶段用表）》</w:t>
      </w:r>
      <w:r>
        <w:rPr>
          <w:rFonts w:hint="eastAsia" w:ascii="宋体" w:hAnsi="宋体" w:eastAsia="宋体" w:cs="宋体"/>
          <w:b w:val="0"/>
          <w:color w:val="auto"/>
          <w:sz w:val="21"/>
          <w:szCs w:val="21"/>
          <w:highlight w:val="none"/>
          <w:lang w:val="en-US" w:eastAsia="zh-CN"/>
        </w:rPr>
        <w:t>方案</w:t>
      </w:r>
      <w:r>
        <w:rPr>
          <w:rFonts w:ascii="宋体" w:hAnsi="宋体" w:eastAsia="宋体" w:cs="宋体"/>
          <w:b w:val="0"/>
          <w:color w:val="auto"/>
          <w:sz w:val="21"/>
          <w:szCs w:val="21"/>
          <w:highlight w:val="none"/>
        </w:rPr>
        <w:t>因素评</w:t>
      </w:r>
      <w:r>
        <w:rPr>
          <w:rFonts w:hint="eastAsia" w:ascii="宋体" w:hAnsi="宋体" w:eastAsia="宋体" w:cs="宋体"/>
          <w:b w:val="0"/>
          <w:color w:val="auto"/>
          <w:sz w:val="21"/>
          <w:szCs w:val="21"/>
          <w:highlight w:val="none"/>
          <w:lang w:val="en-US" w:eastAsia="zh-CN"/>
        </w:rPr>
        <w:t>审</w:t>
      </w:r>
      <w:r>
        <w:rPr>
          <w:rFonts w:ascii="宋体" w:hAnsi="宋体" w:eastAsia="宋体" w:cs="宋体"/>
          <w:b w:val="0"/>
          <w:color w:val="auto"/>
          <w:sz w:val="21"/>
          <w:szCs w:val="21"/>
          <w:highlight w:val="none"/>
        </w:rPr>
        <w:t>标准进行打分。</w:t>
      </w:r>
    </w:p>
    <w:p w14:paraId="6719F7CB">
      <w:pPr>
        <w:spacing w:line="360" w:lineRule="atLeast"/>
        <w:ind w:left="210"/>
        <w:jc w:val="left"/>
        <w:rPr>
          <w:rFonts w:ascii="宋体" w:hAnsi="宋体" w:eastAsia="宋体" w:cs="宋体"/>
          <w:smallCaps/>
          <w:color w:val="auto"/>
          <w:sz w:val="20"/>
          <w:szCs w:val="20"/>
          <w:highlight w:val="none"/>
        </w:rPr>
      </w:pPr>
    </w:p>
    <w:p w14:paraId="7441664B">
      <w:pPr>
        <w:autoSpaceDE w:val="0"/>
        <w:autoSpaceDN w:val="0"/>
        <w:adjustRightInd w:val="0"/>
        <w:spacing w:line="240" w:lineRule="exact"/>
        <w:rPr>
          <w:rFonts w:ascii="宋体" w:hAnsi="宋体" w:eastAsia="宋体" w:cs="宋体"/>
          <w:color w:val="auto"/>
          <w:sz w:val="24"/>
          <w:highlight w:val="none"/>
        </w:rPr>
      </w:pPr>
    </w:p>
    <w:p w14:paraId="53441E59">
      <w:pPr>
        <w:snapToGrid w:val="0"/>
        <w:spacing w:line="360" w:lineRule="auto"/>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定标委员会成员签名：</w:t>
      </w:r>
    </w:p>
    <w:p w14:paraId="2B401094">
      <w:pPr>
        <w:autoSpaceDE w:val="0"/>
        <w:autoSpaceDN w:val="0"/>
        <w:adjustRightInd w:val="0"/>
        <w:spacing w:line="240" w:lineRule="exact"/>
        <w:rPr>
          <w:rFonts w:ascii="宋体" w:hAnsi="宋体" w:eastAsia="宋体" w:cs="宋体"/>
          <w:color w:val="auto"/>
          <w:sz w:val="24"/>
          <w:highlight w:val="none"/>
        </w:rPr>
      </w:pPr>
    </w:p>
    <w:p w14:paraId="7E82C1FB">
      <w:pPr>
        <w:snapToGrid w:val="0"/>
        <w:spacing w:line="360" w:lineRule="auto"/>
        <w:ind w:firstLine="5460" w:firstLineChars="2600"/>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日期：</w:t>
      </w:r>
      <w:r>
        <w:rPr>
          <w:rFonts w:ascii="宋体" w:hAnsi="宋体" w:eastAsia="宋体" w:cs="宋体"/>
          <w:b w:val="0"/>
          <w:color w:val="auto"/>
          <w:sz w:val="21"/>
          <w:szCs w:val="21"/>
          <w:highlight w:val="none"/>
        </w:rPr>
        <w:t xml:space="preserve">     </w:t>
      </w:r>
      <w:r>
        <w:rPr>
          <w:rFonts w:hint="eastAsia" w:ascii="宋体" w:hAnsi="宋体" w:eastAsia="宋体" w:cs="宋体"/>
          <w:b w:val="0"/>
          <w:color w:val="auto"/>
          <w:sz w:val="21"/>
          <w:szCs w:val="21"/>
          <w:highlight w:val="none"/>
        </w:rPr>
        <w:t>年</w:t>
      </w:r>
      <w:r>
        <w:rPr>
          <w:rFonts w:ascii="宋体" w:hAnsi="宋体" w:eastAsia="宋体" w:cs="宋体"/>
          <w:b w:val="0"/>
          <w:color w:val="auto"/>
          <w:sz w:val="21"/>
          <w:szCs w:val="21"/>
          <w:highlight w:val="none"/>
        </w:rPr>
        <w:t xml:space="preserve">   </w:t>
      </w:r>
      <w:r>
        <w:rPr>
          <w:rFonts w:hint="eastAsia" w:ascii="宋体" w:hAnsi="宋体" w:eastAsia="宋体" w:cs="宋体"/>
          <w:b w:val="0"/>
          <w:color w:val="auto"/>
          <w:sz w:val="21"/>
          <w:szCs w:val="21"/>
          <w:highlight w:val="none"/>
        </w:rPr>
        <w:t>月</w:t>
      </w:r>
      <w:r>
        <w:rPr>
          <w:rFonts w:ascii="宋体" w:hAnsi="宋体" w:eastAsia="宋体" w:cs="宋体"/>
          <w:b w:val="0"/>
          <w:color w:val="auto"/>
          <w:sz w:val="21"/>
          <w:szCs w:val="21"/>
          <w:highlight w:val="none"/>
        </w:rPr>
        <w:t xml:space="preserve">   </w:t>
      </w:r>
      <w:r>
        <w:rPr>
          <w:rFonts w:hint="eastAsia" w:ascii="宋体" w:hAnsi="宋体" w:eastAsia="宋体" w:cs="宋体"/>
          <w:b w:val="0"/>
          <w:color w:val="auto"/>
          <w:sz w:val="21"/>
          <w:szCs w:val="21"/>
          <w:highlight w:val="none"/>
        </w:rPr>
        <w:t>日</w:t>
      </w:r>
    </w:p>
    <w:p w14:paraId="2FEF8AB1">
      <w:pPr>
        <w:rPr>
          <w:rFonts w:ascii="宋体" w:hAnsi="宋体" w:eastAsia="宋体" w:cs="宋体"/>
          <w:b/>
          <w:color w:val="auto"/>
          <w:kern w:val="0"/>
          <w:sz w:val="24"/>
          <w:highlight w:val="none"/>
        </w:rPr>
      </w:pPr>
      <w:r>
        <w:rPr>
          <w:rFonts w:ascii="宋体" w:hAnsi="宋体" w:eastAsia="宋体" w:cs="宋体"/>
          <w:b/>
          <w:color w:val="auto"/>
          <w:kern w:val="0"/>
          <w:sz w:val="24"/>
          <w:highlight w:val="none"/>
        </w:rPr>
        <w:br w:type="page"/>
      </w:r>
    </w:p>
    <w:p w14:paraId="65366F45">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附表八</w:t>
      </w:r>
    </w:p>
    <w:p w14:paraId="4E100878">
      <w:pPr>
        <w:rPr>
          <w:rFonts w:ascii="宋体" w:hAnsi="宋体" w:eastAsia="宋体" w:cs="宋体"/>
          <w:b/>
          <w:color w:val="auto"/>
          <w:kern w:val="0"/>
          <w:sz w:val="24"/>
          <w:highlight w:val="none"/>
        </w:rPr>
      </w:pPr>
    </w:p>
    <w:p w14:paraId="0E40E525">
      <w:pPr>
        <w:snapToGrid w:val="0"/>
        <w:spacing w:line="360" w:lineRule="auto"/>
        <w:jc w:val="center"/>
        <w:rPr>
          <w:rFonts w:ascii="宋体" w:hAnsi="宋体" w:eastAsia="宋体" w:cs="宋体"/>
          <w:b/>
          <w:smallCaps/>
          <w:color w:val="auto"/>
          <w:sz w:val="30"/>
          <w:szCs w:val="30"/>
          <w:highlight w:val="none"/>
        </w:rPr>
      </w:pPr>
      <w:r>
        <w:rPr>
          <w:rFonts w:hint="eastAsia" w:ascii="宋体" w:hAnsi="宋体" w:eastAsia="宋体" w:cs="宋体"/>
          <w:b/>
          <w:smallCaps/>
          <w:color w:val="auto"/>
          <w:sz w:val="30"/>
          <w:szCs w:val="30"/>
          <w:highlight w:val="none"/>
        </w:rPr>
        <w:t>定标阶段（方案因素）得分汇总表</w:t>
      </w:r>
    </w:p>
    <w:p w14:paraId="0FF1B3FA">
      <w:pPr>
        <w:snapToGrid w:val="0"/>
        <w:spacing w:line="360" w:lineRule="auto"/>
        <w:jc w:val="center"/>
        <w:rPr>
          <w:rFonts w:ascii="宋体" w:hAnsi="宋体" w:eastAsia="宋体" w:cs="宋体"/>
          <w:color w:val="auto"/>
          <w:highlight w:val="none"/>
        </w:rPr>
      </w:pPr>
      <w:r>
        <w:rPr>
          <w:rFonts w:hint="eastAsia" w:ascii="宋体" w:hAnsi="宋体" w:eastAsia="宋体" w:cs="宋体"/>
          <w:b/>
          <w:smallCaps/>
          <w:color w:val="auto"/>
          <w:sz w:val="30"/>
          <w:szCs w:val="30"/>
          <w:highlight w:val="none"/>
        </w:rPr>
        <w:t>（定标委员会汇总用表）</w:t>
      </w:r>
    </w:p>
    <w:p w14:paraId="79828EE3">
      <w:pPr>
        <w:rPr>
          <w:rFonts w:ascii="宋体" w:hAnsi="宋体" w:eastAsia="宋体" w:cs="宋体"/>
          <w:color w:val="auto"/>
          <w:sz w:val="24"/>
          <w:highlight w:val="none"/>
        </w:rPr>
      </w:pPr>
      <w:r>
        <w:rPr>
          <w:rFonts w:hint="eastAsia" w:ascii="宋体" w:hAnsi="宋体" w:eastAsia="宋体" w:cs="宋体"/>
          <w:b w:val="0"/>
          <w:color w:val="auto"/>
          <w:sz w:val="24"/>
          <w:szCs w:val="22"/>
          <w:highlight w:val="none"/>
        </w:rPr>
        <w:t>工程名称</w:t>
      </w:r>
      <w:r>
        <w:rPr>
          <w:rFonts w:hint="eastAsia" w:ascii="宋体" w:hAnsi="宋体" w:eastAsia="宋体" w:cs="宋体"/>
          <w:b w:val="0"/>
          <w:color w:val="auto"/>
          <w:sz w:val="24"/>
          <w:highlight w:val="none"/>
        </w:rPr>
        <w:t>：</w:t>
      </w:r>
    </w:p>
    <w:tbl>
      <w:tblPr>
        <w:tblStyle w:val="88"/>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71"/>
        <w:gridCol w:w="992"/>
        <w:gridCol w:w="992"/>
        <w:gridCol w:w="992"/>
        <w:gridCol w:w="992"/>
        <w:gridCol w:w="992"/>
        <w:gridCol w:w="993"/>
      </w:tblGrid>
      <w:tr w14:paraId="11EF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99C645B">
            <w:pPr>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序号</w:t>
            </w:r>
          </w:p>
        </w:tc>
        <w:tc>
          <w:tcPr>
            <w:tcW w:w="2671" w:type="dxa"/>
            <w:tcBorders>
              <w:top w:val="single" w:color="auto" w:sz="4" w:space="0"/>
              <w:left w:val="single" w:color="auto" w:sz="4" w:space="0"/>
              <w:bottom w:val="single" w:color="auto" w:sz="4" w:space="0"/>
              <w:right w:val="single" w:color="auto" w:sz="4" w:space="0"/>
            </w:tcBorders>
            <w:vAlign w:val="center"/>
          </w:tcPr>
          <w:p w14:paraId="060084FE">
            <w:pPr>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合格中标候选人名称</w:t>
            </w:r>
          </w:p>
        </w:tc>
        <w:tc>
          <w:tcPr>
            <w:tcW w:w="992" w:type="dxa"/>
            <w:tcBorders>
              <w:top w:val="single" w:color="auto" w:sz="4" w:space="0"/>
              <w:left w:val="single" w:color="auto" w:sz="4" w:space="0"/>
              <w:bottom w:val="single" w:color="auto" w:sz="4" w:space="0"/>
              <w:right w:val="single" w:color="auto" w:sz="4" w:space="0"/>
            </w:tcBorders>
            <w:vAlign w:val="center"/>
          </w:tcPr>
          <w:p w14:paraId="71B02C40">
            <w:pPr>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评分人</w:t>
            </w:r>
            <w:r>
              <w:rPr>
                <w:rFonts w:ascii="宋体" w:hAnsi="宋体" w:eastAsia="宋体" w:cs="宋体"/>
                <w:b/>
                <w:color w:val="auto"/>
                <w:sz w:val="21"/>
                <w:szCs w:val="21"/>
                <w:highlight w:val="none"/>
              </w:rPr>
              <w:t>1方案因素个人评分</w:t>
            </w:r>
          </w:p>
        </w:tc>
        <w:tc>
          <w:tcPr>
            <w:tcW w:w="992" w:type="dxa"/>
            <w:tcBorders>
              <w:top w:val="single" w:color="auto" w:sz="4" w:space="0"/>
              <w:left w:val="single" w:color="auto" w:sz="4" w:space="0"/>
              <w:bottom w:val="single" w:color="auto" w:sz="4" w:space="0"/>
              <w:right w:val="single" w:color="auto" w:sz="4" w:space="0"/>
            </w:tcBorders>
            <w:vAlign w:val="center"/>
          </w:tcPr>
          <w:p w14:paraId="44FB151D">
            <w:pPr>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评分人</w:t>
            </w:r>
            <w:r>
              <w:rPr>
                <w:rFonts w:ascii="宋体" w:hAnsi="宋体" w:eastAsia="宋体" w:cs="宋体"/>
                <w:b/>
                <w:color w:val="auto"/>
                <w:sz w:val="21"/>
                <w:szCs w:val="21"/>
                <w:highlight w:val="none"/>
              </w:rPr>
              <w:t>2方案因素个人评分</w:t>
            </w:r>
          </w:p>
        </w:tc>
        <w:tc>
          <w:tcPr>
            <w:tcW w:w="992" w:type="dxa"/>
            <w:tcBorders>
              <w:top w:val="single" w:color="auto" w:sz="4" w:space="0"/>
              <w:left w:val="single" w:color="auto" w:sz="4" w:space="0"/>
              <w:bottom w:val="single" w:color="auto" w:sz="4" w:space="0"/>
              <w:right w:val="single" w:color="auto" w:sz="4" w:space="0"/>
            </w:tcBorders>
          </w:tcPr>
          <w:p w14:paraId="6B5E056D">
            <w:pPr>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评分人</w:t>
            </w:r>
            <w:r>
              <w:rPr>
                <w:rFonts w:ascii="宋体" w:hAnsi="宋体" w:eastAsia="宋体" w:cs="宋体"/>
                <w:b/>
                <w:color w:val="auto"/>
                <w:sz w:val="21"/>
                <w:szCs w:val="21"/>
                <w:highlight w:val="none"/>
              </w:rPr>
              <w:t>3方案因素个人评分</w:t>
            </w:r>
          </w:p>
        </w:tc>
        <w:tc>
          <w:tcPr>
            <w:tcW w:w="992" w:type="dxa"/>
            <w:tcBorders>
              <w:top w:val="single" w:color="auto" w:sz="4" w:space="0"/>
              <w:left w:val="single" w:color="auto" w:sz="4" w:space="0"/>
              <w:bottom w:val="single" w:color="auto" w:sz="4" w:space="0"/>
              <w:right w:val="single" w:color="auto" w:sz="4" w:space="0"/>
            </w:tcBorders>
          </w:tcPr>
          <w:p w14:paraId="392D33CE">
            <w:pPr>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评分人</w:t>
            </w:r>
            <w:r>
              <w:rPr>
                <w:rFonts w:ascii="宋体" w:hAnsi="宋体" w:eastAsia="宋体" w:cs="宋体"/>
                <w:b/>
                <w:color w:val="auto"/>
                <w:sz w:val="21"/>
                <w:szCs w:val="21"/>
                <w:highlight w:val="none"/>
              </w:rPr>
              <w:t>4方案因素个人评分</w:t>
            </w:r>
          </w:p>
        </w:tc>
        <w:tc>
          <w:tcPr>
            <w:tcW w:w="992" w:type="dxa"/>
            <w:tcBorders>
              <w:top w:val="single" w:color="auto" w:sz="4" w:space="0"/>
              <w:left w:val="single" w:color="auto" w:sz="4" w:space="0"/>
              <w:bottom w:val="single" w:color="auto" w:sz="4" w:space="0"/>
              <w:right w:val="single" w:color="auto" w:sz="4" w:space="0"/>
            </w:tcBorders>
          </w:tcPr>
          <w:p w14:paraId="265B7EC8">
            <w:pPr>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评分人</w:t>
            </w:r>
            <w:r>
              <w:rPr>
                <w:rFonts w:ascii="宋体" w:hAnsi="宋体" w:eastAsia="宋体" w:cs="宋体"/>
                <w:b/>
                <w:color w:val="auto"/>
                <w:sz w:val="21"/>
                <w:szCs w:val="21"/>
                <w:highlight w:val="none"/>
              </w:rPr>
              <w:t>5方案因素个人评分</w:t>
            </w:r>
          </w:p>
        </w:tc>
        <w:tc>
          <w:tcPr>
            <w:tcW w:w="993" w:type="dxa"/>
            <w:tcBorders>
              <w:top w:val="single" w:color="auto" w:sz="4" w:space="0"/>
              <w:left w:val="single" w:color="auto" w:sz="4" w:space="0"/>
              <w:bottom w:val="single" w:color="auto" w:sz="4" w:space="0"/>
              <w:right w:val="single" w:color="auto" w:sz="4" w:space="0"/>
            </w:tcBorders>
            <w:vAlign w:val="center"/>
          </w:tcPr>
          <w:p w14:paraId="29D5C5BE">
            <w:pPr>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方案因素得分</w:t>
            </w:r>
          </w:p>
        </w:tc>
      </w:tr>
      <w:tr w14:paraId="7D28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4D7A420">
            <w:pPr>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w:t>
            </w:r>
          </w:p>
        </w:tc>
        <w:tc>
          <w:tcPr>
            <w:tcW w:w="2671" w:type="dxa"/>
            <w:tcBorders>
              <w:top w:val="single" w:color="auto" w:sz="4" w:space="0"/>
              <w:left w:val="single" w:color="auto" w:sz="4" w:space="0"/>
              <w:bottom w:val="single" w:color="auto" w:sz="4" w:space="0"/>
              <w:right w:val="single" w:color="auto" w:sz="4" w:space="0"/>
            </w:tcBorders>
            <w:vAlign w:val="center"/>
          </w:tcPr>
          <w:p w14:paraId="136EA758">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9D0086A">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377A6B1">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34CF9432">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21BAF2C3">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17C768A2">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5604C80F">
            <w:pPr>
              <w:jc w:val="center"/>
              <w:rPr>
                <w:rFonts w:ascii="宋体" w:hAnsi="宋体" w:eastAsia="宋体" w:cs="宋体"/>
                <w:color w:val="auto"/>
                <w:szCs w:val="21"/>
                <w:highlight w:val="none"/>
              </w:rPr>
            </w:pPr>
          </w:p>
        </w:tc>
      </w:tr>
      <w:tr w14:paraId="0096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2E93109">
            <w:pPr>
              <w:spacing w:after="120" w:line="480"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w:t>
            </w:r>
          </w:p>
        </w:tc>
        <w:tc>
          <w:tcPr>
            <w:tcW w:w="2671" w:type="dxa"/>
            <w:tcBorders>
              <w:top w:val="single" w:color="auto" w:sz="4" w:space="0"/>
              <w:left w:val="single" w:color="auto" w:sz="4" w:space="0"/>
              <w:bottom w:val="single" w:color="auto" w:sz="4" w:space="0"/>
              <w:right w:val="single" w:color="auto" w:sz="4" w:space="0"/>
            </w:tcBorders>
            <w:vAlign w:val="center"/>
          </w:tcPr>
          <w:p w14:paraId="640A51DA">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A00F07F">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F5A7646">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2F47B07A">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1E5928A6">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6159AE6E">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3796E581">
            <w:pPr>
              <w:jc w:val="center"/>
              <w:rPr>
                <w:rFonts w:ascii="宋体" w:hAnsi="宋体" w:eastAsia="宋体" w:cs="宋体"/>
                <w:color w:val="auto"/>
                <w:szCs w:val="21"/>
                <w:highlight w:val="none"/>
              </w:rPr>
            </w:pPr>
          </w:p>
        </w:tc>
      </w:tr>
      <w:tr w14:paraId="2DE9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3E31E46">
            <w:pPr>
              <w:spacing w:after="120" w:line="480"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w:t>
            </w:r>
          </w:p>
        </w:tc>
        <w:tc>
          <w:tcPr>
            <w:tcW w:w="2671" w:type="dxa"/>
            <w:tcBorders>
              <w:top w:val="single" w:color="auto" w:sz="4" w:space="0"/>
              <w:left w:val="single" w:color="auto" w:sz="4" w:space="0"/>
              <w:bottom w:val="single" w:color="auto" w:sz="4" w:space="0"/>
              <w:right w:val="single" w:color="auto" w:sz="4" w:space="0"/>
            </w:tcBorders>
            <w:vAlign w:val="center"/>
          </w:tcPr>
          <w:p w14:paraId="6085B32C">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F887759">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6B61C10">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15FE9A6E">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09A7E6E3">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40DE77BE">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1B827FE3">
            <w:pPr>
              <w:jc w:val="center"/>
              <w:rPr>
                <w:rFonts w:ascii="宋体" w:hAnsi="宋体" w:eastAsia="宋体" w:cs="宋体"/>
                <w:color w:val="auto"/>
                <w:szCs w:val="21"/>
                <w:highlight w:val="none"/>
              </w:rPr>
            </w:pPr>
          </w:p>
        </w:tc>
      </w:tr>
      <w:tr w14:paraId="1F3A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F3B3D54">
            <w:pPr>
              <w:spacing w:after="120" w:line="480"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4</w:t>
            </w:r>
          </w:p>
        </w:tc>
        <w:tc>
          <w:tcPr>
            <w:tcW w:w="2671" w:type="dxa"/>
            <w:tcBorders>
              <w:top w:val="single" w:color="auto" w:sz="4" w:space="0"/>
              <w:left w:val="single" w:color="auto" w:sz="4" w:space="0"/>
              <w:bottom w:val="single" w:color="auto" w:sz="4" w:space="0"/>
              <w:right w:val="single" w:color="auto" w:sz="4" w:space="0"/>
            </w:tcBorders>
            <w:vAlign w:val="center"/>
          </w:tcPr>
          <w:p w14:paraId="55993E58">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6BCD28B">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F0A03C3">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5CA6DD88">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60E774F8">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2100ED03">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679F9606">
            <w:pPr>
              <w:jc w:val="center"/>
              <w:rPr>
                <w:rFonts w:ascii="宋体" w:hAnsi="宋体" w:eastAsia="宋体" w:cs="宋体"/>
                <w:color w:val="auto"/>
                <w:szCs w:val="21"/>
                <w:highlight w:val="none"/>
              </w:rPr>
            </w:pPr>
          </w:p>
        </w:tc>
      </w:tr>
      <w:tr w14:paraId="33CA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6530ABB">
            <w:pPr>
              <w:spacing w:after="120" w:line="480"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5</w:t>
            </w:r>
          </w:p>
        </w:tc>
        <w:tc>
          <w:tcPr>
            <w:tcW w:w="2671" w:type="dxa"/>
            <w:tcBorders>
              <w:top w:val="single" w:color="auto" w:sz="4" w:space="0"/>
              <w:left w:val="single" w:color="auto" w:sz="4" w:space="0"/>
              <w:bottom w:val="single" w:color="auto" w:sz="4" w:space="0"/>
              <w:right w:val="single" w:color="auto" w:sz="4" w:space="0"/>
            </w:tcBorders>
            <w:vAlign w:val="center"/>
          </w:tcPr>
          <w:p w14:paraId="52E9BD21">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328FBA8">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A95AC16">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13B7104E">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56305793">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783B8C6C">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71A04EFA">
            <w:pPr>
              <w:jc w:val="center"/>
              <w:rPr>
                <w:rFonts w:ascii="宋体" w:hAnsi="宋体" w:eastAsia="宋体" w:cs="宋体"/>
                <w:color w:val="auto"/>
                <w:szCs w:val="21"/>
                <w:highlight w:val="none"/>
              </w:rPr>
            </w:pPr>
          </w:p>
        </w:tc>
      </w:tr>
    </w:tbl>
    <w:p w14:paraId="2E078F5A">
      <w:pPr>
        <w:rPr>
          <w:rFonts w:ascii="宋体" w:hAnsi="宋体" w:eastAsia="宋体" w:cs="宋体"/>
          <w:color w:val="auto"/>
          <w:sz w:val="24"/>
          <w:highlight w:val="none"/>
        </w:rPr>
      </w:pPr>
    </w:p>
    <w:p w14:paraId="34473061">
      <w:pPr>
        <w:spacing w:line="360" w:lineRule="auto"/>
        <w:ind w:right="420"/>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备注：合格的中标候选人</w:t>
      </w:r>
      <w:r>
        <w:rPr>
          <w:rFonts w:hint="eastAsia" w:ascii="宋体" w:hAnsi="宋体" w:eastAsia="宋体" w:cs="宋体"/>
          <w:b w:val="0"/>
          <w:color w:val="auto"/>
          <w:sz w:val="21"/>
          <w:szCs w:val="21"/>
          <w:highlight w:val="none"/>
          <w:lang w:val="zh-CN"/>
        </w:rPr>
        <w:t>方案</w:t>
      </w:r>
      <w:r>
        <w:rPr>
          <w:rFonts w:hint="eastAsia" w:ascii="宋体" w:hAnsi="宋体" w:eastAsia="宋体" w:cs="宋体"/>
          <w:b w:val="0"/>
          <w:color w:val="auto"/>
          <w:sz w:val="21"/>
          <w:szCs w:val="21"/>
          <w:highlight w:val="none"/>
          <w:lang w:val="en-US" w:eastAsia="zh-CN"/>
        </w:rPr>
        <w:t>因素</w:t>
      </w:r>
      <w:r>
        <w:rPr>
          <w:rFonts w:hint="eastAsia" w:ascii="宋体" w:hAnsi="宋体" w:eastAsia="宋体" w:cs="宋体"/>
          <w:b w:val="0"/>
          <w:color w:val="auto"/>
          <w:sz w:val="21"/>
          <w:szCs w:val="21"/>
          <w:highlight w:val="none"/>
        </w:rPr>
        <w:t>得分为所有定标委员会成员对同一</w:t>
      </w:r>
      <w:r>
        <w:rPr>
          <w:rFonts w:hint="eastAsia" w:ascii="宋体" w:hAnsi="宋体" w:eastAsia="宋体" w:cs="宋体"/>
          <w:b w:val="0"/>
          <w:color w:val="auto"/>
          <w:sz w:val="21"/>
          <w:szCs w:val="21"/>
          <w:highlight w:val="none"/>
          <w:lang w:val="en-US" w:eastAsia="zh-CN"/>
        </w:rPr>
        <w:t>投标人</w:t>
      </w:r>
      <w:r>
        <w:rPr>
          <w:rFonts w:hint="eastAsia" w:ascii="宋体" w:hAnsi="宋体" w:eastAsia="宋体" w:cs="宋体"/>
          <w:color w:val="auto"/>
          <w:szCs w:val="21"/>
          <w:highlight w:val="none"/>
          <w:lang w:eastAsia="zh-CN"/>
        </w:rPr>
        <w:t>方案因素的各项</w:t>
      </w:r>
      <w:r>
        <w:rPr>
          <w:rFonts w:hint="eastAsia" w:ascii="宋体" w:hAnsi="宋体" w:eastAsia="宋体" w:cs="宋体"/>
          <w:b w:val="0"/>
          <w:color w:val="auto"/>
          <w:szCs w:val="21"/>
          <w:highlight w:val="none"/>
          <w:u w:val="none"/>
        </w:rPr>
        <w:t>评分相加去掉一个最高分和一个最低分后计取的算术平均值</w:t>
      </w:r>
      <w:r>
        <w:rPr>
          <w:rFonts w:hint="eastAsia" w:ascii="宋体" w:hAnsi="宋体" w:eastAsia="宋体" w:cs="宋体"/>
          <w:color w:val="auto"/>
          <w:szCs w:val="21"/>
          <w:highlight w:val="none"/>
        </w:rPr>
        <w:t>（若分数出现小数点时，保留小数点后二位，第三位小数四舍五入）</w:t>
      </w:r>
      <w:r>
        <w:rPr>
          <w:rFonts w:hint="eastAsia" w:ascii="宋体" w:hAnsi="宋体" w:eastAsia="宋体" w:cs="宋体"/>
          <w:b w:val="0"/>
          <w:color w:val="auto"/>
          <w:sz w:val="21"/>
          <w:szCs w:val="21"/>
          <w:highlight w:val="none"/>
        </w:rPr>
        <w:t>。</w:t>
      </w:r>
    </w:p>
    <w:p w14:paraId="3C06C2F6">
      <w:pPr>
        <w:pStyle w:val="2"/>
        <w:tabs>
          <w:tab w:val="right" w:leader="dot" w:pos="9060"/>
        </w:tabs>
        <w:rPr>
          <w:rFonts w:ascii="宋体" w:hAnsi="宋体" w:eastAsia="宋体" w:cs="宋体"/>
          <w:color w:val="auto"/>
          <w:highlight w:val="none"/>
        </w:rPr>
      </w:pPr>
    </w:p>
    <w:p w14:paraId="318FEE93">
      <w:pPr>
        <w:spacing w:line="360" w:lineRule="auto"/>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定标委员会全体成员签名：</w:t>
      </w:r>
    </w:p>
    <w:p w14:paraId="4E3B269F">
      <w:pPr>
        <w:snapToGrid w:val="0"/>
        <w:spacing w:line="360" w:lineRule="auto"/>
        <w:ind w:firstLine="5250" w:firstLineChars="2500"/>
        <w:jc w:val="left"/>
        <w:rPr>
          <w:rFonts w:ascii="宋体" w:hAnsi="宋体" w:eastAsia="宋体" w:cs="宋体"/>
          <w:color w:val="auto"/>
          <w:szCs w:val="21"/>
          <w:highlight w:val="none"/>
        </w:rPr>
      </w:pPr>
    </w:p>
    <w:p w14:paraId="632C8E1C">
      <w:pPr>
        <w:snapToGrid w:val="0"/>
        <w:spacing w:line="360" w:lineRule="auto"/>
        <w:ind w:firstLine="5250" w:firstLineChars="2500"/>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日期：</w:t>
      </w:r>
      <w:r>
        <w:rPr>
          <w:rFonts w:ascii="宋体" w:hAnsi="宋体" w:eastAsia="宋体" w:cs="宋体"/>
          <w:b w:val="0"/>
          <w:color w:val="auto"/>
          <w:sz w:val="21"/>
          <w:szCs w:val="21"/>
          <w:highlight w:val="none"/>
        </w:rPr>
        <w:t xml:space="preserve">     </w:t>
      </w:r>
      <w:r>
        <w:rPr>
          <w:rFonts w:hint="eastAsia" w:ascii="宋体" w:hAnsi="宋体" w:eastAsia="宋体" w:cs="宋体"/>
          <w:b w:val="0"/>
          <w:color w:val="auto"/>
          <w:sz w:val="21"/>
          <w:szCs w:val="21"/>
          <w:highlight w:val="none"/>
        </w:rPr>
        <w:t>年</w:t>
      </w:r>
      <w:r>
        <w:rPr>
          <w:rFonts w:ascii="宋体" w:hAnsi="宋体" w:eastAsia="宋体" w:cs="宋体"/>
          <w:b w:val="0"/>
          <w:color w:val="auto"/>
          <w:sz w:val="21"/>
          <w:szCs w:val="21"/>
          <w:highlight w:val="none"/>
        </w:rPr>
        <w:t xml:space="preserve">   </w:t>
      </w:r>
      <w:r>
        <w:rPr>
          <w:rFonts w:hint="eastAsia" w:ascii="宋体" w:hAnsi="宋体" w:eastAsia="宋体" w:cs="宋体"/>
          <w:b w:val="0"/>
          <w:color w:val="auto"/>
          <w:sz w:val="21"/>
          <w:szCs w:val="21"/>
          <w:highlight w:val="none"/>
        </w:rPr>
        <w:t>月</w:t>
      </w:r>
      <w:r>
        <w:rPr>
          <w:rFonts w:ascii="宋体" w:hAnsi="宋体" w:eastAsia="宋体" w:cs="宋体"/>
          <w:b w:val="0"/>
          <w:color w:val="auto"/>
          <w:sz w:val="21"/>
          <w:szCs w:val="21"/>
          <w:highlight w:val="none"/>
        </w:rPr>
        <w:t xml:space="preserve">   </w:t>
      </w:r>
      <w:r>
        <w:rPr>
          <w:rFonts w:hint="eastAsia" w:ascii="宋体" w:hAnsi="宋体" w:eastAsia="宋体" w:cs="宋体"/>
          <w:b w:val="0"/>
          <w:color w:val="auto"/>
          <w:sz w:val="21"/>
          <w:szCs w:val="21"/>
          <w:highlight w:val="none"/>
        </w:rPr>
        <w:t>日</w:t>
      </w:r>
    </w:p>
    <w:p w14:paraId="2E36C693">
      <w:pPr>
        <w:snapToGrid w:val="0"/>
        <w:spacing w:line="360" w:lineRule="atLeast"/>
        <w:jc w:val="left"/>
        <w:outlineLvl w:val="2"/>
        <w:rPr>
          <w:rFonts w:ascii="宋体" w:hAnsi="宋体" w:eastAsia="宋体" w:cs="宋体"/>
          <w:color w:val="auto"/>
          <w:szCs w:val="21"/>
          <w:highlight w:val="none"/>
        </w:rPr>
      </w:pPr>
    </w:p>
    <w:p w14:paraId="00BB2672">
      <w:pPr>
        <w:rPr>
          <w:rFonts w:ascii="宋体" w:hAnsi="宋体" w:eastAsia="宋体" w:cs="宋体"/>
          <w:color w:val="auto"/>
          <w:szCs w:val="21"/>
          <w:highlight w:val="none"/>
        </w:rPr>
      </w:pPr>
      <w:r>
        <w:rPr>
          <w:rFonts w:ascii="宋体" w:hAnsi="宋体" w:eastAsia="宋体" w:cs="宋体"/>
          <w:b w:val="0"/>
          <w:color w:val="auto"/>
          <w:szCs w:val="21"/>
          <w:highlight w:val="none"/>
        </w:rPr>
        <w:br w:type="page"/>
      </w:r>
    </w:p>
    <w:p w14:paraId="681CC883">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附表九</w:t>
      </w:r>
    </w:p>
    <w:p w14:paraId="02C34DDC">
      <w:pPr>
        <w:spacing w:line="360" w:lineRule="exact"/>
        <w:ind w:right="-325" w:rightChars="-155"/>
        <w:jc w:val="left"/>
        <w:rPr>
          <w:rFonts w:ascii="宋体" w:hAnsi="宋体" w:eastAsia="宋体" w:cs="宋体"/>
          <w:color w:val="auto"/>
          <w:szCs w:val="21"/>
          <w:highlight w:val="none"/>
        </w:rPr>
      </w:pPr>
    </w:p>
    <w:p w14:paraId="5A381C37">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定标阶段（价格因素）评审得分表</w:t>
      </w:r>
    </w:p>
    <w:p w14:paraId="1A3714DB">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（定标委员会汇总用表）</w:t>
      </w:r>
    </w:p>
    <w:p w14:paraId="005BB0DF">
      <w:pPr>
        <w:rPr>
          <w:rFonts w:ascii="宋体" w:hAnsi="宋体" w:eastAsia="宋体" w:cs="宋体"/>
          <w:color w:val="auto"/>
          <w:sz w:val="24"/>
          <w:highlight w:val="none"/>
        </w:rPr>
      </w:pPr>
      <w:r>
        <w:rPr>
          <w:rFonts w:hint="eastAsia" w:ascii="宋体" w:hAnsi="宋体" w:eastAsia="宋体" w:cs="宋体"/>
          <w:b w:val="0"/>
          <w:color w:val="auto"/>
          <w:sz w:val="24"/>
          <w:highlight w:val="none"/>
        </w:rPr>
        <w:t>工程名称：</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187"/>
        <w:gridCol w:w="1558"/>
        <w:gridCol w:w="1558"/>
        <w:gridCol w:w="1418"/>
        <w:gridCol w:w="821"/>
        <w:gridCol w:w="1085"/>
      </w:tblGrid>
      <w:tr w14:paraId="2AE5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A9751B0">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序号</w:t>
            </w:r>
          </w:p>
        </w:tc>
        <w:tc>
          <w:tcPr>
            <w:tcW w:w="1183" w:type="pct"/>
            <w:tcBorders>
              <w:top w:val="single" w:color="auto" w:sz="4" w:space="0"/>
              <w:left w:val="single" w:color="auto" w:sz="4" w:space="0"/>
              <w:bottom w:val="single" w:color="auto" w:sz="4" w:space="0"/>
              <w:right w:val="single" w:color="auto" w:sz="4" w:space="0"/>
            </w:tcBorders>
            <w:vAlign w:val="center"/>
          </w:tcPr>
          <w:p w14:paraId="71182A4C">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合格中标候选人名称</w:t>
            </w:r>
          </w:p>
        </w:tc>
        <w:tc>
          <w:tcPr>
            <w:tcW w:w="843" w:type="pct"/>
            <w:tcBorders>
              <w:top w:val="single" w:color="auto" w:sz="4" w:space="0"/>
              <w:left w:val="single" w:color="auto" w:sz="4" w:space="0"/>
              <w:bottom w:val="single" w:color="auto" w:sz="4" w:space="0"/>
              <w:right w:val="single" w:color="auto" w:sz="4" w:space="0"/>
            </w:tcBorders>
            <w:vAlign w:val="center"/>
          </w:tcPr>
          <w:p w14:paraId="76FDCAC0">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投标报价</w:t>
            </w:r>
            <w:r>
              <w:rPr>
                <w:rFonts w:ascii="宋体" w:hAnsi="宋体" w:eastAsia="宋体" w:cs="宋体"/>
                <w:b/>
                <w:bCs/>
                <w:color w:val="auto"/>
                <w:kern w:val="0"/>
                <w:sz w:val="21"/>
                <w:szCs w:val="21"/>
                <w:highlight w:val="none"/>
                <w:lang w:bidi="ar"/>
              </w:rPr>
              <w:t>PT（元）</w:t>
            </w:r>
          </w:p>
        </w:tc>
        <w:tc>
          <w:tcPr>
            <w:tcW w:w="843" w:type="pct"/>
            <w:tcBorders>
              <w:top w:val="single" w:color="auto" w:sz="4" w:space="0"/>
              <w:left w:val="single" w:color="auto" w:sz="4" w:space="0"/>
              <w:bottom w:val="single" w:color="auto" w:sz="4" w:space="0"/>
              <w:right w:val="single" w:color="auto" w:sz="4" w:space="0"/>
            </w:tcBorders>
            <w:vAlign w:val="center"/>
          </w:tcPr>
          <w:p w14:paraId="603BE205">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定标</w:t>
            </w:r>
            <w:r>
              <w:rPr>
                <w:rFonts w:hint="eastAsia" w:ascii="宋体" w:hAnsi="宋体" w:eastAsia="宋体" w:cs="宋体"/>
                <w:b/>
                <w:bCs/>
                <w:color w:val="auto"/>
                <w:kern w:val="0"/>
                <w:sz w:val="21"/>
                <w:szCs w:val="21"/>
                <w:highlight w:val="none"/>
                <w:lang w:val="en-US" w:eastAsia="zh-CN" w:bidi="ar"/>
              </w:rPr>
              <w:t>基准</w:t>
            </w:r>
            <w:r>
              <w:rPr>
                <w:rFonts w:hint="eastAsia" w:ascii="宋体" w:hAnsi="宋体" w:eastAsia="宋体" w:cs="宋体"/>
                <w:b/>
                <w:bCs/>
                <w:color w:val="auto"/>
                <w:kern w:val="0"/>
                <w:sz w:val="21"/>
                <w:szCs w:val="21"/>
                <w:highlight w:val="none"/>
                <w:lang w:bidi="ar"/>
              </w:rPr>
              <w:t>价</w:t>
            </w:r>
            <w:r>
              <w:rPr>
                <w:rFonts w:ascii="宋体" w:hAnsi="宋体" w:eastAsia="宋体" w:cs="宋体"/>
                <w:b/>
                <w:bCs/>
                <w:color w:val="auto"/>
                <w:kern w:val="0"/>
                <w:sz w:val="21"/>
                <w:szCs w:val="21"/>
                <w:highlight w:val="none"/>
                <w:lang w:bidi="ar"/>
              </w:rPr>
              <w:t>PC（元）</w:t>
            </w:r>
          </w:p>
        </w:tc>
        <w:tc>
          <w:tcPr>
            <w:tcW w:w="767" w:type="pct"/>
            <w:tcBorders>
              <w:top w:val="single" w:color="auto" w:sz="4" w:space="0"/>
              <w:left w:val="single" w:color="auto" w:sz="4" w:space="0"/>
              <w:bottom w:val="single" w:color="auto" w:sz="4" w:space="0"/>
              <w:right w:val="single" w:color="auto" w:sz="4" w:space="0"/>
            </w:tcBorders>
            <w:vAlign w:val="center"/>
          </w:tcPr>
          <w:p w14:paraId="22CE36C8">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偏差</w:t>
            </w:r>
            <w:r>
              <w:rPr>
                <w:rFonts w:ascii="宋体" w:hAnsi="宋体" w:eastAsia="宋体" w:cs="宋体"/>
                <w:b/>
                <w:bCs/>
                <w:color w:val="auto"/>
                <w:kern w:val="0"/>
                <w:sz w:val="21"/>
                <w:szCs w:val="21"/>
                <w:highlight w:val="none"/>
                <w:lang w:bidi="ar"/>
              </w:rPr>
              <w:t>(（PT-PC）/PC）（%）</w:t>
            </w:r>
          </w:p>
        </w:tc>
        <w:tc>
          <w:tcPr>
            <w:tcW w:w="444" w:type="pct"/>
            <w:tcBorders>
              <w:top w:val="single" w:color="auto" w:sz="4" w:space="0"/>
              <w:left w:val="single" w:color="auto" w:sz="4" w:space="0"/>
              <w:bottom w:val="single" w:color="auto" w:sz="4" w:space="0"/>
              <w:right w:val="single" w:color="auto" w:sz="4" w:space="0"/>
            </w:tcBorders>
            <w:vAlign w:val="center"/>
          </w:tcPr>
          <w:p w14:paraId="58833BFE">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减分（</w:t>
            </w:r>
            <w:r>
              <w:rPr>
                <w:rFonts w:ascii="宋体" w:hAnsi="宋体" w:eastAsia="宋体" w:cs="宋体"/>
                <w:b/>
                <w:bCs/>
                <w:color w:val="auto"/>
                <w:kern w:val="0"/>
                <w:sz w:val="21"/>
                <w:szCs w:val="21"/>
                <w:highlight w:val="none"/>
                <w:lang w:bidi="ar"/>
              </w:rPr>
              <w:t>A）</w:t>
            </w:r>
          </w:p>
        </w:tc>
        <w:tc>
          <w:tcPr>
            <w:tcW w:w="587" w:type="pct"/>
            <w:tcBorders>
              <w:top w:val="single" w:color="auto" w:sz="4" w:space="0"/>
              <w:left w:val="single" w:color="auto" w:sz="4" w:space="0"/>
              <w:bottom w:val="single" w:color="auto" w:sz="4" w:space="0"/>
              <w:right w:val="single" w:color="auto" w:sz="4" w:space="0"/>
            </w:tcBorders>
            <w:vAlign w:val="center"/>
          </w:tcPr>
          <w:p w14:paraId="4199B03A">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价格因素得分</w:t>
            </w:r>
            <w:r>
              <w:rPr>
                <w:rFonts w:ascii="宋体" w:hAnsi="宋体" w:eastAsia="宋体" w:cs="宋体"/>
                <w:b/>
                <w:bCs/>
                <w:color w:val="auto"/>
                <w:kern w:val="0"/>
                <w:sz w:val="21"/>
                <w:szCs w:val="21"/>
                <w:highlight w:val="none"/>
                <w:lang w:bidi="ar"/>
              </w:rPr>
              <w:t>(I=100-A)</w:t>
            </w:r>
          </w:p>
        </w:tc>
      </w:tr>
      <w:tr w14:paraId="40D4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5980BF51">
            <w:pPr>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w:t>
            </w:r>
          </w:p>
        </w:tc>
        <w:tc>
          <w:tcPr>
            <w:tcW w:w="1183" w:type="pct"/>
            <w:tcBorders>
              <w:top w:val="single" w:color="auto" w:sz="4" w:space="0"/>
              <w:left w:val="single" w:color="auto" w:sz="4" w:space="0"/>
              <w:bottom w:val="single" w:color="auto" w:sz="4" w:space="0"/>
              <w:right w:val="single" w:color="auto" w:sz="4" w:space="0"/>
            </w:tcBorders>
            <w:vAlign w:val="center"/>
          </w:tcPr>
          <w:p w14:paraId="60AD955F">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189C2773">
            <w:pPr>
              <w:jc w:val="center"/>
              <w:rPr>
                <w:rFonts w:ascii="宋体" w:hAnsi="宋体" w:eastAsia="宋体" w:cs="宋体"/>
                <w:color w:val="auto"/>
                <w:szCs w:val="21"/>
                <w:highlight w:val="none"/>
              </w:rPr>
            </w:pPr>
          </w:p>
        </w:tc>
        <w:tc>
          <w:tcPr>
            <w:tcW w:w="843" w:type="pct"/>
            <w:vMerge w:val="restart"/>
            <w:tcBorders>
              <w:top w:val="single" w:color="auto" w:sz="4" w:space="0"/>
              <w:left w:val="single" w:color="auto" w:sz="4" w:space="0"/>
              <w:right w:val="single" w:color="auto" w:sz="4" w:space="0"/>
            </w:tcBorders>
            <w:vAlign w:val="center"/>
          </w:tcPr>
          <w:p w14:paraId="53E9D067">
            <w:pPr>
              <w:jc w:val="center"/>
              <w:rPr>
                <w:rFonts w:ascii="宋体" w:hAnsi="宋体" w:eastAsia="宋体" w:cs="宋体"/>
                <w:color w:val="auto"/>
                <w:szCs w:val="21"/>
                <w:highlight w:val="none"/>
              </w:rPr>
            </w:pPr>
          </w:p>
        </w:tc>
        <w:tc>
          <w:tcPr>
            <w:tcW w:w="767" w:type="pct"/>
            <w:tcBorders>
              <w:top w:val="single" w:color="auto" w:sz="4" w:space="0"/>
              <w:left w:val="single" w:color="auto" w:sz="4" w:space="0"/>
              <w:right w:val="single" w:color="auto" w:sz="4" w:space="0"/>
            </w:tcBorders>
            <w:vAlign w:val="center"/>
          </w:tcPr>
          <w:p w14:paraId="7D6A6E44">
            <w:pPr>
              <w:jc w:val="center"/>
              <w:rPr>
                <w:rFonts w:ascii="宋体" w:hAnsi="宋体" w:eastAsia="宋体" w:cs="宋体"/>
                <w:color w:val="auto"/>
                <w:szCs w:val="21"/>
                <w:highlight w:val="none"/>
              </w:rPr>
            </w:pPr>
          </w:p>
        </w:tc>
        <w:tc>
          <w:tcPr>
            <w:tcW w:w="444" w:type="pct"/>
            <w:tcBorders>
              <w:top w:val="single" w:color="auto" w:sz="4" w:space="0"/>
              <w:left w:val="single" w:color="auto" w:sz="4" w:space="0"/>
              <w:right w:val="single" w:color="auto" w:sz="4" w:space="0"/>
            </w:tcBorders>
            <w:vAlign w:val="center"/>
          </w:tcPr>
          <w:p w14:paraId="195F43EE">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4F319793">
            <w:pPr>
              <w:jc w:val="center"/>
              <w:rPr>
                <w:rFonts w:ascii="宋体" w:hAnsi="宋体" w:eastAsia="宋体" w:cs="宋体"/>
                <w:color w:val="auto"/>
                <w:szCs w:val="21"/>
                <w:highlight w:val="none"/>
              </w:rPr>
            </w:pPr>
          </w:p>
        </w:tc>
      </w:tr>
      <w:tr w14:paraId="53B3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52DE157">
            <w:pPr>
              <w:spacing w:after="120" w:line="480"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w:t>
            </w:r>
          </w:p>
        </w:tc>
        <w:tc>
          <w:tcPr>
            <w:tcW w:w="1183" w:type="pct"/>
            <w:tcBorders>
              <w:top w:val="single" w:color="auto" w:sz="4" w:space="0"/>
              <w:left w:val="single" w:color="auto" w:sz="4" w:space="0"/>
              <w:bottom w:val="single" w:color="auto" w:sz="4" w:space="0"/>
              <w:right w:val="single" w:color="auto" w:sz="4" w:space="0"/>
            </w:tcBorders>
            <w:vAlign w:val="center"/>
          </w:tcPr>
          <w:p w14:paraId="37879F21">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02EA703B">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754CA969">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vAlign w:val="center"/>
          </w:tcPr>
          <w:p w14:paraId="04057701">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2D398C6A">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4BE674B1">
            <w:pPr>
              <w:jc w:val="center"/>
              <w:rPr>
                <w:rFonts w:ascii="宋体" w:hAnsi="宋体" w:eastAsia="宋体" w:cs="宋体"/>
                <w:color w:val="auto"/>
                <w:szCs w:val="21"/>
                <w:highlight w:val="none"/>
              </w:rPr>
            </w:pPr>
          </w:p>
        </w:tc>
      </w:tr>
      <w:tr w14:paraId="5DB0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2ADBFF2F">
            <w:pPr>
              <w:spacing w:after="120" w:line="480"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w:t>
            </w:r>
          </w:p>
        </w:tc>
        <w:tc>
          <w:tcPr>
            <w:tcW w:w="1183" w:type="pct"/>
            <w:tcBorders>
              <w:top w:val="single" w:color="auto" w:sz="4" w:space="0"/>
              <w:left w:val="single" w:color="auto" w:sz="4" w:space="0"/>
              <w:bottom w:val="single" w:color="auto" w:sz="4" w:space="0"/>
              <w:right w:val="single" w:color="auto" w:sz="4" w:space="0"/>
            </w:tcBorders>
            <w:vAlign w:val="center"/>
          </w:tcPr>
          <w:p w14:paraId="03403A82">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70558AFE">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6CA09065">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vAlign w:val="center"/>
          </w:tcPr>
          <w:p w14:paraId="73631B8B">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7D52D7A9">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589ACDD6">
            <w:pPr>
              <w:jc w:val="center"/>
              <w:rPr>
                <w:rFonts w:ascii="宋体" w:hAnsi="宋体" w:eastAsia="宋体" w:cs="宋体"/>
                <w:color w:val="auto"/>
                <w:szCs w:val="21"/>
                <w:highlight w:val="none"/>
              </w:rPr>
            </w:pPr>
          </w:p>
        </w:tc>
      </w:tr>
      <w:tr w14:paraId="290B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76A0120A">
            <w:pPr>
              <w:spacing w:after="120" w:line="480"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4</w:t>
            </w:r>
          </w:p>
        </w:tc>
        <w:tc>
          <w:tcPr>
            <w:tcW w:w="1183" w:type="pct"/>
            <w:tcBorders>
              <w:top w:val="single" w:color="auto" w:sz="4" w:space="0"/>
              <w:left w:val="single" w:color="auto" w:sz="4" w:space="0"/>
              <w:bottom w:val="single" w:color="auto" w:sz="4" w:space="0"/>
              <w:right w:val="single" w:color="auto" w:sz="4" w:space="0"/>
            </w:tcBorders>
            <w:vAlign w:val="center"/>
          </w:tcPr>
          <w:p w14:paraId="0856E2D4">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09AA3526">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0218A2AC">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vAlign w:val="center"/>
          </w:tcPr>
          <w:p w14:paraId="41D3F3B5">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1A418AC4">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07D8390D">
            <w:pPr>
              <w:jc w:val="center"/>
              <w:rPr>
                <w:rFonts w:ascii="宋体" w:hAnsi="宋体" w:eastAsia="宋体" w:cs="宋体"/>
                <w:color w:val="auto"/>
                <w:szCs w:val="21"/>
                <w:highlight w:val="none"/>
              </w:rPr>
            </w:pPr>
          </w:p>
        </w:tc>
      </w:tr>
      <w:tr w14:paraId="0556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5AE5364B">
            <w:pPr>
              <w:spacing w:after="120" w:line="480" w:lineRule="auto"/>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5</w:t>
            </w:r>
          </w:p>
        </w:tc>
        <w:tc>
          <w:tcPr>
            <w:tcW w:w="1183" w:type="pct"/>
            <w:tcBorders>
              <w:top w:val="single" w:color="auto" w:sz="4" w:space="0"/>
              <w:left w:val="single" w:color="auto" w:sz="4" w:space="0"/>
              <w:bottom w:val="single" w:color="auto" w:sz="4" w:space="0"/>
              <w:right w:val="single" w:color="auto" w:sz="4" w:space="0"/>
            </w:tcBorders>
            <w:vAlign w:val="center"/>
          </w:tcPr>
          <w:p w14:paraId="7E6BDAB9">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4654EAB3">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31450C47">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vAlign w:val="center"/>
          </w:tcPr>
          <w:p w14:paraId="12333D0C">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6FCF33F8">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3DA0863F">
            <w:pPr>
              <w:jc w:val="center"/>
              <w:rPr>
                <w:rFonts w:ascii="宋体" w:hAnsi="宋体" w:eastAsia="宋体" w:cs="宋体"/>
                <w:color w:val="auto"/>
                <w:szCs w:val="21"/>
                <w:highlight w:val="none"/>
              </w:rPr>
            </w:pPr>
          </w:p>
        </w:tc>
      </w:tr>
    </w:tbl>
    <w:p w14:paraId="6F8BF077">
      <w:pPr>
        <w:spacing w:line="360" w:lineRule="auto"/>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备注：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r>
        <w:rPr>
          <w:rFonts w:hint="eastAsia" w:ascii="宋体" w:hAnsi="宋体" w:eastAsia="宋体" w:cs="宋体"/>
          <w:color w:val="auto"/>
          <w:szCs w:val="21"/>
          <w:highlight w:val="none"/>
        </w:rPr>
        <w:t>。</w:t>
      </w:r>
    </w:p>
    <w:p w14:paraId="441B5675">
      <w:pPr>
        <w:spacing w:line="360" w:lineRule="auto"/>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定标委员会全体成员签名：</w:t>
      </w:r>
      <w:r>
        <w:rPr>
          <w:rFonts w:ascii="宋体" w:hAnsi="宋体" w:eastAsia="宋体" w:cs="宋体"/>
          <w:b w:val="0"/>
          <w:color w:val="auto"/>
          <w:sz w:val="21"/>
          <w:szCs w:val="21"/>
          <w:highlight w:val="none"/>
        </w:rPr>
        <w:t xml:space="preserve">                                    </w:t>
      </w:r>
    </w:p>
    <w:p w14:paraId="2A0A281A">
      <w:pPr>
        <w:spacing w:line="360" w:lineRule="auto"/>
        <w:ind w:right="669"/>
        <w:jc w:val="left"/>
        <w:rPr>
          <w:rFonts w:ascii="宋体" w:hAnsi="宋体" w:eastAsia="宋体" w:cs="宋体"/>
          <w:color w:val="auto"/>
          <w:szCs w:val="21"/>
          <w:highlight w:val="none"/>
        </w:rPr>
      </w:pPr>
    </w:p>
    <w:p w14:paraId="5FFD8BC4">
      <w:pPr>
        <w:spacing w:line="360" w:lineRule="auto"/>
        <w:ind w:right="669"/>
        <w:jc w:val="right"/>
        <w:rPr>
          <w:rFonts w:ascii="宋体" w:hAnsi="宋体" w:eastAsia="宋体" w:cs="宋体"/>
          <w:color w:val="auto"/>
          <w:sz w:val="24"/>
          <w:highlight w:val="none"/>
        </w:rPr>
      </w:pPr>
      <w:r>
        <w:rPr>
          <w:rFonts w:hint="eastAsia" w:ascii="宋体" w:hAnsi="宋体" w:eastAsia="宋体" w:cs="宋体"/>
          <w:b w:val="0"/>
          <w:color w:val="auto"/>
          <w:sz w:val="21"/>
          <w:szCs w:val="21"/>
          <w:highlight w:val="none"/>
        </w:rPr>
        <w:t>日期：</w:t>
      </w:r>
      <w:r>
        <w:rPr>
          <w:rFonts w:ascii="宋体" w:hAnsi="宋体" w:eastAsia="宋体" w:cs="宋体"/>
          <w:b w:val="0"/>
          <w:color w:val="auto"/>
          <w:sz w:val="21"/>
          <w:szCs w:val="21"/>
          <w:highlight w:val="none"/>
        </w:rPr>
        <w:t xml:space="preserve">     </w:t>
      </w:r>
      <w:r>
        <w:rPr>
          <w:rFonts w:hint="eastAsia" w:ascii="宋体" w:hAnsi="宋体" w:eastAsia="宋体" w:cs="宋体"/>
          <w:b w:val="0"/>
          <w:color w:val="auto"/>
          <w:sz w:val="21"/>
          <w:szCs w:val="21"/>
          <w:highlight w:val="none"/>
        </w:rPr>
        <w:t>年</w:t>
      </w:r>
      <w:r>
        <w:rPr>
          <w:rFonts w:ascii="宋体" w:hAnsi="宋体" w:eastAsia="宋体" w:cs="宋体"/>
          <w:b w:val="0"/>
          <w:color w:val="auto"/>
          <w:sz w:val="21"/>
          <w:szCs w:val="21"/>
          <w:highlight w:val="none"/>
        </w:rPr>
        <w:t xml:space="preserve">   </w:t>
      </w:r>
      <w:r>
        <w:rPr>
          <w:rFonts w:hint="eastAsia" w:ascii="宋体" w:hAnsi="宋体" w:eastAsia="宋体" w:cs="宋体"/>
          <w:b w:val="0"/>
          <w:color w:val="auto"/>
          <w:sz w:val="21"/>
          <w:szCs w:val="21"/>
          <w:highlight w:val="none"/>
        </w:rPr>
        <w:t>月</w:t>
      </w:r>
      <w:r>
        <w:rPr>
          <w:rFonts w:ascii="宋体" w:hAnsi="宋体" w:eastAsia="宋体" w:cs="宋体"/>
          <w:b w:val="0"/>
          <w:color w:val="auto"/>
          <w:sz w:val="21"/>
          <w:szCs w:val="21"/>
          <w:highlight w:val="none"/>
        </w:rPr>
        <w:t xml:space="preserve">   </w:t>
      </w:r>
      <w:r>
        <w:rPr>
          <w:rFonts w:hint="eastAsia" w:ascii="宋体" w:hAnsi="宋体" w:eastAsia="宋体" w:cs="宋体"/>
          <w:b w:val="0"/>
          <w:color w:val="auto"/>
          <w:sz w:val="21"/>
          <w:szCs w:val="21"/>
          <w:highlight w:val="none"/>
        </w:rPr>
        <w:t>日</w:t>
      </w:r>
    </w:p>
    <w:p w14:paraId="6A7C51C0">
      <w:pPr>
        <w:pStyle w:val="243"/>
        <w:rPr>
          <w:rFonts w:ascii="宋体" w:hAnsi="宋体" w:eastAsia="宋体" w:cs="宋体"/>
          <w:color w:val="auto"/>
          <w:sz w:val="21"/>
          <w:szCs w:val="21"/>
          <w:highlight w:val="none"/>
        </w:rPr>
      </w:pPr>
    </w:p>
    <w:p w14:paraId="25E3E07C">
      <w:pPr>
        <w:pStyle w:val="243"/>
        <w:rPr>
          <w:rFonts w:ascii="宋体" w:hAnsi="宋体" w:eastAsia="宋体" w:cs="宋体"/>
          <w:color w:val="auto"/>
          <w:sz w:val="21"/>
          <w:szCs w:val="21"/>
          <w:highlight w:val="none"/>
        </w:rPr>
        <w:sectPr>
          <w:pgSz w:w="11906" w:h="16838"/>
          <w:pgMar w:top="1440" w:right="1440" w:bottom="1440" w:left="1440" w:header="851" w:footer="992" w:gutter="0"/>
          <w:pgNumType w:fmt="decimal"/>
          <w:cols w:space="0" w:num="1"/>
          <w:docGrid w:type="lines" w:linePitch="322" w:charSpace="0"/>
        </w:sectPr>
      </w:pPr>
    </w:p>
    <w:p w14:paraId="49399727">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附表十</w:t>
      </w:r>
    </w:p>
    <w:p w14:paraId="201D0B5C">
      <w:pPr>
        <w:jc w:val="center"/>
        <w:outlineLvl w:val="2"/>
        <w:rPr>
          <w:rFonts w:ascii="宋体" w:hAnsi="宋体" w:eastAsia="宋体" w:cs="宋体"/>
          <w:b/>
          <w:color w:val="auto"/>
          <w:sz w:val="30"/>
          <w:szCs w:val="30"/>
          <w:highlight w:val="none"/>
        </w:rPr>
      </w:pPr>
      <w:bookmarkStart w:id="27" w:name="_Toc3110"/>
      <w:r>
        <w:rPr>
          <w:rFonts w:hint="eastAsia" w:ascii="宋体" w:hAnsi="宋体" w:eastAsia="宋体" w:cs="宋体"/>
          <w:b/>
          <w:color w:val="auto"/>
          <w:sz w:val="30"/>
          <w:szCs w:val="30"/>
          <w:highlight w:val="none"/>
        </w:rPr>
        <w:t>定标因素得分汇总及排序表</w:t>
      </w:r>
      <w:bookmarkEnd w:id="27"/>
    </w:p>
    <w:p w14:paraId="31006ADD">
      <w:pPr>
        <w:jc w:val="center"/>
        <w:rPr>
          <w:rFonts w:ascii="宋体" w:hAnsi="宋体" w:eastAsia="宋体" w:cs="宋体"/>
          <w:smallCaps/>
          <w:color w:val="auto"/>
          <w:sz w:val="30"/>
          <w:szCs w:val="30"/>
          <w:highlight w:val="none"/>
        </w:rPr>
      </w:pPr>
      <w:r>
        <w:rPr>
          <w:rFonts w:hint="eastAsia" w:ascii="宋体" w:hAnsi="宋体" w:eastAsia="宋体" w:cs="宋体"/>
          <w:b/>
          <w:smallCaps/>
          <w:color w:val="auto"/>
          <w:sz w:val="30"/>
          <w:szCs w:val="30"/>
          <w:highlight w:val="none"/>
        </w:rPr>
        <w:t>（定标委员会汇总用表）</w:t>
      </w:r>
    </w:p>
    <w:p w14:paraId="33047449">
      <w:pPr>
        <w:rPr>
          <w:rFonts w:ascii="宋体" w:hAnsi="宋体" w:eastAsia="宋体" w:cs="宋体"/>
          <w:color w:val="auto"/>
          <w:sz w:val="24"/>
          <w:szCs w:val="22"/>
          <w:highlight w:val="none"/>
        </w:rPr>
      </w:pPr>
      <w:r>
        <w:rPr>
          <w:rFonts w:hint="eastAsia" w:ascii="宋体" w:hAnsi="宋体" w:eastAsia="宋体" w:cs="宋体"/>
          <w:b w:val="0"/>
          <w:color w:val="auto"/>
          <w:sz w:val="24"/>
          <w:szCs w:val="22"/>
          <w:highlight w:val="none"/>
        </w:rPr>
        <w:t>工程名称：</w:t>
      </w:r>
    </w:p>
    <w:tbl>
      <w:tblPr>
        <w:tblStyle w:val="88"/>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2554"/>
        <w:gridCol w:w="995"/>
        <w:gridCol w:w="744"/>
        <w:gridCol w:w="698"/>
        <w:gridCol w:w="954"/>
        <w:gridCol w:w="745"/>
        <w:gridCol w:w="703"/>
        <w:gridCol w:w="758"/>
        <w:gridCol w:w="610"/>
      </w:tblGrid>
      <w:tr w14:paraId="1445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65A128B7">
            <w:pPr>
              <w:spacing w:line="240" w:lineRule="atLeas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序号</w:t>
            </w:r>
          </w:p>
        </w:tc>
        <w:tc>
          <w:tcPr>
            <w:tcW w:w="1392" w:type="pct"/>
            <w:tcBorders>
              <w:top w:val="single" w:color="auto" w:sz="4" w:space="0"/>
              <w:left w:val="single" w:color="auto" w:sz="4" w:space="0"/>
              <w:bottom w:val="single" w:color="auto" w:sz="4" w:space="0"/>
              <w:right w:val="single" w:color="auto" w:sz="4" w:space="0"/>
            </w:tcBorders>
            <w:vAlign w:val="center"/>
          </w:tcPr>
          <w:p w14:paraId="0D621BF8">
            <w:pPr>
              <w:spacing w:line="240" w:lineRule="atLeast"/>
              <w:jc w:val="center"/>
              <w:rPr>
                <w:rFonts w:ascii="宋体" w:hAnsi="宋体" w:eastAsia="宋体" w:cs="宋体"/>
                <w:b/>
                <w:color w:val="auto"/>
                <w:szCs w:val="21"/>
                <w:highlight w:val="none"/>
              </w:rPr>
            </w:pPr>
            <w:r>
              <w:rPr>
                <w:rFonts w:hint="eastAsia" w:ascii="宋体" w:hAnsi="宋体" w:eastAsia="宋体" w:cs="宋体"/>
                <w:b/>
                <w:bCs/>
                <w:color w:val="auto"/>
                <w:sz w:val="21"/>
                <w:szCs w:val="21"/>
                <w:highlight w:val="none"/>
              </w:rPr>
              <w:t>合格中标候选人名称</w:t>
            </w:r>
          </w:p>
        </w:tc>
        <w:tc>
          <w:tcPr>
            <w:tcW w:w="547" w:type="pct"/>
            <w:tcBorders>
              <w:top w:val="single" w:color="auto" w:sz="4" w:space="0"/>
              <w:left w:val="single" w:color="auto" w:sz="4" w:space="0"/>
              <w:bottom w:val="single" w:color="auto" w:sz="4" w:space="0"/>
              <w:right w:val="single" w:color="auto" w:sz="4" w:space="0"/>
            </w:tcBorders>
            <w:vAlign w:val="center"/>
          </w:tcPr>
          <w:p w14:paraId="3789EFA1">
            <w:pPr>
              <w:spacing w:line="240" w:lineRule="atLeas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lang w:val="en-US" w:eastAsia="zh-CN"/>
              </w:rPr>
              <w:t>方案</w:t>
            </w:r>
            <w:r>
              <w:rPr>
                <w:rFonts w:hint="eastAsia" w:ascii="宋体" w:hAnsi="宋体" w:eastAsia="宋体" w:cs="宋体"/>
                <w:b/>
                <w:color w:val="auto"/>
                <w:sz w:val="21"/>
                <w:szCs w:val="21"/>
                <w:highlight w:val="none"/>
              </w:rPr>
              <w:t>因素得分</w:t>
            </w:r>
          </w:p>
        </w:tc>
        <w:tc>
          <w:tcPr>
            <w:tcW w:w="390" w:type="pct"/>
            <w:tcBorders>
              <w:top w:val="single" w:color="auto" w:sz="4" w:space="0"/>
              <w:left w:val="single" w:color="auto" w:sz="4" w:space="0"/>
              <w:bottom w:val="single" w:color="auto" w:sz="4" w:space="0"/>
              <w:right w:val="single" w:color="auto" w:sz="4" w:space="0"/>
            </w:tcBorders>
            <w:vAlign w:val="center"/>
          </w:tcPr>
          <w:p w14:paraId="556C621E">
            <w:pPr>
              <w:spacing w:line="240" w:lineRule="atLeas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权重（</w:t>
            </w:r>
            <w:r>
              <w:rPr>
                <w:rFonts w:ascii="宋体" w:hAnsi="宋体" w:eastAsia="宋体" w:cs="宋体"/>
                <w:b/>
                <w:color w:val="auto"/>
                <w:sz w:val="21"/>
                <w:szCs w:val="21"/>
                <w:highlight w:val="none"/>
              </w:rPr>
              <w:t>%）</w:t>
            </w:r>
          </w:p>
        </w:tc>
        <w:tc>
          <w:tcPr>
            <w:tcW w:w="386" w:type="pct"/>
            <w:tcBorders>
              <w:top w:val="single" w:color="auto" w:sz="4" w:space="0"/>
              <w:left w:val="single" w:color="auto" w:sz="4" w:space="0"/>
              <w:bottom w:val="single" w:color="auto" w:sz="4" w:space="0"/>
              <w:right w:val="single" w:color="auto" w:sz="4" w:space="0"/>
            </w:tcBorders>
            <w:vAlign w:val="center"/>
          </w:tcPr>
          <w:p w14:paraId="0D8FCDAA">
            <w:pPr>
              <w:spacing w:line="240" w:lineRule="atLeas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权重得分</w:t>
            </w:r>
          </w:p>
        </w:tc>
        <w:tc>
          <w:tcPr>
            <w:tcW w:w="525" w:type="pct"/>
            <w:tcBorders>
              <w:top w:val="single" w:color="auto" w:sz="4" w:space="0"/>
              <w:left w:val="single" w:color="auto" w:sz="4" w:space="0"/>
              <w:bottom w:val="single" w:color="auto" w:sz="4" w:space="0"/>
              <w:right w:val="single" w:color="auto" w:sz="4" w:space="0"/>
            </w:tcBorders>
            <w:vAlign w:val="center"/>
          </w:tcPr>
          <w:p w14:paraId="14A1B5C4">
            <w:pPr>
              <w:spacing w:line="240" w:lineRule="atLeas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价格因素得分</w:t>
            </w:r>
          </w:p>
        </w:tc>
        <w:tc>
          <w:tcPr>
            <w:tcW w:w="358" w:type="pct"/>
            <w:tcBorders>
              <w:top w:val="single" w:color="auto" w:sz="4" w:space="0"/>
              <w:left w:val="single" w:color="auto" w:sz="4" w:space="0"/>
              <w:bottom w:val="single" w:color="auto" w:sz="4" w:space="0"/>
              <w:right w:val="single" w:color="auto" w:sz="4" w:space="0"/>
            </w:tcBorders>
            <w:vAlign w:val="center"/>
          </w:tcPr>
          <w:p w14:paraId="208277CA">
            <w:pPr>
              <w:spacing w:line="240" w:lineRule="atLeas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权重（</w:t>
            </w:r>
            <w:r>
              <w:rPr>
                <w:rFonts w:ascii="宋体" w:hAnsi="宋体" w:eastAsia="宋体" w:cs="宋体"/>
                <w:b/>
                <w:color w:val="auto"/>
                <w:sz w:val="21"/>
                <w:szCs w:val="21"/>
                <w:highlight w:val="none"/>
              </w:rPr>
              <w:t>%）</w:t>
            </w:r>
          </w:p>
        </w:tc>
        <w:tc>
          <w:tcPr>
            <w:tcW w:w="388" w:type="pct"/>
            <w:tcBorders>
              <w:top w:val="single" w:color="auto" w:sz="4" w:space="0"/>
              <w:left w:val="single" w:color="auto" w:sz="4" w:space="0"/>
              <w:bottom w:val="single" w:color="auto" w:sz="4" w:space="0"/>
              <w:right w:val="single" w:color="auto" w:sz="4" w:space="0"/>
            </w:tcBorders>
            <w:vAlign w:val="center"/>
          </w:tcPr>
          <w:p w14:paraId="7F785611">
            <w:pPr>
              <w:spacing w:line="240" w:lineRule="atLeas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权重得分</w:t>
            </w:r>
          </w:p>
        </w:tc>
        <w:tc>
          <w:tcPr>
            <w:tcW w:w="418" w:type="pct"/>
            <w:tcBorders>
              <w:top w:val="single" w:color="auto" w:sz="4" w:space="0"/>
              <w:left w:val="single" w:color="auto" w:sz="4" w:space="0"/>
              <w:bottom w:val="single" w:color="auto" w:sz="4" w:space="0"/>
              <w:right w:val="single" w:color="auto" w:sz="4" w:space="0"/>
            </w:tcBorders>
            <w:vAlign w:val="center"/>
          </w:tcPr>
          <w:p w14:paraId="60D51577">
            <w:pPr>
              <w:spacing w:line="240" w:lineRule="atLeas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总得分</w:t>
            </w:r>
          </w:p>
        </w:tc>
        <w:tc>
          <w:tcPr>
            <w:tcW w:w="338" w:type="pct"/>
            <w:tcBorders>
              <w:top w:val="single" w:color="auto" w:sz="4" w:space="0"/>
              <w:left w:val="single" w:color="auto" w:sz="4" w:space="0"/>
              <w:bottom w:val="single" w:color="auto" w:sz="4" w:space="0"/>
              <w:right w:val="single" w:color="auto" w:sz="4" w:space="0"/>
            </w:tcBorders>
            <w:vAlign w:val="center"/>
          </w:tcPr>
          <w:p w14:paraId="10D2A43F">
            <w:pPr>
              <w:spacing w:line="240" w:lineRule="atLeast"/>
              <w:jc w:val="center"/>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排序</w:t>
            </w:r>
          </w:p>
        </w:tc>
      </w:tr>
      <w:tr w14:paraId="0532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4E4FA6EA">
            <w:pPr>
              <w:spacing w:line="240" w:lineRule="atLeas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1</w:t>
            </w:r>
          </w:p>
        </w:tc>
        <w:tc>
          <w:tcPr>
            <w:tcW w:w="1392" w:type="pct"/>
            <w:tcBorders>
              <w:top w:val="single" w:color="auto" w:sz="4" w:space="0"/>
              <w:left w:val="single" w:color="auto" w:sz="4" w:space="0"/>
              <w:bottom w:val="single" w:color="auto" w:sz="4" w:space="0"/>
              <w:right w:val="single" w:color="auto" w:sz="4" w:space="0"/>
            </w:tcBorders>
            <w:vAlign w:val="center"/>
          </w:tcPr>
          <w:p w14:paraId="0C5CA053">
            <w:pPr>
              <w:spacing w:line="240" w:lineRule="atLeast"/>
              <w:jc w:val="center"/>
              <w:rPr>
                <w:rFonts w:ascii="宋体" w:hAnsi="宋体" w:eastAsia="宋体" w:cs="宋体"/>
                <w:color w:val="auto"/>
                <w:szCs w:val="21"/>
                <w:highlight w:val="none"/>
              </w:rPr>
            </w:pPr>
          </w:p>
        </w:tc>
        <w:tc>
          <w:tcPr>
            <w:tcW w:w="547" w:type="pct"/>
            <w:tcBorders>
              <w:top w:val="single" w:color="auto" w:sz="4" w:space="0"/>
              <w:left w:val="single" w:color="auto" w:sz="4" w:space="0"/>
              <w:bottom w:val="single" w:color="auto" w:sz="4" w:space="0"/>
              <w:right w:val="single" w:color="auto" w:sz="4" w:space="0"/>
            </w:tcBorders>
            <w:vAlign w:val="center"/>
          </w:tcPr>
          <w:p w14:paraId="47EB572A">
            <w:pPr>
              <w:spacing w:line="240" w:lineRule="atLeast"/>
              <w:jc w:val="center"/>
              <w:rPr>
                <w:rFonts w:ascii="宋体" w:hAnsi="宋体" w:eastAsia="宋体" w:cs="宋体"/>
                <w:color w:val="auto"/>
                <w:szCs w:val="21"/>
                <w:highlight w:val="none"/>
              </w:rPr>
            </w:pPr>
          </w:p>
        </w:tc>
        <w:tc>
          <w:tcPr>
            <w:tcW w:w="390" w:type="pct"/>
            <w:tcBorders>
              <w:top w:val="single" w:color="auto" w:sz="4" w:space="0"/>
              <w:left w:val="single" w:color="auto" w:sz="4" w:space="0"/>
              <w:bottom w:val="single" w:color="auto" w:sz="4" w:space="0"/>
              <w:right w:val="single" w:color="auto" w:sz="4" w:space="0"/>
            </w:tcBorders>
            <w:vAlign w:val="center"/>
          </w:tcPr>
          <w:p w14:paraId="635425CB">
            <w:pPr>
              <w:spacing w:after="120" w:line="240" w:lineRule="atLeas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70</w:t>
            </w:r>
          </w:p>
        </w:tc>
        <w:tc>
          <w:tcPr>
            <w:tcW w:w="386" w:type="pct"/>
            <w:tcBorders>
              <w:top w:val="single" w:color="auto" w:sz="4" w:space="0"/>
              <w:left w:val="single" w:color="auto" w:sz="4" w:space="0"/>
              <w:bottom w:val="single" w:color="auto" w:sz="4" w:space="0"/>
              <w:right w:val="single" w:color="auto" w:sz="4" w:space="0"/>
            </w:tcBorders>
            <w:vAlign w:val="center"/>
          </w:tcPr>
          <w:p w14:paraId="26C23D6C">
            <w:pPr>
              <w:spacing w:line="240" w:lineRule="atLeast"/>
              <w:jc w:val="center"/>
              <w:rPr>
                <w:rFonts w:ascii="宋体" w:hAnsi="宋体" w:eastAsia="宋体" w:cs="宋体"/>
                <w:color w:val="auto"/>
                <w:szCs w:val="21"/>
                <w:highlight w:val="none"/>
              </w:rPr>
            </w:pPr>
          </w:p>
        </w:tc>
        <w:tc>
          <w:tcPr>
            <w:tcW w:w="525" w:type="pct"/>
            <w:tcBorders>
              <w:top w:val="single" w:color="auto" w:sz="4" w:space="0"/>
              <w:left w:val="single" w:color="auto" w:sz="4" w:space="0"/>
              <w:bottom w:val="single" w:color="auto" w:sz="4" w:space="0"/>
              <w:right w:val="single" w:color="auto" w:sz="4" w:space="0"/>
            </w:tcBorders>
            <w:vAlign w:val="center"/>
          </w:tcPr>
          <w:p w14:paraId="36305EBA">
            <w:pPr>
              <w:spacing w:line="240" w:lineRule="atLeast"/>
              <w:jc w:val="center"/>
              <w:rPr>
                <w:rFonts w:ascii="宋体" w:hAnsi="宋体" w:eastAsia="宋体" w:cs="宋体"/>
                <w:color w:val="auto"/>
                <w:szCs w:val="21"/>
                <w:highlight w:val="none"/>
              </w:rPr>
            </w:pPr>
          </w:p>
        </w:tc>
        <w:tc>
          <w:tcPr>
            <w:tcW w:w="358" w:type="pct"/>
            <w:tcBorders>
              <w:top w:val="single" w:color="auto" w:sz="4" w:space="0"/>
              <w:left w:val="single" w:color="auto" w:sz="4" w:space="0"/>
              <w:bottom w:val="single" w:color="auto" w:sz="4" w:space="0"/>
              <w:right w:val="single" w:color="auto" w:sz="4" w:space="0"/>
            </w:tcBorders>
            <w:vAlign w:val="center"/>
          </w:tcPr>
          <w:p w14:paraId="479CDEA7">
            <w:pPr>
              <w:spacing w:after="120" w:line="240" w:lineRule="atLeas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30</w:t>
            </w:r>
          </w:p>
        </w:tc>
        <w:tc>
          <w:tcPr>
            <w:tcW w:w="388" w:type="pct"/>
            <w:tcBorders>
              <w:top w:val="single" w:color="auto" w:sz="4" w:space="0"/>
              <w:left w:val="single" w:color="auto" w:sz="4" w:space="0"/>
              <w:bottom w:val="single" w:color="auto" w:sz="4" w:space="0"/>
              <w:right w:val="single" w:color="auto" w:sz="4" w:space="0"/>
            </w:tcBorders>
            <w:vAlign w:val="center"/>
          </w:tcPr>
          <w:p w14:paraId="5FC944F1">
            <w:pPr>
              <w:spacing w:line="240" w:lineRule="atLeast"/>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06E697A">
            <w:pPr>
              <w:spacing w:line="240" w:lineRule="atLeast"/>
              <w:jc w:val="center"/>
              <w:rPr>
                <w:rFonts w:ascii="宋体" w:hAnsi="宋体" w:eastAsia="宋体" w:cs="宋体"/>
                <w:color w:val="auto"/>
                <w:szCs w:val="21"/>
                <w:highlight w:val="none"/>
              </w:rPr>
            </w:pPr>
          </w:p>
        </w:tc>
        <w:tc>
          <w:tcPr>
            <w:tcW w:w="338" w:type="pct"/>
            <w:tcBorders>
              <w:top w:val="single" w:color="auto" w:sz="4" w:space="0"/>
              <w:left w:val="single" w:color="auto" w:sz="4" w:space="0"/>
              <w:bottom w:val="single" w:color="auto" w:sz="4" w:space="0"/>
              <w:right w:val="single" w:color="auto" w:sz="4" w:space="0"/>
            </w:tcBorders>
            <w:vAlign w:val="center"/>
          </w:tcPr>
          <w:p w14:paraId="771ECC31">
            <w:pPr>
              <w:spacing w:line="240" w:lineRule="atLeast"/>
              <w:jc w:val="center"/>
              <w:rPr>
                <w:rFonts w:ascii="宋体" w:hAnsi="宋体" w:eastAsia="宋体" w:cs="宋体"/>
                <w:color w:val="auto"/>
                <w:szCs w:val="21"/>
                <w:highlight w:val="none"/>
              </w:rPr>
            </w:pPr>
          </w:p>
        </w:tc>
      </w:tr>
      <w:tr w14:paraId="1395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4B263EDC">
            <w:pPr>
              <w:spacing w:after="120" w:line="240" w:lineRule="atLeas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2</w:t>
            </w:r>
          </w:p>
        </w:tc>
        <w:tc>
          <w:tcPr>
            <w:tcW w:w="1392" w:type="pct"/>
            <w:tcBorders>
              <w:top w:val="single" w:color="auto" w:sz="4" w:space="0"/>
              <w:left w:val="single" w:color="auto" w:sz="4" w:space="0"/>
              <w:bottom w:val="single" w:color="auto" w:sz="4" w:space="0"/>
              <w:right w:val="single" w:color="auto" w:sz="4" w:space="0"/>
            </w:tcBorders>
            <w:vAlign w:val="center"/>
          </w:tcPr>
          <w:p w14:paraId="3A13076B">
            <w:pPr>
              <w:spacing w:line="240" w:lineRule="atLeast"/>
              <w:jc w:val="center"/>
              <w:rPr>
                <w:rFonts w:ascii="宋体" w:hAnsi="宋体" w:eastAsia="宋体" w:cs="宋体"/>
                <w:color w:val="auto"/>
                <w:szCs w:val="21"/>
                <w:highlight w:val="none"/>
              </w:rPr>
            </w:pPr>
          </w:p>
        </w:tc>
        <w:tc>
          <w:tcPr>
            <w:tcW w:w="547" w:type="pct"/>
            <w:tcBorders>
              <w:top w:val="single" w:color="auto" w:sz="4" w:space="0"/>
              <w:left w:val="single" w:color="auto" w:sz="4" w:space="0"/>
              <w:bottom w:val="single" w:color="auto" w:sz="4" w:space="0"/>
              <w:right w:val="single" w:color="auto" w:sz="4" w:space="0"/>
            </w:tcBorders>
            <w:vAlign w:val="center"/>
          </w:tcPr>
          <w:p w14:paraId="335A81CF">
            <w:pPr>
              <w:spacing w:line="240" w:lineRule="atLeast"/>
              <w:jc w:val="center"/>
              <w:rPr>
                <w:rFonts w:ascii="宋体" w:hAnsi="宋体" w:eastAsia="宋体" w:cs="宋体"/>
                <w:color w:val="auto"/>
                <w:szCs w:val="21"/>
                <w:highlight w:val="none"/>
              </w:rPr>
            </w:pPr>
          </w:p>
        </w:tc>
        <w:tc>
          <w:tcPr>
            <w:tcW w:w="390" w:type="pct"/>
            <w:tcBorders>
              <w:top w:val="single" w:color="auto" w:sz="4" w:space="0"/>
              <w:left w:val="single" w:color="auto" w:sz="4" w:space="0"/>
              <w:bottom w:val="single" w:color="auto" w:sz="4" w:space="0"/>
              <w:right w:val="single" w:color="auto" w:sz="4" w:space="0"/>
            </w:tcBorders>
            <w:vAlign w:val="center"/>
          </w:tcPr>
          <w:p w14:paraId="10B0E04E">
            <w:pPr>
              <w:spacing w:after="120" w:line="240" w:lineRule="atLeast"/>
              <w:jc w:val="center"/>
              <w:rPr>
                <w:rFonts w:ascii="宋体" w:hAnsi="宋体" w:eastAsia="宋体" w:cs="宋体"/>
                <w:color w:val="auto"/>
                <w:szCs w:val="22"/>
                <w:highlight w:val="none"/>
              </w:rPr>
            </w:pPr>
            <w:r>
              <w:rPr>
                <w:rFonts w:ascii="宋体" w:hAnsi="宋体" w:eastAsia="宋体" w:cs="宋体"/>
                <w:b w:val="0"/>
                <w:color w:val="auto"/>
                <w:sz w:val="21"/>
                <w:szCs w:val="21"/>
                <w:highlight w:val="none"/>
              </w:rPr>
              <w:t>70</w:t>
            </w:r>
          </w:p>
        </w:tc>
        <w:tc>
          <w:tcPr>
            <w:tcW w:w="386" w:type="pct"/>
            <w:tcBorders>
              <w:top w:val="single" w:color="auto" w:sz="4" w:space="0"/>
              <w:left w:val="single" w:color="auto" w:sz="4" w:space="0"/>
              <w:bottom w:val="single" w:color="auto" w:sz="4" w:space="0"/>
              <w:right w:val="single" w:color="auto" w:sz="4" w:space="0"/>
            </w:tcBorders>
            <w:vAlign w:val="center"/>
          </w:tcPr>
          <w:p w14:paraId="68D4123C">
            <w:pPr>
              <w:spacing w:line="240" w:lineRule="atLeast"/>
              <w:jc w:val="center"/>
              <w:rPr>
                <w:rFonts w:ascii="宋体" w:hAnsi="宋体" w:eastAsia="宋体" w:cs="宋体"/>
                <w:color w:val="auto"/>
                <w:szCs w:val="21"/>
                <w:highlight w:val="none"/>
              </w:rPr>
            </w:pPr>
          </w:p>
        </w:tc>
        <w:tc>
          <w:tcPr>
            <w:tcW w:w="525" w:type="pct"/>
            <w:tcBorders>
              <w:top w:val="single" w:color="auto" w:sz="4" w:space="0"/>
              <w:left w:val="single" w:color="auto" w:sz="4" w:space="0"/>
              <w:bottom w:val="single" w:color="auto" w:sz="4" w:space="0"/>
              <w:right w:val="single" w:color="auto" w:sz="4" w:space="0"/>
            </w:tcBorders>
            <w:vAlign w:val="center"/>
          </w:tcPr>
          <w:p w14:paraId="7B18C10E">
            <w:pPr>
              <w:spacing w:line="240" w:lineRule="atLeast"/>
              <w:jc w:val="center"/>
              <w:rPr>
                <w:rFonts w:ascii="宋体" w:hAnsi="宋体" w:eastAsia="宋体" w:cs="宋体"/>
                <w:color w:val="auto"/>
                <w:szCs w:val="21"/>
                <w:highlight w:val="none"/>
              </w:rPr>
            </w:pPr>
          </w:p>
        </w:tc>
        <w:tc>
          <w:tcPr>
            <w:tcW w:w="358" w:type="pct"/>
            <w:tcBorders>
              <w:top w:val="single" w:color="auto" w:sz="4" w:space="0"/>
              <w:left w:val="single" w:color="auto" w:sz="4" w:space="0"/>
              <w:bottom w:val="single" w:color="auto" w:sz="4" w:space="0"/>
              <w:right w:val="single" w:color="auto" w:sz="4" w:space="0"/>
            </w:tcBorders>
            <w:vAlign w:val="center"/>
          </w:tcPr>
          <w:p w14:paraId="6405B804">
            <w:pPr>
              <w:spacing w:after="120" w:line="240" w:lineRule="atLeast"/>
              <w:jc w:val="center"/>
              <w:rPr>
                <w:rFonts w:ascii="宋体" w:hAnsi="宋体" w:eastAsia="宋体" w:cs="宋体"/>
                <w:color w:val="auto"/>
                <w:szCs w:val="22"/>
                <w:highlight w:val="none"/>
              </w:rPr>
            </w:pPr>
            <w:r>
              <w:rPr>
                <w:rFonts w:ascii="宋体" w:hAnsi="宋体" w:eastAsia="宋体" w:cs="宋体"/>
                <w:b w:val="0"/>
                <w:color w:val="auto"/>
                <w:sz w:val="21"/>
                <w:szCs w:val="21"/>
                <w:highlight w:val="none"/>
              </w:rPr>
              <w:t>30</w:t>
            </w:r>
          </w:p>
        </w:tc>
        <w:tc>
          <w:tcPr>
            <w:tcW w:w="388" w:type="pct"/>
            <w:tcBorders>
              <w:top w:val="single" w:color="auto" w:sz="4" w:space="0"/>
              <w:left w:val="single" w:color="auto" w:sz="4" w:space="0"/>
              <w:bottom w:val="single" w:color="auto" w:sz="4" w:space="0"/>
              <w:right w:val="single" w:color="auto" w:sz="4" w:space="0"/>
            </w:tcBorders>
            <w:vAlign w:val="center"/>
          </w:tcPr>
          <w:p w14:paraId="5ABCD835">
            <w:pPr>
              <w:spacing w:line="240" w:lineRule="atLeast"/>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99F6A91">
            <w:pPr>
              <w:spacing w:line="240" w:lineRule="atLeast"/>
              <w:jc w:val="center"/>
              <w:rPr>
                <w:rFonts w:ascii="宋体" w:hAnsi="宋体" w:eastAsia="宋体" w:cs="宋体"/>
                <w:color w:val="auto"/>
                <w:szCs w:val="21"/>
                <w:highlight w:val="none"/>
              </w:rPr>
            </w:pPr>
          </w:p>
        </w:tc>
        <w:tc>
          <w:tcPr>
            <w:tcW w:w="338" w:type="pct"/>
            <w:tcBorders>
              <w:top w:val="single" w:color="auto" w:sz="4" w:space="0"/>
              <w:left w:val="single" w:color="auto" w:sz="4" w:space="0"/>
              <w:bottom w:val="single" w:color="auto" w:sz="4" w:space="0"/>
              <w:right w:val="single" w:color="auto" w:sz="4" w:space="0"/>
            </w:tcBorders>
            <w:vAlign w:val="center"/>
          </w:tcPr>
          <w:p w14:paraId="759A02B9">
            <w:pPr>
              <w:spacing w:line="240" w:lineRule="atLeast"/>
              <w:jc w:val="center"/>
              <w:rPr>
                <w:rFonts w:ascii="宋体" w:hAnsi="宋体" w:eastAsia="宋体" w:cs="宋体"/>
                <w:color w:val="auto"/>
                <w:szCs w:val="21"/>
                <w:highlight w:val="none"/>
              </w:rPr>
            </w:pPr>
          </w:p>
        </w:tc>
      </w:tr>
      <w:tr w14:paraId="74CE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62E115AF">
            <w:pPr>
              <w:spacing w:after="120" w:line="240" w:lineRule="atLeas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3</w:t>
            </w:r>
          </w:p>
        </w:tc>
        <w:tc>
          <w:tcPr>
            <w:tcW w:w="1392" w:type="pct"/>
            <w:tcBorders>
              <w:top w:val="single" w:color="auto" w:sz="4" w:space="0"/>
              <w:left w:val="single" w:color="auto" w:sz="4" w:space="0"/>
              <w:bottom w:val="single" w:color="auto" w:sz="4" w:space="0"/>
              <w:right w:val="single" w:color="auto" w:sz="4" w:space="0"/>
            </w:tcBorders>
            <w:vAlign w:val="center"/>
          </w:tcPr>
          <w:p w14:paraId="0AD6E0C8">
            <w:pPr>
              <w:spacing w:line="240" w:lineRule="atLeast"/>
              <w:jc w:val="center"/>
              <w:rPr>
                <w:rFonts w:ascii="宋体" w:hAnsi="宋体" w:eastAsia="宋体" w:cs="宋体"/>
                <w:color w:val="auto"/>
                <w:szCs w:val="21"/>
                <w:highlight w:val="none"/>
              </w:rPr>
            </w:pPr>
          </w:p>
        </w:tc>
        <w:tc>
          <w:tcPr>
            <w:tcW w:w="547" w:type="pct"/>
            <w:tcBorders>
              <w:top w:val="single" w:color="auto" w:sz="4" w:space="0"/>
              <w:left w:val="single" w:color="auto" w:sz="4" w:space="0"/>
              <w:bottom w:val="single" w:color="auto" w:sz="4" w:space="0"/>
              <w:right w:val="single" w:color="auto" w:sz="4" w:space="0"/>
            </w:tcBorders>
            <w:vAlign w:val="center"/>
          </w:tcPr>
          <w:p w14:paraId="0FC8B3B6">
            <w:pPr>
              <w:spacing w:line="240" w:lineRule="atLeast"/>
              <w:jc w:val="center"/>
              <w:rPr>
                <w:rFonts w:ascii="宋体" w:hAnsi="宋体" w:eastAsia="宋体" w:cs="宋体"/>
                <w:color w:val="auto"/>
                <w:szCs w:val="21"/>
                <w:highlight w:val="none"/>
              </w:rPr>
            </w:pPr>
          </w:p>
        </w:tc>
        <w:tc>
          <w:tcPr>
            <w:tcW w:w="390" w:type="pct"/>
            <w:tcBorders>
              <w:top w:val="single" w:color="auto" w:sz="4" w:space="0"/>
              <w:left w:val="single" w:color="auto" w:sz="4" w:space="0"/>
              <w:bottom w:val="single" w:color="auto" w:sz="4" w:space="0"/>
              <w:right w:val="single" w:color="auto" w:sz="4" w:space="0"/>
            </w:tcBorders>
            <w:vAlign w:val="center"/>
          </w:tcPr>
          <w:p w14:paraId="2FCC25DC">
            <w:pPr>
              <w:spacing w:after="120" w:line="240" w:lineRule="atLeast"/>
              <w:jc w:val="center"/>
              <w:rPr>
                <w:rFonts w:ascii="宋体" w:hAnsi="宋体" w:eastAsia="宋体" w:cs="宋体"/>
                <w:color w:val="auto"/>
                <w:szCs w:val="22"/>
                <w:highlight w:val="none"/>
              </w:rPr>
            </w:pPr>
            <w:r>
              <w:rPr>
                <w:rFonts w:ascii="宋体" w:hAnsi="宋体" w:eastAsia="宋体" w:cs="宋体"/>
                <w:b w:val="0"/>
                <w:color w:val="auto"/>
                <w:sz w:val="21"/>
                <w:szCs w:val="21"/>
                <w:highlight w:val="none"/>
              </w:rPr>
              <w:t>70</w:t>
            </w:r>
          </w:p>
        </w:tc>
        <w:tc>
          <w:tcPr>
            <w:tcW w:w="386" w:type="pct"/>
            <w:tcBorders>
              <w:top w:val="single" w:color="auto" w:sz="4" w:space="0"/>
              <w:left w:val="single" w:color="auto" w:sz="4" w:space="0"/>
              <w:bottom w:val="single" w:color="auto" w:sz="4" w:space="0"/>
              <w:right w:val="single" w:color="auto" w:sz="4" w:space="0"/>
            </w:tcBorders>
            <w:vAlign w:val="center"/>
          </w:tcPr>
          <w:p w14:paraId="43ECD0AF">
            <w:pPr>
              <w:spacing w:line="240" w:lineRule="atLeast"/>
              <w:jc w:val="center"/>
              <w:rPr>
                <w:rFonts w:ascii="宋体" w:hAnsi="宋体" w:eastAsia="宋体" w:cs="宋体"/>
                <w:color w:val="auto"/>
                <w:szCs w:val="21"/>
                <w:highlight w:val="none"/>
              </w:rPr>
            </w:pPr>
          </w:p>
        </w:tc>
        <w:tc>
          <w:tcPr>
            <w:tcW w:w="525" w:type="pct"/>
            <w:tcBorders>
              <w:top w:val="single" w:color="auto" w:sz="4" w:space="0"/>
              <w:left w:val="single" w:color="auto" w:sz="4" w:space="0"/>
              <w:bottom w:val="single" w:color="auto" w:sz="4" w:space="0"/>
              <w:right w:val="single" w:color="auto" w:sz="4" w:space="0"/>
            </w:tcBorders>
            <w:vAlign w:val="center"/>
          </w:tcPr>
          <w:p w14:paraId="0547899B">
            <w:pPr>
              <w:spacing w:line="240" w:lineRule="atLeast"/>
              <w:jc w:val="center"/>
              <w:rPr>
                <w:rFonts w:ascii="宋体" w:hAnsi="宋体" w:eastAsia="宋体" w:cs="宋体"/>
                <w:color w:val="auto"/>
                <w:szCs w:val="21"/>
                <w:highlight w:val="none"/>
              </w:rPr>
            </w:pPr>
          </w:p>
        </w:tc>
        <w:tc>
          <w:tcPr>
            <w:tcW w:w="358" w:type="pct"/>
            <w:tcBorders>
              <w:top w:val="single" w:color="auto" w:sz="4" w:space="0"/>
              <w:left w:val="single" w:color="auto" w:sz="4" w:space="0"/>
              <w:bottom w:val="single" w:color="auto" w:sz="4" w:space="0"/>
              <w:right w:val="single" w:color="auto" w:sz="4" w:space="0"/>
            </w:tcBorders>
            <w:vAlign w:val="center"/>
          </w:tcPr>
          <w:p w14:paraId="23CB524A">
            <w:pPr>
              <w:spacing w:after="120" w:line="240" w:lineRule="atLeast"/>
              <w:jc w:val="center"/>
              <w:rPr>
                <w:rFonts w:ascii="宋体" w:hAnsi="宋体" w:eastAsia="宋体" w:cs="宋体"/>
                <w:color w:val="auto"/>
                <w:szCs w:val="22"/>
                <w:highlight w:val="none"/>
              </w:rPr>
            </w:pPr>
            <w:r>
              <w:rPr>
                <w:rFonts w:ascii="宋体" w:hAnsi="宋体" w:eastAsia="宋体" w:cs="宋体"/>
                <w:b w:val="0"/>
                <w:color w:val="auto"/>
                <w:sz w:val="21"/>
                <w:szCs w:val="21"/>
                <w:highlight w:val="none"/>
              </w:rPr>
              <w:t>30</w:t>
            </w:r>
          </w:p>
        </w:tc>
        <w:tc>
          <w:tcPr>
            <w:tcW w:w="388" w:type="pct"/>
            <w:tcBorders>
              <w:top w:val="single" w:color="auto" w:sz="4" w:space="0"/>
              <w:left w:val="single" w:color="auto" w:sz="4" w:space="0"/>
              <w:bottom w:val="single" w:color="auto" w:sz="4" w:space="0"/>
              <w:right w:val="single" w:color="auto" w:sz="4" w:space="0"/>
            </w:tcBorders>
            <w:vAlign w:val="center"/>
          </w:tcPr>
          <w:p w14:paraId="6066C310">
            <w:pPr>
              <w:spacing w:line="240" w:lineRule="atLeast"/>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5A237D3">
            <w:pPr>
              <w:spacing w:line="240" w:lineRule="atLeast"/>
              <w:jc w:val="center"/>
              <w:rPr>
                <w:rFonts w:ascii="宋体" w:hAnsi="宋体" w:eastAsia="宋体" w:cs="宋体"/>
                <w:color w:val="auto"/>
                <w:szCs w:val="21"/>
                <w:highlight w:val="none"/>
              </w:rPr>
            </w:pPr>
          </w:p>
        </w:tc>
        <w:tc>
          <w:tcPr>
            <w:tcW w:w="338" w:type="pct"/>
            <w:tcBorders>
              <w:top w:val="single" w:color="auto" w:sz="4" w:space="0"/>
              <w:left w:val="single" w:color="auto" w:sz="4" w:space="0"/>
              <w:bottom w:val="single" w:color="auto" w:sz="4" w:space="0"/>
              <w:right w:val="single" w:color="auto" w:sz="4" w:space="0"/>
            </w:tcBorders>
            <w:vAlign w:val="center"/>
          </w:tcPr>
          <w:p w14:paraId="641DCB9B">
            <w:pPr>
              <w:spacing w:line="240" w:lineRule="atLeast"/>
              <w:jc w:val="center"/>
              <w:rPr>
                <w:rFonts w:ascii="宋体" w:hAnsi="宋体" w:eastAsia="宋体" w:cs="宋体"/>
                <w:color w:val="auto"/>
                <w:szCs w:val="21"/>
                <w:highlight w:val="none"/>
              </w:rPr>
            </w:pPr>
          </w:p>
        </w:tc>
      </w:tr>
      <w:tr w14:paraId="4F65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0D97492E">
            <w:pPr>
              <w:spacing w:after="120" w:line="240" w:lineRule="atLeas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4</w:t>
            </w:r>
          </w:p>
        </w:tc>
        <w:tc>
          <w:tcPr>
            <w:tcW w:w="1392" w:type="pct"/>
            <w:tcBorders>
              <w:top w:val="single" w:color="auto" w:sz="4" w:space="0"/>
              <w:left w:val="single" w:color="auto" w:sz="4" w:space="0"/>
              <w:bottom w:val="single" w:color="auto" w:sz="4" w:space="0"/>
              <w:right w:val="single" w:color="auto" w:sz="4" w:space="0"/>
            </w:tcBorders>
            <w:vAlign w:val="center"/>
          </w:tcPr>
          <w:p w14:paraId="131D673D">
            <w:pPr>
              <w:spacing w:line="240" w:lineRule="atLeast"/>
              <w:jc w:val="center"/>
              <w:rPr>
                <w:rFonts w:ascii="宋体" w:hAnsi="宋体" w:eastAsia="宋体" w:cs="宋体"/>
                <w:color w:val="auto"/>
                <w:szCs w:val="21"/>
                <w:highlight w:val="none"/>
              </w:rPr>
            </w:pPr>
          </w:p>
        </w:tc>
        <w:tc>
          <w:tcPr>
            <w:tcW w:w="547" w:type="pct"/>
            <w:tcBorders>
              <w:top w:val="single" w:color="auto" w:sz="4" w:space="0"/>
              <w:left w:val="single" w:color="auto" w:sz="4" w:space="0"/>
              <w:bottom w:val="single" w:color="auto" w:sz="4" w:space="0"/>
              <w:right w:val="single" w:color="auto" w:sz="4" w:space="0"/>
            </w:tcBorders>
            <w:vAlign w:val="center"/>
          </w:tcPr>
          <w:p w14:paraId="4BFF3DFC">
            <w:pPr>
              <w:spacing w:line="240" w:lineRule="atLeast"/>
              <w:jc w:val="center"/>
              <w:rPr>
                <w:rFonts w:ascii="宋体" w:hAnsi="宋体" w:eastAsia="宋体" w:cs="宋体"/>
                <w:color w:val="auto"/>
                <w:szCs w:val="21"/>
                <w:highlight w:val="none"/>
              </w:rPr>
            </w:pPr>
          </w:p>
        </w:tc>
        <w:tc>
          <w:tcPr>
            <w:tcW w:w="390" w:type="pct"/>
            <w:tcBorders>
              <w:top w:val="single" w:color="auto" w:sz="4" w:space="0"/>
              <w:left w:val="single" w:color="auto" w:sz="4" w:space="0"/>
              <w:bottom w:val="single" w:color="auto" w:sz="4" w:space="0"/>
              <w:right w:val="single" w:color="auto" w:sz="4" w:space="0"/>
            </w:tcBorders>
            <w:vAlign w:val="center"/>
          </w:tcPr>
          <w:p w14:paraId="4CDB2DEC">
            <w:pPr>
              <w:spacing w:after="120" w:line="240" w:lineRule="atLeast"/>
              <w:jc w:val="center"/>
              <w:rPr>
                <w:rFonts w:ascii="宋体" w:hAnsi="宋体" w:eastAsia="宋体" w:cs="宋体"/>
                <w:color w:val="auto"/>
                <w:szCs w:val="22"/>
                <w:highlight w:val="none"/>
              </w:rPr>
            </w:pPr>
            <w:r>
              <w:rPr>
                <w:rFonts w:ascii="宋体" w:hAnsi="宋体" w:eastAsia="宋体" w:cs="宋体"/>
                <w:b w:val="0"/>
                <w:color w:val="auto"/>
                <w:sz w:val="21"/>
                <w:szCs w:val="21"/>
                <w:highlight w:val="none"/>
              </w:rPr>
              <w:t>70</w:t>
            </w:r>
          </w:p>
        </w:tc>
        <w:tc>
          <w:tcPr>
            <w:tcW w:w="386" w:type="pct"/>
            <w:tcBorders>
              <w:top w:val="single" w:color="auto" w:sz="4" w:space="0"/>
              <w:left w:val="single" w:color="auto" w:sz="4" w:space="0"/>
              <w:bottom w:val="single" w:color="auto" w:sz="4" w:space="0"/>
              <w:right w:val="single" w:color="auto" w:sz="4" w:space="0"/>
            </w:tcBorders>
            <w:vAlign w:val="center"/>
          </w:tcPr>
          <w:p w14:paraId="3D0DE064">
            <w:pPr>
              <w:spacing w:line="240" w:lineRule="atLeast"/>
              <w:jc w:val="center"/>
              <w:rPr>
                <w:rFonts w:ascii="宋体" w:hAnsi="宋体" w:eastAsia="宋体" w:cs="宋体"/>
                <w:color w:val="auto"/>
                <w:szCs w:val="21"/>
                <w:highlight w:val="none"/>
              </w:rPr>
            </w:pPr>
          </w:p>
        </w:tc>
        <w:tc>
          <w:tcPr>
            <w:tcW w:w="525" w:type="pct"/>
            <w:tcBorders>
              <w:top w:val="single" w:color="auto" w:sz="4" w:space="0"/>
              <w:left w:val="single" w:color="auto" w:sz="4" w:space="0"/>
              <w:bottom w:val="single" w:color="auto" w:sz="4" w:space="0"/>
              <w:right w:val="single" w:color="auto" w:sz="4" w:space="0"/>
            </w:tcBorders>
            <w:vAlign w:val="center"/>
          </w:tcPr>
          <w:p w14:paraId="49D1BD0C">
            <w:pPr>
              <w:spacing w:line="240" w:lineRule="atLeast"/>
              <w:jc w:val="center"/>
              <w:rPr>
                <w:rFonts w:ascii="宋体" w:hAnsi="宋体" w:eastAsia="宋体" w:cs="宋体"/>
                <w:color w:val="auto"/>
                <w:szCs w:val="21"/>
                <w:highlight w:val="none"/>
              </w:rPr>
            </w:pPr>
          </w:p>
        </w:tc>
        <w:tc>
          <w:tcPr>
            <w:tcW w:w="358" w:type="pct"/>
            <w:tcBorders>
              <w:top w:val="single" w:color="auto" w:sz="4" w:space="0"/>
              <w:left w:val="single" w:color="auto" w:sz="4" w:space="0"/>
              <w:bottom w:val="single" w:color="auto" w:sz="4" w:space="0"/>
              <w:right w:val="single" w:color="auto" w:sz="4" w:space="0"/>
            </w:tcBorders>
            <w:vAlign w:val="center"/>
          </w:tcPr>
          <w:p w14:paraId="5AD35234">
            <w:pPr>
              <w:spacing w:after="120" w:line="240" w:lineRule="atLeast"/>
              <w:jc w:val="center"/>
              <w:rPr>
                <w:rFonts w:ascii="宋体" w:hAnsi="宋体" w:eastAsia="宋体" w:cs="宋体"/>
                <w:color w:val="auto"/>
                <w:szCs w:val="22"/>
                <w:highlight w:val="none"/>
              </w:rPr>
            </w:pPr>
            <w:r>
              <w:rPr>
                <w:rFonts w:ascii="宋体" w:hAnsi="宋体" w:eastAsia="宋体" w:cs="宋体"/>
                <w:b w:val="0"/>
                <w:color w:val="auto"/>
                <w:sz w:val="21"/>
                <w:szCs w:val="21"/>
                <w:highlight w:val="none"/>
              </w:rPr>
              <w:t>30</w:t>
            </w:r>
          </w:p>
        </w:tc>
        <w:tc>
          <w:tcPr>
            <w:tcW w:w="388" w:type="pct"/>
            <w:tcBorders>
              <w:top w:val="single" w:color="auto" w:sz="4" w:space="0"/>
              <w:left w:val="single" w:color="auto" w:sz="4" w:space="0"/>
              <w:bottom w:val="single" w:color="auto" w:sz="4" w:space="0"/>
              <w:right w:val="single" w:color="auto" w:sz="4" w:space="0"/>
            </w:tcBorders>
            <w:vAlign w:val="center"/>
          </w:tcPr>
          <w:p w14:paraId="4A7C4106">
            <w:pPr>
              <w:spacing w:line="240" w:lineRule="atLeast"/>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E61D59F">
            <w:pPr>
              <w:spacing w:line="240" w:lineRule="atLeast"/>
              <w:jc w:val="center"/>
              <w:rPr>
                <w:rFonts w:ascii="宋体" w:hAnsi="宋体" w:eastAsia="宋体" w:cs="宋体"/>
                <w:color w:val="auto"/>
                <w:szCs w:val="21"/>
                <w:highlight w:val="none"/>
              </w:rPr>
            </w:pPr>
          </w:p>
        </w:tc>
        <w:tc>
          <w:tcPr>
            <w:tcW w:w="338" w:type="pct"/>
            <w:tcBorders>
              <w:top w:val="single" w:color="auto" w:sz="4" w:space="0"/>
              <w:left w:val="single" w:color="auto" w:sz="4" w:space="0"/>
              <w:bottom w:val="single" w:color="auto" w:sz="4" w:space="0"/>
              <w:right w:val="single" w:color="auto" w:sz="4" w:space="0"/>
            </w:tcBorders>
            <w:vAlign w:val="center"/>
          </w:tcPr>
          <w:p w14:paraId="73DEA1F6">
            <w:pPr>
              <w:spacing w:line="240" w:lineRule="atLeast"/>
              <w:jc w:val="center"/>
              <w:rPr>
                <w:rFonts w:ascii="宋体" w:hAnsi="宋体" w:eastAsia="宋体" w:cs="宋体"/>
                <w:color w:val="auto"/>
                <w:szCs w:val="21"/>
                <w:highlight w:val="none"/>
              </w:rPr>
            </w:pPr>
          </w:p>
        </w:tc>
      </w:tr>
      <w:tr w14:paraId="72D3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151C87B8">
            <w:pPr>
              <w:spacing w:after="120" w:line="240" w:lineRule="atLeast"/>
              <w:jc w:val="center"/>
              <w:rPr>
                <w:rFonts w:ascii="宋体" w:hAnsi="宋体" w:eastAsia="宋体" w:cs="宋体"/>
                <w:color w:val="auto"/>
                <w:szCs w:val="21"/>
                <w:highlight w:val="none"/>
              </w:rPr>
            </w:pPr>
            <w:r>
              <w:rPr>
                <w:rFonts w:ascii="宋体" w:hAnsi="宋体" w:eastAsia="宋体" w:cs="宋体"/>
                <w:b w:val="0"/>
                <w:color w:val="auto"/>
                <w:sz w:val="21"/>
                <w:szCs w:val="21"/>
                <w:highlight w:val="none"/>
              </w:rPr>
              <w:t>5</w:t>
            </w:r>
          </w:p>
        </w:tc>
        <w:tc>
          <w:tcPr>
            <w:tcW w:w="1392" w:type="pct"/>
            <w:tcBorders>
              <w:top w:val="single" w:color="auto" w:sz="4" w:space="0"/>
              <w:left w:val="single" w:color="auto" w:sz="4" w:space="0"/>
              <w:bottom w:val="single" w:color="auto" w:sz="4" w:space="0"/>
              <w:right w:val="single" w:color="auto" w:sz="4" w:space="0"/>
            </w:tcBorders>
            <w:vAlign w:val="center"/>
          </w:tcPr>
          <w:p w14:paraId="3EFDE5B6">
            <w:pPr>
              <w:spacing w:line="240" w:lineRule="atLeast"/>
              <w:jc w:val="center"/>
              <w:rPr>
                <w:rFonts w:ascii="宋体" w:hAnsi="宋体" w:eastAsia="宋体" w:cs="宋体"/>
                <w:color w:val="auto"/>
                <w:szCs w:val="21"/>
                <w:highlight w:val="none"/>
              </w:rPr>
            </w:pPr>
          </w:p>
        </w:tc>
        <w:tc>
          <w:tcPr>
            <w:tcW w:w="547" w:type="pct"/>
            <w:tcBorders>
              <w:top w:val="single" w:color="auto" w:sz="4" w:space="0"/>
              <w:left w:val="single" w:color="auto" w:sz="4" w:space="0"/>
              <w:bottom w:val="single" w:color="auto" w:sz="4" w:space="0"/>
              <w:right w:val="single" w:color="auto" w:sz="4" w:space="0"/>
            </w:tcBorders>
            <w:vAlign w:val="center"/>
          </w:tcPr>
          <w:p w14:paraId="76085D16">
            <w:pPr>
              <w:spacing w:line="240" w:lineRule="atLeast"/>
              <w:jc w:val="center"/>
              <w:rPr>
                <w:rFonts w:ascii="宋体" w:hAnsi="宋体" w:eastAsia="宋体" w:cs="宋体"/>
                <w:color w:val="auto"/>
                <w:szCs w:val="21"/>
                <w:highlight w:val="none"/>
              </w:rPr>
            </w:pPr>
          </w:p>
        </w:tc>
        <w:tc>
          <w:tcPr>
            <w:tcW w:w="390" w:type="pct"/>
            <w:tcBorders>
              <w:top w:val="single" w:color="auto" w:sz="4" w:space="0"/>
              <w:left w:val="single" w:color="auto" w:sz="4" w:space="0"/>
              <w:bottom w:val="single" w:color="auto" w:sz="4" w:space="0"/>
              <w:right w:val="single" w:color="auto" w:sz="4" w:space="0"/>
            </w:tcBorders>
            <w:vAlign w:val="center"/>
          </w:tcPr>
          <w:p w14:paraId="07221644">
            <w:pPr>
              <w:spacing w:after="120" w:line="240" w:lineRule="atLeast"/>
              <w:jc w:val="center"/>
              <w:rPr>
                <w:rFonts w:ascii="宋体" w:hAnsi="宋体" w:eastAsia="宋体" w:cs="宋体"/>
                <w:color w:val="auto"/>
                <w:szCs w:val="22"/>
                <w:highlight w:val="none"/>
              </w:rPr>
            </w:pPr>
            <w:r>
              <w:rPr>
                <w:rFonts w:ascii="宋体" w:hAnsi="宋体" w:eastAsia="宋体" w:cs="宋体"/>
                <w:b w:val="0"/>
                <w:color w:val="auto"/>
                <w:sz w:val="21"/>
                <w:szCs w:val="21"/>
                <w:highlight w:val="none"/>
              </w:rPr>
              <w:t>70</w:t>
            </w:r>
          </w:p>
        </w:tc>
        <w:tc>
          <w:tcPr>
            <w:tcW w:w="386" w:type="pct"/>
            <w:tcBorders>
              <w:top w:val="single" w:color="auto" w:sz="4" w:space="0"/>
              <w:left w:val="single" w:color="auto" w:sz="4" w:space="0"/>
              <w:bottom w:val="single" w:color="auto" w:sz="4" w:space="0"/>
              <w:right w:val="single" w:color="auto" w:sz="4" w:space="0"/>
            </w:tcBorders>
            <w:vAlign w:val="center"/>
          </w:tcPr>
          <w:p w14:paraId="67CAD786">
            <w:pPr>
              <w:spacing w:line="240" w:lineRule="atLeast"/>
              <w:jc w:val="center"/>
              <w:rPr>
                <w:rFonts w:ascii="宋体" w:hAnsi="宋体" w:eastAsia="宋体" w:cs="宋体"/>
                <w:color w:val="auto"/>
                <w:szCs w:val="21"/>
                <w:highlight w:val="none"/>
              </w:rPr>
            </w:pPr>
          </w:p>
        </w:tc>
        <w:tc>
          <w:tcPr>
            <w:tcW w:w="525" w:type="pct"/>
            <w:tcBorders>
              <w:top w:val="single" w:color="auto" w:sz="4" w:space="0"/>
              <w:left w:val="single" w:color="auto" w:sz="4" w:space="0"/>
              <w:bottom w:val="single" w:color="auto" w:sz="4" w:space="0"/>
              <w:right w:val="single" w:color="auto" w:sz="4" w:space="0"/>
            </w:tcBorders>
            <w:vAlign w:val="center"/>
          </w:tcPr>
          <w:p w14:paraId="22A61326">
            <w:pPr>
              <w:spacing w:line="240" w:lineRule="atLeast"/>
              <w:jc w:val="center"/>
              <w:rPr>
                <w:rFonts w:ascii="宋体" w:hAnsi="宋体" w:eastAsia="宋体" w:cs="宋体"/>
                <w:color w:val="auto"/>
                <w:szCs w:val="21"/>
                <w:highlight w:val="none"/>
              </w:rPr>
            </w:pPr>
          </w:p>
        </w:tc>
        <w:tc>
          <w:tcPr>
            <w:tcW w:w="358" w:type="pct"/>
            <w:tcBorders>
              <w:top w:val="single" w:color="auto" w:sz="4" w:space="0"/>
              <w:left w:val="single" w:color="auto" w:sz="4" w:space="0"/>
              <w:bottom w:val="single" w:color="auto" w:sz="4" w:space="0"/>
              <w:right w:val="single" w:color="auto" w:sz="4" w:space="0"/>
            </w:tcBorders>
            <w:vAlign w:val="center"/>
          </w:tcPr>
          <w:p w14:paraId="7F9B0545">
            <w:pPr>
              <w:spacing w:after="120" w:line="240" w:lineRule="atLeast"/>
              <w:jc w:val="center"/>
              <w:rPr>
                <w:rFonts w:ascii="宋体" w:hAnsi="宋体" w:eastAsia="宋体" w:cs="宋体"/>
                <w:color w:val="auto"/>
                <w:szCs w:val="22"/>
                <w:highlight w:val="none"/>
              </w:rPr>
            </w:pPr>
            <w:r>
              <w:rPr>
                <w:rFonts w:ascii="宋体" w:hAnsi="宋体" w:eastAsia="宋体" w:cs="宋体"/>
                <w:b w:val="0"/>
                <w:color w:val="auto"/>
                <w:sz w:val="21"/>
                <w:szCs w:val="21"/>
                <w:highlight w:val="none"/>
              </w:rPr>
              <w:t>30</w:t>
            </w:r>
          </w:p>
        </w:tc>
        <w:tc>
          <w:tcPr>
            <w:tcW w:w="388" w:type="pct"/>
            <w:tcBorders>
              <w:top w:val="single" w:color="auto" w:sz="4" w:space="0"/>
              <w:left w:val="single" w:color="auto" w:sz="4" w:space="0"/>
              <w:bottom w:val="single" w:color="auto" w:sz="4" w:space="0"/>
              <w:right w:val="single" w:color="auto" w:sz="4" w:space="0"/>
            </w:tcBorders>
            <w:vAlign w:val="center"/>
          </w:tcPr>
          <w:p w14:paraId="2EAB8ADD">
            <w:pPr>
              <w:spacing w:line="240" w:lineRule="atLeast"/>
              <w:jc w:val="center"/>
              <w:rPr>
                <w:rFonts w:ascii="宋体" w:hAnsi="宋体" w:eastAsia="宋体" w:cs="宋体"/>
                <w:color w:val="auto"/>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DCEF9B1">
            <w:pPr>
              <w:spacing w:line="240" w:lineRule="atLeast"/>
              <w:jc w:val="center"/>
              <w:rPr>
                <w:rFonts w:ascii="宋体" w:hAnsi="宋体" w:eastAsia="宋体" w:cs="宋体"/>
                <w:color w:val="auto"/>
                <w:szCs w:val="21"/>
                <w:highlight w:val="none"/>
              </w:rPr>
            </w:pPr>
          </w:p>
        </w:tc>
        <w:tc>
          <w:tcPr>
            <w:tcW w:w="338" w:type="pct"/>
            <w:tcBorders>
              <w:top w:val="single" w:color="auto" w:sz="4" w:space="0"/>
              <w:left w:val="single" w:color="auto" w:sz="4" w:space="0"/>
              <w:bottom w:val="single" w:color="auto" w:sz="4" w:space="0"/>
              <w:right w:val="single" w:color="auto" w:sz="4" w:space="0"/>
            </w:tcBorders>
            <w:vAlign w:val="center"/>
          </w:tcPr>
          <w:p w14:paraId="5AC97424">
            <w:pPr>
              <w:spacing w:line="240" w:lineRule="atLeast"/>
              <w:jc w:val="center"/>
              <w:rPr>
                <w:rFonts w:ascii="宋体" w:hAnsi="宋体" w:eastAsia="宋体" w:cs="宋体"/>
                <w:color w:val="auto"/>
                <w:szCs w:val="21"/>
                <w:highlight w:val="none"/>
              </w:rPr>
            </w:pPr>
          </w:p>
        </w:tc>
      </w:tr>
    </w:tbl>
    <w:p w14:paraId="287A17FA">
      <w:pPr>
        <w:ind w:right="420"/>
        <w:rPr>
          <w:rFonts w:ascii="宋体" w:hAnsi="宋体" w:eastAsia="宋体" w:cs="宋体"/>
          <w:color w:val="auto"/>
          <w:highlight w:val="none"/>
        </w:rPr>
      </w:pPr>
      <w:r>
        <w:rPr>
          <w:rFonts w:hint="eastAsia" w:ascii="宋体" w:hAnsi="宋体" w:eastAsia="宋体" w:cs="宋体"/>
          <w:b w:val="0"/>
          <w:color w:val="auto"/>
          <w:sz w:val="21"/>
          <w:highlight w:val="none"/>
        </w:rPr>
        <w:t>备注：按照总得分（最高</w:t>
      </w:r>
      <w:r>
        <w:rPr>
          <w:rFonts w:ascii="宋体" w:hAnsi="宋体" w:eastAsia="宋体" w:cs="宋体"/>
          <w:b w:val="0"/>
          <w:color w:val="auto"/>
          <w:sz w:val="21"/>
          <w:highlight w:val="none"/>
        </w:rPr>
        <w:t>100分）=方案因素得分（最高100分）×方案因素得分权重（70%）+价格因素得分（最高100分）×价格因素得分权重（30%），汇总计算合格中标候选人的总得分（若分数出现小数点时，保留小数点后二位，第三位小数四舍五入），并按总得分由高至低排序，确定总得分最高的合格中标候选人为中标人。</w:t>
      </w:r>
    </w:p>
    <w:p w14:paraId="5A809556">
      <w:pPr>
        <w:ind w:right="420" w:firstLine="420" w:firstLineChars="200"/>
        <w:rPr>
          <w:rFonts w:ascii="宋体" w:hAnsi="宋体" w:eastAsia="宋体" w:cs="宋体"/>
          <w:color w:val="auto"/>
          <w:highlight w:val="none"/>
        </w:rPr>
      </w:pPr>
      <w:r>
        <w:rPr>
          <w:rFonts w:hint="eastAsia" w:ascii="宋体" w:hAnsi="宋体" w:eastAsia="宋体" w:cs="宋体"/>
          <w:b w:val="0"/>
          <w:color w:val="auto"/>
          <w:sz w:val="21"/>
          <w:highlight w:val="none"/>
        </w:rPr>
        <w:t>若合格中标候选人总得分相同且影响定标排序的，以方案因素得分高的排前；若方案因素得分仍相同的，由定标委员会采用记名投票方式确定排序。</w:t>
      </w:r>
    </w:p>
    <w:p w14:paraId="054D130E">
      <w:pPr>
        <w:ind w:firstLine="420" w:firstLineChars="200"/>
        <w:rPr>
          <w:rFonts w:ascii="宋体" w:hAnsi="宋体" w:eastAsia="宋体" w:cs="宋体"/>
          <w:bCs/>
          <w:color w:val="auto"/>
          <w:szCs w:val="21"/>
          <w:highlight w:val="none"/>
        </w:rPr>
      </w:pPr>
      <w:r>
        <w:rPr>
          <w:rFonts w:hint="eastAsia" w:ascii="宋体" w:hAnsi="宋体" w:eastAsia="宋体" w:cs="宋体"/>
          <w:b w:val="0"/>
          <w:color w:val="auto"/>
          <w:sz w:val="21"/>
          <w:highlight w:val="none"/>
        </w:rPr>
        <w:t>记名投票方式确定排序的具体操作步骤为：由定标委员会对出现该情况的合格中标候选人采取记名投票的方式确定，按得票数高低进行排序，以得票数高的排前，根据得票数高低确定合格中标人排序。</w:t>
      </w:r>
    </w:p>
    <w:p w14:paraId="6A0365F6">
      <w:pPr>
        <w:snapToGrid w:val="0"/>
        <w:jc w:val="left"/>
        <w:rPr>
          <w:rFonts w:ascii="宋体" w:hAnsi="宋体" w:eastAsia="宋体" w:cs="宋体"/>
          <w:color w:val="auto"/>
          <w:szCs w:val="21"/>
          <w:highlight w:val="none"/>
        </w:rPr>
      </w:pPr>
    </w:p>
    <w:p w14:paraId="3121DF4A">
      <w:pPr>
        <w:spacing w:line="360" w:lineRule="auto"/>
        <w:jc w:val="left"/>
        <w:rPr>
          <w:rFonts w:ascii="宋体" w:hAnsi="宋体" w:eastAsia="宋体" w:cs="宋体"/>
          <w:color w:val="auto"/>
          <w:szCs w:val="21"/>
          <w:highlight w:val="none"/>
        </w:rPr>
      </w:pPr>
      <w:r>
        <w:rPr>
          <w:rFonts w:hint="eastAsia" w:ascii="宋体" w:hAnsi="宋体" w:eastAsia="宋体" w:cs="宋体"/>
          <w:b w:val="0"/>
          <w:color w:val="auto"/>
          <w:sz w:val="21"/>
          <w:szCs w:val="21"/>
          <w:highlight w:val="none"/>
        </w:rPr>
        <w:t>定标委员会全体成员签名：</w:t>
      </w:r>
    </w:p>
    <w:p w14:paraId="64E4B73F">
      <w:pPr>
        <w:ind w:right="430" w:firstLine="0" w:firstLineChars="0"/>
        <w:jc w:val="right"/>
        <w:rPr>
          <w:rFonts w:ascii="宋体" w:hAnsi="宋体" w:eastAsia="宋体" w:cs="宋体"/>
          <w:color w:val="auto"/>
          <w:sz w:val="24"/>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064D1B24">
      <w:pPr>
        <w:pStyle w:val="243"/>
        <w:rPr>
          <w:rFonts w:ascii="宋体" w:hAnsi="宋体" w:eastAsia="宋体" w:cs="宋体"/>
          <w:color w:val="auto"/>
          <w:sz w:val="21"/>
          <w:szCs w:val="21"/>
          <w:highlight w:val="none"/>
        </w:rPr>
        <w:sectPr>
          <w:pgSz w:w="11906" w:h="16838"/>
          <w:pgMar w:top="1440" w:right="1440" w:bottom="1440" w:left="1440" w:header="851" w:footer="992" w:gutter="0"/>
          <w:pgNumType w:fmt="decimal"/>
          <w:cols w:space="0" w:num="1"/>
          <w:docGrid w:type="lines" w:linePitch="322" w:charSpace="0"/>
        </w:sectPr>
      </w:pPr>
    </w:p>
    <w:p w14:paraId="7A2ED72C">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附表十一</w:t>
      </w:r>
    </w:p>
    <w:p w14:paraId="629D73C0">
      <w:pPr>
        <w:pStyle w:val="22"/>
        <w:rPr>
          <w:rFonts w:ascii="宋体" w:hAnsi="宋体" w:eastAsia="宋体" w:cs="宋体"/>
          <w:color w:val="auto"/>
          <w:highlight w:val="none"/>
        </w:rPr>
      </w:pPr>
    </w:p>
    <w:p w14:paraId="2AC82C6A">
      <w:pPr>
        <w:snapToGrid w:val="0"/>
        <w:spacing w:line="360" w:lineRule="auto"/>
        <w:ind w:firstLine="904" w:firstLineChars="300"/>
        <w:jc w:val="center"/>
        <w:outlineLvl w:val="2"/>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w:t>
      </w:r>
      <w:r>
        <w:rPr>
          <w:rFonts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组第</w:t>
      </w:r>
      <w:r>
        <w:rPr>
          <w:rFonts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轮）附加投票表（如有）</w:t>
      </w:r>
    </w:p>
    <w:p w14:paraId="43B3B7CD">
      <w:pPr>
        <w:snapToGrid w:val="0"/>
        <w:spacing w:line="360" w:lineRule="auto"/>
        <w:ind w:firstLine="904" w:firstLineChars="300"/>
        <w:jc w:val="center"/>
        <w:outlineLvl w:val="2"/>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（定标委员会个人用表）</w:t>
      </w:r>
    </w:p>
    <w:p w14:paraId="40B54998">
      <w:pPr>
        <w:jc w:val="center"/>
        <w:rPr>
          <w:rFonts w:ascii="宋体" w:hAnsi="宋体" w:eastAsia="宋体" w:cs="宋体"/>
          <w:b/>
          <w:color w:val="auto"/>
          <w:sz w:val="30"/>
          <w:szCs w:val="30"/>
          <w:highlight w:val="none"/>
        </w:rPr>
      </w:pPr>
    </w:p>
    <w:p w14:paraId="264F590B">
      <w:pP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工程名称：</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14:paraId="0EC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vAlign w:val="center"/>
          </w:tcPr>
          <w:p w14:paraId="0895B686">
            <w:pPr>
              <w:spacing w:line="600" w:lineRule="exact"/>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合格中标候选人名称</w:t>
            </w:r>
          </w:p>
        </w:tc>
        <w:tc>
          <w:tcPr>
            <w:tcW w:w="2126" w:type="dxa"/>
            <w:tcBorders>
              <w:top w:val="single" w:color="auto" w:sz="4" w:space="0"/>
              <w:left w:val="single" w:color="auto" w:sz="4" w:space="0"/>
              <w:bottom w:val="single" w:color="auto" w:sz="4" w:space="0"/>
              <w:right w:val="single" w:color="auto" w:sz="4" w:space="0"/>
            </w:tcBorders>
            <w:vAlign w:val="center"/>
          </w:tcPr>
          <w:p w14:paraId="63961B68">
            <w:pPr>
              <w:spacing w:line="600" w:lineRule="exact"/>
              <w:jc w:val="center"/>
              <w:rPr>
                <w:rFonts w:ascii="宋体" w:hAnsi="宋体" w:eastAsia="宋体" w:cs="宋体"/>
                <w:color w:val="auto"/>
                <w:sz w:val="24"/>
                <w:szCs w:val="22"/>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4D70C20F">
            <w:pPr>
              <w:spacing w:line="600" w:lineRule="exact"/>
              <w:jc w:val="center"/>
              <w:rPr>
                <w:rFonts w:ascii="宋体" w:hAnsi="宋体" w:eastAsia="宋体" w:cs="宋体"/>
                <w:color w:val="auto"/>
                <w:sz w:val="24"/>
                <w:szCs w:val="22"/>
                <w:highlight w:val="none"/>
              </w:rPr>
            </w:pPr>
          </w:p>
        </w:tc>
        <w:tc>
          <w:tcPr>
            <w:tcW w:w="2127" w:type="dxa"/>
            <w:tcBorders>
              <w:top w:val="single" w:color="auto" w:sz="4" w:space="0"/>
              <w:left w:val="single" w:color="auto" w:sz="4" w:space="0"/>
              <w:bottom w:val="single" w:color="auto" w:sz="4" w:space="0"/>
              <w:right w:val="single" w:color="auto" w:sz="4" w:space="0"/>
            </w:tcBorders>
          </w:tcPr>
          <w:p w14:paraId="3C92B879">
            <w:pPr>
              <w:spacing w:line="600" w:lineRule="exact"/>
              <w:jc w:val="center"/>
              <w:rPr>
                <w:rFonts w:ascii="宋体" w:hAnsi="宋体" w:eastAsia="宋体" w:cs="宋体"/>
                <w:color w:val="auto"/>
                <w:sz w:val="24"/>
                <w:szCs w:val="22"/>
                <w:highlight w:val="none"/>
              </w:rPr>
            </w:pPr>
          </w:p>
        </w:tc>
      </w:tr>
      <w:tr w14:paraId="3FB7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vAlign w:val="center"/>
          </w:tcPr>
          <w:p w14:paraId="77D4AD68">
            <w:pPr>
              <w:spacing w:line="600" w:lineRule="exact"/>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定标人票决意见</w:t>
            </w:r>
          </w:p>
        </w:tc>
        <w:tc>
          <w:tcPr>
            <w:tcW w:w="2126" w:type="dxa"/>
            <w:tcBorders>
              <w:top w:val="single" w:color="auto" w:sz="4" w:space="0"/>
              <w:left w:val="single" w:color="auto" w:sz="4" w:space="0"/>
              <w:bottom w:val="single" w:color="auto" w:sz="4" w:space="0"/>
              <w:right w:val="single" w:color="auto" w:sz="4" w:space="0"/>
            </w:tcBorders>
            <w:vAlign w:val="center"/>
          </w:tcPr>
          <w:p w14:paraId="3618D009">
            <w:pPr>
              <w:spacing w:line="600" w:lineRule="exact"/>
              <w:jc w:val="center"/>
              <w:rPr>
                <w:rFonts w:ascii="宋体" w:hAnsi="宋体" w:eastAsia="宋体" w:cs="宋体"/>
                <w:color w:val="auto"/>
                <w:sz w:val="24"/>
                <w:szCs w:val="22"/>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A68A10B">
            <w:pPr>
              <w:spacing w:line="600" w:lineRule="exact"/>
              <w:jc w:val="center"/>
              <w:rPr>
                <w:rFonts w:ascii="宋体" w:hAnsi="宋体" w:eastAsia="宋体" w:cs="宋体"/>
                <w:color w:val="auto"/>
                <w:sz w:val="24"/>
                <w:szCs w:val="22"/>
                <w:highlight w:val="none"/>
              </w:rPr>
            </w:pPr>
          </w:p>
        </w:tc>
        <w:tc>
          <w:tcPr>
            <w:tcW w:w="2127" w:type="dxa"/>
            <w:tcBorders>
              <w:top w:val="single" w:color="auto" w:sz="4" w:space="0"/>
              <w:left w:val="single" w:color="auto" w:sz="4" w:space="0"/>
              <w:bottom w:val="single" w:color="auto" w:sz="4" w:space="0"/>
              <w:right w:val="single" w:color="auto" w:sz="4" w:space="0"/>
            </w:tcBorders>
          </w:tcPr>
          <w:p w14:paraId="2E0347B7">
            <w:pPr>
              <w:spacing w:line="600" w:lineRule="exact"/>
              <w:jc w:val="center"/>
              <w:rPr>
                <w:rFonts w:ascii="宋体" w:hAnsi="宋体" w:eastAsia="宋体" w:cs="宋体"/>
                <w:color w:val="auto"/>
                <w:sz w:val="24"/>
                <w:szCs w:val="22"/>
                <w:highlight w:val="none"/>
              </w:rPr>
            </w:pPr>
          </w:p>
        </w:tc>
      </w:tr>
    </w:tbl>
    <w:p w14:paraId="601A25B8">
      <w:pPr>
        <w:spacing w:line="360" w:lineRule="auto"/>
        <w:ind w:right="420"/>
        <w:rPr>
          <w:rFonts w:ascii="宋体" w:hAnsi="宋体" w:eastAsia="宋体" w:cs="宋体"/>
          <w:color w:val="auto"/>
          <w:sz w:val="24"/>
          <w:szCs w:val="22"/>
          <w:highlight w:val="none"/>
        </w:rPr>
      </w:pPr>
    </w:p>
    <w:p w14:paraId="7DDA0509">
      <w:pPr>
        <w:spacing w:line="360" w:lineRule="auto"/>
        <w:ind w:right="42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03251DB6">
      <w:pPr>
        <w:spacing w:line="360" w:lineRule="auto"/>
        <w:ind w:firstLine="367" w:firstLineChars="175"/>
        <w:rPr>
          <w:rFonts w:ascii="宋体" w:hAnsi="宋体" w:eastAsia="宋体" w:cs="宋体"/>
          <w:color w:val="auto"/>
          <w:szCs w:val="21"/>
          <w:highlight w:val="none"/>
        </w:rPr>
      </w:pPr>
      <w:r>
        <w:rPr>
          <w:rFonts w:ascii="宋体" w:hAnsi="宋体" w:eastAsia="宋体" w:cs="宋体"/>
          <w:color w:val="auto"/>
          <w:szCs w:val="21"/>
          <w:highlight w:val="none"/>
        </w:rPr>
        <w:t>1、若出现总得分、方案因素得分、价格因素得分均相同的情况，按总得分、方案因素得分、价格因素得分相同的合格中标候选人为一组，按总得分由高至低依次分组，总得分最高的组别为第一组，以此类推，出现总得分、方案因素得分、价格因素得分相同情况的有</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组，本组为第</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组，共</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名合格中标候选人，总得分为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分，分别为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78BFECA">
      <w:pPr>
        <w:spacing w:line="360" w:lineRule="auto"/>
        <w:ind w:firstLine="367" w:firstLineChars="175"/>
        <w:rPr>
          <w:rFonts w:ascii="宋体" w:hAnsi="宋体" w:eastAsia="宋体" w:cs="宋体"/>
          <w:color w:val="auto"/>
          <w:szCs w:val="21"/>
          <w:highlight w:val="none"/>
        </w:rPr>
      </w:pPr>
      <w:r>
        <w:rPr>
          <w:rFonts w:ascii="宋体" w:hAnsi="宋体" w:eastAsia="宋体" w:cs="宋体"/>
          <w:color w:val="auto"/>
          <w:szCs w:val="21"/>
          <w:highlight w:val="none"/>
        </w:rPr>
        <w:t>2、由定标委员会成员进行附加投票，票决意见分别为“投票”或“不投票”，各定标委员会成员只有1票表决权（即只能对其中一名合格中标候选人“投票”），票决意见为“投票”的，用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表示；票决意见为“不投票”，用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表示。</w:t>
      </w:r>
    </w:p>
    <w:p w14:paraId="3174FDF5">
      <w:pPr>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3、若汇总出现得票数相同的情况按此表进行第</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组第</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轮票决确定排序。</w:t>
      </w:r>
    </w:p>
    <w:p w14:paraId="2E24382B">
      <w:pPr>
        <w:rPr>
          <w:rFonts w:ascii="宋体" w:hAnsi="宋体" w:eastAsia="宋体" w:cs="宋体"/>
          <w:color w:val="auto"/>
          <w:sz w:val="24"/>
          <w:szCs w:val="22"/>
          <w:highlight w:val="none"/>
        </w:rPr>
      </w:pPr>
    </w:p>
    <w:p w14:paraId="036E2AD7">
      <w:pPr>
        <w:spacing w:line="360" w:lineRule="auto"/>
        <w:ind w:right="420"/>
        <w:rPr>
          <w:rFonts w:ascii="宋体" w:hAnsi="宋体" w:eastAsia="宋体" w:cs="宋体"/>
          <w:color w:val="auto"/>
          <w:szCs w:val="22"/>
          <w:highlight w:val="none"/>
        </w:rPr>
      </w:pPr>
    </w:p>
    <w:p w14:paraId="605B45DC">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6A04E87E">
      <w:pPr>
        <w:spacing w:line="360" w:lineRule="auto"/>
        <w:jc w:val="left"/>
        <w:rPr>
          <w:rFonts w:ascii="宋体" w:hAnsi="宋体" w:eastAsia="宋体" w:cs="宋体"/>
          <w:color w:val="auto"/>
          <w:szCs w:val="21"/>
          <w:highlight w:val="none"/>
        </w:rPr>
      </w:pPr>
    </w:p>
    <w:p w14:paraId="0E105A6B">
      <w:pPr>
        <w:spacing w:line="360" w:lineRule="auto"/>
        <w:jc w:val="left"/>
        <w:rPr>
          <w:rFonts w:ascii="宋体" w:hAnsi="宋体" w:eastAsia="宋体" w:cs="宋体"/>
          <w:color w:val="auto"/>
          <w:szCs w:val="21"/>
          <w:highlight w:val="none"/>
        </w:rPr>
      </w:pPr>
    </w:p>
    <w:p w14:paraId="75557BFD">
      <w:pPr>
        <w:spacing w:line="360" w:lineRule="auto"/>
        <w:ind w:firstLine="5250" w:firstLineChars="2500"/>
        <w:jc w:val="left"/>
        <w:rPr>
          <w:rFonts w:ascii="宋体" w:hAnsi="宋体" w:eastAsia="宋体" w:cs="宋体"/>
          <w:color w:val="auto"/>
          <w:sz w:val="24"/>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07E766C5">
      <w:pPr>
        <w:pStyle w:val="243"/>
        <w:rPr>
          <w:rFonts w:ascii="宋体" w:hAnsi="宋体" w:eastAsia="宋体" w:cs="宋体"/>
          <w:color w:val="auto"/>
          <w:sz w:val="21"/>
          <w:szCs w:val="21"/>
          <w:highlight w:val="none"/>
        </w:rPr>
      </w:pPr>
    </w:p>
    <w:p w14:paraId="2390DE44">
      <w:pPr>
        <w:rPr>
          <w:rFonts w:ascii="宋体" w:hAnsi="宋体" w:eastAsia="宋体" w:cs="宋体"/>
          <w:color w:val="auto"/>
          <w:szCs w:val="21"/>
          <w:highlight w:val="none"/>
        </w:rPr>
      </w:pPr>
      <w:r>
        <w:rPr>
          <w:rFonts w:ascii="宋体" w:hAnsi="宋体" w:eastAsia="宋体" w:cs="宋体"/>
          <w:color w:val="auto"/>
          <w:szCs w:val="21"/>
          <w:highlight w:val="none"/>
        </w:rPr>
        <w:br w:type="page"/>
      </w:r>
    </w:p>
    <w:p w14:paraId="2353BC90">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附表十二</w:t>
      </w:r>
    </w:p>
    <w:p w14:paraId="1DEBD02F">
      <w:pPr>
        <w:pStyle w:val="22"/>
        <w:ind w:firstLine="0" w:firstLineChars="0"/>
        <w:rPr>
          <w:rFonts w:ascii="宋体" w:hAnsi="宋体" w:eastAsia="宋体" w:cs="宋体"/>
          <w:color w:val="auto"/>
          <w:highlight w:val="none"/>
        </w:rPr>
      </w:pPr>
    </w:p>
    <w:p w14:paraId="163DA33D">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w:t>
      </w:r>
      <w:r>
        <w:rPr>
          <w:rFonts w:ascii="宋体" w:hAnsi="宋体" w:eastAsia="宋体" w:cs="宋体"/>
          <w:color w:val="auto"/>
          <w:sz w:val="30"/>
          <w:szCs w:val="30"/>
          <w:highlight w:val="none"/>
          <w:u w:val="single"/>
        </w:rPr>
        <w:t xml:space="preserve">   </w:t>
      </w:r>
      <w:r>
        <w:rPr>
          <w:rFonts w:hint="eastAsia" w:ascii="宋体" w:hAnsi="宋体" w:eastAsia="宋体" w:cs="宋体"/>
          <w:b/>
          <w:color w:val="auto"/>
          <w:sz w:val="30"/>
          <w:szCs w:val="30"/>
          <w:highlight w:val="none"/>
        </w:rPr>
        <w:t>组第</w:t>
      </w:r>
      <w:r>
        <w:rPr>
          <w:rFonts w:ascii="宋体" w:hAnsi="宋体" w:eastAsia="宋体" w:cs="宋体"/>
          <w:color w:val="auto"/>
          <w:sz w:val="30"/>
          <w:szCs w:val="30"/>
          <w:highlight w:val="none"/>
          <w:u w:val="single"/>
        </w:rPr>
        <w:t xml:space="preserve">   </w:t>
      </w:r>
      <w:r>
        <w:rPr>
          <w:rFonts w:hint="eastAsia" w:ascii="宋体" w:hAnsi="宋体" w:eastAsia="宋体" w:cs="宋体"/>
          <w:b/>
          <w:color w:val="auto"/>
          <w:sz w:val="30"/>
          <w:szCs w:val="30"/>
          <w:highlight w:val="none"/>
        </w:rPr>
        <w:t>轮）附加投票统计表（如有）</w:t>
      </w:r>
    </w:p>
    <w:p w14:paraId="1041F4D1">
      <w:pPr>
        <w:ind w:left="210"/>
        <w:jc w:val="center"/>
        <w:rPr>
          <w:rFonts w:ascii="宋体" w:hAnsi="宋体" w:eastAsia="宋体" w:cs="宋体"/>
          <w:b/>
          <w:smallCaps/>
          <w:color w:val="auto"/>
          <w:sz w:val="30"/>
          <w:szCs w:val="30"/>
          <w:highlight w:val="none"/>
        </w:rPr>
      </w:pPr>
      <w:r>
        <w:rPr>
          <w:rFonts w:hint="eastAsia" w:ascii="宋体" w:hAnsi="宋体" w:eastAsia="宋体" w:cs="宋体"/>
          <w:b/>
          <w:smallCaps/>
          <w:color w:val="auto"/>
          <w:sz w:val="30"/>
          <w:szCs w:val="30"/>
          <w:highlight w:val="none"/>
        </w:rPr>
        <w:t>（定标委员会汇总用表）</w:t>
      </w:r>
    </w:p>
    <w:p w14:paraId="094983EE">
      <w:pPr>
        <w:pStyle w:val="22"/>
        <w:ind w:firstLine="0" w:firstLineChars="0"/>
        <w:rPr>
          <w:rFonts w:ascii="宋体" w:hAnsi="宋体" w:eastAsia="宋体" w:cs="宋体"/>
          <w:color w:val="auto"/>
          <w:highlight w:val="none"/>
        </w:rPr>
      </w:pPr>
    </w:p>
    <w:p w14:paraId="22679E6A">
      <w:pP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工程名称：</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311"/>
        <w:gridCol w:w="1189"/>
        <w:gridCol w:w="933"/>
        <w:gridCol w:w="949"/>
        <w:gridCol w:w="984"/>
        <w:gridCol w:w="925"/>
      </w:tblGrid>
      <w:tr w14:paraId="44B0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6" w:type="dxa"/>
            <w:tcBorders>
              <w:top w:val="single" w:color="auto" w:sz="4" w:space="0"/>
              <w:left w:val="single" w:color="auto" w:sz="4" w:space="0"/>
              <w:bottom w:val="single" w:color="auto" w:sz="4" w:space="0"/>
              <w:right w:val="single" w:color="auto" w:sz="4" w:space="0"/>
            </w:tcBorders>
            <w:vAlign w:val="center"/>
          </w:tcPr>
          <w:p w14:paraId="0922345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311" w:type="dxa"/>
            <w:tcBorders>
              <w:top w:val="single" w:color="auto" w:sz="4" w:space="0"/>
              <w:left w:val="single" w:color="auto" w:sz="4" w:space="0"/>
              <w:bottom w:val="single" w:color="auto" w:sz="4" w:space="0"/>
              <w:right w:val="single" w:color="auto" w:sz="4" w:space="0"/>
            </w:tcBorders>
            <w:vAlign w:val="center"/>
          </w:tcPr>
          <w:p w14:paraId="61BE1163">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合格中标候选人名称</w:t>
            </w:r>
          </w:p>
        </w:tc>
        <w:tc>
          <w:tcPr>
            <w:tcW w:w="1189" w:type="dxa"/>
            <w:tcBorders>
              <w:top w:val="single" w:color="auto" w:sz="4" w:space="0"/>
              <w:left w:val="single" w:color="auto" w:sz="4" w:space="0"/>
              <w:bottom w:val="single" w:color="auto" w:sz="4" w:space="0"/>
              <w:right w:val="single" w:color="auto" w:sz="4" w:space="0"/>
            </w:tcBorders>
            <w:vAlign w:val="center"/>
          </w:tcPr>
          <w:p w14:paraId="1CB9196B">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定标因素得分排序</w:t>
            </w:r>
          </w:p>
        </w:tc>
        <w:tc>
          <w:tcPr>
            <w:tcW w:w="933" w:type="dxa"/>
            <w:tcBorders>
              <w:top w:val="single" w:color="auto" w:sz="4" w:space="0"/>
              <w:left w:val="single" w:color="auto" w:sz="4" w:space="0"/>
              <w:bottom w:val="single" w:color="auto" w:sz="4" w:space="0"/>
              <w:right w:val="single" w:color="auto" w:sz="4" w:space="0"/>
            </w:tcBorders>
          </w:tcPr>
          <w:p w14:paraId="48A173F6">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ascii="宋体" w:hAnsi="宋体" w:eastAsia="宋体" w:cs="宋体"/>
                <w:b/>
                <w:color w:val="auto"/>
                <w:szCs w:val="21"/>
                <w:highlight w:val="none"/>
                <w:u w:val="single"/>
              </w:rPr>
              <w:t>1</w:t>
            </w:r>
            <w:r>
              <w:rPr>
                <w:rFonts w:hint="eastAsia" w:ascii="宋体" w:hAnsi="宋体" w:eastAsia="宋体" w:cs="宋体"/>
                <w:b/>
                <w:color w:val="auto"/>
                <w:szCs w:val="21"/>
                <w:highlight w:val="none"/>
              </w:rPr>
              <w:t>轮得票数</w:t>
            </w:r>
          </w:p>
        </w:tc>
        <w:tc>
          <w:tcPr>
            <w:tcW w:w="949" w:type="dxa"/>
            <w:tcBorders>
              <w:top w:val="single" w:color="auto" w:sz="4" w:space="0"/>
              <w:left w:val="single" w:color="auto" w:sz="4" w:space="0"/>
              <w:bottom w:val="single" w:color="auto" w:sz="4" w:space="0"/>
              <w:right w:val="single" w:color="auto" w:sz="4" w:space="0"/>
            </w:tcBorders>
          </w:tcPr>
          <w:p w14:paraId="4DADBA07">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ascii="宋体" w:hAnsi="宋体" w:eastAsia="宋体" w:cs="宋体"/>
                <w:b/>
                <w:color w:val="auto"/>
                <w:szCs w:val="21"/>
                <w:highlight w:val="none"/>
                <w:u w:val="single"/>
              </w:rPr>
              <w:t>1</w:t>
            </w:r>
            <w:r>
              <w:rPr>
                <w:rFonts w:hint="eastAsia" w:ascii="宋体" w:hAnsi="宋体" w:eastAsia="宋体" w:cs="宋体"/>
                <w:b/>
                <w:color w:val="auto"/>
                <w:szCs w:val="21"/>
                <w:highlight w:val="none"/>
              </w:rPr>
              <w:t>轮排序</w:t>
            </w:r>
          </w:p>
        </w:tc>
        <w:tc>
          <w:tcPr>
            <w:tcW w:w="984" w:type="dxa"/>
            <w:tcBorders>
              <w:top w:val="single" w:color="auto" w:sz="4" w:space="0"/>
              <w:left w:val="single" w:color="auto" w:sz="4" w:space="0"/>
              <w:bottom w:val="single" w:color="auto" w:sz="4" w:space="0"/>
              <w:right w:val="single" w:color="auto" w:sz="4" w:space="0"/>
            </w:tcBorders>
          </w:tcPr>
          <w:p w14:paraId="1EA1E8C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rPr>
              <w:t>轮得票数</w:t>
            </w:r>
          </w:p>
        </w:tc>
        <w:tc>
          <w:tcPr>
            <w:tcW w:w="925" w:type="dxa"/>
            <w:tcBorders>
              <w:top w:val="single" w:color="auto" w:sz="4" w:space="0"/>
              <w:left w:val="single" w:color="auto" w:sz="4" w:space="0"/>
              <w:bottom w:val="single" w:color="auto" w:sz="4" w:space="0"/>
              <w:right w:val="single" w:color="auto" w:sz="4" w:space="0"/>
            </w:tcBorders>
          </w:tcPr>
          <w:p w14:paraId="7B6358C8">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rPr>
              <w:t>轮排序</w:t>
            </w:r>
          </w:p>
        </w:tc>
      </w:tr>
      <w:tr w14:paraId="6F68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vAlign w:val="center"/>
          </w:tcPr>
          <w:p w14:paraId="663CCCF4">
            <w:pPr>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3311" w:type="dxa"/>
            <w:tcBorders>
              <w:top w:val="single" w:color="auto" w:sz="4" w:space="0"/>
              <w:left w:val="single" w:color="auto" w:sz="4" w:space="0"/>
              <w:bottom w:val="single" w:color="auto" w:sz="4" w:space="0"/>
              <w:right w:val="single" w:color="auto" w:sz="4" w:space="0"/>
            </w:tcBorders>
            <w:vAlign w:val="center"/>
          </w:tcPr>
          <w:p w14:paraId="24DF2018">
            <w:pPr>
              <w:jc w:val="center"/>
              <w:rPr>
                <w:rFonts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1AA5E435">
            <w:pPr>
              <w:jc w:val="center"/>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5176D2B8">
            <w:pPr>
              <w:jc w:val="center"/>
              <w:rPr>
                <w:rFonts w:ascii="宋体" w:hAnsi="宋体" w:eastAsia="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tcPr>
          <w:p w14:paraId="142BD7CB">
            <w:pPr>
              <w:jc w:val="center"/>
              <w:rPr>
                <w:rFonts w:ascii="宋体" w:hAnsi="宋体" w:eastAsia="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1F8A3432">
            <w:pPr>
              <w:jc w:val="center"/>
              <w:rPr>
                <w:rFonts w:ascii="宋体" w:hAnsi="宋体" w:eastAsia="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tcPr>
          <w:p w14:paraId="58D0ABBC">
            <w:pPr>
              <w:jc w:val="center"/>
              <w:rPr>
                <w:rFonts w:ascii="宋体" w:hAnsi="宋体" w:eastAsia="宋体" w:cs="宋体"/>
                <w:color w:val="auto"/>
                <w:szCs w:val="21"/>
                <w:highlight w:val="none"/>
              </w:rPr>
            </w:pPr>
          </w:p>
        </w:tc>
      </w:tr>
      <w:tr w14:paraId="63CF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vAlign w:val="center"/>
          </w:tcPr>
          <w:p w14:paraId="7F8ECCA0">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2</w:t>
            </w:r>
          </w:p>
        </w:tc>
        <w:tc>
          <w:tcPr>
            <w:tcW w:w="3311" w:type="dxa"/>
            <w:tcBorders>
              <w:top w:val="single" w:color="auto" w:sz="4" w:space="0"/>
              <w:left w:val="single" w:color="auto" w:sz="4" w:space="0"/>
              <w:bottom w:val="single" w:color="auto" w:sz="4" w:space="0"/>
              <w:right w:val="single" w:color="auto" w:sz="4" w:space="0"/>
            </w:tcBorders>
            <w:vAlign w:val="center"/>
          </w:tcPr>
          <w:p w14:paraId="33AC8F67">
            <w:pPr>
              <w:jc w:val="center"/>
              <w:rPr>
                <w:rFonts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2C88F8FF">
            <w:pPr>
              <w:jc w:val="center"/>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56DF4DC7">
            <w:pPr>
              <w:jc w:val="center"/>
              <w:rPr>
                <w:rFonts w:ascii="宋体" w:hAnsi="宋体" w:eastAsia="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tcPr>
          <w:p w14:paraId="683C8465">
            <w:pPr>
              <w:jc w:val="center"/>
              <w:rPr>
                <w:rFonts w:ascii="宋体" w:hAnsi="宋体" w:eastAsia="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1540DE3A">
            <w:pPr>
              <w:jc w:val="center"/>
              <w:rPr>
                <w:rFonts w:ascii="宋体" w:hAnsi="宋体" w:eastAsia="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tcPr>
          <w:p w14:paraId="19E7F098">
            <w:pPr>
              <w:jc w:val="center"/>
              <w:rPr>
                <w:rFonts w:ascii="宋体" w:hAnsi="宋体" w:eastAsia="宋体" w:cs="宋体"/>
                <w:color w:val="auto"/>
                <w:szCs w:val="21"/>
                <w:highlight w:val="none"/>
              </w:rPr>
            </w:pPr>
          </w:p>
        </w:tc>
      </w:tr>
      <w:tr w14:paraId="5EC2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vAlign w:val="center"/>
          </w:tcPr>
          <w:p w14:paraId="1946A1F3">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3</w:t>
            </w:r>
          </w:p>
        </w:tc>
        <w:tc>
          <w:tcPr>
            <w:tcW w:w="3311" w:type="dxa"/>
            <w:tcBorders>
              <w:top w:val="single" w:color="auto" w:sz="4" w:space="0"/>
              <w:left w:val="single" w:color="auto" w:sz="4" w:space="0"/>
              <w:bottom w:val="single" w:color="auto" w:sz="4" w:space="0"/>
              <w:right w:val="single" w:color="auto" w:sz="4" w:space="0"/>
            </w:tcBorders>
            <w:vAlign w:val="center"/>
          </w:tcPr>
          <w:p w14:paraId="20C8BF6B">
            <w:pPr>
              <w:jc w:val="center"/>
              <w:rPr>
                <w:rFonts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4D144E28">
            <w:pPr>
              <w:jc w:val="center"/>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550529FA">
            <w:pPr>
              <w:jc w:val="center"/>
              <w:rPr>
                <w:rFonts w:ascii="宋体" w:hAnsi="宋体" w:eastAsia="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tcPr>
          <w:p w14:paraId="59AB2FA4">
            <w:pPr>
              <w:jc w:val="center"/>
              <w:rPr>
                <w:rFonts w:ascii="宋体" w:hAnsi="宋体" w:eastAsia="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1464E2E7">
            <w:pPr>
              <w:jc w:val="center"/>
              <w:rPr>
                <w:rFonts w:ascii="宋体" w:hAnsi="宋体" w:eastAsia="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tcPr>
          <w:p w14:paraId="27580560">
            <w:pPr>
              <w:jc w:val="center"/>
              <w:rPr>
                <w:rFonts w:ascii="宋体" w:hAnsi="宋体" w:eastAsia="宋体" w:cs="宋体"/>
                <w:color w:val="auto"/>
                <w:szCs w:val="21"/>
                <w:highlight w:val="none"/>
              </w:rPr>
            </w:pPr>
          </w:p>
        </w:tc>
      </w:tr>
    </w:tbl>
    <w:p w14:paraId="1DDA9DE6">
      <w:pPr>
        <w:spacing w:line="240" w:lineRule="exact"/>
        <w:ind w:right="-11"/>
        <w:jc w:val="center"/>
        <w:rPr>
          <w:rFonts w:ascii="宋体" w:hAnsi="宋体" w:eastAsia="宋体" w:cs="宋体"/>
          <w:color w:val="auto"/>
          <w:szCs w:val="21"/>
          <w:highlight w:val="none"/>
        </w:rPr>
      </w:pPr>
    </w:p>
    <w:p w14:paraId="3F7E67F6">
      <w:pPr>
        <w:spacing w:line="36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备注：按得票数由高至低，在延续定标因素得分排序的基础上进行排序，票数高的排序靠前，得票数相同的合格中标候选人进行再次票决确定排序。</w:t>
      </w:r>
    </w:p>
    <w:p w14:paraId="1BB58295">
      <w:pPr>
        <w:spacing w:line="400" w:lineRule="exact"/>
        <w:rPr>
          <w:rFonts w:ascii="宋体" w:hAnsi="宋体" w:eastAsia="宋体" w:cs="宋体"/>
          <w:color w:val="auto"/>
          <w:szCs w:val="21"/>
          <w:highlight w:val="none"/>
        </w:rPr>
      </w:pPr>
    </w:p>
    <w:p w14:paraId="22DAD54B">
      <w:pPr>
        <w:spacing w:line="360" w:lineRule="exact"/>
        <w:ind w:right="-325" w:rightChars="-155"/>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62C3BD53">
      <w:pPr>
        <w:pStyle w:val="2"/>
        <w:tabs>
          <w:tab w:val="right" w:leader="dot" w:pos="9060"/>
        </w:tabs>
        <w:ind w:left="0" w:leftChars="0"/>
        <w:rPr>
          <w:rFonts w:ascii="宋体" w:hAnsi="宋体" w:eastAsia="宋体" w:cs="宋体"/>
          <w:color w:val="auto"/>
          <w:highlight w:val="none"/>
        </w:rPr>
      </w:pPr>
    </w:p>
    <w:p w14:paraId="67D9D037">
      <w:pPr>
        <w:rPr>
          <w:rFonts w:ascii="宋体" w:hAnsi="宋体" w:eastAsia="宋体" w:cs="宋体"/>
          <w:color w:val="auto"/>
          <w:highlight w:val="none"/>
        </w:rPr>
      </w:pPr>
    </w:p>
    <w:p w14:paraId="2C9E6B09">
      <w:pPr>
        <w:rPr>
          <w:rFonts w:ascii="宋体" w:hAnsi="宋体" w:eastAsia="宋体" w:cs="宋体"/>
          <w:color w:val="auto"/>
          <w:highlight w:val="none"/>
        </w:rPr>
      </w:pPr>
    </w:p>
    <w:p w14:paraId="1EA6DDFF">
      <w:pPr>
        <w:ind w:firstLine="5670" w:firstLineChars="2700"/>
        <w:rPr>
          <w:rFonts w:ascii="宋体" w:hAnsi="宋体" w:eastAsia="宋体" w:cs="宋体"/>
          <w:color w:val="auto"/>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3E067797">
      <w:pPr>
        <w:pStyle w:val="243"/>
        <w:rPr>
          <w:rFonts w:ascii="宋体" w:hAnsi="宋体" w:eastAsia="宋体" w:cs="宋体"/>
          <w:color w:val="auto"/>
          <w:sz w:val="21"/>
          <w:szCs w:val="21"/>
          <w:highlight w:val="none"/>
        </w:rPr>
      </w:pPr>
    </w:p>
    <w:p w14:paraId="0CDF9344">
      <w:pPr>
        <w:rPr>
          <w:rFonts w:ascii="宋体" w:hAnsi="宋体" w:eastAsia="宋体" w:cs="宋体"/>
          <w:color w:val="auto"/>
          <w:szCs w:val="21"/>
          <w:highlight w:val="none"/>
        </w:rPr>
      </w:pPr>
      <w:r>
        <w:rPr>
          <w:rFonts w:ascii="宋体" w:hAnsi="宋体" w:eastAsia="宋体" w:cs="宋体"/>
          <w:color w:val="auto"/>
          <w:szCs w:val="21"/>
          <w:highlight w:val="none"/>
        </w:rPr>
        <w:br w:type="page"/>
      </w:r>
    </w:p>
    <w:p w14:paraId="4AE48959">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附表十三</w:t>
      </w:r>
    </w:p>
    <w:p w14:paraId="2810268F">
      <w:pPr>
        <w:pStyle w:val="243"/>
        <w:rPr>
          <w:rFonts w:ascii="宋体" w:hAnsi="宋体" w:eastAsia="宋体" w:cs="宋体"/>
          <w:color w:val="auto"/>
          <w:sz w:val="21"/>
          <w:szCs w:val="21"/>
          <w:highlight w:val="none"/>
        </w:rPr>
      </w:pPr>
    </w:p>
    <w:p w14:paraId="7041D00D">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定标情况汇总表（定标阶段）</w:t>
      </w:r>
    </w:p>
    <w:p w14:paraId="27B83053">
      <w:pPr>
        <w:ind w:left="210"/>
        <w:jc w:val="left"/>
        <w:rPr>
          <w:rFonts w:ascii="宋体" w:hAnsi="宋体" w:eastAsia="宋体" w:cs="宋体"/>
          <w:smallCaps/>
          <w:color w:val="auto"/>
          <w:sz w:val="20"/>
          <w:szCs w:val="20"/>
          <w:highlight w:val="none"/>
        </w:rPr>
      </w:pPr>
    </w:p>
    <w:p w14:paraId="0D56B2C3">
      <w:pP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工程名称：</w:t>
      </w:r>
    </w:p>
    <w:tbl>
      <w:tblPr>
        <w:tblStyle w:val="88"/>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3759"/>
        <w:gridCol w:w="1098"/>
        <w:gridCol w:w="1332"/>
        <w:gridCol w:w="2257"/>
      </w:tblGrid>
      <w:tr w14:paraId="7F21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75" w:type="pct"/>
            <w:tcBorders>
              <w:top w:val="single" w:color="auto" w:sz="4" w:space="0"/>
              <w:left w:val="single" w:color="auto" w:sz="4" w:space="0"/>
              <w:bottom w:val="single" w:color="auto" w:sz="4" w:space="0"/>
              <w:right w:val="single" w:color="auto" w:sz="4" w:space="0"/>
            </w:tcBorders>
            <w:vAlign w:val="center"/>
          </w:tcPr>
          <w:p w14:paraId="3A094019">
            <w:pPr>
              <w:jc w:val="center"/>
              <w:rPr>
                <w:rFonts w:ascii="宋体" w:hAnsi="宋体" w:eastAsia="宋体" w:cs="宋体"/>
                <w:b/>
                <w:color w:val="auto"/>
                <w:highlight w:val="none"/>
              </w:rPr>
            </w:pPr>
            <w:r>
              <w:rPr>
                <w:rFonts w:hint="eastAsia" w:ascii="宋体" w:hAnsi="宋体" w:eastAsia="宋体" w:cs="宋体"/>
                <w:b/>
                <w:color w:val="auto"/>
                <w:highlight w:val="none"/>
              </w:rPr>
              <w:t>序号</w:t>
            </w:r>
          </w:p>
        </w:tc>
        <w:tc>
          <w:tcPr>
            <w:tcW w:w="2057" w:type="pct"/>
            <w:tcBorders>
              <w:top w:val="single" w:color="auto" w:sz="4" w:space="0"/>
              <w:left w:val="nil"/>
              <w:bottom w:val="single" w:color="auto" w:sz="4" w:space="0"/>
              <w:right w:val="single" w:color="auto" w:sz="4" w:space="0"/>
            </w:tcBorders>
            <w:vAlign w:val="center"/>
          </w:tcPr>
          <w:p w14:paraId="1287E123">
            <w:pPr>
              <w:jc w:val="center"/>
              <w:rPr>
                <w:rFonts w:ascii="宋体" w:hAnsi="宋体" w:eastAsia="宋体" w:cs="宋体"/>
                <w:b/>
                <w:color w:val="auto"/>
                <w:highlight w:val="none"/>
              </w:rPr>
            </w:pPr>
            <w:r>
              <w:rPr>
                <w:rFonts w:hint="eastAsia" w:ascii="宋体" w:hAnsi="宋体" w:eastAsia="宋体" w:cs="宋体"/>
                <w:b/>
                <w:color w:val="auto"/>
                <w:highlight w:val="none"/>
              </w:rPr>
              <w:t>合格中标候选人名称</w:t>
            </w:r>
          </w:p>
        </w:tc>
        <w:tc>
          <w:tcPr>
            <w:tcW w:w="601" w:type="pct"/>
            <w:tcBorders>
              <w:top w:val="single" w:color="auto" w:sz="4" w:space="0"/>
              <w:left w:val="nil"/>
              <w:bottom w:val="single" w:color="auto" w:sz="4" w:space="0"/>
              <w:right w:val="single" w:color="auto" w:sz="4" w:space="0"/>
            </w:tcBorders>
            <w:vAlign w:val="center"/>
          </w:tcPr>
          <w:p w14:paraId="63A12FBF">
            <w:pPr>
              <w:jc w:val="center"/>
              <w:rPr>
                <w:rFonts w:ascii="宋体" w:hAnsi="宋体" w:eastAsia="宋体" w:cs="宋体"/>
                <w:b/>
                <w:color w:val="auto"/>
                <w:highlight w:val="none"/>
              </w:rPr>
            </w:pPr>
            <w:r>
              <w:rPr>
                <w:rFonts w:hint="eastAsia" w:ascii="宋体" w:hAnsi="宋体" w:eastAsia="宋体" w:cs="宋体"/>
                <w:b/>
                <w:color w:val="auto"/>
                <w:highlight w:val="none"/>
              </w:rPr>
              <w:t>总得分</w:t>
            </w:r>
          </w:p>
        </w:tc>
        <w:tc>
          <w:tcPr>
            <w:tcW w:w="729" w:type="pct"/>
            <w:tcBorders>
              <w:top w:val="single" w:color="auto" w:sz="4" w:space="0"/>
              <w:left w:val="nil"/>
              <w:bottom w:val="single" w:color="auto" w:sz="4" w:space="0"/>
              <w:right w:val="single" w:color="auto" w:sz="4" w:space="0"/>
            </w:tcBorders>
          </w:tcPr>
          <w:p w14:paraId="339D91DE">
            <w:pPr>
              <w:jc w:val="center"/>
              <w:rPr>
                <w:rFonts w:ascii="宋体" w:hAnsi="宋体" w:eastAsia="宋体" w:cs="宋体"/>
                <w:b/>
                <w:color w:val="auto"/>
                <w:highlight w:val="none"/>
              </w:rPr>
            </w:pPr>
            <w:r>
              <w:rPr>
                <w:rFonts w:hint="eastAsia" w:ascii="宋体" w:hAnsi="宋体" w:eastAsia="宋体" w:cs="宋体"/>
                <w:b/>
                <w:color w:val="auto"/>
                <w:highlight w:val="none"/>
              </w:rPr>
              <w:t>附加得票数</w:t>
            </w:r>
          </w:p>
          <w:p w14:paraId="0F9808D9">
            <w:pPr>
              <w:jc w:val="center"/>
              <w:rPr>
                <w:rFonts w:ascii="宋体" w:hAnsi="宋体" w:eastAsia="宋体" w:cs="宋体"/>
                <w:b/>
                <w:color w:val="auto"/>
                <w:highlight w:val="none"/>
              </w:rPr>
            </w:pPr>
            <w:r>
              <w:rPr>
                <w:rFonts w:hint="eastAsia" w:ascii="宋体" w:hAnsi="宋体" w:eastAsia="宋体" w:cs="宋体"/>
                <w:b/>
                <w:color w:val="auto"/>
                <w:highlight w:val="none"/>
              </w:rPr>
              <w:t>（如有）</w:t>
            </w:r>
          </w:p>
        </w:tc>
        <w:tc>
          <w:tcPr>
            <w:tcW w:w="1235" w:type="pct"/>
            <w:tcBorders>
              <w:top w:val="single" w:color="auto" w:sz="4" w:space="0"/>
              <w:left w:val="nil"/>
              <w:bottom w:val="single" w:color="auto" w:sz="4" w:space="0"/>
              <w:right w:val="single" w:color="auto" w:sz="4" w:space="0"/>
            </w:tcBorders>
            <w:vAlign w:val="center"/>
          </w:tcPr>
          <w:p w14:paraId="72E7A91D">
            <w:pPr>
              <w:jc w:val="center"/>
              <w:rPr>
                <w:rFonts w:ascii="宋体" w:hAnsi="宋体" w:eastAsia="宋体" w:cs="宋体"/>
                <w:b/>
                <w:color w:val="auto"/>
                <w:highlight w:val="none"/>
              </w:rPr>
            </w:pPr>
            <w:r>
              <w:rPr>
                <w:rFonts w:hint="eastAsia" w:ascii="宋体" w:hAnsi="宋体" w:eastAsia="宋体" w:cs="宋体"/>
                <w:b/>
                <w:color w:val="auto"/>
                <w:highlight w:val="none"/>
              </w:rPr>
              <w:t>是否被确定为中标人</w:t>
            </w:r>
          </w:p>
        </w:tc>
      </w:tr>
      <w:tr w14:paraId="6932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vAlign w:val="center"/>
          </w:tcPr>
          <w:p w14:paraId="14945B56">
            <w:pPr>
              <w:jc w:val="center"/>
              <w:rPr>
                <w:rFonts w:ascii="宋体" w:hAnsi="宋体" w:eastAsia="宋体" w:cs="宋体"/>
                <w:color w:val="auto"/>
                <w:sz w:val="24"/>
                <w:highlight w:val="none"/>
              </w:rPr>
            </w:pPr>
            <w:r>
              <w:rPr>
                <w:rFonts w:ascii="宋体" w:hAnsi="宋体" w:eastAsia="宋体" w:cs="宋体"/>
                <w:color w:val="auto"/>
                <w:sz w:val="24"/>
                <w:highlight w:val="none"/>
              </w:rPr>
              <w:t>1</w:t>
            </w:r>
          </w:p>
        </w:tc>
        <w:tc>
          <w:tcPr>
            <w:tcW w:w="2057" w:type="pct"/>
            <w:tcBorders>
              <w:top w:val="single" w:color="auto" w:sz="4" w:space="0"/>
              <w:left w:val="nil"/>
              <w:bottom w:val="single" w:color="auto" w:sz="4" w:space="0"/>
              <w:right w:val="single" w:color="auto" w:sz="4" w:space="0"/>
            </w:tcBorders>
            <w:vAlign w:val="center"/>
          </w:tcPr>
          <w:p w14:paraId="54FE97EA">
            <w:pPr>
              <w:jc w:val="center"/>
              <w:rPr>
                <w:rFonts w:ascii="宋体" w:hAnsi="宋体" w:eastAsia="宋体" w:cs="宋体"/>
                <w:color w:val="auto"/>
                <w:sz w:val="24"/>
                <w:highlight w:val="none"/>
              </w:rPr>
            </w:pPr>
          </w:p>
        </w:tc>
        <w:tc>
          <w:tcPr>
            <w:tcW w:w="601" w:type="pct"/>
            <w:tcBorders>
              <w:top w:val="single" w:color="auto" w:sz="4" w:space="0"/>
              <w:left w:val="nil"/>
              <w:bottom w:val="single" w:color="auto" w:sz="4" w:space="0"/>
              <w:right w:val="single" w:color="auto" w:sz="4" w:space="0"/>
            </w:tcBorders>
            <w:vAlign w:val="center"/>
          </w:tcPr>
          <w:p w14:paraId="3F1E54D5">
            <w:pPr>
              <w:jc w:val="center"/>
              <w:rPr>
                <w:rFonts w:ascii="宋体" w:hAnsi="宋体" w:eastAsia="宋体" w:cs="宋体"/>
                <w:color w:val="auto"/>
                <w:sz w:val="24"/>
                <w:highlight w:val="none"/>
              </w:rPr>
            </w:pPr>
          </w:p>
        </w:tc>
        <w:tc>
          <w:tcPr>
            <w:tcW w:w="729" w:type="pct"/>
            <w:tcBorders>
              <w:top w:val="single" w:color="auto" w:sz="4" w:space="0"/>
              <w:left w:val="nil"/>
              <w:bottom w:val="single" w:color="auto" w:sz="4" w:space="0"/>
              <w:right w:val="single" w:color="auto" w:sz="4" w:space="0"/>
            </w:tcBorders>
          </w:tcPr>
          <w:p w14:paraId="256D72D6">
            <w:pPr>
              <w:jc w:val="center"/>
              <w:rPr>
                <w:rFonts w:ascii="宋体" w:hAnsi="宋体" w:eastAsia="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6208C371">
            <w:pPr>
              <w:jc w:val="center"/>
              <w:rPr>
                <w:rFonts w:ascii="宋体" w:hAnsi="宋体" w:eastAsia="宋体" w:cs="宋体"/>
                <w:color w:val="auto"/>
                <w:sz w:val="24"/>
                <w:highlight w:val="none"/>
              </w:rPr>
            </w:pPr>
          </w:p>
        </w:tc>
      </w:tr>
      <w:tr w14:paraId="206E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vAlign w:val="center"/>
          </w:tcPr>
          <w:p w14:paraId="6889E0DC">
            <w:pPr>
              <w:spacing w:after="120" w:line="480" w:lineRule="auto"/>
              <w:jc w:val="center"/>
              <w:rPr>
                <w:rFonts w:ascii="宋体" w:hAnsi="宋体" w:eastAsia="宋体" w:cs="宋体"/>
                <w:color w:val="auto"/>
                <w:sz w:val="24"/>
                <w:highlight w:val="none"/>
              </w:rPr>
            </w:pPr>
            <w:r>
              <w:rPr>
                <w:rFonts w:ascii="宋体" w:hAnsi="宋体" w:eastAsia="宋体" w:cs="宋体"/>
                <w:color w:val="auto"/>
                <w:sz w:val="24"/>
                <w:highlight w:val="none"/>
              </w:rPr>
              <w:t>2</w:t>
            </w:r>
          </w:p>
        </w:tc>
        <w:tc>
          <w:tcPr>
            <w:tcW w:w="2057" w:type="pct"/>
            <w:tcBorders>
              <w:top w:val="single" w:color="auto" w:sz="4" w:space="0"/>
              <w:left w:val="nil"/>
              <w:bottom w:val="single" w:color="auto" w:sz="4" w:space="0"/>
              <w:right w:val="single" w:color="auto" w:sz="4" w:space="0"/>
            </w:tcBorders>
            <w:vAlign w:val="center"/>
          </w:tcPr>
          <w:p w14:paraId="3FC529C1">
            <w:pPr>
              <w:jc w:val="center"/>
              <w:rPr>
                <w:rFonts w:ascii="宋体" w:hAnsi="宋体" w:eastAsia="宋体" w:cs="宋体"/>
                <w:color w:val="auto"/>
                <w:sz w:val="24"/>
                <w:highlight w:val="none"/>
              </w:rPr>
            </w:pPr>
          </w:p>
        </w:tc>
        <w:tc>
          <w:tcPr>
            <w:tcW w:w="601" w:type="pct"/>
            <w:tcBorders>
              <w:top w:val="single" w:color="auto" w:sz="4" w:space="0"/>
              <w:left w:val="nil"/>
              <w:bottom w:val="single" w:color="auto" w:sz="4" w:space="0"/>
              <w:right w:val="single" w:color="auto" w:sz="4" w:space="0"/>
            </w:tcBorders>
            <w:vAlign w:val="center"/>
          </w:tcPr>
          <w:p w14:paraId="5CC30160">
            <w:pPr>
              <w:jc w:val="center"/>
              <w:rPr>
                <w:rFonts w:ascii="宋体" w:hAnsi="宋体" w:eastAsia="宋体" w:cs="宋体"/>
                <w:color w:val="auto"/>
                <w:sz w:val="24"/>
                <w:highlight w:val="none"/>
              </w:rPr>
            </w:pPr>
          </w:p>
        </w:tc>
        <w:tc>
          <w:tcPr>
            <w:tcW w:w="729" w:type="pct"/>
            <w:tcBorders>
              <w:top w:val="single" w:color="auto" w:sz="4" w:space="0"/>
              <w:left w:val="nil"/>
              <w:bottom w:val="single" w:color="auto" w:sz="4" w:space="0"/>
              <w:right w:val="single" w:color="auto" w:sz="4" w:space="0"/>
            </w:tcBorders>
          </w:tcPr>
          <w:p w14:paraId="34F613BA">
            <w:pPr>
              <w:jc w:val="center"/>
              <w:rPr>
                <w:rFonts w:ascii="宋体" w:hAnsi="宋体" w:eastAsia="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17397622">
            <w:pPr>
              <w:jc w:val="center"/>
              <w:rPr>
                <w:rFonts w:ascii="宋体" w:hAnsi="宋体" w:eastAsia="宋体" w:cs="宋体"/>
                <w:color w:val="auto"/>
                <w:sz w:val="24"/>
                <w:highlight w:val="none"/>
              </w:rPr>
            </w:pPr>
          </w:p>
        </w:tc>
      </w:tr>
      <w:tr w14:paraId="3DA6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vAlign w:val="center"/>
          </w:tcPr>
          <w:p w14:paraId="539CC358">
            <w:pPr>
              <w:spacing w:after="120" w:line="480" w:lineRule="auto"/>
              <w:jc w:val="center"/>
              <w:rPr>
                <w:rFonts w:ascii="宋体" w:hAnsi="宋体" w:eastAsia="宋体" w:cs="宋体"/>
                <w:color w:val="auto"/>
                <w:sz w:val="24"/>
                <w:highlight w:val="none"/>
              </w:rPr>
            </w:pPr>
            <w:r>
              <w:rPr>
                <w:rFonts w:ascii="宋体" w:hAnsi="宋体" w:eastAsia="宋体" w:cs="宋体"/>
                <w:color w:val="auto"/>
                <w:sz w:val="24"/>
                <w:highlight w:val="none"/>
              </w:rPr>
              <w:t>3</w:t>
            </w:r>
          </w:p>
        </w:tc>
        <w:tc>
          <w:tcPr>
            <w:tcW w:w="2057" w:type="pct"/>
            <w:tcBorders>
              <w:top w:val="single" w:color="auto" w:sz="4" w:space="0"/>
              <w:left w:val="nil"/>
              <w:bottom w:val="single" w:color="auto" w:sz="4" w:space="0"/>
              <w:right w:val="single" w:color="auto" w:sz="4" w:space="0"/>
            </w:tcBorders>
            <w:vAlign w:val="center"/>
          </w:tcPr>
          <w:p w14:paraId="3356C788">
            <w:pPr>
              <w:jc w:val="center"/>
              <w:rPr>
                <w:rFonts w:ascii="宋体" w:hAnsi="宋体" w:eastAsia="宋体" w:cs="宋体"/>
                <w:color w:val="auto"/>
                <w:sz w:val="24"/>
                <w:highlight w:val="none"/>
              </w:rPr>
            </w:pPr>
          </w:p>
        </w:tc>
        <w:tc>
          <w:tcPr>
            <w:tcW w:w="601" w:type="pct"/>
            <w:tcBorders>
              <w:top w:val="single" w:color="auto" w:sz="4" w:space="0"/>
              <w:left w:val="nil"/>
              <w:bottom w:val="single" w:color="auto" w:sz="4" w:space="0"/>
              <w:right w:val="single" w:color="auto" w:sz="4" w:space="0"/>
            </w:tcBorders>
            <w:vAlign w:val="center"/>
          </w:tcPr>
          <w:p w14:paraId="2FB1CE04">
            <w:pPr>
              <w:jc w:val="center"/>
              <w:rPr>
                <w:rFonts w:ascii="宋体" w:hAnsi="宋体" w:eastAsia="宋体" w:cs="宋体"/>
                <w:color w:val="auto"/>
                <w:sz w:val="24"/>
                <w:highlight w:val="none"/>
              </w:rPr>
            </w:pPr>
          </w:p>
        </w:tc>
        <w:tc>
          <w:tcPr>
            <w:tcW w:w="729" w:type="pct"/>
            <w:tcBorders>
              <w:top w:val="single" w:color="auto" w:sz="4" w:space="0"/>
              <w:left w:val="nil"/>
              <w:bottom w:val="single" w:color="auto" w:sz="4" w:space="0"/>
              <w:right w:val="single" w:color="auto" w:sz="4" w:space="0"/>
            </w:tcBorders>
          </w:tcPr>
          <w:p w14:paraId="058080A2">
            <w:pPr>
              <w:jc w:val="center"/>
              <w:rPr>
                <w:rFonts w:ascii="宋体" w:hAnsi="宋体" w:eastAsia="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5CF623D9">
            <w:pPr>
              <w:jc w:val="center"/>
              <w:rPr>
                <w:rFonts w:ascii="宋体" w:hAnsi="宋体" w:eastAsia="宋体" w:cs="宋体"/>
                <w:color w:val="auto"/>
                <w:sz w:val="24"/>
                <w:highlight w:val="none"/>
              </w:rPr>
            </w:pPr>
          </w:p>
        </w:tc>
      </w:tr>
      <w:tr w14:paraId="6D0A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vAlign w:val="center"/>
          </w:tcPr>
          <w:p w14:paraId="2A6C741D">
            <w:pPr>
              <w:spacing w:after="120" w:line="480" w:lineRule="auto"/>
              <w:jc w:val="center"/>
              <w:rPr>
                <w:rFonts w:ascii="宋体" w:hAnsi="宋体" w:eastAsia="宋体" w:cs="宋体"/>
                <w:color w:val="auto"/>
                <w:sz w:val="24"/>
                <w:highlight w:val="none"/>
              </w:rPr>
            </w:pPr>
            <w:r>
              <w:rPr>
                <w:rFonts w:ascii="宋体" w:hAnsi="宋体" w:eastAsia="宋体" w:cs="宋体"/>
                <w:color w:val="auto"/>
                <w:sz w:val="24"/>
                <w:highlight w:val="none"/>
              </w:rPr>
              <w:t>4</w:t>
            </w:r>
          </w:p>
        </w:tc>
        <w:tc>
          <w:tcPr>
            <w:tcW w:w="2057" w:type="pct"/>
            <w:tcBorders>
              <w:top w:val="single" w:color="auto" w:sz="4" w:space="0"/>
              <w:left w:val="nil"/>
              <w:bottom w:val="single" w:color="auto" w:sz="4" w:space="0"/>
              <w:right w:val="single" w:color="auto" w:sz="4" w:space="0"/>
            </w:tcBorders>
            <w:vAlign w:val="center"/>
          </w:tcPr>
          <w:p w14:paraId="0B251910">
            <w:pPr>
              <w:jc w:val="center"/>
              <w:rPr>
                <w:rFonts w:ascii="宋体" w:hAnsi="宋体" w:eastAsia="宋体" w:cs="宋体"/>
                <w:color w:val="auto"/>
                <w:sz w:val="24"/>
                <w:highlight w:val="none"/>
              </w:rPr>
            </w:pPr>
          </w:p>
        </w:tc>
        <w:tc>
          <w:tcPr>
            <w:tcW w:w="601" w:type="pct"/>
            <w:tcBorders>
              <w:top w:val="single" w:color="auto" w:sz="4" w:space="0"/>
              <w:left w:val="nil"/>
              <w:bottom w:val="single" w:color="auto" w:sz="4" w:space="0"/>
              <w:right w:val="single" w:color="auto" w:sz="4" w:space="0"/>
            </w:tcBorders>
            <w:vAlign w:val="center"/>
          </w:tcPr>
          <w:p w14:paraId="37651A84">
            <w:pPr>
              <w:jc w:val="center"/>
              <w:rPr>
                <w:rFonts w:ascii="宋体" w:hAnsi="宋体" w:eastAsia="宋体" w:cs="宋体"/>
                <w:color w:val="auto"/>
                <w:sz w:val="24"/>
                <w:highlight w:val="none"/>
              </w:rPr>
            </w:pPr>
          </w:p>
        </w:tc>
        <w:tc>
          <w:tcPr>
            <w:tcW w:w="729" w:type="pct"/>
            <w:tcBorders>
              <w:top w:val="single" w:color="auto" w:sz="4" w:space="0"/>
              <w:left w:val="nil"/>
              <w:bottom w:val="single" w:color="auto" w:sz="4" w:space="0"/>
              <w:right w:val="single" w:color="auto" w:sz="4" w:space="0"/>
            </w:tcBorders>
          </w:tcPr>
          <w:p w14:paraId="6C603A47">
            <w:pPr>
              <w:jc w:val="center"/>
              <w:rPr>
                <w:rFonts w:ascii="宋体" w:hAnsi="宋体" w:eastAsia="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7DA5599B">
            <w:pPr>
              <w:jc w:val="center"/>
              <w:rPr>
                <w:rFonts w:ascii="宋体" w:hAnsi="宋体" w:eastAsia="宋体" w:cs="宋体"/>
                <w:color w:val="auto"/>
                <w:sz w:val="24"/>
                <w:highlight w:val="none"/>
              </w:rPr>
            </w:pPr>
          </w:p>
        </w:tc>
      </w:tr>
      <w:tr w14:paraId="0851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vAlign w:val="center"/>
          </w:tcPr>
          <w:p w14:paraId="1BD4402D">
            <w:pPr>
              <w:spacing w:after="120" w:line="480" w:lineRule="auto"/>
              <w:jc w:val="center"/>
              <w:rPr>
                <w:rFonts w:ascii="宋体" w:hAnsi="宋体" w:eastAsia="宋体" w:cs="宋体"/>
                <w:color w:val="auto"/>
                <w:sz w:val="24"/>
                <w:highlight w:val="none"/>
              </w:rPr>
            </w:pPr>
            <w:r>
              <w:rPr>
                <w:rFonts w:ascii="宋体" w:hAnsi="宋体" w:eastAsia="宋体" w:cs="宋体"/>
                <w:color w:val="auto"/>
                <w:sz w:val="24"/>
                <w:highlight w:val="none"/>
              </w:rPr>
              <w:t>5</w:t>
            </w:r>
          </w:p>
        </w:tc>
        <w:tc>
          <w:tcPr>
            <w:tcW w:w="2057" w:type="pct"/>
            <w:tcBorders>
              <w:top w:val="single" w:color="auto" w:sz="4" w:space="0"/>
              <w:left w:val="nil"/>
              <w:bottom w:val="single" w:color="auto" w:sz="4" w:space="0"/>
              <w:right w:val="single" w:color="auto" w:sz="4" w:space="0"/>
            </w:tcBorders>
            <w:vAlign w:val="center"/>
          </w:tcPr>
          <w:p w14:paraId="2B8E451C">
            <w:pPr>
              <w:jc w:val="center"/>
              <w:rPr>
                <w:rFonts w:ascii="宋体" w:hAnsi="宋体" w:eastAsia="宋体" w:cs="宋体"/>
                <w:color w:val="auto"/>
                <w:sz w:val="24"/>
                <w:highlight w:val="none"/>
              </w:rPr>
            </w:pPr>
          </w:p>
        </w:tc>
        <w:tc>
          <w:tcPr>
            <w:tcW w:w="601" w:type="pct"/>
            <w:tcBorders>
              <w:top w:val="single" w:color="auto" w:sz="4" w:space="0"/>
              <w:left w:val="nil"/>
              <w:bottom w:val="single" w:color="auto" w:sz="4" w:space="0"/>
              <w:right w:val="single" w:color="auto" w:sz="4" w:space="0"/>
            </w:tcBorders>
            <w:vAlign w:val="center"/>
          </w:tcPr>
          <w:p w14:paraId="5B6B0EFD">
            <w:pPr>
              <w:jc w:val="center"/>
              <w:rPr>
                <w:rFonts w:ascii="宋体" w:hAnsi="宋体" w:eastAsia="宋体" w:cs="宋体"/>
                <w:color w:val="auto"/>
                <w:sz w:val="24"/>
                <w:highlight w:val="none"/>
              </w:rPr>
            </w:pPr>
          </w:p>
        </w:tc>
        <w:tc>
          <w:tcPr>
            <w:tcW w:w="729" w:type="pct"/>
            <w:tcBorders>
              <w:top w:val="single" w:color="auto" w:sz="4" w:space="0"/>
              <w:left w:val="nil"/>
              <w:bottom w:val="single" w:color="auto" w:sz="4" w:space="0"/>
              <w:right w:val="single" w:color="auto" w:sz="4" w:space="0"/>
            </w:tcBorders>
          </w:tcPr>
          <w:p w14:paraId="7D37B019">
            <w:pPr>
              <w:jc w:val="center"/>
              <w:rPr>
                <w:rFonts w:ascii="宋体" w:hAnsi="宋体" w:eastAsia="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4C682EEE">
            <w:pPr>
              <w:jc w:val="center"/>
              <w:rPr>
                <w:rFonts w:ascii="宋体" w:hAnsi="宋体" w:eastAsia="宋体" w:cs="宋体"/>
                <w:color w:val="auto"/>
                <w:sz w:val="24"/>
                <w:highlight w:val="none"/>
              </w:rPr>
            </w:pPr>
          </w:p>
        </w:tc>
      </w:tr>
    </w:tbl>
    <w:p w14:paraId="482229B7">
      <w:pPr>
        <w:rPr>
          <w:rFonts w:ascii="宋体" w:hAnsi="宋体" w:eastAsia="宋体" w:cs="宋体"/>
          <w:color w:val="auto"/>
          <w:szCs w:val="21"/>
          <w:highlight w:val="none"/>
        </w:rPr>
      </w:pPr>
      <w:r>
        <w:rPr>
          <w:rFonts w:hint="eastAsia" w:ascii="宋体" w:hAnsi="宋体" w:eastAsia="宋体" w:cs="宋体"/>
          <w:color w:val="auto"/>
          <w:szCs w:val="21"/>
          <w:highlight w:val="none"/>
        </w:rPr>
        <w:t>注：得分最高的合格中标候选人为中标人。</w:t>
      </w:r>
    </w:p>
    <w:p w14:paraId="4A3F055C">
      <w:pPr>
        <w:spacing w:line="400" w:lineRule="exact"/>
        <w:rPr>
          <w:rFonts w:ascii="宋体" w:hAnsi="宋体" w:eastAsia="宋体" w:cs="宋体"/>
          <w:color w:val="auto"/>
          <w:szCs w:val="21"/>
          <w:highlight w:val="none"/>
        </w:rPr>
      </w:pPr>
    </w:p>
    <w:p w14:paraId="2BFA1F7B">
      <w:pPr>
        <w:spacing w:line="400" w:lineRule="exact"/>
        <w:rPr>
          <w:rFonts w:ascii="宋体" w:hAnsi="宋体" w:eastAsia="宋体" w:cs="宋体"/>
          <w:color w:val="auto"/>
          <w:szCs w:val="21"/>
          <w:highlight w:val="none"/>
        </w:rPr>
      </w:pPr>
    </w:p>
    <w:p w14:paraId="3D16FD2D">
      <w:pPr>
        <w:spacing w:line="360" w:lineRule="exact"/>
        <w:ind w:right="-325" w:rightChars="-155"/>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11CD576A">
      <w:pPr>
        <w:pStyle w:val="2"/>
        <w:tabs>
          <w:tab w:val="right" w:leader="dot" w:pos="9060"/>
        </w:tabs>
        <w:ind w:left="0" w:leftChars="0"/>
        <w:rPr>
          <w:rFonts w:ascii="宋体" w:hAnsi="宋体" w:eastAsia="宋体" w:cs="宋体"/>
          <w:color w:val="auto"/>
          <w:highlight w:val="none"/>
        </w:rPr>
      </w:pPr>
    </w:p>
    <w:p w14:paraId="040BCCF5">
      <w:pPr>
        <w:rPr>
          <w:rFonts w:ascii="宋体" w:hAnsi="宋体" w:eastAsia="宋体" w:cs="宋体"/>
          <w:color w:val="auto"/>
          <w:highlight w:val="none"/>
        </w:rPr>
      </w:pPr>
    </w:p>
    <w:p w14:paraId="538F42B4">
      <w:pPr>
        <w:rPr>
          <w:rFonts w:ascii="宋体" w:hAnsi="宋体" w:eastAsia="宋体" w:cs="宋体"/>
          <w:color w:val="auto"/>
          <w:highlight w:val="none"/>
        </w:rPr>
      </w:pPr>
    </w:p>
    <w:p w14:paraId="5693DF19">
      <w:pPr>
        <w:ind w:firstLine="5670" w:firstLineChars="2700"/>
        <w:rPr>
          <w:rFonts w:ascii="宋体" w:hAnsi="宋体" w:eastAsia="宋体" w:cs="宋体"/>
          <w:color w:val="auto"/>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3558FA34">
      <w:pPr>
        <w:pStyle w:val="243"/>
        <w:rPr>
          <w:rFonts w:ascii="宋体" w:hAnsi="宋体" w:eastAsia="宋体" w:cs="宋体"/>
          <w:color w:val="auto"/>
          <w:sz w:val="21"/>
          <w:szCs w:val="21"/>
          <w:highlight w:val="none"/>
        </w:rPr>
      </w:pPr>
    </w:p>
    <w:p w14:paraId="4BBD632B">
      <w:pPr>
        <w:pStyle w:val="243"/>
        <w:rPr>
          <w:rFonts w:ascii="宋体" w:hAnsi="宋体" w:eastAsia="宋体" w:cs="宋体"/>
          <w:color w:val="auto"/>
          <w:sz w:val="21"/>
          <w:szCs w:val="21"/>
          <w:highlight w:val="none"/>
        </w:rPr>
      </w:pPr>
    </w:p>
    <w:p w14:paraId="350504F6">
      <w:pPr>
        <w:pStyle w:val="243"/>
        <w:ind w:firstLine="420" w:firstLineChars="200"/>
        <w:rPr>
          <w:rFonts w:ascii="宋体" w:hAnsi="宋体" w:eastAsia="宋体" w:cs="宋体"/>
          <w:color w:val="auto"/>
          <w:sz w:val="21"/>
          <w:szCs w:val="21"/>
          <w:highlight w:val="none"/>
        </w:rPr>
      </w:pPr>
    </w:p>
    <w:p w14:paraId="02B5CD5A">
      <w:pPr>
        <w:snapToGrid w:val="0"/>
        <w:spacing w:line="360" w:lineRule="auto"/>
        <w:jc w:val="left"/>
        <w:rPr>
          <w:rFonts w:ascii="宋体" w:hAnsi="宋体" w:eastAsia="宋体" w:cs="宋体"/>
          <w:b/>
          <w:bCs/>
          <w:color w:val="auto"/>
          <w:sz w:val="24"/>
          <w:highlight w:val="none"/>
        </w:rPr>
        <w:sectPr>
          <w:pgSz w:w="11906" w:h="16838"/>
          <w:pgMar w:top="1440" w:right="1440" w:bottom="1440" w:left="1440" w:header="851" w:footer="992" w:gutter="0"/>
          <w:pgNumType w:fmt="decimal"/>
          <w:cols w:space="0" w:num="1"/>
          <w:docGrid w:type="lines" w:linePitch="322" w:charSpace="0"/>
        </w:sectPr>
      </w:pPr>
    </w:p>
    <w:p w14:paraId="56ADF953">
      <w:pPr>
        <w:pStyle w:val="4"/>
        <w:tabs>
          <w:tab w:val="left" w:pos="0"/>
        </w:tabs>
        <w:snapToGrid w:val="0"/>
        <w:spacing w:before="0" w:after="0"/>
        <w:jc w:val="center"/>
        <w:rPr>
          <w:rFonts w:hint="eastAsia" w:ascii="宋体" w:hAnsi="宋体" w:eastAsia="宋体" w:cs="宋体"/>
          <w:b/>
          <w:bCs/>
          <w:color w:val="auto"/>
          <w:kern w:val="44"/>
          <w:sz w:val="32"/>
          <w:szCs w:val="32"/>
          <w:highlight w:val="none"/>
        </w:rPr>
      </w:pPr>
      <w:bookmarkStart w:id="28" w:name="_Toc500249621"/>
      <w:bookmarkStart w:id="29" w:name="_Toc504053942"/>
      <w:bookmarkStart w:id="30" w:name="_Toc5789"/>
      <w:bookmarkStart w:id="31" w:name="_Toc504659100"/>
      <w:r>
        <w:rPr>
          <w:rFonts w:hint="eastAsia" w:ascii="宋体" w:hAnsi="宋体" w:eastAsia="宋体" w:cs="宋体"/>
          <w:b/>
          <w:bCs/>
          <w:color w:val="auto"/>
          <w:kern w:val="44"/>
          <w:sz w:val="32"/>
          <w:szCs w:val="32"/>
          <w:highlight w:val="none"/>
        </w:rPr>
        <w:t>第三章</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rPr>
        <w:t>合同条款</w:t>
      </w:r>
      <w:bookmarkEnd w:id="28"/>
      <w:bookmarkEnd w:id="29"/>
      <w:bookmarkEnd w:id="30"/>
      <w:bookmarkEnd w:id="31"/>
    </w:p>
    <w:p w14:paraId="02EAFDDE">
      <w:pPr>
        <w:ind w:firstLine="420" w:firstLineChars="200"/>
        <w:rPr>
          <w:rFonts w:hint="eastAsia" w:ascii="宋体" w:hAnsi="宋体" w:eastAsia="宋体" w:cs="宋体"/>
          <w:color w:val="auto"/>
          <w:highlight w:val="none"/>
        </w:rPr>
      </w:pPr>
    </w:p>
    <w:p w14:paraId="69911C09">
      <w:pPr>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4746625</wp:posOffset>
            </wp:positionH>
            <wp:positionV relativeFrom="paragraph">
              <wp:posOffset>201930</wp:posOffset>
            </wp:positionV>
            <wp:extent cx="1835150" cy="1475105"/>
            <wp:effectExtent l="0" t="0" r="12700" b="10795"/>
            <wp:wrapSquare wrapText="bothSides"/>
            <wp:docPr id="1"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C:\Users\lanxing\Desktop\93b1542184114cf8b316f10d4b2d5c42.png93b1542184114cf8b316f10d4b2d5c42"/>
                    <pic:cNvPicPr>
                      <a:picLocks noChangeAspect="1"/>
                    </pic:cNvPicPr>
                  </pic:nvPicPr>
                  <pic:blipFill>
                    <a:blip r:embed="rId20"/>
                    <a:stretch>
                      <a:fillRect/>
                    </a:stretch>
                  </pic:blipFill>
                  <pic:spPr>
                    <a:xfrm>
                      <a:off x="0" y="0"/>
                      <a:ext cx="1835150" cy="1475105"/>
                    </a:xfrm>
                    <a:prstGeom prst="rect">
                      <a:avLst/>
                    </a:prstGeom>
                    <a:noFill/>
                    <a:ln>
                      <a:noFill/>
                    </a:ln>
                  </pic:spPr>
                </pic:pic>
              </a:graphicData>
            </a:graphic>
          </wp:anchor>
        </w:drawing>
      </w:r>
    </w:p>
    <w:p w14:paraId="01CD7F00">
      <w:pPr>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drawing>
          <wp:inline distT="0" distB="0" distL="114300" distR="114300">
            <wp:extent cx="3372485" cy="352425"/>
            <wp:effectExtent l="0" t="0" r="1841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1"/>
                    <a:stretch>
                      <a:fillRect/>
                    </a:stretch>
                  </pic:blipFill>
                  <pic:spPr>
                    <a:xfrm>
                      <a:off x="0" y="0"/>
                      <a:ext cx="3373914" cy="352538"/>
                    </a:xfrm>
                    <a:prstGeom prst="rect">
                      <a:avLst/>
                    </a:prstGeom>
                    <a:noFill/>
                    <a:ln>
                      <a:noFill/>
                    </a:ln>
                  </pic:spPr>
                </pic:pic>
              </a:graphicData>
            </a:graphic>
          </wp:inline>
        </w:drawing>
      </w:r>
    </w:p>
    <w:p w14:paraId="6446E48F">
      <w:pPr>
        <w:ind w:firstLine="8400" w:firstLineChars="3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243EE54">
      <w:pPr>
        <w:tabs>
          <w:tab w:val="left" w:pos="870"/>
        </w:tabs>
        <w:ind w:firstLine="959" w:firstLineChars="398"/>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合同编号：穗开建管施[20  ]  号</w:t>
      </w:r>
    </w:p>
    <w:p w14:paraId="3F23944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F93F2C3">
      <w:pPr>
        <w:ind w:firstLine="840" w:firstLineChars="400"/>
        <w:rPr>
          <w:rFonts w:hint="eastAsia" w:ascii="宋体" w:hAnsi="宋体" w:eastAsia="宋体" w:cs="宋体"/>
          <w:color w:val="auto"/>
          <w:highlight w:val="none"/>
        </w:rPr>
      </w:pPr>
    </w:p>
    <w:p w14:paraId="2FD2FD62">
      <w:pPr>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4103802">
      <w:pPr>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5837381">
      <w:pPr>
        <w:snapToGrid w:val="0"/>
        <w:spacing w:line="440" w:lineRule="exact"/>
        <w:ind w:left="-197" w:leftChars="-94"/>
        <w:jc w:val="center"/>
        <w:rPr>
          <w:rFonts w:hint="eastAsia" w:ascii="宋体" w:hAnsi="宋体" w:eastAsia="宋体" w:cs="宋体"/>
          <w:color w:val="auto"/>
          <w:highlight w:val="none"/>
        </w:rPr>
      </w:pPr>
    </w:p>
    <w:p w14:paraId="3A400EC7">
      <w:pPr>
        <w:snapToGrid w:val="0"/>
        <w:spacing w:line="440" w:lineRule="exact"/>
        <w:ind w:left="-197" w:leftChars="-94"/>
        <w:jc w:val="center"/>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12700</wp:posOffset>
            </wp:positionV>
            <wp:extent cx="4984115" cy="555625"/>
            <wp:effectExtent l="0" t="0" r="6985" b="15875"/>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2"/>
                    <a:stretch>
                      <a:fillRect/>
                    </a:stretch>
                  </pic:blipFill>
                  <pic:spPr>
                    <a:xfrm>
                      <a:off x="0" y="0"/>
                      <a:ext cx="4984115" cy="555625"/>
                    </a:xfrm>
                    <a:prstGeom prst="rect">
                      <a:avLst/>
                    </a:prstGeom>
                    <a:noFill/>
                    <a:ln>
                      <a:noFill/>
                    </a:ln>
                  </pic:spPr>
                </pic:pic>
              </a:graphicData>
            </a:graphic>
          </wp:anchor>
        </w:drawing>
      </w:r>
    </w:p>
    <w:p w14:paraId="1FE69C5E">
      <w:pPr>
        <w:snapToGrid w:val="0"/>
        <w:spacing w:line="440" w:lineRule="exact"/>
        <w:ind w:left="-197" w:leftChars="-94"/>
        <w:jc w:val="left"/>
        <w:rPr>
          <w:rFonts w:hint="eastAsia" w:ascii="宋体" w:hAnsi="宋体" w:eastAsia="宋体" w:cs="宋体"/>
          <w:color w:val="auto"/>
          <w:highlight w:val="none"/>
        </w:rPr>
      </w:pPr>
    </w:p>
    <w:p w14:paraId="1533D7DB">
      <w:pPr>
        <w:spacing w:line="480" w:lineRule="exact"/>
        <w:jc w:val="center"/>
        <w:rPr>
          <w:rFonts w:hint="eastAsia" w:ascii="宋体" w:hAnsi="宋体" w:eastAsia="宋体" w:cs="宋体"/>
          <w:color w:val="auto"/>
          <w:sz w:val="28"/>
          <w:szCs w:val="28"/>
          <w:highlight w:val="none"/>
        </w:rPr>
      </w:pPr>
    </w:p>
    <w:p w14:paraId="737A0468">
      <w:pPr>
        <w:spacing w:line="480" w:lineRule="exact"/>
        <w:ind w:left="0" w:leftChars="0" w:firstLine="1498" w:firstLineChars="5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 目  名   称：</w:t>
      </w:r>
      <w:r>
        <w:rPr>
          <w:rFonts w:hint="eastAsia" w:ascii="宋体" w:hAnsi="宋体" w:eastAsia="宋体" w:cs="宋体"/>
          <w:color w:val="auto"/>
          <w:sz w:val="28"/>
          <w:szCs w:val="28"/>
          <w:highlight w:val="none"/>
          <w:u w:val="single"/>
        </w:rPr>
        <w:t xml:space="preserve">                                   </w:t>
      </w:r>
    </w:p>
    <w:p w14:paraId="4B1944B0">
      <w:pPr>
        <w:spacing w:line="480" w:lineRule="exact"/>
        <w:ind w:left="0" w:leftChars="0" w:firstLine="1498" w:firstLineChars="5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发包人（甲方）：</w:t>
      </w:r>
      <w:r>
        <w:rPr>
          <w:rFonts w:hint="eastAsia" w:ascii="宋体" w:hAnsi="宋体" w:eastAsia="宋体" w:cs="宋体"/>
          <w:color w:val="auto"/>
          <w:sz w:val="28"/>
          <w:szCs w:val="28"/>
          <w:highlight w:val="none"/>
          <w:u w:val="single"/>
        </w:rPr>
        <w:t>广州开发区财政投资建设项目管理中心</w:t>
      </w:r>
    </w:p>
    <w:p w14:paraId="66A4A9D4">
      <w:pPr>
        <w:spacing w:line="480" w:lineRule="exact"/>
        <w:ind w:left="0" w:leftChars="0" w:firstLine="1498" w:firstLineChars="535"/>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承包人（乙方）：</w:t>
      </w:r>
      <w:r>
        <w:rPr>
          <w:rFonts w:hint="eastAsia" w:ascii="宋体" w:hAnsi="宋体" w:eastAsia="宋体" w:cs="宋体"/>
          <w:color w:val="auto"/>
          <w:sz w:val="28"/>
          <w:szCs w:val="28"/>
          <w:highlight w:val="none"/>
          <w:u w:val="single"/>
        </w:rPr>
        <w:t xml:space="preserve">                            </w:t>
      </w:r>
    </w:p>
    <w:p w14:paraId="012C3F98">
      <w:pPr>
        <w:spacing w:line="480" w:lineRule="exact"/>
        <w:ind w:left="0" w:leftChars="0" w:firstLine="1498" w:firstLineChars="535"/>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签  订  日  期：</w:t>
      </w:r>
      <w:r>
        <w:rPr>
          <w:rFonts w:hint="eastAsia" w:ascii="宋体" w:hAnsi="宋体" w:eastAsia="宋体" w:cs="宋体"/>
          <w:color w:val="auto"/>
          <w:sz w:val="28"/>
          <w:szCs w:val="28"/>
          <w:highlight w:val="none"/>
          <w:u w:val="single"/>
        </w:rPr>
        <w:t xml:space="preserve">       年    月    日</w:t>
      </w:r>
    </w:p>
    <w:p w14:paraId="36C5D9AB">
      <w:pPr>
        <w:spacing w:line="480" w:lineRule="exact"/>
        <w:ind w:left="0" w:leftChars="0" w:firstLine="1498" w:firstLineChars="535"/>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签  订  地  点：</w:t>
      </w:r>
      <w:r>
        <w:rPr>
          <w:rFonts w:hint="eastAsia" w:ascii="宋体" w:hAnsi="宋体" w:eastAsia="宋体" w:cs="宋体"/>
          <w:color w:val="auto"/>
          <w:sz w:val="28"/>
          <w:szCs w:val="28"/>
          <w:highlight w:val="none"/>
          <w:u w:val="single"/>
        </w:rPr>
        <w:t xml:space="preserve">   广州市黄埔区    </w:t>
      </w:r>
    </w:p>
    <w:p w14:paraId="66C8845A">
      <w:pPr>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1312" behindDoc="0" locked="0" layoutInCell="1" allowOverlap="0">
            <wp:simplePos x="0" y="0"/>
            <wp:positionH relativeFrom="column">
              <wp:align>center</wp:align>
            </wp:positionH>
            <wp:positionV relativeFrom="paragraph">
              <wp:posOffset>742950</wp:posOffset>
            </wp:positionV>
            <wp:extent cx="7562850" cy="2633980"/>
            <wp:effectExtent l="0" t="0" r="0" b="13970"/>
            <wp:wrapSquare wrapText="bothSides"/>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3"/>
                    <a:stretch>
                      <a:fillRect/>
                    </a:stretch>
                  </pic:blipFill>
                  <pic:spPr>
                    <a:xfrm>
                      <a:off x="0" y="0"/>
                      <a:ext cx="7562850" cy="2633980"/>
                    </a:xfrm>
                    <a:prstGeom prst="rect">
                      <a:avLst/>
                    </a:prstGeom>
                    <a:noFill/>
                    <a:ln>
                      <a:noFill/>
                    </a:ln>
                  </pic:spPr>
                </pic:pic>
              </a:graphicData>
            </a:graphic>
          </wp:anchor>
        </w:drawing>
      </w:r>
    </w:p>
    <w:p w14:paraId="55FB2331">
      <w:pPr>
        <w:snapToGrid w:val="0"/>
        <w:spacing w:line="440" w:lineRule="exact"/>
        <w:ind w:left="-197" w:leftChars="-94"/>
        <w:jc w:val="center"/>
        <w:rPr>
          <w:rFonts w:hint="eastAsia" w:ascii="宋体" w:hAnsi="宋体" w:eastAsia="宋体" w:cs="宋体"/>
          <w:color w:val="auto"/>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440" w:bottom="1440" w:left="1440" w:header="4" w:footer="850" w:gutter="283"/>
          <w:cols w:space="0" w:num="1"/>
          <w:rtlGutter w:val="0"/>
          <w:docGrid w:type="lines" w:linePitch="408" w:charSpace="0"/>
        </w:sectPr>
      </w:pPr>
    </w:p>
    <w:p w14:paraId="5AB9720D">
      <w:pPr>
        <w:snapToGrid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   协议书</w:t>
      </w:r>
    </w:p>
    <w:p w14:paraId="1844CA69">
      <w:pPr>
        <w:snapToGrid w:val="0"/>
        <w:spacing w:line="520" w:lineRule="exact"/>
        <w:rPr>
          <w:rFonts w:hint="eastAsia" w:ascii="宋体" w:hAnsi="宋体" w:eastAsia="宋体" w:cs="宋体"/>
          <w:b/>
          <w:bCs/>
          <w:color w:val="auto"/>
          <w:sz w:val="28"/>
          <w:szCs w:val="28"/>
          <w:highlight w:val="none"/>
        </w:rPr>
      </w:pPr>
    </w:p>
    <w:p w14:paraId="5742F9A0">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发包人（甲方）：</w:t>
      </w:r>
      <w:r>
        <w:rPr>
          <w:rFonts w:hint="eastAsia" w:ascii="宋体" w:hAnsi="宋体" w:eastAsia="宋体" w:cs="宋体"/>
          <w:color w:val="auto"/>
          <w:sz w:val="24"/>
          <w:szCs w:val="24"/>
          <w:highlight w:val="none"/>
          <w:u w:val="single"/>
        </w:rPr>
        <w:t>广州开发区财政投资建设项目管理中心</w:t>
      </w:r>
    </w:p>
    <w:p w14:paraId="4E9E2D9E">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承包人（乙方）： </w:t>
      </w:r>
      <w:r>
        <w:rPr>
          <w:rFonts w:hint="eastAsia" w:ascii="宋体" w:hAnsi="宋体" w:eastAsia="宋体" w:cs="宋体"/>
          <w:color w:val="auto"/>
          <w:sz w:val="24"/>
          <w:szCs w:val="24"/>
          <w:highlight w:val="none"/>
          <w:u w:val="single"/>
        </w:rPr>
        <w:t xml:space="preserve">                             </w:t>
      </w:r>
    </w:p>
    <w:p w14:paraId="55C4688B">
      <w:pPr>
        <w:pStyle w:val="36"/>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9DD957C">
      <w:pPr>
        <w:pStyle w:val="36"/>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依照《中华人民共和国民法典》、《中华人民共和国建筑法》及其他有关法律、行政法规，遵循平等、自愿、公平和诚实信用的原则，双方就本建设工程施工事项协商一致，订立本合同。</w:t>
      </w:r>
    </w:p>
    <w:p w14:paraId="3149F7EC">
      <w:pPr>
        <w:snapToGrid w:val="0"/>
        <w:spacing w:line="44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14:paraId="5277E971">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工程名称：</w:t>
      </w:r>
      <w:r>
        <w:rPr>
          <w:rFonts w:hint="eastAsia" w:ascii="宋体" w:hAnsi="宋体" w:eastAsia="宋体" w:cs="宋体"/>
          <w:bCs/>
          <w:color w:val="auto"/>
          <w:sz w:val="24"/>
          <w:szCs w:val="24"/>
          <w:highlight w:val="none"/>
          <w:u w:val="single"/>
        </w:rPr>
        <w:t xml:space="preserve">                            </w:t>
      </w:r>
    </w:p>
    <w:p w14:paraId="7BFDA42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r>
        <w:rPr>
          <w:rFonts w:hint="eastAsia" w:ascii="宋体" w:hAnsi="宋体" w:eastAsia="宋体" w:cs="宋体"/>
          <w:bCs/>
          <w:color w:val="auto"/>
          <w:sz w:val="24"/>
          <w:szCs w:val="24"/>
          <w:highlight w:val="none"/>
          <w:u w:val="single"/>
        </w:rPr>
        <w:t xml:space="preserve">                            </w:t>
      </w:r>
    </w:p>
    <w:p w14:paraId="42DBDBF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。具体内容以施工图纸及工程量清单为准。</w:t>
      </w:r>
    </w:p>
    <w:p w14:paraId="21C8C3C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建设业主有权根据工程实施情况，对承包人的承包范围和承包工程量进行适当调整。</w:t>
      </w:r>
    </w:p>
    <w:p w14:paraId="5A2EBD6F">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工程立项批准文号：</w:t>
      </w:r>
      <w:r>
        <w:rPr>
          <w:rFonts w:hint="eastAsia" w:ascii="宋体" w:hAnsi="宋体" w:eastAsia="宋体" w:cs="宋体"/>
          <w:color w:val="auto"/>
          <w:sz w:val="24"/>
          <w:szCs w:val="24"/>
          <w:highlight w:val="none"/>
          <w:u w:val="single"/>
        </w:rPr>
        <w:t xml:space="preserve">             </w:t>
      </w:r>
    </w:p>
    <w:p w14:paraId="7BE08053">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财政投资 </w:t>
      </w:r>
    </w:p>
    <w:p w14:paraId="5F3FB99C">
      <w:pPr>
        <w:snapToGrid w:val="0"/>
        <w:spacing w:line="440" w:lineRule="exact"/>
        <w:ind w:left="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二、工程承包范围及承包方式</w:t>
      </w:r>
    </w:p>
    <w:p w14:paraId="44B4BC99">
      <w:pPr>
        <w:numPr>
          <w:ins w:id="0" w:author="曾海燕" w:date=""/>
        </w:numPr>
        <w:snapToGrid w:val="0"/>
        <w:spacing w:line="440" w:lineRule="exact"/>
        <w:ind w:left="480" w:firstLine="472" w:firstLineChars="196"/>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（一）承包范围：</w:t>
      </w:r>
      <w:r>
        <w:rPr>
          <w:rFonts w:hint="eastAsia" w:ascii="宋体" w:hAnsi="宋体" w:eastAsia="宋体" w:cs="宋体"/>
          <w:color w:val="auto"/>
          <w:sz w:val="24"/>
          <w:szCs w:val="24"/>
          <w:highlight w:val="none"/>
          <w:u w:val="single"/>
        </w:rPr>
        <w:t>按发包人确认的施工图纸、图纸会审纪录和有关变更文件、资料 、招标文件、承包人投标文件以及双方签订的有关协议所包含的内容。</w:t>
      </w:r>
    </w:p>
    <w:p w14:paraId="0E38A8A3">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（二）承包方式：</w:t>
      </w:r>
      <w:r>
        <w:rPr>
          <w:rFonts w:hint="eastAsia" w:ascii="宋体" w:hAnsi="宋体" w:eastAsia="宋体" w:cs="宋体"/>
          <w:color w:val="auto"/>
          <w:sz w:val="24"/>
          <w:szCs w:val="24"/>
          <w:highlight w:val="none"/>
          <w:u w:val="single"/>
        </w:rPr>
        <w:t xml:space="preserve"> 包工、包料、包工期、包质量、包安全、包文明施工、包验收、包保修、综合单价包干，措施项目费（除施工围蔽费用外）包干，施工围蔽清单综合单价包干，工程量按实计量。</w:t>
      </w:r>
    </w:p>
    <w:p w14:paraId="4361AF94">
      <w:pPr>
        <w:snapToGrid w:val="0"/>
        <w:spacing w:line="440" w:lineRule="exact"/>
        <w:ind w:left="48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三、合同工期</w:t>
      </w:r>
    </w:p>
    <w:p w14:paraId="496275D6">
      <w:pPr>
        <w:snapToGrid w:val="0"/>
        <w:spacing w:line="440" w:lineRule="exact"/>
        <w:ind w:left="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暂定开工日期：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1235FA36">
      <w:pPr>
        <w:snapToGrid w:val="0"/>
        <w:spacing w:line="440" w:lineRule="exact"/>
        <w:ind w:left="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暂定竣工日期：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1D24F48">
      <w:pPr>
        <w:snapToGrid w:val="0"/>
        <w:spacing w:line="44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日历天。实际开工日期以发包人或监理单位开工令或批准的开工报告日期为准。</w:t>
      </w:r>
    </w:p>
    <w:p w14:paraId="50757D6D">
      <w:pPr>
        <w:snapToGrid w:val="0"/>
        <w:spacing w:line="440" w:lineRule="exact"/>
        <w:ind w:left="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四、质量标准</w:t>
      </w:r>
    </w:p>
    <w:p w14:paraId="0599A0A2">
      <w:pPr>
        <w:pStyle w:val="315"/>
        <w:snapToGrid w:val="0"/>
        <w:spacing w:line="440" w:lineRule="exact"/>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（按投标文件承诺填写）</w:t>
      </w:r>
      <w:r>
        <w:rPr>
          <w:rFonts w:hint="eastAsia" w:ascii="宋体" w:hAnsi="宋体" w:eastAsia="宋体" w:cs="宋体"/>
          <w:color w:val="auto"/>
          <w:sz w:val="24"/>
          <w:szCs w:val="24"/>
          <w:highlight w:val="none"/>
          <w:u w:val="single"/>
        </w:rPr>
        <w:t xml:space="preserve">  </w:t>
      </w:r>
    </w:p>
    <w:p w14:paraId="29ACDFA9">
      <w:pPr>
        <w:pStyle w:val="315"/>
        <w:snapToGrid w:val="0"/>
        <w:spacing w:line="44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五、合同价款</w:t>
      </w:r>
    </w:p>
    <w:p w14:paraId="61EE455C">
      <w:pPr>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合同价款暂定为￥</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rPr>
        <w:t>元（大写：人民币</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rPr>
        <w:t>），其中绿色施工安全防护措施费为</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rPr>
        <w:t>元、暂列金额为</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rPr>
        <w:t>元，人工费</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rPr>
        <w:t>元，工人工资比例为</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bCs/>
          <w:snapToGrid w:val="0"/>
          <w:color w:val="auto"/>
          <w:kern w:val="0"/>
          <w:sz w:val="24"/>
          <w:szCs w:val="24"/>
          <w:highlight w:val="none"/>
        </w:rPr>
        <w:t>。</w:t>
      </w:r>
    </w:p>
    <w:p w14:paraId="5089C8CF">
      <w:pPr>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工程结算价款以广州开发区财政局审定结算为准。如遇审计部门审计发现本合同结算价款存在超付的情形，发包人有权据实要求承包人返还该部分款项。</w:t>
      </w:r>
    </w:p>
    <w:p w14:paraId="3FC69E55">
      <w:pPr>
        <w:widowControl/>
        <w:adjustRightInd w:val="0"/>
        <w:snapToGrid w:val="0"/>
        <w:spacing w:line="44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六、组成合同的文件</w:t>
      </w:r>
    </w:p>
    <w:p w14:paraId="1DAB39C4">
      <w:pPr>
        <w:widowControl/>
        <w:adjustRightInd w:val="0"/>
        <w:snapToGrid w:val="0"/>
        <w:spacing w:line="440" w:lineRule="exact"/>
        <w:ind w:left="336" w:leftChars="160"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1、本合同履行</w:t>
      </w:r>
      <w:r>
        <w:rPr>
          <w:rFonts w:hint="eastAsia" w:ascii="宋体" w:hAnsi="宋体" w:eastAsia="宋体" w:cs="宋体"/>
          <w:color w:val="auto"/>
          <w:sz w:val="24"/>
          <w:szCs w:val="24"/>
          <w:highlight w:val="none"/>
        </w:rPr>
        <w:t>期间发包人与承包人双方签订的补充合同（协议）或修正文件；</w:t>
      </w:r>
    </w:p>
    <w:p w14:paraId="59993FB9">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2、本合同协议书</w:t>
      </w:r>
    </w:p>
    <w:p w14:paraId="522844DF">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3、国家、广东省、广州市、广州开发区、黄埔区关于本工程施工的有关文件（发包人在收到后尽快通报给承包人）；</w:t>
      </w:r>
    </w:p>
    <w:p w14:paraId="5584A2DB">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4、建设业主针对本工程建设管理的各项制度、规定；</w:t>
      </w:r>
    </w:p>
    <w:p w14:paraId="3F937989">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5、中标通知书</w:t>
      </w:r>
    </w:p>
    <w:p w14:paraId="4AC4099B">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6、本合同专用条款</w:t>
      </w:r>
    </w:p>
    <w:p w14:paraId="66EDEBCF">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7、招标文件及附件（包括补充、修改、澄清文件及答疑纪要等）</w:t>
      </w:r>
    </w:p>
    <w:p w14:paraId="51269023">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8、本合同通用条款</w:t>
      </w:r>
    </w:p>
    <w:p w14:paraId="2B4F6749">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9、投标文件及附件</w:t>
      </w:r>
    </w:p>
    <w:p w14:paraId="6B47BC6E">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10、标准、规范和其他有关技术文件</w:t>
      </w:r>
    </w:p>
    <w:p w14:paraId="1A956777">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11、图纸</w:t>
      </w:r>
    </w:p>
    <w:p w14:paraId="6479C6A7">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12、工程量清单</w:t>
      </w:r>
    </w:p>
    <w:p w14:paraId="534BEB6F">
      <w:pPr>
        <w:widowControl/>
        <w:adjustRightInd w:val="0"/>
        <w:snapToGrid w:val="0"/>
        <w:spacing w:line="440" w:lineRule="exact"/>
        <w:ind w:left="336" w:leftChars="16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13、合同附件（工程质量保修责任书、标函承诺书、项目负责人驻场承诺书、工程建设廉政协议书等）</w:t>
      </w:r>
    </w:p>
    <w:p w14:paraId="5751EC8C">
      <w:pPr>
        <w:pStyle w:val="71"/>
        <w:spacing w:line="440" w:lineRule="exact"/>
        <w:ind w:left="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双方有关工程的洽商、变更等书面协议或文件视为本合同的组成部分。</w:t>
      </w:r>
    </w:p>
    <w:p w14:paraId="36C3EE22">
      <w:pPr>
        <w:pStyle w:val="52"/>
        <w:snapToGrid w:val="0"/>
        <w:spacing w:line="440" w:lineRule="exact"/>
        <w:ind w:left="0" w:lef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七、</w:t>
      </w:r>
      <w:r>
        <w:rPr>
          <w:rFonts w:hint="eastAsia" w:ascii="宋体" w:hAnsi="宋体" w:eastAsia="宋体" w:cs="宋体"/>
          <w:bCs/>
          <w:color w:val="auto"/>
          <w:sz w:val="24"/>
          <w:szCs w:val="24"/>
          <w:highlight w:val="none"/>
        </w:rPr>
        <w:t>协议书中有关词语含义与本合同第二部分《通用条款》中分别赋予它们的定义相同。</w:t>
      </w:r>
    </w:p>
    <w:p w14:paraId="65551BFE">
      <w:pPr>
        <w:pStyle w:val="52"/>
        <w:snapToGrid w:val="0"/>
        <w:spacing w:line="440" w:lineRule="exact"/>
        <w:ind w:left="0" w:lef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八、</w:t>
      </w:r>
      <w:r>
        <w:rPr>
          <w:rFonts w:hint="eastAsia" w:ascii="宋体" w:hAnsi="宋体" w:eastAsia="宋体" w:cs="宋体"/>
          <w:bCs/>
          <w:color w:val="auto"/>
          <w:sz w:val="24"/>
          <w:szCs w:val="24"/>
          <w:highlight w:val="none"/>
        </w:rPr>
        <w:t>承包人向发包人承诺按照合同约定进行施工、竣工并在质量保修期内承担工程质量保修责任。</w:t>
      </w:r>
    </w:p>
    <w:p w14:paraId="2689217A">
      <w:pPr>
        <w:pStyle w:val="52"/>
        <w:snapToGrid w:val="0"/>
        <w:spacing w:line="440" w:lineRule="exact"/>
        <w:ind w:left="0" w:leftChars="0" w:firstLine="48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九、</w:t>
      </w:r>
      <w:r>
        <w:rPr>
          <w:rFonts w:hint="eastAsia" w:ascii="宋体" w:hAnsi="宋体" w:eastAsia="宋体" w:cs="宋体"/>
          <w:bCs/>
          <w:color w:val="auto"/>
          <w:sz w:val="24"/>
          <w:szCs w:val="24"/>
          <w:highlight w:val="none"/>
        </w:rPr>
        <w:t>发包人向承包人承诺按照合同约定的期限和方式支付合同价款及其他应当支付的款项。</w:t>
      </w:r>
    </w:p>
    <w:p w14:paraId="294D7AB1">
      <w:pPr>
        <w:pStyle w:val="52"/>
        <w:snapToGrid w:val="0"/>
        <w:spacing w:line="440" w:lineRule="exact"/>
        <w:ind w:left="0" w:leftChars="0" w:firstLine="48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十、</w:t>
      </w:r>
      <w:bookmarkStart w:id="32" w:name="_Toc566321861"/>
      <w:r>
        <w:rPr>
          <w:rFonts w:hint="eastAsia" w:ascii="宋体" w:hAnsi="宋体" w:eastAsia="宋体" w:cs="宋体"/>
          <w:b/>
          <w:bCs/>
          <w:color w:val="auto"/>
          <w:sz w:val="24"/>
          <w:szCs w:val="24"/>
          <w:highlight w:val="none"/>
          <w:lang w:eastAsia="zh-CN"/>
        </w:rPr>
        <w:t>承包人在本项目中存在《广州开发区财政投资建设项目管理中心拒绝投标资格惩戒措施清单》应予惩戒事实情形的，将被拒绝一定时期内参与发包人后续工程投标。</w:t>
      </w:r>
      <w:bookmarkEnd w:id="32"/>
      <w:r>
        <w:rPr>
          <w:rFonts w:hint="eastAsia" w:ascii="宋体" w:hAnsi="宋体" w:eastAsia="宋体" w:cs="宋体"/>
          <w:b/>
          <w:bCs/>
          <w:color w:val="auto"/>
          <w:sz w:val="24"/>
          <w:szCs w:val="24"/>
          <w:highlight w:val="none"/>
          <w:lang w:eastAsia="zh-CN"/>
        </w:rPr>
        <w:t>惩戒期限3个月起，情形严重的，可视严重程度延长对承包人的拒绝投标时限，最长不超过3年。</w:t>
      </w:r>
    </w:p>
    <w:p w14:paraId="48B78213">
      <w:pPr>
        <w:pStyle w:val="52"/>
        <w:snapToGrid w:val="0"/>
        <w:spacing w:line="440" w:lineRule="exact"/>
        <w:ind w:left="0" w:leftChars="0"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、合同生效</w:t>
      </w:r>
    </w:p>
    <w:p w14:paraId="034CE333">
      <w:pPr>
        <w:snapToGrid w:val="0"/>
        <w:spacing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E4A0610">
      <w:pPr>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广州市黄埔区</w:t>
      </w:r>
    </w:p>
    <w:p w14:paraId="6E37B2D4">
      <w:pPr>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本合同双方约定：</w:t>
      </w:r>
      <w:r>
        <w:rPr>
          <w:rFonts w:hint="eastAsia" w:ascii="宋体" w:hAnsi="宋体" w:eastAsia="宋体" w:cs="宋体"/>
          <w:color w:val="auto"/>
          <w:sz w:val="24"/>
          <w:szCs w:val="24"/>
          <w:highlight w:val="none"/>
          <w:u w:val="single"/>
        </w:rPr>
        <w:t>双方签名、盖章并在承包人提交履约担保后生效</w:t>
      </w:r>
      <w:r>
        <w:rPr>
          <w:rFonts w:hint="eastAsia" w:ascii="宋体" w:hAnsi="宋体" w:eastAsia="宋体" w:cs="宋体"/>
          <w:color w:val="auto"/>
          <w:sz w:val="24"/>
          <w:szCs w:val="24"/>
          <w:highlight w:val="none"/>
        </w:rPr>
        <w:t>。</w:t>
      </w:r>
    </w:p>
    <w:p w14:paraId="441BF7DE">
      <w:pPr>
        <w:snapToGrid w:val="0"/>
        <w:spacing w:line="460" w:lineRule="exact"/>
        <w:rPr>
          <w:rFonts w:hint="eastAsia" w:ascii="宋体" w:hAnsi="宋体" w:eastAsia="宋体" w:cs="宋体"/>
          <w:color w:val="auto"/>
          <w:sz w:val="24"/>
          <w:szCs w:val="24"/>
          <w:highlight w:val="none"/>
        </w:rPr>
      </w:pPr>
    </w:p>
    <w:p w14:paraId="350ACD8B">
      <w:pPr>
        <w:snapToGrid w:val="0"/>
        <w:spacing w:line="46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794F35">
      <w:pPr>
        <w:snapToGrid w:val="0"/>
        <w:spacing w:line="460" w:lineRule="exact"/>
        <w:rPr>
          <w:rFonts w:hint="eastAsia" w:ascii="宋体" w:hAnsi="宋体" w:eastAsia="宋体" w:cs="宋体"/>
          <w:color w:val="auto"/>
          <w:sz w:val="24"/>
          <w:szCs w:val="24"/>
          <w:highlight w:val="none"/>
        </w:rPr>
      </w:pPr>
    </w:p>
    <w:tbl>
      <w:tblPr>
        <w:tblStyle w:val="88"/>
        <w:tblW w:w="4998" w:type="pct"/>
        <w:tblInd w:w="0" w:type="dxa"/>
        <w:tblLayout w:type="autofit"/>
        <w:tblCellMar>
          <w:top w:w="0" w:type="dxa"/>
          <w:left w:w="108" w:type="dxa"/>
          <w:bottom w:w="0" w:type="dxa"/>
          <w:right w:w="108" w:type="dxa"/>
        </w:tblCellMar>
      </w:tblPr>
      <w:tblGrid>
        <w:gridCol w:w="1806"/>
        <w:gridCol w:w="2813"/>
        <w:gridCol w:w="1793"/>
        <w:gridCol w:w="2826"/>
      </w:tblGrid>
      <w:tr w14:paraId="7B04EE73">
        <w:tblPrEx>
          <w:tblCellMar>
            <w:top w:w="0" w:type="dxa"/>
            <w:left w:w="108" w:type="dxa"/>
            <w:bottom w:w="0" w:type="dxa"/>
            <w:right w:w="108" w:type="dxa"/>
          </w:tblCellMar>
        </w:tblPrEx>
        <w:trPr>
          <w:trHeight w:val="871" w:hRule="atLeast"/>
        </w:trPr>
        <w:tc>
          <w:tcPr>
            <w:tcW w:w="977" w:type="pct"/>
            <w:vAlign w:val="center"/>
          </w:tcPr>
          <w:p w14:paraId="38A8701A">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  包  人：</w:t>
            </w:r>
          </w:p>
        </w:tc>
        <w:tc>
          <w:tcPr>
            <w:tcW w:w="1522" w:type="pct"/>
            <w:vAlign w:val="center"/>
          </w:tcPr>
          <w:p w14:paraId="3BC5113C">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tc>
        <w:tc>
          <w:tcPr>
            <w:tcW w:w="970" w:type="pct"/>
            <w:vAlign w:val="center"/>
          </w:tcPr>
          <w:p w14:paraId="29D821E9">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  包  人：</w:t>
            </w:r>
          </w:p>
        </w:tc>
        <w:tc>
          <w:tcPr>
            <w:tcW w:w="1529" w:type="pct"/>
            <w:vAlign w:val="center"/>
          </w:tcPr>
          <w:p w14:paraId="6AEEBEC3">
            <w:pPr>
              <w:widowControl/>
              <w:wordWrap w:val="0"/>
              <w:topLinePunct/>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tc>
      </w:tr>
      <w:tr w14:paraId="7FF445D5">
        <w:tblPrEx>
          <w:tblCellMar>
            <w:top w:w="0" w:type="dxa"/>
            <w:left w:w="108" w:type="dxa"/>
            <w:bottom w:w="0" w:type="dxa"/>
            <w:right w:w="108" w:type="dxa"/>
          </w:tblCellMar>
        </w:tblPrEx>
        <w:trPr>
          <w:trHeight w:val="1021" w:hRule="atLeast"/>
        </w:trPr>
        <w:tc>
          <w:tcPr>
            <w:tcW w:w="977" w:type="pct"/>
            <w:vAlign w:val="center"/>
          </w:tcPr>
          <w:p w14:paraId="3E884F38">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522" w:type="pct"/>
            <w:vAlign w:val="center"/>
          </w:tcPr>
          <w:p w14:paraId="14C0A979">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科学城创意大厦B2栋二、三楼</w:t>
            </w:r>
          </w:p>
        </w:tc>
        <w:tc>
          <w:tcPr>
            <w:tcW w:w="970" w:type="pct"/>
            <w:vAlign w:val="center"/>
          </w:tcPr>
          <w:p w14:paraId="38616DC3">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529" w:type="pct"/>
            <w:vAlign w:val="center"/>
          </w:tcPr>
          <w:p w14:paraId="54DA469E">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r w14:paraId="63D123EB">
        <w:tblPrEx>
          <w:tblCellMar>
            <w:top w:w="0" w:type="dxa"/>
            <w:left w:w="108" w:type="dxa"/>
            <w:bottom w:w="0" w:type="dxa"/>
            <w:right w:w="108" w:type="dxa"/>
          </w:tblCellMar>
        </w:tblPrEx>
        <w:trPr>
          <w:trHeight w:val="1337" w:hRule="atLeast"/>
        </w:trPr>
        <w:tc>
          <w:tcPr>
            <w:tcW w:w="977" w:type="pct"/>
            <w:vAlign w:val="center"/>
          </w:tcPr>
          <w:p w14:paraId="664059B0">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22" w:type="pct"/>
            <w:vAlign w:val="center"/>
          </w:tcPr>
          <w:p w14:paraId="5A19138D">
            <w:pPr>
              <w:widowControl/>
              <w:wordWrap w:val="0"/>
              <w:topLinePunct/>
              <w:adjustRightInd w:val="0"/>
              <w:snapToGrid w:val="0"/>
              <w:spacing w:line="480" w:lineRule="exact"/>
              <w:rPr>
                <w:rFonts w:hint="eastAsia" w:ascii="宋体" w:hAnsi="宋体" w:eastAsia="宋体" w:cs="宋体"/>
                <w:color w:val="auto"/>
                <w:sz w:val="24"/>
                <w:szCs w:val="24"/>
                <w:highlight w:val="none"/>
              </w:rPr>
            </w:pPr>
          </w:p>
        </w:tc>
        <w:tc>
          <w:tcPr>
            <w:tcW w:w="970" w:type="pct"/>
            <w:vAlign w:val="center"/>
          </w:tcPr>
          <w:p w14:paraId="22394E3B">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29" w:type="pct"/>
            <w:vAlign w:val="center"/>
          </w:tcPr>
          <w:p w14:paraId="30A35BCD">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r w14:paraId="41C507DE">
        <w:tblPrEx>
          <w:tblCellMar>
            <w:top w:w="0" w:type="dxa"/>
            <w:left w:w="108" w:type="dxa"/>
            <w:bottom w:w="0" w:type="dxa"/>
            <w:right w:w="108" w:type="dxa"/>
          </w:tblCellMar>
        </w:tblPrEx>
        <w:trPr>
          <w:trHeight w:val="1554" w:hRule="atLeast"/>
        </w:trPr>
        <w:tc>
          <w:tcPr>
            <w:tcW w:w="977" w:type="pct"/>
            <w:vAlign w:val="center"/>
          </w:tcPr>
          <w:p w14:paraId="75BA7E4C">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1522" w:type="pct"/>
            <w:vAlign w:val="center"/>
          </w:tcPr>
          <w:p w14:paraId="191E532F">
            <w:pPr>
              <w:widowControl/>
              <w:wordWrap w:val="0"/>
              <w:topLinePunct/>
              <w:adjustRightInd w:val="0"/>
              <w:snapToGrid w:val="0"/>
              <w:spacing w:line="480" w:lineRule="exact"/>
              <w:rPr>
                <w:rFonts w:hint="eastAsia" w:ascii="宋体" w:hAnsi="宋体" w:eastAsia="宋体" w:cs="宋体"/>
                <w:color w:val="auto"/>
                <w:sz w:val="24"/>
                <w:szCs w:val="24"/>
                <w:highlight w:val="none"/>
              </w:rPr>
            </w:pPr>
          </w:p>
        </w:tc>
        <w:tc>
          <w:tcPr>
            <w:tcW w:w="970" w:type="pct"/>
            <w:vAlign w:val="center"/>
          </w:tcPr>
          <w:p w14:paraId="3260D19C">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1529" w:type="pct"/>
            <w:vAlign w:val="center"/>
          </w:tcPr>
          <w:p w14:paraId="54CDE837">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r w14:paraId="0B6BDAE0">
        <w:tblPrEx>
          <w:tblCellMar>
            <w:top w:w="0" w:type="dxa"/>
            <w:left w:w="108" w:type="dxa"/>
            <w:bottom w:w="0" w:type="dxa"/>
            <w:right w:w="108" w:type="dxa"/>
          </w:tblCellMar>
        </w:tblPrEx>
        <w:trPr>
          <w:trHeight w:val="604" w:hRule="atLeast"/>
        </w:trPr>
        <w:tc>
          <w:tcPr>
            <w:tcW w:w="977" w:type="pct"/>
            <w:vAlign w:val="center"/>
          </w:tcPr>
          <w:p w14:paraId="7F67FB7E">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1522" w:type="pct"/>
            <w:vAlign w:val="center"/>
          </w:tcPr>
          <w:p w14:paraId="6BCA6ABB">
            <w:pPr>
              <w:widowControl/>
              <w:wordWrap w:val="0"/>
              <w:topLinePunct/>
              <w:adjustRightInd w:val="0"/>
              <w:snapToGrid w:val="0"/>
              <w:spacing w:line="480" w:lineRule="exact"/>
              <w:rPr>
                <w:rFonts w:hint="eastAsia" w:ascii="宋体" w:hAnsi="宋体" w:eastAsia="宋体" w:cs="宋体"/>
                <w:color w:val="auto"/>
                <w:sz w:val="24"/>
                <w:szCs w:val="24"/>
                <w:highlight w:val="none"/>
              </w:rPr>
            </w:pPr>
          </w:p>
        </w:tc>
        <w:tc>
          <w:tcPr>
            <w:tcW w:w="970" w:type="pct"/>
            <w:vAlign w:val="center"/>
          </w:tcPr>
          <w:p w14:paraId="0EE7420C">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1529" w:type="pct"/>
            <w:vAlign w:val="center"/>
          </w:tcPr>
          <w:p w14:paraId="7E4909A6">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r w14:paraId="104EF786">
        <w:tblPrEx>
          <w:tblCellMar>
            <w:top w:w="0" w:type="dxa"/>
            <w:left w:w="108" w:type="dxa"/>
            <w:bottom w:w="0" w:type="dxa"/>
            <w:right w:w="108" w:type="dxa"/>
          </w:tblCellMar>
        </w:tblPrEx>
        <w:trPr>
          <w:trHeight w:val="604" w:hRule="atLeast"/>
        </w:trPr>
        <w:tc>
          <w:tcPr>
            <w:tcW w:w="977" w:type="pct"/>
            <w:vAlign w:val="center"/>
          </w:tcPr>
          <w:p w14:paraId="2EDDFD80">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1522" w:type="pct"/>
            <w:vAlign w:val="center"/>
          </w:tcPr>
          <w:p w14:paraId="1BDB0DE3">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020-28068800</w:t>
            </w:r>
          </w:p>
        </w:tc>
        <w:tc>
          <w:tcPr>
            <w:tcW w:w="970" w:type="pct"/>
            <w:vAlign w:val="center"/>
          </w:tcPr>
          <w:p w14:paraId="5951EA90">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1529" w:type="pct"/>
            <w:vAlign w:val="center"/>
          </w:tcPr>
          <w:p w14:paraId="4D456070">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r w14:paraId="1B8F3893">
        <w:tblPrEx>
          <w:tblCellMar>
            <w:top w:w="0" w:type="dxa"/>
            <w:left w:w="108" w:type="dxa"/>
            <w:bottom w:w="0" w:type="dxa"/>
            <w:right w:w="108" w:type="dxa"/>
          </w:tblCellMar>
        </w:tblPrEx>
        <w:trPr>
          <w:trHeight w:val="843" w:hRule="atLeast"/>
        </w:trPr>
        <w:tc>
          <w:tcPr>
            <w:tcW w:w="977" w:type="pct"/>
            <w:vAlign w:val="center"/>
          </w:tcPr>
          <w:p w14:paraId="36C803FF">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 银 行：</w:t>
            </w:r>
          </w:p>
        </w:tc>
        <w:tc>
          <w:tcPr>
            <w:tcW w:w="1522" w:type="pct"/>
            <w:vAlign w:val="center"/>
          </w:tcPr>
          <w:p w14:paraId="02BB2349">
            <w:pPr>
              <w:widowControl/>
              <w:wordWrap w:val="0"/>
              <w:topLinePunct/>
              <w:adjustRightInd w:val="0"/>
              <w:snapToGrid w:val="0"/>
              <w:spacing w:line="480" w:lineRule="exact"/>
              <w:rPr>
                <w:rFonts w:hint="eastAsia" w:ascii="宋体" w:hAnsi="宋体" w:eastAsia="宋体" w:cs="宋体"/>
                <w:color w:val="auto"/>
                <w:sz w:val="24"/>
                <w:szCs w:val="24"/>
                <w:highlight w:val="none"/>
              </w:rPr>
            </w:pPr>
          </w:p>
        </w:tc>
        <w:tc>
          <w:tcPr>
            <w:tcW w:w="970" w:type="pct"/>
            <w:vAlign w:val="center"/>
          </w:tcPr>
          <w:p w14:paraId="6C01074A">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 银 行：</w:t>
            </w:r>
          </w:p>
        </w:tc>
        <w:tc>
          <w:tcPr>
            <w:tcW w:w="1529" w:type="pct"/>
            <w:vAlign w:val="center"/>
          </w:tcPr>
          <w:p w14:paraId="614A59D7">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r w14:paraId="65F1882D">
        <w:tblPrEx>
          <w:tblCellMar>
            <w:top w:w="0" w:type="dxa"/>
            <w:left w:w="108" w:type="dxa"/>
            <w:bottom w:w="0" w:type="dxa"/>
            <w:right w:w="108" w:type="dxa"/>
          </w:tblCellMar>
        </w:tblPrEx>
        <w:trPr>
          <w:trHeight w:val="591" w:hRule="atLeast"/>
        </w:trPr>
        <w:tc>
          <w:tcPr>
            <w:tcW w:w="977" w:type="pct"/>
            <w:vAlign w:val="center"/>
          </w:tcPr>
          <w:p w14:paraId="07CECE95">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1522" w:type="pct"/>
            <w:vAlign w:val="center"/>
          </w:tcPr>
          <w:p w14:paraId="2FF20C89">
            <w:pPr>
              <w:widowControl/>
              <w:wordWrap w:val="0"/>
              <w:topLinePunct/>
              <w:adjustRightInd w:val="0"/>
              <w:snapToGrid w:val="0"/>
              <w:spacing w:line="480" w:lineRule="exact"/>
              <w:rPr>
                <w:rFonts w:hint="eastAsia" w:ascii="宋体" w:hAnsi="宋体" w:eastAsia="宋体" w:cs="宋体"/>
                <w:color w:val="auto"/>
                <w:sz w:val="24"/>
                <w:szCs w:val="24"/>
                <w:highlight w:val="none"/>
              </w:rPr>
            </w:pPr>
          </w:p>
        </w:tc>
        <w:tc>
          <w:tcPr>
            <w:tcW w:w="970" w:type="pct"/>
            <w:vAlign w:val="center"/>
          </w:tcPr>
          <w:p w14:paraId="78F4F84A">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1529" w:type="pct"/>
            <w:vAlign w:val="center"/>
          </w:tcPr>
          <w:p w14:paraId="1014E348">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bl>
    <w:p w14:paraId="725A1B4D">
      <w:pPr>
        <w:snapToGrid w:val="0"/>
        <w:spacing w:line="460" w:lineRule="exact"/>
        <w:rPr>
          <w:rFonts w:hint="eastAsia" w:ascii="宋体" w:hAnsi="宋体" w:eastAsia="宋体" w:cs="宋体"/>
          <w:color w:val="auto"/>
          <w:sz w:val="24"/>
          <w:szCs w:val="24"/>
          <w:highlight w:val="none"/>
        </w:rPr>
      </w:pPr>
    </w:p>
    <w:p w14:paraId="41A8AD3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page"/>
      </w:r>
    </w:p>
    <w:p w14:paraId="1D075147">
      <w:pPr>
        <w:pStyle w:val="35"/>
        <w:spacing w:before="88" w:line="342" w:lineRule="auto"/>
        <w:ind w:right="258"/>
        <w:jc w:val="center"/>
        <w:rPr>
          <w:rFonts w:hint="eastAsia" w:ascii="宋体" w:hAnsi="宋体" w:eastAsia="宋体" w:cs="宋体"/>
          <w:color w:val="auto"/>
          <w:spacing w:val="3"/>
          <w:sz w:val="18"/>
          <w:szCs w:val="18"/>
          <w:highlight w:val="none"/>
          <w:vertAlign w:val="baseline"/>
          <w:lang w:val="en-US" w:eastAsia="zh-CN"/>
        </w:rPr>
      </w:pPr>
      <w:r>
        <w:rPr>
          <w:rFonts w:hint="eastAsia" w:ascii="宋体" w:hAnsi="宋体" w:eastAsia="宋体" w:cs="宋体"/>
          <w:b/>
          <w:bCs/>
          <w:color w:val="auto"/>
          <w:spacing w:val="3"/>
          <w:sz w:val="24"/>
          <w:szCs w:val="24"/>
          <w:highlight w:val="none"/>
          <w:lang w:val="en-US" w:eastAsia="zh-CN"/>
        </w:rPr>
        <w:t>附件：《广州开发区财政投资建设项目管理中心拒绝投标资格惩戒措施清单》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627"/>
        <w:gridCol w:w="1528"/>
        <w:gridCol w:w="3312"/>
      </w:tblGrid>
      <w:tr w14:paraId="71A3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19" w:type="dxa"/>
            <w:noWrap w:val="0"/>
            <w:vAlign w:val="top"/>
          </w:tcPr>
          <w:p w14:paraId="747948CF">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color w:val="auto"/>
                <w:spacing w:val="3"/>
                <w:sz w:val="21"/>
                <w:szCs w:val="21"/>
                <w:highlight w:val="none"/>
                <w:vertAlign w:val="baseline"/>
                <w:lang w:eastAsia="zh-CN"/>
              </w:rPr>
              <w:t>序号</w:t>
            </w:r>
          </w:p>
        </w:tc>
        <w:tc>
          <w:tcPr>
            <w:tcW w:w="3627" w:type="dxa"/>
            <w:noWrap w:val="0"/>
            <w:vAlign w:val="center"/>
          </w:tcPr>
          <w:p w14:paraId="678E6A44">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color w:val="auto"/>
                <w:spacing w:val="3"/>
                <w:sz w:val="21"/>
                <w:szCs w:val="21"/>
                <w:highlight w:val="none"/>
                <w:vertAlign w:val="baseline"/>
                <w:lang w:eastAsia="zh-CN"/>
              </w:rPr>
              <w:t>拒绝投标情形</w:t>
            </w:r>
          </w:p>
        </w:tc>
        <w:tc>
          <w:tcPr>
            <w:tcW w:w="1528" w:type="dxa"/>
            <w:noWrap w:val="0"/>
            <w:vAlign w:val="center"/>
          </w:tcPr>
          <w:p w14:paraId="5521D5DA">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color w:val="auto"/>
                <w:spacing w:val="3"/>
                <w:sz w:val="21"/>
                <w:szCs w:val="21"/>
                <w:highlight w:val="none"/>
                <w:vertAlign w:val="baseline"/>
                <w:lang w:eastAsia="zh-CN"/>
              </w:rPr>
              <w:t>惩戒期限</w:t>
            </w:r>
          </w:p>
        </w:tc>
        <w:tc>
          <w:tcPr>
            <w:tcW w:w="3312" w:type="dxa"/>
            <w:noWrap w:val="0"/>
            <w:vAlign w:val="center"/>
          </w:tcPr>
          <w:p w14:paraId="633AFD30">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政策依据</w:t>
            </w:r>
          </w:p>
        </w:tc>
      </w:tr>
      <w:tr w14:paraId="4191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9" w:type="dxa"/>
            <w:noWrap w:val="0"/>
            <w:vAlign w:val="center"/>
          </w:tcPr>
          <w:p w14:paraId="1E9AD077">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1</w:t>
            </w:r>
          </w:p>
        </w:tc>
        <w:tc>
          <w:tcPr>
            <w:tcW w:w="3627" w:type="dxa"/>
            <w:noWrap w:val="0"/>
            <w:vAlign w:val="center"/>
          </w:tcPr>
          <w:p w14:paraId="1E856B69">
            <w:pPr>
              <w:pStyle w:val="35"/>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将中标工程转包或者违法分包的。</w:t>
            </w:r>
          </w:p>
        </w:tc>
        <w:tc>
          <w:tcPr>
            <w:tcW w:w="1528" w:type="dxa"/>
            <w:noWrap w:val="0"/>
            <w:vAlign w:val="center"/>
          </w:tcPr>
          <w:p w14:paraId="7D0844C9">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top"/>
          </w:tcPr>
          <w:p w14:paraId="57D5322A">
            <w:pPr>
              <w:keepNext w:val="0"/>
              <w:keepLines w:val="0"/>
              <w:pageBreakBefore w:val="0"/>
              <w:numPr>
                <w:ilvl w:val="0"/>
                <w:numId w:val="0"/>
              </w:numPr>
              <w:kinsoku/>
              <w:wordWrap/>
              <w:overflowPunct/>
              <w:topLinePunct w:val="0"/>
              <w:autoSpaceDE/>
              <w:autoSpaceDN/>
              <w:bidi w:val="0"/>
              <w:adjustRightInd/>
              <w:spacing w:line="360" w:lineRule="auto"/>
              <w:ind w:right="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广州市建设工程施工招标文件范本修改表（2024年11月）</w:t>
            </w:r>
          </w:p>
        </w:tc>
      </w:tr>
      <w:tr w14:paraId="288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15C630A0">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2</w:t>
            </w:r>
          </w:p>
        </w:tc>
        <w:tc>
          <w:tcPr>
            <w:tcW w:w="3627" w:type="dxa"/>
            <w:noWrap w:val="0"/>
            <w:vAlign w:val="center"/>
          </w:tcPr>
          <w:p w14:paraId="7BD58A4F">
            <w:pPr>
              <w:keepNext w:val="0"/>
              <w:keepLines w:val="0"/>
              <w:pageBreakBefore w:val="0"/>
              <w:kinsoku/>
              <w:wordWrap/>
              <w:overflowPunct/>
              <w:topLinePunct w:val="0"/>
              <w:autoSpaceDE/>
              <w:autoSpaceDN/>
              <w:bidi w:val="0"/>
              <w:adjustRightInd/>
              <w:snapToGrid w:val="0"/>
              <w:spacing w:line="360" w:lineRule="auto"/>
              <w:ind w:right="0"/>
              <w:contextualSpacing/>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在中标工程中不执行质量、安全生产相关规定的，造成质量或安全事故的</w:t>
            </w:r>
            <w:r>
              <w:rPr>
                <w:rFonts w:hint="eastAsia" w:ascii="宋体" w:hAnsi="宋体" w:eastAsia="宋体" w:cs="宋体"/>
                <w:color w:val="auto"/>
                <w:sz w:val="21"/>
                <w:szCs w:val="21"/>
                <w:highlight w:val="none"/>
                <w:lang w:eastAsia="zh-CN"/>
              </w:rPr>
              <w:t>。</w:t>
            </w:r>
          </w:p>
        </w:tc>
        <w:tc>
          <w:tcPr>
            <w:tcW w:w="1528" w:type="dxa"/>
            <w:noWrap w:val="0"/>
            <w:vAlign w:val="center"/>
          </w:tcPr>
          <w:p w14:paraId="2F1452B5">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top"/>
          </w:tcPr>
          <w:p w14:paraId="66D658D9">
            <w:pPr>
              <w:keepNext w:val="0"/>
              <w:keepLines w:val="0"/>
              <w:pageBreakBefore w:val="0"/>
              <w:numPr>
                <w:ilvl w:val="0"/>
                <w:numId w:val="0"/>
              </w:numPr>
              <w:kinsoku/>
              <w:wordWrap/>
              <w:overflowPunct/>
              <w:topLinePunct w:val="0"/>
              <w:autoSpaceDE/>
              <w:autoSpaceDN/>
              <w:bidi w:val="0"/>
              <w:adjustRightInd/>
              <w:spacing w:line="360" w:lineRule="auto"/>
              <w:ind w:right="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广州市建设工程施工招标文件范本修改表（2024年11月）</w:t>
            </w:r>
          </w:p>
        </w:tc>
      </w:tr>
      <w:tr w14:paraId="5E9A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5287BB4F">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3</w:t>
            </w:r>
          </w:p>
        </w:tc>
        <w:tc>
          <w:tcPr>
            <w:tcW w:w="3627" w:type="dxa"/>
            <w:noWrap w:val="0"/>
            <w:vAlign w:val="center"/>
          </w:tcPr>
          <w:p w14:paraId="43D6963D">
            <w:pPr>
              <w:pStyle w:val="35"/>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snapToGrid w:val="0"/>
                <w:color w:val="auto"/>
                <w:kern w:val="0"/>
                <w:sz w:val="21"/>
                <w:szCs w:val="21"/>
                <w:highlight w:val="none"/>
                <w:lang w:val="en-US" w:eastAsia="en-US" w:bidi="ar-SA"/>
              </w:rPr>
              <w:t>出让投标资格的</w:t>
            </w:r>
            <w:r>
              <w:rPr>
                <w:rFonts w:hint="eastAsia" w:ascii="宋体" w:hAnsi="宋体" w:eastAsia="宋体" w:cs="宋体"/>
                <w:snapToGrid w:val="0"/>
                <w:color w:val="auto"/>
                <w:kern w:val="0"/>
                <w:sz w:val="21"/>
                <w:szCs w:val="21"/>
                <w:highlight w:val="none"/>
                <w:lang w:val="en-US" w:eastAsia="zh-CN" w:bidi="ar-SA"/>
              </w:rPr>
              <w:t>。</w:t>
            </w:r>
          </w:p>
        </w:tc>
        <w:tc>
          <w:tcPr>
            <w:tcW w:w="1528" w:type="dxa"/>
            <w:noWrap w:val="0"/>
            <w:vAlign w:val="center"/>
          </w:tcPr>
          <w:p w14:paraId="30DF2327">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top"/>
          </w:tcPr>
          <w:p w14:paraId="77F56441">
            <w:pPr>
              <w:keepNext w:val="0"/>
              <w:keepLines w:val="0"/>
              <w:pageBreakBefore w:val="0"/>
              <w:numPr>
                <w:ilvl w:val="0"/>
                <w:numId w:val="0"/>
              </w:numPr>
              <w:kinsoku/>
              <w:wordWrap/>
              <w:overflowPunct/>
              <w:topLinePunct w:val="0"/>
              <w:autoSpaceDE/>
              <w:autoSpaceDN/>
              <w:bidi w:val="0"/>
              <w:adjustRightInd/>
              <w:spacing w:line="360" w:lineRule="auto"/>
              <w:ind w:right="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广州市建设工程施工招标文件范本修改表（2024年11月）</w:t>
            </w:r>
          </w:p>
        </w:tc>
      </w:tr>
      <w:tr w14:paraId="0E46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30A5ADFA">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4</w:t>
            </w:r>
          </w:p>
        </w:tc>
        <w:tc>
          <w:tcPr>
            <w:tcW w:w="3627" w:type="dxa"/>
            <w:noWrap w:val="0"/>
            <w:vAlign w:val="center"/>
          </w:tcPr>
          <w:p w14:paraId="0B6623A0">
            <w:pPr>
              <w:pStyle w:val="35"/>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color w:val="auto"/>
                <w:spacing w:val="3"/>
                <w:sz w:val="21"/>
                <w:szCs w:val="21"/>
                <w:highlight w:val="none"/>
                <w:vertAlign w:val="baseline"/>
                <w:lang w:eastAsia="zh-CN"/>
              </w:rPr>
              <w:t>存在围标或串标情形的。</w:t>
            </w:r>
          </w:p>
        </w:tc>
        <w:tc>
          <w:tcPr>
            <w:tcW w:w="1528" w:type="dxa"/>
            <w:noWrap w:val="0"/>
            <w:vAlign w:val="center"/>
          </w:tcPr>
          <w:p w14:paraId="4611D442">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top"/>
          </w:tcPr>
          <w:p w14:paraId="3CA2C4BC">
            <w:pPr>
              <w:keepNext w:val="0"/>
              <w:keepLines w:val="0"/>
              <w:pageBreakBefore w:val="0"/>
              <w:numPr>
                <w:ilvl w:val="0"/>
                <w:numId w:val="0"/>
              </w:numPr>
              <w:kinsoku/>
              <w:wordWrap/>
              <w:overflowPunct/>
              <w:topLinePunct w:val="0"/>
              <w:autoSpaceDE/>
              <w:autoSpaceDN/>
              <w:bidi w:val="0"/>
              <w:adjustRightInd/>
              <w:spacing w:line="360" w:lineRule="auto"/>
              <w:ind w:right="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广州市建设工程施工招标文件范本修改表（2024年11月）</w:t>
            </w:r>
          </w:p>
        </w:tc>
      </w:tr>
      <w:tr w14:paraId="5AB5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71B35647">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5</w:t>
            </w:r>
          </w:p>
        </w:tc>
        <w:tc>
          <w:tcPr>
            <w:tcW w:w="3627" w:type="dxa"/>
            <w:noWrap w:val="0"/>
            <w:vAlign w:val="center"/>
          </w:tcPr>
          <w:p w14:paraId="43EC1879">
            <w:pPr>
              <w:pStyle w:val="35"/>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snapToGrid w:val="0"/>
                <w:color w:val="auto"/>
                <w:spacing w:val="3"/>
                <w:kern w:val="0"/>
                <w:sz w:val="21"/>
                <w:szCs w:val="21"/>
                <w:highlight w:val="none"/>
                <w:lang w:val="en-US" w:eastAsia="zh-CN" w:bidi="ar-SA"/>
              </w:rPr>
              <w:t>在投标文件中提供虚假材料的。</w:t>
            </w:r>
          </w:p>
        </w:tc>
        <w:tc>
          <w:tcPr>
            <w:tcW w:w="1528" w:type="dxa"/>
            <w:noWrap w:val="0"/>
            <w:vAlign w:val="center"/>
          </w:tcPr>
          <w:p w14:paraId="6A080902">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top"/>
          </w:tcPr>
          <w:p w14:paraId="14D99745">
            <w:pPr>
              <w:keepNext w:val="0"/>
              <w:keepLines w:val="0"/>
              <w:pageBreakBefore w:val="0"/>
              <w:numPr>
                <w:ilvl w:val="0"/>
                <w:numId w:val="0"/>
              </w:numPr>
              <w:kinsoku/>
              <w:wordWrap/>
              <w:overflowPunct/>
              <w:topLinePunct w:val="0"/>
              <w:autoSpaceDE/>
              <w:autoSpaceDN/>
              <w:bidi w:val="0"/>
              <w:adjustRightInd/>
              <w:spacing w:line="360" w:lineRule="auto"/>
              <w:ind w:right="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广州市建设工程施工招标文件范本修改表（2024年11月）</w:t>
            </w:r>
          </w:p>
        </w:tc>
      </w:tr>
      <w:tr w14:paraId="50F8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2E4FFA87">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6</w:t>
            </w:r>
          </w:p>
        </w:tc>
        <w:tc>
          <w:tcPr>
            <w:tcW w:w="3627" w:type="dxa"/>
            <w:noWrap w:val="0"/>
            <w:vAlign w:val="center"/>
          </w:tcPr>
          <w:p w14:paraId="437CF787">
            <w:pPr>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color w:val="auto"/>
                <w:sz w:val="21"/>
                <w:szCs w:val="21"/>
                <w:highlight w:val="none"/>
              </w:rPr>
              <w:t>存在少放、不放业绩、奖项等客观评审资料，减少自身竞争力情形的</w:t>
            </w:r>
            <w:r>
              <w:rPr>
                <w:rFonts w:hint="eastAsia" w:ascii="宋体" w:hAnsi="宋体" w:eastAsia="宋体" w:cs="宋体"/>
                <w:color w:val="auto"/>
                <w:sz w:val="21"/>
                <w:szCs w:val="21"/>
                <w:highlight w:val="none"/>
                <w:lang w:eastAsia="zh-CN"/>
              </w:rPr>
              <w:t>。</w:t>
            </w:r>
          </w:p>
        </w:tc>
        <w:tc>
          <w:tcPr>
            <w:tcW w:w="1528" w:type="dxa"/>
            <w:noWrap w:val="0"/>
            <w:vAlign w:val="center"/>
          </w:tcPr>
          <w:p w14:paraId="6EA988A1">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center"/>
          </w:tcPr>
          <w:p w14:paraId="4B3023DC">
            <w:pPr>
              <w:pStyle w:val="35"/>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广州市建设工程施工招标文件范本修改表（2024年11月）</w:t>
            </w:r>
          </w:p>
        </w:tc>
      </w:tr>
      <w:tr w14:paraId="6C99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25CB4C2F">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7</w:t>
            </w:r>
          </w:p>
        </w:tc>
        <w:tc>
          <w:tcPr>
            <w:tcW w:w="3627" w:type="dxa"/>
            <w:noWrap w:val="0"/>
            <w:vAlign w:val="center"/>
          </w:tcPr>
          <w:p w14:paraId="6B47B0FF">
            <w:pPr>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snapToGrid w:val="0"/>
                <w:color w:val="auto"/>
                <w:spacing w:val="3"/>
                <w:kern w:val="0"/>
                <w:sz w:val="21"/>
                <w:szCs w:val="21"/>
                <w:highlight w:val="none"/>
                <w:lang w:val="en-US" w:eastAsia="zh-CN" w:bidi="ar-SA"/>
              </w:rPr>
              <w:t>存在行贿情形的。</w:t>
            </w:r>
          </w:p>
        </w:tc>
        <w:tc>
          <w:tcPr>
            <w:tcW w:w="1528" w:type="dxa"/>
            <w:noWrap w:val="0"/>
            <w:vAlign w:val="center"/>
          </w:tcPr>
          <w:p w14:paraId="63DD47F7">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top"/>
          </w:tcPr>
          <w:p w14:paraId="318B1B5D">
            <w:pPr>
              <w:keepNext w:val="0"/>
              <w:keepLines w:val="0"/>
              <w:pageBreakBefore w:val="0"/>
              <w:numPr>
                <w:ilvl w:val="0"/>
                <w:numId w:val="0"/>
              </w:numPr>
              <w:kinsoku/>
              <w:wordWrap/>
              <w:overflowPunct/>
              <w:topLinePunct w:val="0"/>
              <w:autoSpaceDE/>
              <w:autoSpaceDN/>
              <w:bidi w:val="0"/>
              <w:adjustRightInd/>
              <w:spacing w:line="360" w:lineRule="auto"/>
              <w:ind w:right="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广州市建设工程施工招标文件范本修改表（2024年11月）</w:t>
            </w:r>
          </w:p>
        </w:tc>
      </w:tr>
      <w:tr w14:paraId="477A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484F8424">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8</w:t>
            </w:r>
          </w:p>
        </w:tc>
        <w:tc>
          <w:tcPr>
            <w:tcW w:w="3627" w:type="dxa"/>
            <w:noWrap w:val="0"/>
            <w:vAlign w:val="center"/>
          </w:tcPr>
          <w:p w14:paraId="2DC7851B">
            <w:pPr>
              <w:pStyle w:val="35"/>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color w:val="auto"/>
                <w:sz w:val="21"/>
                <w:szCs w:val="21"/>
                <w:highlight w:val="none"/>
              </w:rPr>
              <w:t>拖欠农民工工资的</w:t>
            </w:r>
            <w:r>
              <w:rPr>
                <w:rFonts w:hint="eastAsia" w:ascii="宋体" w:hAnsi="宋体" w:eastAsia="宋体" w:cs="宋体"/>
                <w:color w:val="auto"/>
                <w:sz w:val="21"/>
                <w:szCs w:val="21"/>
                <w:highlight w:val="none"/>
                <w:lang w:eastAsia="zh-CN"/>
              </w:rPr>
              <w:t>。</w:t>
            </w:r>
          </w:p>
        </w:tc>
        <w:tc>
          <w:tcPr>
            <w:tcW w:w="1528" w:type="dxa"/>
            <w:noWrap w:val="0"/>
            <w:vAlign w:val="center"/>
          </w:tcPr>
          <w:p w14:paraId="4CEB7483">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center"/>
          </w:tcPr>
          <w:p w14:paraId="5FA92D50">
            <w:pPr>
              <w:pStyle w:val="35"/>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snapToGrid w:val="0"/>
                <w:color w:val="auto"/>
                <w:kern w:val="0"/>
                <w:sz w:val="21"/>
                <w:szCs w:val="21"/>
                <w:highlight w:val="none"/>
                <w:lang w:val="en-US" w:eastAsia="zh-CN" w:bidi="ar-SA"/>
              </w:rPr>
              <w:t>广州市建设工程施工招标文件范本修改表（2024年11月）</w:t>
            </w:r>
          </w:p>
        </w:tc>
      </w:tr>
      <w:tr w14:paraId="6A1A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7814B643">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9</w:t>
            </w:r>
          </w:p>
        </w:tc>
        <w:tc>
          <w:tcPr>
            <w:tcW w:w="3627" w:type="dxa"/>
            <w:noWrap w:val="0"/>
            <w:vAlign w:val="center"/>
          </w:tcPr>
          <w:p w14:paraId="7C7D1C1A">
            <w:pPr>
              <w:pStyle w:val="35"/>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color w:val="auto"/>
                <w:spacing w:val="3"/>
                <w:sz w:val="21"/>
                <w:szCs w:val="21"/>
                <w:highlight w:val="none"/>
                <w:vertAlign w:val="baseline"/>
                <w:lang w:val="en-US" w:eastAsia="zh-CN"/>
              </w:rPr>
              <w:t>未按照国家、省、市有关建筑施工实名制管理和工人工资支付分账管理的规定执行，被行政监管部门处罚的。</w:t>
            </w:r>
          </w:p>
        </w:tc>
        <w:tc>
          <w:tcPr>
            <w:tcW w:w="1528" w:type="dxa"/>
            <w:noWrap w:val="0"/>
            <w:vAlign w:val="center"/>
          </w:tcPr>
          <w:p w14:paraId="4413205D">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center"/>
          </w:tcPr>
          <w:p w14:paraId="144CA767">
            <w:pPr>
              <w:pStyle w:val="35"/>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snapToGrid w:val="0"/>
                <w:color w:val="auto"/>
                <w:kern w:val="0"/>
                <w:sz w:val="21"/>
                <w:szCs w:val="21"/>
                <w:highlight w:val="none"/>
                <w:lang w:val="en-US" w:eastAsia="zh-CN" w:bidi="ar-SA"/>
              </w:rPr>
              <w:t>广州市建设工程施工招标文件范本修改表（2024年11月）</w:t>
            </w:r>
          </w:p>
        </w:tc>
      </w:tr>
      <w:tr w14:paraId="403C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712BB440">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10</w:t>
            </w:r>
          </w:p>
        </w:tc>
        <w:tc>
          <w:tcPr>
            <w:tcW w:w="3627" w:type="dxa"/>
            <w:noWrap w:val="0"/>
            <w:vAlign w:val="center"/>
          </w:tcPr>
          <w:p w14:paraId="69B22AF0">
            <w:pPr>
              <w:pStyle w:val="35"/>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color w:val="auto"/>
                <w:spacing w:val="3"/>
                <w:sz w:val="21"/>
                <w:szCs w:val="21"/>
                <w:highlight w:val="none"/>
                <w:vertAlign w:val="baseline"/>
                <w:lang w:val="en-US" w:eastAsia="zh-CN"/>
              </w:rPr>
              <w:t>在项目实施过程中选取的专业分包单位或劳务企业或劳务班组长与投标承诺不一致的（如有）。</w:t>
            </w:r>
          </w:p>
        </w:tc>
        <w:tc>
          <w:tcPr>
            <w:tcW w:w="1528" w:type="dxa"/>
            <w:noWrap w:val="0"/>
            <w:vAlign w:val="center"/>
          </w:tcPr>
          <w:p w14:paraId="7F791219">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center"/>
          </w:tcPr>
          <w:p w14:paraId="16DAFEE7">
            <w:pPr>
              <w:pStyle w:val="35"/>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snapToGrid w:val="0"/>
                <w:color w:val="auto"/>
                <w:kern w:val="0"/>
                <w:sz w:val="21"/>
                <w:szCs w:val="21"/>
                <w:highlight w:val="none"/>
                <w:lang w:val="en-US" w:eastAsia="zh-CN" w:bidi="ar-SA"/>
              </w:rPr>
              <w:t>广州市建设工程施工招标文件范本修改表（2024年11月）</w:t>
            </w:r>
          </w:p>
        </w:tc>
      </w:tr>
      <w:tr w14:paraId="27EB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2D7C4BDA">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11</w:t>
            </w:r>
          </w:p>
        </w:tc>
        <w:tc>
          <w:tcPr>
            <w:tcW w:w="3627" w:type="dxa"/>
            <w:noWrap w:val="0"/>
            <w:vAlign w:val="center"/>
          </w:tcPr>
          <w:p w14:paraId="32B55581">
            <w:pPr>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snapToGrid w:val="0"/>
                <w:color w:val="auto"/>
                <w:spacing w:val="3"/>
                <w:kern w:val="0"/>
                <w:sz w:val="21"/>
                <w:szCs w:val="21"/>
                <w:highlight w:val="none"/>
                <w:vertAlign w:val="baseline"/>
                <w:lang w:val="en-US" w:eastAsia="zh-CN" w:bidi="ar-SA"/>
              </w:rPr>
            </w:pPr>
            <w:r>
              <w:rPr>
                <w:rFonts w:hint="eastAsia" w:ascii="宋体" w:hAnsi="宋体" w:eastAsia="宋体" w:cs="宋体"/>
                <w:snapToGrid w:val="0"/>
                <w:color w:val="auto"/>
                <w:spacing w:val="3"/>
                <w:kern w:val="0"/>
                <w:sz w:val="21"/>
                <w:szCs w:val="21"/>
                <w:highlight w:val="none"/>
                <w:vertAlign w:val="baseline"/>
                <w:lang w:val="en-US" w:eastAsia="zh-CN" w:bidi="ar-SA"/>
              </w:rPr>
              <w:t>中标人未按规定购买安全生产责任保险的。</w:t>
            </w:r>
          </w:p>
        </w:tc>
        <w:tc>
          <w:tcPr>
            <w:tcW w:w="1528" w:type="dxa"/>
            <w:noWrap w:val="0"/>
            <w:vAlign w:val="center"/>
          </w:tcPr>
          <w:p w14:paraId="5FEA09CC">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center"/>
          </w:tcPr>
          <w:p w14:paraId="7327F683">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color w:val="auto"/>
                <w:spacing w:val="3"/>
                <w:sz w:val="21"/>
                <w:szCs w:val="21"/>
                <w:highlight w:val="none"/>
                <w:vertAlign w:val="baseline"/>
                <w:lang w:eastAsia="zh-CN"/>
              </w:rPr>
              <w:t>广州开发区建设工程招投标管理办公室印发的 《于施工项目招投标环节严格落实安全生产要求的指引》关（2021年第4期）</w:t>
            </w:r>
          </w:p>
        </w:tc>
      </w:tr>
      <w:tr w14:paraId="5A1A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14D57527">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12</w:t>
            </w:r>
          </w:p>
        </w:tc>
        <w:tc>
          <w:tcPr>
            <w:tcW w:w="3627" w:type="dxa"/>
            <w:noWrap w:val="0"/>
            <w:vAlign w:val="center"/>
          </w:tcPr>
          <w:p w14:paraId="4F4657D8">
            <w:pPr>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snapToGrid w:val="0"/>
                <w:color w:val="auto"/>
                <w:spacing w:val="3"/>
                <w:kern w:val="0"/>
                <w:sz w:val="21"/>
                <w:szCs w:val="21"/>
                <w:highlight w:val="none"/>
                <w:vertAlign w:val="baseline"/>
                <w:lang w:val="en-US" w:eastAsia="zh-CN" w:bidi="ar-SA"/>
              </w:rPr>
            </w:pPr>
            <w:r>
              <w:rPr>
                <w:rFonts w:hint="eastAsia" w:ascii="宋体" w:hAnsi="宋体" w:eastAsia="宋体" w:cs="宋体"/>
                <w:snapToGrid w:val="0"/>
                <w:color w:val="auto"/>
                <w:spacing w:val="3"/>
                <w:kern w:val="0"/>
                <w:sz w:val="21"/>
                <w:szCs w:val="21"/>
                <w:highlight w:val="none"/>
                <w:vertAlign w:val="baseline"/>
                <w:lang w:val="en-US" w:eastAsia="zh-CN" w:bidi="ar-SA"/>
              </w:rPr>
              <w:t>承包人在项目实施过程中因不诚信或不充分履约达到合同列明的拒绝投标程度的。</w:t>
            </w:r>
          </w:p>
        </w:tc>
        <w:tc>
          <w:tcPr>
            <w:tcW w:w="1528" w:type="dxa"/>
            <w:noWrap w:val="0"/>
            <w:vAlign w:val="center"/>
          </w:tcPr>
          <w:p w14:paraId="0956E465">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bookmarkStart w:id="33" w:name="OLE_LINK1"/>
            <w:r>
              <w:rPr>
                <w:rFonts w:hint="eastAsia" w:ascii="宋体" w:hAnsi="宋体" w:eastAsia="宋体" w:cs="宋体"/>
                <w:snapToGrid w:val="0"/>
                <w:color w:val="auto"/>
                <w:kern w:val="0"/>
                <w:sz w:val="21"/>
                <w:szCs w:val="21"/>
                <w:highlight w:val="none"/>
                <w:lang w:val="en-US" w:eastAsia="zh-CN" w:bidi="ar-SA"/>
              </w:rPr>
              <w:t>3个月起</w:t>
            </w:r>
            <w:bookmarkEnd w:id="33"/>
          </w:p>
        </w:tc>
        <w:tc>
          <w:tcPr>
            <w:tcW w:w="3312" w:type="dxa"/>
            <w:noWrap w:val="0"/>
            <w:vAlign w:val="center"/>
          </w:tcPr>
          <w:p w14:paraId="1C6A5E14">
            <w:pPr>
              <w:keepNext w:val="0"/>
              <w:keepLines w:val="0"/>
              <w:pageBreakBefore w:val="0"/>
              <w:widowControl/>
              <w:suppressLineNumbers w:val="0"/>
              <w:kinsoku/>
              <w:wordWrap/>
              <w:overflowPunct/>
              <w:topLinePunct w:val="0"/>
              <w:autoSpaceDE/>
              <w:autoSpaceDN/>
              <w:bidi w:val="0"/>
              <w:adjustRightInd/>
              <w:spacing w:line="360" w:lineRule="auto"/>
              <w:ind w:right="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《广州市工程建设项目招标投标管理办法》</w:t>
            </w:r>
          </w:p>
          <w:p w14:paraId="1067D041">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eastAsia="zh-CN"/>
              </w:rPr>
            </w:pPr>
          </w:p>
        </w:tc>
      </w:tr>
      <w:tr w14:paraId="7C27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434F89A8">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13</w:t>
            </w:r>
          </w:p>
        </w:tc>
        <w:tc>
          <w:tcPr>
            <w:tcW w:w="3627" w:type="dxa"/>
            <w:noWrap w:val="0"/>
            <w:vAlign w:val="center"/>
          </w:tcPr>
          <w:p w14:paraId="2DF7977D">
            <w:pPr>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snapToGrid w:val="0"/>
                <w:color w:val="auto"/>
                <w:spacing w:val="3"/>
                <w:kern w:val="0"/>
                <w:sz w:val="21"/>
                <w:szCs w:val="21"/>
                <w:highlight w:val="none"/>
                <w:vertAlign w:val="baseline"/>
                <w:lang w:val="en-US" w:eastAsia="zh-CN" w:bidi="ar-SA"/>
              </w:rPr>
            </w:pPr>
            <w:r>
              <w:rPr>
                <w:rFonts w:hint="eastAsia" w:ascii="宋体" w:hAnsi="宋体" w:eastAsia="宋体" w:cs="宋体"/>
                <w:snapToGrid w:val="0"/>
                <w:color w:val="auto"/>
                <w:spacing w:val="3"/>
                <w:kern w:val="0"/>
                <w:sz w:val="21"/>
                <w:szCs w:val="21"/>
                <w:highlight w:val="none"/>
                <w:vertAlign w:val="baseline"/>
                <w:lang w:val="en-US" w:eastAsia="zh-CN" w:bidi="ar-SA"/>
              </w:rPr>
              <w:t>承包人在本项目投标时拟派的专职安全员在其他项目中有任职且在本项目开工前未完成更换确保专职安全员只在本项目上任职的;</w:t>
            </w:r>
          </w:p>
        </w:tc>
        <w:tc>
          <w:tcPr>
            <w:tcW w:w="1528" w:type="dxa"/>
            <w:noWrap w:val="0"/>
            <w:vAlign w:val="center"/>
          </w:tcPr>
          <w:p w14:paraId="275E8931">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center"/>
          </w:tcPr>
          <w:p w14:paraId="1947F98B">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eastAsia="zh-CN"/>
              </w:rPr>
            </w:pPr>
            <w:r>
              <w:rPr>
                <w:rFonts w:hint="eastAsia" w:ascii="宋体" w:hAnsi="宋体" w:eastAsia="宋体" w:cs="宋体"/>
                <w:color w:val="auto"/>
                <w:spacing w:val="3"/>
                <w:sz w:val="21"/>
                <w:szCs w:val="21"/>
                <w:highlight w:val="none"/>
                <w:vertAlign w:val="baseline"/>
                <w:lang w:eastAsia="zh-CN"/>
              </w:rPr>
              <w:t>广州市建设工程施工招标文件范本修改表（2025年7月）</w:t>
            </w:r>
          </w:p>
        </w:tc>
      </w:tr>
      <w:tr w14:paraId="1749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494020A6">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14</w:t>
            </w:r>
          </w:p>
        </w:tc>
        <w:tc>
          <w:tcPr>
            <w:tcW w:w="3627" w:type="dxa"/>
            <w:noWrap w:val="0"/>
            <w:vAlign w:val="center"/>
          </w:tcPr>
          <w:p w14:paraId="1BDAFE16">
            <w:pPr>
              <w:keepNext w:val="0"/>
              <w:keepLines w:val="0"/>
              <w:pageBreakBefore w:val="0"/>
              <w:kinsoku/>
              <w:wordWrap/>
              <w:overflowPunct/>
              <w:topLinePunct w:val="0"/>
              <w:autoSpaceDE/>
              <w:autoSpaceDN/>
              <w:bidi w:val="0"/>
              <w:adjustRightInd/>
              <w:spacing w:line="360" w:lineRule="auto"/>
              <w:ind w:right="0"/>
              <w:jc w:val="left"/>
              <w:textAlignment w:val="auto"/>
              <w:rPr>
                <w:rFonts w:hint="eastAsia" w:ascii="宋体" w:hAnsi="宋体" w:eastAsia="宋体" w:cs="宋体"/>
                <w:snapToGrid w:val="0"/>
                <w:color w:val="auto"/>
                <w:spacing w:val="3"/>
                <w:kern w:val="0"/>
                <w:sz w:val="21"/>
                <w:szCs w:val="21"/>
                <w:highlight w:val="none"/>
                <w:vertAlign w:val="baseline"/>
                <w:lang w:val="en-US" w:eastAsia="zh-CN" w:bidi="ar-SA"/>
              </w:rPr>
            </w:pPr>
            <w:r>
              <w:rPr>
                <w:rFonts w:hint="eastAsia" w:ascii="宋体" w:hAnsi="宋体" w:eastAsia="宋体" w:cs="宋体"/>
                <w:snapToGrid w:val="0"/>
                <w:color w:val="auto"/>
                <w:spacing w:val="3"/>
                <w:kern w:val="0"/>
                <w:sz w:val="21"/>
                <w:szCs w:val="21"/>
                <w:highlight w:val="none"/>
                <w:vertAlign w:val="baseline"/>
                <w:lang w:val="en-US" w:eastAsia="zh-CN" w:bidi="ar-SA"/>
              </w:rPr>
              <w:t>其他法定情形</w:t>
            </w:r>
          </w:p>
        </w:tc>
        <w:tc>
          <w:tcPr>
            <w:tcW w:w="1528" w:type="dxa"/>
            <w:noWrap w:val="0"/>
            <w:vAlign w:val="center"/>
          </w:tcPr>
          <w:p w14:paraId="3FFFEB84">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snapToGrid w:val="0"/>
                <w:color w:val="auto"/>
                <w:kern w:val="0"/>
                <w:sz w:val="21"/>
                <w:szCs w:val="21"/>
                <w:highlight w:val="none"/>
                <w:lang w:val="en-US" w:eastAsia="zh-CN" w:bidi="ar-SA"/>
              </w:rPr>
              <w:t>3个月起</w:t>
            </w:r>
          </w:p>
        </w:tc>
        <w:tc>
          <w:tcPr>
            <w:tcW w:w="3312" w:type="dxa"/>
            <w:noWrap w:val="0"/>
            <w:vAlign w:val="center"/>
          </w:tcPr>
          <w:p w14:paraId="38EA8872">
            <w:pPr>
              <w:pStyle w:val="35"/>
              <w:keepNext w:val="0"/>
              <w:keepLines w:val="0"/>
              <w:pageBreakBefore w:val="0"/>
              <w:kinsoku/>
              <w:wordWrap/>
              <w:overflowPunct/>
              <w:topLinePunct w:val="0"/>
              <w:autoSpaceDE/>
              <w:autoSpaceDN/>
              <w:bidi w:val="0"/>
              <w:adjustRightInd/>
              <w:spacing w:line="360" w:lineRule="auto"/>
              <w:ind w:right="0"/>
              <w:jc w:val="center"/>
              <w:textAlignment w:val="auto"/>
              <w:rPr>
                <w:rFonts w:hint="eastAsia" w:ascii="宋体" w:hAnsi="宋体" w:eastAsia="宋体" w:cs="宋体"/>
                <w:color w:val="auto"/>
                <w:spacing w:val="3"/>
                <w:sz w:val="21"/>
                <w:szCs w:val="21"/>
                <w:highlight w:val="none"/>
                <w:vertAlign w:val="baseline"/>
                <w:lang w:eastAsia="zh-CN"/>
              </w:rPr>
            </w:pPr>
          </w:p>
        </w:tc>
      </w:tr>
    </w:tbl>
    <w:p w14:paraId="33A3C70F">
      <w:pPr>
        <w:spacing w:line="500" w:lineRule="exact"/>
        <w:rPr>
          <w:rFonts w:hint="eastAsia" w:ascii="宋体" w:hAnsi="宋体" w:eastAsia="宋体" w:cs="宋体"/>
          <w:b/>
          <w:color w:val="auto"/>
          <w:sz w:val="32"/>
          <w:highlight w:val="none"/>
        </w:rPr>
      </w:pPr>
    </w:p>
    <w:p w14:paraId="7D6C15D8">
      <w:pPr>
        <w:spacing w:line="500" w:lineRule="exact"/>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附件：</w:t>
      </w:r>
      <w:r>
        <w:rPr>
          <w:rFonts w:hint="eastAsia" w:ascii="宋体" w:hAnsi="宋体" w:eastAsia="宋体" w:cs="宋体"/>
          <w:b/>
          <w:color w:val="auto"/>
          <w:sz w:val="32"/>
          <w:highlight w:val="none"/>
        </w:rPr>
        <w:t>联合体协议（如有）放协议书附件</w:t>
      </w:r>
    </w:p>
    <w:p w14:paraId="7CCD8742">
      <w:pPr>
        <w:spacing w:line="500" w:lineRule="exact"/>
        <w:rPr>
          <w:rFonts w:hint="eastAsia" w:ascii="宋体" w:hAnsi="宋体" w:eastAsia="宋体" w:cs="宋体"/>
          <w:b/>
          <w:color w:val="auto"/>
          <w:sz w:val="32"/>
          <w:highlight w:val="none"/>
        </w:rPr>
      </w:pPr>
    </w:p>
    <w:p w14:paraId="54F19ECE">
      <w:pPr>
        <w:pStyle w:val="4"/>
        <w:rPr>
          <w:rFonts w:hint="eastAsia" w:ascii="宋体" w:hAnsi="宋体" w:eastAsia="宋体" w:cs="宋体"/>
          <w:b/>
          <w:color w:val="auto"/>
          <w:sz w:val="32"/>
          <w:highlight w:val="none"/>
        </w:rPr>
      </w:pPr>
    </w:p>
    <w:p w14:paraId="11254DE7">
      <w:pPr>
        <w:rPr>
          <w:rFonts w:hint="eastAsia" w:ascii="宋体" w:hAnsi="宋体" w:eastAsia="宋体" w:cs="宋体"/>
          <w:b/>
          <w:color w:val="auto"/>
          <w:sz w:val="32"/>
          <w:highlight w:val="none"/>
        </w:rPr>
      </w:pPr>
    </w:p>
    <w:p w14:paraId="3E2668C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AD2D01E">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 通用条款</w:t>
      </w:r>
    </w:p>
    <w:p w14:paraId="165F96AA">
      <w:pPr>
        <w:spacing w:line="400" w:lineRule="exact"/>
        <w:ind w:firstLine="718" w:firstLineChars="342"/>
        <w:rPr>
          <w:rFonts w:hint="eastAsia" w:ascii="宋体" w:hAnsi="宋体" w:eastAsia="宋体" w:cs="宋体"/>
          <w:color w:val="auto"/>
          <w:sz w:val="21"/>
          <w:szCs w:val="21"/>
          <w:highlight w:val="none"/>
        </w:rPr>
      </w:pPr>
    </w:p>
    <w:p w14:paraId="51BF9FC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一、词语定义及合同文件 </w:t>
      </w:r>
    </w:p>
    <w:p w14:paraId="077CAB6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1.词语定义 </w:t>
      </w:r>
    </w:p>
    <w:p w14:paraId="112F39F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下列词语除专用条款另有约定外，应具有本条所赋予的定义：</w:t>
      </w:r>
    </w:p>
    <w:p w14:paraId="3218A85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 通用条款：是根据法律、行政法规规定及建设工程施工的需要订立，通用于建设工程施工的条款。 </w:t>
      </w:r>
    </w:p>
    <w:p w14:paraId="2AF8A6F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专用条款：是发包人与承包人根据法律、行政法规规定，结合具体工程实际，经协商达成一致意见的条款，是对通用条款的具体化、补充或修改。 </w:t>
      </w:r>
    </w:p>
    <w:p w14:paraId="63F73E9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 发包人：指在协议书中约定，具有工程发包主体资格和支付工程价款能力的当事人以及取得该当事人资格的合法继承人。 </w:t>
      </w:r>
    </w:p>
    <w:p w14:paraId="31BAA2D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 承包人：指在协议书中约定，被发包人接受的具有工程施工承包主体资格的当事人以及取得该当事人资格的合法继承人。 </w:t>
      </w:r>
    </w:p>
    <w:p w14:paraId="47E8421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 项目负责人：指承包人在专用条款中指定的负责施工管理和合同履行的代表。 </w:t>
      </w:r>
    </w:p>
    <w:p w14:paraId="542D9A2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 设计单位：指发包人委托的负责本工程设计并取得相应工程设计资质等级证书的单位。 </w:t>
      </w:r>
    </w:p>
    <w:p w14:paraId="2EBFAB2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 监理单位：指发包人委托的负责本工程监理并取得相应在工程监理资质等级证书的单位。 </w:t>
      </w:r>
    </w:p>
    <w:p w14:paraId="5A6144E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1.8 工程师：指本工程监理单位委派的总监理工程师或发包人指定的履行本合同的代表，其具体身份和职权由发包人承包人在专用条款中约定。 </w:t>
      </w:r>
    </w:p>
    <w:p w14:paraId="56989E8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 工程造价管理部门：指国务院有关部门、县级以上人民政府建设行政主管部门或其委托的工程造价管理机构。 </w:t>
      </w:r>
    </w:p>
    <w:p w14:paraId="602573F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1.10 工程：指发包人承包人在协议书中约定的承包范围内的工程。 </w:t>
      </w:r>
    </w:p>
    <w:p w14:paraId="116DDDE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1.11 合同价款：指发包人承包人在协议书中约定，发包人用以支付承包人按照合同约定完成承包范围内全部工程并承担质量保修责任的款项。 </w:t>
      </w:r>
    </w:p>
    <w:p w14:paraId="6987E53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1.12 追加合同价款：指在合同履行中发生需要增加合同价款的情况，经发包人确认后按计算合同价款的方法增加的合同价款。 </w:t>
      </w:r>
    </w:p>
    <w:p w14:paraId="74B4288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费用：指不包含在合同价款之内的应当由发包人或承包人承担的经济支出。</w:t>
      </w:r>
    </w:p>
    <w:p w14:paraId="0EE765A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1.14 工期：指发包人承包人在协议书中约定，按总日历天数（包括法定节假日）计算的承包天数。 </w:t>
      </w:r>
    </w:p>
    <w:p w14:paraId="05E1365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1.15 开工日期：指发包人承包人在协议书中约定，承包人开始施工的绝对或相对的日期。 </w:t>
      </w:r>
    </w:p>
    <w:p w14:paraId="37CA2F7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1.16 竣工日期：指发包人承包人在协议书中约定，承包人完成承包范围内工程的绝对或相对的日期。 </w:t>
      </w:r>
    </w:p>
    <w:p w14:paraId="2743599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1.17 图纸：指由发包人提供或承包人提供并经发包人批准，满足承包人施工需要的所有图纸（包括配套说明和有关资料）。 </w:t>
      </w:r>
    </w:p>
    <w:p w14:paraId="2D13BA0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1.18 施工场地：指由发包人提供的用于工程施工的场所以及发包人在图纸中具体指定的供施工使用的任何其他场所。 </w:t>
      </w:r>
    </w:p>
    <w:p w14:paraId="501045B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1.19 书面形式：指合同书、信件和数据电文（包括电报、电传、传真、电子数据交换和电子邮件）等可以有形地表现所载内容的形式。 </w:t>
      </w:r>
    </w:p>
    <w:p w14:paraId="7DF5D2E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1.20 违约责任：指合同一方不履行合同义务或履行合同义务不符合约定所应承担的责任。 </w:t>
      </w:r>
    </w:p>
    <w:p w14:paraId="45FCC01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1.21 索赔：指在合同履行过程中，对于并非自己的过错，而是应由对方承担责任的情况造成的实际损失，向对方提出经济补偿和（或）工期顺延的要求。 </w:t>
      </w:r>
    </w:p>
    <w:p w14:paraId="398F8BE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1.22 不可抗力：指不能预见、不能避免并不能克服的客观情况。 </w:t>
      </w:r>
    </w:p>
    <w:p w14:paraId="5CB90C0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00B778F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2、合同文件及解释顺序 </w:t>
      </w:r>
    </w:p>
    <w:p w14:paraId="47A3CD2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合同文件应能相互解释，互为说明。除专用条款另有约定外，组成本合同的文件及优先解释顺序如下： </w:t>
      </w:r>
    </w:p>
    <w:p w14:paraId="24379F0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（1）本合同协议书 </w:t>
      </w:r>
    </w:p>
    <w:p w14:paraId="3025D1F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（2）中标通知书 </w:t>
      </w:r>
    </w:p>
    <w:p w14:paraId="2A35C9A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（3）投标书及其附件 </w:t>
      </w:r>
    </w:p>
    <w:p w14:paraId="0C55F43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（4）本合同专用条款 </w:t>
      </w:r>
    </w:p>
    <w:p w14:paraId="4C6C2A9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（5）本合同通用条款 </w:t>
      </w:r>
    </w:p>
    <w:p w14:paraId="699B018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（6）标准、规范及有关技术文件 </w:t>
      </w:r>
    </w:p>
    <w:p w14:paraId="68AD5F8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（7）图纸 </w:t>
      </w:r>
    </w:p>
    <w:p w14:paraId="7630DA2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（8）工程量清单 </w:t>
      </w:r>
    </w:p>
    <w:p w14:paraId="3E120D0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（9）工程报价单或预算书</w:t>
      </w:r>
    </w:p>
    <w:p w14:paraId="398228C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合同履行中，发包人承包人有关工程的洽商、变更等书面协议或文件视为本合同的组成部分。 </w:t>
      </w:r>
    </w:p>
    <w:p w14:paraId="312BE05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14:paraId="6C5DA69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3、语言文字和适用法律、标准及规范 </w:t>
      </w:r>
    </w:p>
    <w:p w14:paraId="2A28B3D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语言文字 </w:t>
      </w:r>
    </w:p>
    <w:p w14:paraId="62C91E1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本合同文件使用汉语语言文字书写、解释和说明。如专用条款约定使用两种以上（含两种）语言文字时，汉语应为解释和说明本合同的标准语言文字。</w:t>
      </w:r>
    </w:p>
    <w:p w14:paraId="19383AC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在少数民族地区，双方可以约定使用少数民族语言文字书写和解释、说明本合同。</w:t>
      </w:r>
    </w:p>
    <w:p w14:paraId="3A8FC3B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 适用法律和法规 </w:t>
      </w:r>
    </w:p>
    <w:p w14:paraId="4FA1041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本合同文件适用国家的法律和行政法规。需要明示的法律、行政法规，由双方在专用条款中约定。</w:t>
      </w:r>
    </w:p>
    <w:p w14:paraId="0ED2E31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 适用标准、规范 </w:t>
      </w:r>
    </w:p>
    <w:p w14:paraId="4EA7C94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06D4583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国内没有相应标准、规范的，由发包人按专用条款约定的时间向承包人</w:t>
      </w:r>
      <w:r>
        <w:rPr>
          <w:rFonts w:hint="eastAsia" w:ascii="宋体" w:hAnsi="宋体" w:eastAsia="宋体" w:cs="宋体"/>
          <w:color w:val="auto"/>
          <w:spacing w:val="4"/>
          <w:sz w:val="21"/>
          <w:szCs w:val="21"/>
          <w:highlight w:val="none"/>
        </w:rPr>
        <w:t>提出施工技术要求，承包人按约定的时间和要求提出施工工艺，经发包人认</w:t>
      </w:r>
      <w:r>
        <w:rPr>
          <w:rFonts w:hint="eastAsia" w:ascii="宋体" w:hAnsi="宋体" w:eastAsia="宋体" w:cs="宋体"/>
          <w:color w:val="auto"/>
          <w:sz w:val="21"/>
          <w:szCs w:val="21"/>
          <w:highlight w:val="none"/>
        </w:rPr>
        <w:t xml:space="preserve">可后执行。发包人要求使用国外标准、规范的，应负责提供中文译本。 </w:t>
      </w:r>
    </w:p>
    <w:p w14:paraId="4667510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本条所发生的购买、翻译标准、规范或制定施工工艺的费用，由发包人承担。</w:t>
      </w:r>
    </w:p>
    <w:p w14:paraId="4197C11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4、图纸 </w:t>
      </w:r>
    </w:p>
    <w:p w14:paraId="371F1A7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14:paraId="296CEAD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 承包人未经发包人同意，不得将本工程图纸转给第三人。工程质量保修期满后，除承包人存档需要的图纸外，应将全部图纸退还给发包人。 </w:t>
      </w:r>
    </w:p>
    <w:p w14:paraId="1EF796C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 承包人应在施工现场保留一套完整图纸，供工程师及有关人员进行工程检查时使用。 </w:t>
      </w:r>
    </w:p>
    <w:p w14:paraId="2456558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二、双方一般权利和义务 </w:t>
      </w:r>
    </w:p>
    <w:p w14:paraId="2CC6C3C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5、工程师 </w:t>
      </w:r>
    </w:p>
    <w:p w14:paraId="4AE5A61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5.1实行工程监理的，发包人应在实施监理前将委托的监理单位名称、监理内容及监理权限以书面形式通知承包人。 </w:t>
      </w:r>
    </w:p>
    <w:p w14:paraId="62694C3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14:paraId="0C2F48C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0AEDB26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14:paraId="48A26E8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除合同内有明确约定或经发包人同意外，负责监理的工程师无权解除本合同约定的承包人的任何权利与义务。</w:t>
      </w:r>
    </w:p>
    <w:p w14:paraId="7C0167A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 不实行工程监理的，本合同中工程师专指发包人派驻施工现场履行合同的代表，其具体职权由发包人在专用条款中写明。 </w:t>
      </w:r>
    </w:p>
    <w:p w14:paraId="2BFACF7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6、工程师的委派和指令 </w:t>
      </w:r>
    </w:p>
    <w:p w14:paraId="2AAFCBE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3E4DD9D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14:paraId="026F68C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除工程师或工程师代表外，发包人派驻工地的其他人员均无权向承包人发出任何指令。 </w:t>
      </w:r>
    </w:p>
    <w:p w14:paraId="2642FD5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4A45D3E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14:paraId="7279B62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本款规定同样适用于由工程师代表发出的指令、通知。</w:t>
      </w:r>
    </w:p>
    <w:p w14:paraId="5DE9B33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工程师应按合同约定，及时向承包人提供所需指令、批准并履行约定的</w:t>
      </w:r>
      <w:r>
        <w:rPr>
          <w:rFonts w:hint="eastAsia" w:ascii="宋体" w:hAnsi="宋体" w:eastAsia="宋体" w:cs="宋体"/>
          <w:color w:val="auto"/>
          <w:spacing w:val="4"/>
          <w:sz w:val="21"/>
          <w:szCs w:val="21"/>
          <w:highlight w:val="none"/>
        </w:rPr>
        <w:t>其他义务。由于工程师未能按合同约定履行义务造成工期延误，发包人应承</w:t>
      </w:r>
      <w:r>
        <w:rPr>
          <w:rFonts w:hint="eastAsia" w:ascii="宋体" w:hAnsi="宋体" w:eastAsia="宋体" w:cs="宋体"/>
          <w:color w:val="auto"/>
          <w:sz w:val="21"/>
          <w:szCs w:val="21"/>
          <w:highlight w:val="none"/>
        </w:rPr>
        <w:t xml:space="preserve">担延误造成的追加合同价款，并赔偿承包人有关损失，顺延延误的工期。 </w:t>
      </w:r>
    </w:p>
    <w:p w14:paraId="3D6E6C5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 如需更换工程师，发包人应至少提前7天以书面形式通知承包人，后任继续行使合同文件约定的前任的职权，履行前任的义务。 </w:t>
      </w:r>
    </w:p>
    <w:p w14:paraId="50B1E76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7、项目负责人 </w:t>
      </w:r>
    </w:p>
    <w:p w14:paraId="72A9A4B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 项目负责人的姓名、职务在专用条款内写明。 </w:t>
      </w:r>
    </w:p>
    <w:p w14:paraId="2F7C56A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 承包人依据合同发出的通知，以书面形式由项目负责人签字后送交工程师，工程师在回执上签署姓名和收到时间后生效。 </w:t>
      </w:r>
    </w:p>
    <w:p w14:paraId="3FAA3BE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14:paraId="2159164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 承包人如需更换项目负责人，应至少提前7天以书面形式通知发包人，并征得发包人同意。后任继续行使合同文件约定的前任的职权，履行前任的义务。 </w:t>
      </w:r>
    </w:p>
    <w:p w14:paraId="4E64BE4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7.5 发包人可以与承包人协商，建议更换其认为不称职的项目负责人。 </w:t>
      </w:r>
    </w:p>
    <w:p w14:paraId="3B90634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8、发包人工作 </w:t>
      </w:r>
    </w:p>
    <w:p w14:paraId="599050D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8.1 发包人按专用条款约定的内容和时间完成以下工作: </w:t>
      </w:r>
    </w:p>
    <w:p w14:paraId="4456D3E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办理土地征用、拆迁补偿、平整施工场地等工作，使施工场地具备施工条件，在开工后继续负责解决以上事项遗留问题； </w:t>
      </w:r>
    </w:p>
    <w:p w14:paraId="55911DB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将施工所需水、电、电讯线路从施工场地外部接至专用条款约定地点，保证施工期间的需要； </w:t>
      </w:r>
    </w:p>
    <w:p w14:paraId="09618F9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开通施工场地与城乡公共道路的通道，以及专用条款约定的施工场地内的主要道路，满足施工运输的需要，保证施工期间的畅通。 </w:t>
      </w:r>
    </w:p>
    <w:p w14:paraId="32CE1AB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向承包人提供施工场地的工程地质和地下管线资料，对资料的真实准确性负责； </w:t>
      </w:r>
    </w:p>
    <w:p w14:paraId="70F3C71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办理施工许可证及其他施工所需证件、批件和临时用地、停水、停电、中断道路交通、爆破作业等的申请批准文件（证明承包人自身资质的证件除外）；</w:t>
      </w:r>
    </w:p>
    <w:p w14:paraId="4381D62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确定水准点与坐标控制点，以书面形式交给承包人，进行现场交验；</w:t>
      </w:r>
    </w:p>
    <w:p w14:paraId="69BE0E0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组织承包人和设计单位进行图纸会审和设计交底；</w:t>
      </w:r>
    </w:p>
    <w:p w14:paraId="676E17F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 协调管理施工场地周围地下管线和邻近建筑物、构筑物（包括文物保护建筑）、古树名木的保护工作，承担有关费用； </w:t>
      </w:r>
    </w:p>
    <w:p w14:paraId="3DE7520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 发包人应做的其他工作，双方在专用条款内约定。 </w:t>
      </w:r>
    </w:p>
    <w:p w14:paraId="4C6574C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8.2 发包人未履行8.1款各项义务，导致工期延误或给承包人造成损失的，发包人赔偿承包人有关损失，顺延延误的工期。 </w:t>
      </w:r>
    </w:p>
    <w:p w14:paraId="6C42A58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9、承包人工作 </w:t>
      </w:r>
    </w:p>
    <w:p w14:paraId="5B09DED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9.1 承包人按专用条款约定的内容和时间完成以下工作： </w:t>
      </w:r>
    </w:p>
    <w:p w14:paraId="09B8E6D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根据发包人委托，在其设计资质等级和业务允许的范围内，完成施工图设计或与工程配套的设计，经工程师确认后使用，发包人承担由此发生的费用；</w:t>
      </w:r>
    </w:p>
    <w:p w14:paraId="0AB11D0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向工程师提供年、季、月度工程进度计划及相应进度统计报表； </w:t>
      </w:r>
    </w:p>
    <w:p w14:paraId="7F3249E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根据工程需要，提供和维修非夜间施工使用的照明、围栏设施，并负责安全保卫； </w:t>
      </w:r>
    </w:p>
    <w:p w14:paraId="0BBE385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按专用条款约定的数量和要求，向发包人提供施工场地办公和生活的房屋及设施，发包人承担由此发生的费用； </w:t>
      </w:r>
    </w:p>
    <w:p w14:paraId="4FCA4B2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遵守政府有关主管部门对施工场地交通、施工噪音以及环境保护和安全生产等的管理规定，按规定办理有关手续，并以书面形式通知发包人，发包人承担由此发生的费用，因承包人责任造成的罚款除外； </w:t>
      </w:r>
    </w:p>
    <w:p w14:paraId="55D8B45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0C6605B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按专用条款约定做好施工场地地下管线和邻近建筑物、构筑物（包括文物保护建筑）、古树名木的保护工作；</w:t>
      </w:r>
    </w:p>
    <w:p w14:paraId="5909D63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保证施工场地清洁符合环境卫生管理的有关规定，交工前清理现场达到专用条款约定的要求，承担因自身原因违反有关规定造成的损失和罚款；</w:t>
      </w:r>
    </w:p>
    <w:p w14:paraId="1D68243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 </w:t>
      </w:r>
      <w:r>
        <w:rPr>
          <w:rFonts w:hint="eastAsia" w:ascii="宋体" w:hAnsi="宋体" w:eastAsia="宋体" w:cs="宋体"/>
          <w:color w:val="auto"/>
          <w:spacing w:val="-6"/>
          <w:sz w:val="21"/>
          <w:szCs w:val="21"/>
          <w:highlight w:val="none"/>
        </w:rPr>
        <w:t>办理施工许可证及施工所需证件、批件和临时用地、停水、停电、中断</w:t>
      </w:r>
      <w:r>
        <w:rPr>
          <w:rFonts w:hint="eastAsia" w:ascii="宋体" w:hAnsi="宋体" w:eastAsia="宋体" w:cs="宋体"/>
          <w:color w:val="auto"/>
          <w:sz w:val="21"/>
          <w:szCs w:val="21"/>
          <w:highlight w:val="none"/>
        </w:rPr>
        <w:t>道路交通、爆破作业等的申请批准手续（证明承包人自身资质的证件除外）；</w:t>
      </w:r>
    </w:p>
    <w:p w14:paraId="394813F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(10)承包人应做的其他工作，双方在专用条款内约定。</w:t>
      </w:r>
    </w:p>
    <w:p w14:paraId="50FF5D4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9.2承包人未能履行9.1款各项义务，造成发包人损失的，承包人赔偿发包人有关损失。</w:t>
      </w:r>
    </w:p>
    <w:p w14:paraId="02F9215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三、施工组织设计和工期 </w:t>
      </w:r>
    </w:p>
    <w:p w14:paraId="7B87696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10、进度计划 </w:t>
      </w:r>
    </w:p>
    <w:p w14:paraId="61403D0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14:paraId="504543B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10.2群体工程中单位工程分期进行施工的，承包人应按照发包人提供图纸及有关资料的时间，按单位工程编制进度计划，其具体内容双方在专用条款中约定。 </w:t>
      </w:r>
    </w:p>
    <w:p w14:paraId="7A91E4C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2EEB25B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11、开工及延期开工 </w:t>
      </w:r>
    </w:p>
    <w:p w14:paraId="7E12CCD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14:paraId="6E6D25A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11.2因发包人原因不能按照协议书约定的开工日期开工，工程师应以书面形式通知承包人，推迟开工日期。发包人赔偿承包人因延期开工造成的损失，并相应顺延工期。 </w:t>
      </w:r>
    </w:p>
    <w:p w14:paraId="51C1941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12、暂停施工 </w:t>
      </w:r>
    </w:p>
    <w:p w14:paraId="2275106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2EE3B45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13、工期延误 </w:t>
      </w:r>
    </w:p>
    <w:p w14:paraId="6687E34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13.1因以下原因造成工期延误，经工程师确认工期相应顺延； </w:t>
      </w:r>
    </w:p>
    <w:p w14:paraId="6EC3CAE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发包人未能按专用条款的约定提供图纸及开工条件； </w:t>
      </w:r>
    </w:p>
    <w:p w14:paraId="6845735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发包人未能按约定日期支付工程预付款、进度款，致使施工不能正常进行；</w:t>
      </w:r>
    </w:p>
    <w:p w14:paraId="6046B21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工程师未按合同约定提供所需指令、批准等，致使施工不能正常进行；</w:t>
      </w:r>
    </w:p>
    <w:p w14:paraId="57ECF9F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设计变更和工程量增加； </w:t>
      </w:r>
    </w:p>
    <w:p w14:paraId="72CC5BF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一周内非承包人原因停水、停电、停气造成停工累计超过8小时；</w:t>
      </w:r>
    </w:p>
    <w:p w14:paraId="654E53B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不可抗力；</w:t>
      </w:r>
    </w:p>
    <w:p w14:paraId="220240B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专用条款中约定或工程师同意工期顺延的其他情况。</w:t>
      </w:r>
    </w:p>
    <w:p w14:paraId="25FDEAB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14:paraId="69DEFF4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14、工程竣工 </w:t>
      </w:r>
    </w:p>
    <w:p w14:paraId="54C5876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承包人必须按照协议书约定的竣工日期或工程师同意顺延的工期竣工。 </w:t>
      </w:r>
    </w:p>
    <w:p w14:paraId="69C67E1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14.2 因承包人原因不能按照协议书约定的竣工日期或工程师同意顺延的工期竣工的，承包人承担违约责任。 </w:t>
      </w:r>
    </w:p>
    <w:p w14:paraId="221FCE3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1A9F55E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四、质量与检验 </w:t>
      </w:r>
    </w:p>
    <w:p w14:paraId="2C9A7A1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15、工程质量 </w:t>
      </w:r>
    </w:p>
    <w:p w14:paraId="21E6063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6"/>
          <w:sz w:val="21"/>
          <w:szCs w:val="21"/>
          <w:highlight w:val="none"/>
        </w:rPr>
        <w:t>5.1 工程质量应当达到协议书约定的质量标准，质量标准的评定以国家或</w:t>
      </w:r>
      <w:r>
        <w:rPr>
          <w:rFonts w:hint="eastAsia" w:ascii="宋体" w:hAnsi="宋体" w:eastAsia="宋体" w:cs="宋体"/>
          <w:color w:val="auto"/>
          <w:sz w:val="21"/>
          <w:szCs w:val="21"/>
          <w:highlight w:val="none"/>
        </w:rPr>
        <w:t xml:space="preserve">行业的质量检验评定标准为依据。因承包人原因工程质量达不到约定的质量标准，承包人承担违约责任。 </w:t>
      </w:r>
    </w:p>
    <w:p w14:paraId="4D26628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15.2 双方对工程质量有争议，由双方同意的工程质量检测机构鉴定，所需费用及因此造成的损失，由责任方承担。双方均有责任，由双方根据其责任分别承担。 </w:t>
      </w:r>
    </w:p>
    <w:p w14:paraId="31952F4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16、检查和返工 </w:t>
      </w:r>
    </w:p>
    <w:p w14:paraId="71BC695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承包人应认真按照标准、规范和设计图纸要求以及工程师依据合同发出的指令施工，随时接受工程师的检查检验，为检查检验提供便利条件。 </w:t>
      </w:r>
    </w:p>
    <w:p w14:paraId="1CB0F11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14:paraId="2DB3A4E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35AF4E6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16.4 因工程师指令失误或其他非承包人原因发生的追加合同价款，由发包人承担。 </w:t>
      </w:r>
    </w:p>
    <w:p w14:paraId="794A8E7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17、隐蔽工程和中间验收 </w:t>
      </w:r>
    </w:p>
    <w:p w14:paraId="0FE8C78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eastAsia="宋体" w:cs="宋体"/>
          <w:color w:val="auto"/>
          <w:spacing w:val="4"/>
          <w:sz w:val="21"/>
          <w:szCs w:val="21"/>
          <w:highlight w:val="none"/>
        </w:rPr>
        <w:t>工程师在验收记录上签字后，承包人可进行隐蔽和继续施工。验收不合格</w:t>
      </w:r>
      <w:r>
        <w:rPr>
          <w:rFonts w:hint="eastAsia" w:ascii="宋体" w:hAnsi="宋体" w:eastAsia="宋体" w:cs="宋体"/>
          <w:color w:val="auto"/>
          <w:sz w:val="21"/>
          <w:szCs w:val="21"/>
          <w:highlight w:val="none"/>
        </w:rPr>
        <w:t xml:space="preserve">，承包人在工程师限定的时间内修改后重新验收。 </w:t>
      </w:r>
    </w:p>
    <w:p w14:paraId="37988A4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4F8D8ED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经工程师验收，工程质量符合标准、规范和设计图纸等要求，验收24</w:t>
      </w:r>
      <w:r>
        <w:rPr>
          <w:rFonts w:hint="eastAsia" w:ascii="宋体" w:hAnsi="宋体" w:eastAsia="宋体" w:cs="宋体"/>
          <w:color w:val="auto"/>
          <w:spacing w:val="4"/>
          <w:sz w:val="21"/>
          <w:szCs w:val="21"/>
          <w:highlight w:val="none"/>
        </w:rPr>
        <w:t>小时后，工程师不在验收记录上签字，视为工程师已经认可验收记录，承包</w:t>
      </w:r>
      <w:r>
        <w:rPr>
          <w:rFonts w:hint="eastAsia" w:ascii="宋体" w:hAnsi="宋体" w:eastAsia="宋体" w:cs="宋体"/>
          <w:color w:val="auto"/>
          <w:sz w:val="21"/>
          <w:szCs w:val="21"/>
          <w:highlight w:val="none"/>
        </w:rPr>
        <w:t xml:space="preserve">人可进行隐蔽或继续施工。 </w:t>
      </w:r>
    </w:p>
    <w:p w14:paraId="1B05A6D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18、重新检验 </w:t>
      </w:r>
    </w:p>
    <w:p w14:paraId="42E54DA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14:paraId="06FA598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19、工程试车 </w:t>
      </w:r>
    </w:p>
    <w:p w14:paraId="000085F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19.1 双方约定需要试车的，试车内容应与承包人承包的安装范围相一致。 </w:t>
      </w:r>
    </w:p>
    <w:p w14:paraId="265B67D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63AFED7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14:paraId="2FD8295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1B8A314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19.5双方责任 </w:t>
      </w:r>
    </w:p>
    <w:p w14:paraId="74B46FD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14:paraId="0FD1AB6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2840222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由于承包人施工原因试车达不到验收要求，承包人按工程师要求重新安装和试车，并承担重新安装和试车的费用，工期不予顺延。 </w:t>
      </w:r>
    </w:p>
    <w:p w14:paraId="19B7A69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试车费用除已包括在合同价款之内或专用条款另有约定外，均由发包人承担。</w:t>
      </w:r>
    </w:p>
    <w:p w14:paraId="7C69D78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工程师在试车合格后不在试车记录上签字，试车结束24小时后，视为工程师已经认可试车记录，承包人可继续施工或办理竣工手续。 </w:t>
      </w:r>
    </w:p>
    <w:p w14:paraId="2EF9379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19.6 投料试车应在工程竣工验收后由发包人负责，如发包人要求在工程竣工验收前进行或需要承包人配合时，应征得承包人同意，另行签订补充协议。 </w:t>
      </w:r>
    </w:p>
    <w:p w14:paraId="2517EB7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五、安全施工 </w:t>
      </w:r>
    </w:p>
    <w:p w14:paraId="4FA73A5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20、安全施工与检查 </w:t>
      </w:r>
    </w:p>
    <w:p w14:paraId="5D4CA80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67EB6A4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14:paraId="6B411A4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21、安全防护 </w:t>
      </w:r>
    </w:p>
    <w:p w14:paraId="0D29A32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3BFFFFD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21.2实施爆破作业，在放射、毒害性环境中施工（含储存、运输、使用）及使用毒害性、腐蚀性物品施工时，承包人应在施工前14天以书面形式通知工</w:t>
      </w:r>
      <w:r>
        <w:rPr>
          <w:rFonts w:hint="eastAsia" w:ascii="宋体" w:hAnsi="宋体" w:eastAsia="宋体" w:cs="宋体"/>
          <w:color w:val="auto"/>
          <w:spacing w:val="2"/>
          <w:sz w:val="21"/>
          <w:szCs w:val="21"/>
          <w:highlight w:val="none"/>
        </w:rPr>
        <w:t>程师，并提出相应的安全防护措施，经工程师认可后实施,由发包人承担安全</w:t>
      </w:r>
      <w:r>
        <w:rPr>
          <w:rFonts w:hint="eastAsia" w:ascii="宋体" w:hAnsi="宋体" w:eastAsia="宋体" w:cs="宋体"/>
          <w:color w:val="auto"/>
          <w:sz w:val="21"/>
          <w:szCs w:val="21"/>
          <w:highlight w:val="none"/>
        </w:rPr>
        <w:t xml:space="preserve">防护措施费用。 </w:t>
      </w:r>
    </w:p>
    <w:p w14:paraId="01B1DE9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22、事故处理 </w:t>
      </w:r>
    </w:p>
    <w:p w14:paraId="56BC071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22.1发生重大伤亡及其他安全事故，承包人应按有关规定立即上报有关部门并通知工程师，同时按政府有关部门要求处理，由事故责任方承担发生的费用。</w:t>
      </w:r>
    </w:p>
    <w:p w14:paraId="288AAC1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22.2发包人承包人对事故责任有争议时，应按政府有关部门的认定处理。 </w:t>
      </w:r>
    </w:p>
    <w:p w14:paraId="475DD2D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六、合同价款与支付 </w:t>
      </w:r>
    </w:p>
    <w:p w14:paraId="5C01FF8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23、合同价款及调整 </w:t>
      </w:r>
    </w:p>
    <w:p w14:paraId="63581C7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23.1招标工程的合同价款由发包人承包人依据中标通知书中的中标价格在协议书内约定。非招标工程的合同价款由发包人承包人依据工程预算书在协议书内约定。 </w:t>
      </w:r>
    </w:p>
    <w:p w14:paraId="2016396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23.2合同价款在协议书内约定后，任何一方不得擅自改变。下列三种确定合同价款的方式，双方可在专用条款内约定采用其中一种： </w:t>
      </w:r>
    </w:p>
    <w:p w14:paraId="2C4920C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70FD647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可调价格合同。合同价款可根据双方的约定而调整，双方在专用条款内约定合同价款调整方法。 </w:t>
      </w:r>
    </w:p>
    <w:p w14:paraId="49C166C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成本加酬金合同。合同价款包括成本和酬金两部分，双方在专用条款内约定成本构成和酬金的计算方法。 </w:t>
      </w:r>
    </w:p>
    <w:p w14:paraId="3C6DDA3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23.3可调价格合同中合同价款的调整因素包括：</w:t>
      </w:r>
    </w:p>
    <w:p w14:paraId="1918BB5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法律、行政法规和国家有关政策变化影响合同价款； </w:t>
      </w:r>
    </w:p>
    <w:p w14:paraId="30B2B86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工程造价管理部门公布的价格调整； </w:t>
      </w:r>
    </w:p>
    <w:p w14:paraId="0AC1806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一周内非承包人原因停水、停电、停气造成的停工累计超过8小时； </w:t>
      </w:r>
    </w:p>
    <w:p w14:paraId="0895C39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双方约定的其他因素。 </w:t>
      </w:r>
    </w:p>
    <w:p w14:paraId="54D1BF0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354A706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24、工程预付款 </w:t>
      </w:r>
    </w:p>
    <w:p w14:paraId="44AFDFC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6D8DF33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25、工程量的确认 </w:t>
      </w:r>
    </w:p>
    <w:p w14:paraId="6826A96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5E4A16B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61ED8D3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25.3对承包人超出设计图纸范围和因承包人原因造成返工的工程量，工程师不予计量。 </w:t>
      </w:r>
    </w:p>
    <w:p w14:paraId="3C30D3A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26、工程款（进度款）支付。 </w:t>
      </w:r>
    </w:p>
    <w:p w14:paraId="7C1F4B3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26.1 在确认计量结果后14天内，发包人应向承包人支付工程款（进度款）。按约定时间发包人应扣回的预付款，与工程款（进度款）同期结算。 </w:t>
      </w:r>
    </w:p>
    <w:p w14:paraId="095116E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26.2 本通用条款第23条确定调整的合同价款，第31条工程变更调整的合同价款及其他条款中约定的追加合同价款，应与工程款（进度款）同期调整支付。 </w:t>
      </w:r>
    </w:p>
    <w:p w14:paraId="0DF1EEB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68321AA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26.4 发包人不按合同约定支付工程款（进度款），双方又未达成延期付款协议，导致施工无法进行，承包人可停止施工，由发包人承担违约责任。 </w:t>
      </w:r>
    </w:p>
    <w:p w14:paraId="14142E8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七、材料设备供应 </w:t>
      </w:r>
    </w:p>
    <w:p w14:paraId="215DEEC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27、发包人供应材料设备 </w:t>
      </w:r>
    </w:p>
    <w:p w14:paraId="4A9F068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14:paraId="18E1FB0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018FF70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27.3 发包人供应的材料设备，承包人派人参加清点后由承包人妥善保管，发包人支付相应保管费用。因承包人原因发生丢失损坏，由承包人负责赔偿。 </w:t>
      </w:r>
    </w:p>
    <w:p w14:paraId="331A584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发包人未通知承包人清点，承包人不负责材料设备的保管，丢失损坏由发包人负责。 </w:t>
      </w:r>
    </w:p>
    <w:p w14:paraId="785F630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27.4发包人供应的材料设备与一览表不符时，发包人承担有关责任。发包人应承担责任的具体内容，双方根据下列情况在专用条款内约定。 </w:t>
      </w:r>
    </w:p>
    <w:p w14:paraId="09F2C8B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材料设备单价与一览表不符，由发包人承担所有价差； </w:t>
      </w:r>
    </w:p>
    <w:p w14:paraId="7D2145D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材料设备的品种、规格、型号、质量等级与一览表不符，承包人可拒绝接收保管，由发包人运出施工场地并重新采购； </w:t>
      </w:r>
    </w:p>
    <w:p w14:paraId="39583DF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发包人供应的材料规格、型号与一览表不符，经发包人同意，承包人可代为调剂串换，由发包人承担相应费用； </w:t>
      </w:r>
    </w:p>
    <w:p w14:paraId="2EBEAB7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到货地点与一览表不符，由发包人负责运至一览表指定地点： </w:t>
      </w:r>
    </w:p>
    <w:p w14:paraId="35B0083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供应数量少于一览表约定的数量时，由发包人补齐，多于一览表约定数量时，发包人负责将多出部分运出施工场地； </w:t>
      </w:r>
    </w:p>
    <w:p w14:paraId="535D1B1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14:paraId="76C3DD5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27.5发包人供应的材料设备使用前，由承包人负责检验或试验，不合格的不得使用，检验或试验费用由发包人承担。 </w:t>
      </w:r>
    </w:p>
    <w:p w14:paraId="5B063B1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27.6发包人供应材料设备的结算方法，双方在专用条款内约定。 </w:t>
      </w:r>
    </w:p>
    <w:p w14:paraId="6E6D08C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28、承包人采购材料设备 </w:t>
      </w:r>
    </w:p>
    <w:p w14:paraId="01D6D6F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 承包人负责采购材料设备的，应按照专用条款约定及设计和有关标准要求采购，并提供产品合格证明，对材料设备质量负责。承包人在材料设备到货前24小时通知工程师清点。</w:t>
      </w:r>
    </w:p>
    <w:p w14:paraId="304D0AF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r>
        <w:rPr>
          <w:rFonts w:hint="eastAsia" w:ascii="宋体" w:hAnsi="宋体" w:eastAsia="宋体" w:cs="宋体"/>
          <w:color w:val="auto"/>
          <w:spacing w:val="8"/>
          <w:sz w:val="21"/>
          <w:szCs w:val="21"/>
          <w:highlight w:val="none"/>
        </w:rPr>
        <w:t xml:space="preserve"> 承包人采购的材料设备与设计或标准要求不符时，承包人应按工程师要</w:t>
      </w:r>
      <w:r>
        <w:rPr>
          <w:rFonts w:hint="eastAsia" w:ascii="宋体" w:hAnsi="宋体" w:eastAsia="宋体" w:cs="宋体"/>
          <w:color w:val="auto"/>
          <w:sz w:val="21"/>
          <w:szCs w:val="21"/>
          <w:highlight w:val="none"/>
        </w:rPr>
        <w:t xml:space="preserve">求的时间运出施工场地，重新采购符合要求的产品，承担由此发生的费用，由此延误的工期不予顺延。 </w:t>
      </w:r>
    </w:p>
    <w:p w14:paraId="5C06BEB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28.3 承包人采购的材料设备在使用前，承包人应按工程师的要求进行检验或试验，不合格的不得使用，检验或试验费用由承包人承担。 </w:t>
      </w:r>
    </w:p>
    <w:p w14:paraId="0CEEA81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28.4 工程师发现承包人采购并使用不符合设计或标准要求的材料设备时，应要求由承包人负责修复、拆除或重新采购，并承担发生的费用，由此延误的工期不予顺延。 </w:t>
      </w:r>
    </w:p>
    <w:p w14:paraId="6425998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28.5 承包人需要使用代用材料时，应经工程师认可后才能使用，由此增减的合同价款双方以书面形式议定。 </w:t>
      </w:r>
    </w:p>
    <w:p w14:paraId="2CA5218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28.6 由承包人采购的材料设备，发包人不得指定生产厂或供应商。 </w:t>
      </w:r>
    </w:p>
    <w:p w14:paraId="4A03439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八、工程变更 </w:t>
      </w:r>
    </w:p>
    <w:p w14:paraId="7DA7F03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29、工程设计变更 </w:t>
      </w:r>
    </w:p>
    <w:p w14:paraId="7CD9B12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7B17013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更改工程有关部分的标高、基线、位置和尺寸； </w:t>
      </w:r>
    </w:p>
    <w:p w14:paraId="54670D1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增减合同中约定的工程量； </w:t>
      </w:r>
    </w:p>
    <w:p w14:paraId="60B0878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改变有关工程的施工时间和顺序； </w:t>
      </w:r>
    </w:p>
    <w:p w14:paraId="3AABF9F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其他有关工程变更需要的附加工作。 </w:t>
      </w:r>
    </w:p>
    <w:p w14:paraId="6CE66B2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因变更导致合同价款的增减及造成的承包人损失，由发包人承担，延误的工期相应顺延。 </w:t>
      </w:r>
    </w:p>
    <w:p w14:paraId="33B8FC0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29.2施工中承包人不得对原工程设计进行变更。因承包人擅自变更设计发生的费用和由此导致发包人的直接损失，由承包人承担，延误的工期不予顺延。</w:t>
      </w:r>
    </w:p>
    <w:p w14:paraId="4C5886E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7D38125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工程师同意采用承包人合理化建议，所发生的费用和获得的收益，发包人承包人另行约定分担或分享。 </w:t>
      </w:r>
    </w:p>
    <w:p w14:paraId="0D1CE94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30、其他变更 </w:t>
      </w:r>
    </w:p>
    <w:p w14:paraId="66B47C4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合同履行中发包人要求变更工程质量标准及发生其他实质性变更，由双方协商解决。 </w:t>
      </w:r>
    </w:p>
    <w:p w14:paraId="71AB19C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31、确定变更价款 </w:t>
      </w:r>
    </w:p>
    <w:p w14:paraId="2F76D93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31.1承包人在工程变更确定后14天内，提出变更工程价款的报告，经工程师确认后调整合同价款。变更合同价款按下列方法进行： </w:t>
      </w:r>
    </w:p>
    <w:p w14:paraId="636F49E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合同中已有适用于变更工程的价格，按合同已有的价格变更合同价款； </w:t>
      </w:r>
    </w:p>
    <w:p w14:paraId="1492317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合同中只有类似于变更工程的价格，可以参照类似价格变更合同价款； </w:t>
      </w:r>
    </w:p>
    <w:p w14:paraId="7F5BAFE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合同中没有适用或类似于变更工程的价格，由承包人提出适当的变更价格，经工程师确认后执行。 </w:t>
      </w:r>
    </w:p>
    <w:p w14:paraId="042CE0D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31.2承包人在双方确定变更后14天内不向工程师提出变更工程价款报告时，视为该项变更不涉及合同价款的变更。 </w:t>
      </w:r>
    </w:p>
    <w:p w14:paraId="5658079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31.3工程师应在收到变更工程价款报告之日起14天内予以确认，工程师无正当理由不确认时，自变更工程价款报告送达之日起14天后视为变更工程价款报告已被确认。 </w:t>
      </w:r>
    </w:p>
    <w:p w14:paraId="6C46AE4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31.4工程师不同意承包人提出的变更价款，按本通用条款第37条关于争议的约定处理。 </w:t>
      </w:r>
    </w:p>
    <w:p w14:paraId="24B7990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31.5工程师确认增加的工程变更价款作为追加合同价款，与工程款同期支付。</w:t>
      </w:r>
    </w:p>
    <w:p w14:paraId="3BCFAA1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31.6因承包人自身原因导致的工程变更，承包人无权要求追加合同价款。 </w:t>
      </w:r>
    </w:p>
    <w:p w14:paraId="3A0B833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九、竣工验收与结算 </w:t>
      </w:r>
    </w:p>
    <w:p w14:paraId="3C4F4FE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32、竣工验收 </w:t>
      </w:r>
    </w:p>
    <w:p w14:paraId="28D4CAA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14:paraId="3C735F0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发包人收到竣工验收报告后28天内组织有关单位验收，并在验收后14天内给予认可或提出修改意见。承包人按要求修改，并承担由自身原因造成修改的费用。</w:t>
      </w:r>
    </w:p>
    <w:p w14:paraId="6A933A7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32.3 发包人收到承包人送交的竣工验收报告后28天内不组织验收，或验收后14天内不提出修改意见，视为竣工验收报告已被认可。 </w:t>
      </w:r>
    </w:p>
    <w:p w14:paraId="267CDA1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14:paraId="080BD3A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32.5 发包人收到承包人竣工验收报告后28天内不组织验收，从第29天起承担工程保管及一切意外责任。 </w:t>
      </w:r>
    </w:p>
    <w:p w14:paraId="69DDD4A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32.6 中间交工工程的范围和竣工时间，双方在专用条款内约定，其验收程序按本通用条款32.1款至32.4款办理。 </w:t>
      </w:r>
    </w:p>
    <w:p w14:paraId="0F39831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32.7 因特殊原因，发包人要求部分单位工程或工程部位甩项竣工的，双方另行签订甩项竣工协议，明确双方责任和工程价款支付方法。 </w:t>
      </w:r>
    </w:p>
    <w:p w14:paraId="7442FD0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32.8 工程未经竣工验收或竣工验收未通过的，发包人不得使用。发包人强行使用时，由此发生的质量问题及其他问题，由发包人承担责任。 </w:t>
      </w:r>
    </w:p>
    <w:p w14:paraId="44C85B3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33、竣工结算 </w:t>
      </w:r>
    </w:p>
    <w:p w14:paraId="50A3034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3C8E7C2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779AB3D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发包人收到竣工结算报告及结算资料后28天内无正当理由不支付工程竣工结算价款，从第29天起按承包人同期向银行贷款利率支付拖欠工程价款的利息，并承担违约责任。</w:t>
      </w:r>
    </w:p>
    <w:p w14:paraId="489908E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5145811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1F4C11E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33.6 发包人承包人对工程竣工结算价款发生争议时，按本通用条款37条关于争议的约定处理。 </w:t>
      </w:r>
    </w:p>
    <w:p w14:paraId="09ED296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34、质量保修 </w:t>
      </w:r>
    </w:p>
    <w:p w14:paraId="30528B7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承包人应按法律、行政法规或国家关于工程质量保修的有关规定，对交付发包人使用的工程在质量保修期内承担质量保修责任。 </w:t>
      </w:r>
    </w:p>
    <w:p w14:paraId="5D5197F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质量保修工作的实施。承包人应在工程竣工验收之前，与发包人签订质量保修书，作为本合同附件（附件3）。 </w:t>
      </w:r>
    </w:p>
    <w:p w14:paraId="3659808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34.3 质量保修书的主要内容包括： </w:t>
      </w:r>
    </w:p>
    <w:p w14:paraId="41BF98C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质量保修项目内容及范围； </w:t>
      </w:r>
    </w:p>
    <w:p w14:paraId="0591BC4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质量保修期； </w:t>
      </w:r>
    </w:p>
    <w:p w14:paraId="5242043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质量保修责任； </w:t>
      </w:r>
    </w:p>
    <w:p w14:paraId="2184E1C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质量保修金的支付方法。 </w:t>
      </w:r>
    </w:p>
    <w:p w14:paraId="66D88F4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十、违约、索赔和争议 </w:t>
      </w:r>
    </w:p>
    <w:p w14:paraId="7C3109F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35、违约 </w:t>
      </w:r>
    </w:p>
    <w:p w14:paraId="002D3BB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35.1发包人违约。当发生下列情况时：</w:t>
      </w:r>
    </w:p>
    <w:p w14:paraId="6146920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本通用条款第24条提到的发包人不按时支付工程预付款； </w:t>
      </w:r>
    </w:p>
    <w:p w14:paraId="1F16654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本通用条款第26.4款提到的发包人不按合同约定支付工程款，导致施工无法进行； </w:t>
      </w:r>
    </w:p>
    <w:p w14:paraId="5EF7415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本通用条款第33.3款提到的发包人无正当理由不支付工程竣工结算价款；</w:t>
      </w:r>
    </w:p>
    <w:p w14:paraId="5417F51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发包人不履行合同义务或不按合同约定履行义务的其他情况。 </w:t>
      </w:r>
    </w:p>
    <w:p w14:paraId="37785DE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发包人承担违约责任，赔偿因其违约给承包人造成的经济损失，顺延延误的工期。双方在专用条款内约定发包人赔偿承包人损失的计算方法或者发包人应当支付违约金的数额或计算方法。 </w:t>
      </w:r>
    </w:p>
    <w:p w14:paraId="229641B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35.2承包人违约。当发生下列情况时： </w:t>
      </w:r>
    </w:p>
    <w:p w14:paraId="25B94B3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本通用条款第14.2款提到的因承包人原因不能按照协议书约定的竣工日期或工程师同意顺延的工期竣工； </w:t>
      </w:r>
    </w:p>
    <w:p w14:paraId="7B7C5B5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本通用条款第15.1款提到的因承包人原因工程质量达不到协议书约定的质量标准； </w:t>
      </w:r>
    </w:p>
    <w:p w14:paraId="1F73819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承包人不履行合同义务或不按合同约定履行义务的其他情况。 </w:t>
      </w:r>
    </w:p>
    <w:p w14:paraId="1F36D3E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承包人承担违约责任，赔偿因其违约给发包人造成的损失。双方在专用条款内约定承包人赔偿发包人损失的计算方法或者承包人应当支付违约金的数额或计算方法。 </w:t>
      </w:r>
    </w:p>
    <w:p w14:paraId="2632E0A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35.3一方违约后，另一方要求违约方继续履行合同时，违约方承担上述违约责任后仍应继续履行合同。 </w:t>
      </w:r>
    </w:p>
    <w:p w14:paraId="0C5A37B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36、索赔 </w:t>
      </w:r>
    </w:p>
    <w:p w14:paraId="1710D3B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36.1当一方向另一方提出索赔时，要有正当索赔理由，且有索赔事件发生时的有效证据。 </w:t>
      </w:r>
    </w:p>
    <w:p w14:paraId="570D094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2B7B1A0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索赔事件发生后28天内，向工程师发出索赔意向通知； </w:t>
      </w:r>
    </w:p>
    <w:p w14:paraId="5110EE2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发出索赔意向通知后28天内，向工程师提出延长工期和（或）补偿经济损失的索赔报告及有关资料； </w:t>
      </w:r>
    </w:p>
    <w:p w14:paraId="7B4424F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工程师在收到承包人送交的索赔报告及有关资料后，于28天内给予答复，或要求承包人进一步补充索赔理由和证据； </w:t>
      </w:r>
    </w:p>
    <w:p w14:paraId="35DEEF0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工程师在收到承包人送交的索赔报告和有关资料后28天内未予答复或未对承包人作进一步要求，视为该项索赔已经认可； </w:t>
      </w:r>
    </w:p>
    <w:p w14:paraId="53F3211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14:paraId="3E15AF8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36.3承包人未能按合同约定履行自己的各项义务或发生错误，给发包人造成经济损失，发包人可按36.2款确定的时限向承包人提出索赔。 </w:t>
      </w:r>
    </w:p>
    <w:p w14:paraId="7220A0B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37、争议 </w:t>
      </w:r>
    </w:p>
    <w:p w14:paraId="10EACD3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14:paraId="7DCB82E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第一种解决方式：双方达成仲裁协议，向约定的仲裁委员会申请仲裁； </w:t>
      </w:r>
    </w:p>
    <w:p w14:paraId="3127AEB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第二种解决方式：向有管辖权的人民法院起诉。 </w:t>
      </w:r>
    </w:p>
    <w:p w14:paraId="7266580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37.2发生争议后，除非出现下列情况的，双方都应继续履行合同，保持施工连续，保护好已完工程： </w:t>
      </w:r>
    </w:p>
    <w:p w14:paraId="2EA548D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单方违约导致合同确已无法履行，双方协议停止施工； </w:t>
      </w:r>
    </w:p>
    <w:p w14:paraId="518CB26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调解要求停止施工，且为双方接受； </w:t>
      </w:r>
    </w:p>
    <w:p w14:paraId="42B58B6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仲裁机构要求停止施工； </w:t>
      </w:r>
    </w:p>
    <w:p w14:paraId="466CAF4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法院要求停止施工。 </w:t>
      </w:r>
    </w:p>
    <w:p w14:paraId="5B56E9E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十一、其他 </w:t>
      </w:r>
    </w:p>
    <w:p w14:paraId="2871F94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38、工程分包 </w:t>
      </w:r>
    </w:p>
    <w:p w14:paraId="5B13B52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38.1 承包人按专用条款的约定分包所承包的部分工程，并与分包单位签订分包合同。非经发包人同意，承包人不得将承包工程的任何部分分包。 </w:t>
      </w:r>
    </w:p>
    <w:p w14:paraId="155B063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38.2 承包人不得将其承包的全部工程转包给他人，也不得将其承包的全部工程肢解以后以分包的名义分别转包给他人。 </w:t>
      </w:r>
    </w:p>
    <w:p w14:paraId="10C0DB6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7742B7C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38.4分包工程价款由承包人与分包单位结算。发包人未经承包人同意不得以任何形式向分包单位支付各种工程款项。 </w:t>
      </w:r>
    </w:p>
    <w:p w14:paraId="276D755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39、不可抗力 </w:t>
      </w:r>
    </w:p>
    <w:p w14:paraId="2FA1F3E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 不可抗力包括因战争、动乱、空中飞行物体坠落或其他非发包人承包人责任造成的爆炸、火灾，以及专用条款约定的风、雨、雪、洪、震等自然灾害。</w:t>
      </w:r>
    </w:p>
    <w:p w14:paraId="43CE17D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71D3FDE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39.3 因不可抗力事件导致的费用及延误的工期由双方按以下方法分别承担：</w:t>
      </w:r>
    </w:p>
    <w:p w14:paraId="674CC43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工程本身的损害、因工程损害导致第三人人员伤亡和财产损失以及运至施工场地用于施工的材料和待安装的设备的损害，由发包人承担； </w:t>
      </w:r>
    </w:p>
    <w:p w14:paraId="62F4D5E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发包人承包人人员伤亡由其所在单位负责，并承担相应费用； </w:t>
      </w:r>
    </w:p>
    <w:p w14:paraId="59A6EB30">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承包人机械设备损坏及停工损失，由承包人承担； </w:t>
      </w:r>
    </w:p>
    <w:p w14:paraId="39EA740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停工期间，承包人应工程师要求留在施工场地的必要的管理人员及保卫人员的费用由发包人承担； </w:t>
      </w:r>
    </w:p>
    <w:p w14:paraId="69D212C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工程所需清理、修复费用，由发包人承担； </w:t>
      </w:r>
    </w:p>
    <w:p w14:paraId="765BE48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延误的工期相应顺延。 </w:t>
      </w:r>
    </w:p>
    <w:p w14:paraId="590B3707">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39.4因合同一方迟延履行合同后发生不可抗力的，不能免除迟延履行方的相应责任。</w:t>
      </w:r>
    </w:p>
    <w:p w14:paraId="2378624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40、保险 </w:t>
      </w:r>
    </w:p>
    <w:p w14:paraId="1BF9996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40.1工程开工前，发包人为建设工程和施工场地内的自有人员及第三人人员生命财产办理保险，支付保险费用。 </w:t>
      </w:r>
    </w:p>
    <w:p w14:paraId="68A755C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40.2运至施工场内用于工程的材料和待安装设备，由发包人办理保险，并支付保险费用。 </w:t>
      </w:r>
    </w:p>
    <w:p w14:paraId="0F93BE6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40.3发包人可以将有关保险事项委托承包人办理，费用由发包人承担。 </w:t>
      </w:r>
    </w:p>
    <w:p w14:paraId="2105C23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40.4承包人必须为从事危险作业的职工办理意外伤害保险，并为施工场地内自有人员生命财产和施工机械设备办理保险，支付保险费用。 </w:t>
      </w:r>
    </w:p>
    <w:p w14:paraId="77E0CDE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40.5保险事故发生时，发包人承包人有责任尽力采取必要的措施，防止或者减少损失。 </w:t>
      </w:r>
    </w:p>
    <w:p w14:paraId="150BE42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40.6具体投保内容和相关责任，发包人承包人在专用条款中约定。 </w:t>
      </w:r>
    </w:p>
    <w:p w14:paraId="1347E2E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41、担保 </w:t>
      </w:r>
    </w:p>
    <w:p w14:paraId="1E9031B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41.1发包人、承包人为了全面履行合同，应互相提供以下担保： </w:t>
      </w:r>
    </w:p>
    <w:p w14:paraId="7AE7288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发包人向承包人提供履约担保，按合同约定支付工程价款及履行合同约定的其他义务。 </w:t>
      </w:r>
    </w:p>
    <w:p w14:paraId="4464FB8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承包人向发包人提供履约担保，按合同约定履行自己的各项义务。 </w:t>
      </w:r>
    </w:p>
    <w:p w14:paraId="54B1D46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一方违约后，另一方可要求提供担保的第三人承担相应责任。 </w:t>
      </w:r>
    </w:p>
    <w:p w14:paraId="0426FC76">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41.3 提供担保的内容、方式和相关责任，发包人承包人除在专用条款中约定外，被担保方与担保方还应签订担保合同，作为本合同附件。 </w:t>
      </w:r>
    </w:p>
    <w:p w14:paraId="5DD84C8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42、专利技术及特殊工艺 </w:t>
      </w:r>
    </w:p>
    <w:p w14:paraId="49353D8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14:paraId="26325A4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擅自使用专利技术侵犯他人专利权的，责任者依法承担相应责任。 </w:t>
      </w:r>
    </w:p>
    <w:p w14:paraId="65710DD3">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43、文物和地下障碍物 </w:t>
      </w:r>
    </w:p>
    <w:p w14:paraId="4BA7CF3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14:paraId="06780E74">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如发现后隐瞒不报，致使文物遭受破坏，责任者依法承担相应责任。 </w:t>
      </w:r>
    </w:p>
    <w:p w14:paraId="4F77858C">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14:paraId="44B499E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所发现的地下障碍物有归属单位时，发包人应报请有关部门协同处置。 </w:t>
      </w:r>
    </w:p>
    <w:p w14:paraId="5333C88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44、合同解除 </w:t>
      </w:r>
    </w:p>
    <w:p w14:paraId="41C27A9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44.1 发包人承包人协商一致，可以解除合同。 </w:t>
      </w:r>
    </w:p>
    <w:p w14:paraId="52384B18">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44.2 发生本通用条款第26.4款情况，停止施工超过56天，发包人仍不支付工程款（进度款），承包人有权解除合同。 </w:t>
      </w:r>
    </w:p>
    <w:p w14:paraId="11A2500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44.3 发生本通用条款第38.2款禁止的情况，承包人将其承包的全部工程转包给他人或者肢解以后以分包的名义分别转包给他人，发包人有权解除合同。 </w:t>
      </w:r>
    </w:p>
    <w:p w14:paraId="333AFC4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44.4 有下列情形之一的，发包人承包人可以解除合同： </w:t>
      </w:r>
    </w:p>
    <w:p w14:paraId="5CB6F92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因不可抗力致使合同无法履行； </w:t>
      </w:r>
    </w:p>
    <w:p w14:paraId="661D28ED">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因一方违约（包括因发包人原因造成工程停建或缓建）致使合同无法履行。</w:t>
      </w:r>
    </w:p>
    <w:p w14:paraId="264E1E3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2D003AD1">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1CD4F27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44.7合同解除后，不影响双方在合同中约定的结算和清理条款的效力。 </w:t>
      </w:r>
    </w:p>
    <w:p w14:paraId="0B95484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45、合同生效与终止 </w:t>
      </w:r>
    </w:p>
    <w:p w14:paraId="663A6245">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45.1双方在协议书中约定合同生效方式。 </w:t>
      </w:r>
    </w:p>
    <w:p w14:paraId="0DAB605E">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45.2除本通用条款第34条外，发包人承包人履行合同全部义务，竣工结算价款支付完毕，承包人向发包人交付竣工工程后，本合同即告终止。 </w:t>
      </w:r>
    </w:p>
    <w:p w14:paraId="75C4B0C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45.3合同的权利义务终止后，发包人承包人应当遵循诚实信用原则，履行通知、协助、保密等义务。 </w:t>
      </w:r>
    </w:p>
    <w:p w14:paraId="6BEDE9D9">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46、合同份数 </w:t>
      </w:r>
    </w:p>
    <w:p w14:paraId="7228074B">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46.1本合同正本两份，具有同等效力，由发包人承包人分别保存一份。 </w:t>
      </w:r>
    </w:p>
    <w:p w14:paraId="4801685F">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46.2本合同副本份数，由双方根据需要在专用条款内约定。 </w:t>
      </w:r>
    </w:p>
    <w:p w14:paraId="6AA10FF2">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47、补充条款 </w:t>
      </w:r>
    </w:p>
    <w:p w14:paraId="1C860EAA">
      <w:pPr>
        <w:spacing w:line="40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双方根据有关法律、行政法规规定，结合工程实际，经协商一致后，可对本通用条款内容具体化，补充或修改，在专用条款内约定。</w:t>
      </w:r>
    </w:p>
    <w:p w14:paraId="097C143D">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color w:val="auto"/>
          <w:sz w:val="21"/>
          <w:highlight w:val="none"/>
        </w:rPr>
        <w:br w:type="page"/>
      </w:r>
      <w:r>
        <w:rPr>
          <w:rFonts w:hint="eastAsia" w:ascii="宋体" w:hAnsi="宋体" w:eastAsia="宋体" w:cs="宋体"/>
          <w:b/>
          <w:color w:val="auto"/>
          <w:sz w:val="28"/>
          <w:szCs w:val="28"/>
          <w:highlight w:val="none"/>
        </w:rPr>
        <w:t>第三部分  专用条款</w:t>
      </w:r>
    </w:p>
    <w:p w14:paraId="55A89523">
      <w:pPr>
        <w:snapToGrid w:val="0"/>
        <w:spacing w:line="500" w:lineRule="exact"/>
        <w:ind w:firstLine="397"/>
        <w:rPr>
          <w:rFonts w:hint="eastAsia" w:ascii="宋体" w:hAnsi="宋体" w:eastAsia="宋体" w:cs="宋体"/>
          <w:b/>
          <w:color w:val="auto"/>
          <w:sz w:val="24"/>
          <w:highlight w:val="none"/>
        </w:rPr>
      </w:pPr>
    </w:p>
    <w:p w14:paraId="250C8327">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一、词语定义及合同文件</w:t>
      </w:r>
    </w:p>
    <w:p w14:paraId="6B6AC81E">
      <w:pP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1.词语定义</w:t>
      </w:r>
      <w:r>
        <w:rPr>
          <w:rFonts w:hint="eastAsia" w:ascii="宋体" w:hAnsi="宋体" w:eastAsia="宋体" w:cs="宋体"/>
          <w:color w:val="auto"/>
          <w:sz w:val="24"/>
          <w:szCs w:val="24"/>
          <w:highlight w:val="none"/>
        </w:rPr>
        <w:t xml:space="preserve"> </w:t>
      </w:r>
    </w:p>
    <w:p w14:paraId="048FC3E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设计单位</w:t>
      </w:r>
    </w:p>
    <w:p w14:paraId="383FD0F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本合同工程的设计单位是：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325CE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监理单位</w:t>
      </w:r>
    </w:p>
    <w:p w14:paraId="1E5BAE5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本合同工程的监理单位是：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070FB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1.24招标控制价：指经招标人确定的最高投标限价，并在广州公共资源交易中心开发区、黄埔区交易部公示。</w:t>
      </w:r>
    </w:p>
    <w:p w14:paraId="4C405EC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1.25中标下浮率：中标下浮率=（1-中标价格÷招标控制价）×100%,式中的中标价格及招标控制价均不含不可竞争的绿色施工安全防护措施费及暂列金额。</w:t>
      </w:r>
    </w:p>
    <w:p w14:paraId="77C707C3">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1.26工人工资比例=中标的人工费金额÷中标价格，本项目工人工资比例为：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A9C35D">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2、合同文件及解释顺序</w:t>
      </w:r>
    </w:p>
    <w:p w14:paraId="6BE0A1C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2.1合同文件组成及解释顺序：</w:t>
      </w:r>
      <w:r>
        <w:rPr>
          <w:rFonts w:hint="eastAsia" w:ascii="宋体" w:hAnsi="宋体" w:eastAsia="宋体" w:cs="宋体"/>
          <w:color w:val="auto"/>
          <w:sz w:val="24"/>
          <w:szCs w:val="24"/>
          <w:highlight w:val="none"/>
          <w:u w:val="single"/>
        </w:rPr>
        <w:t>1、本合同履行期间发包人与承包人双方签订的补充合同（协议）或修正文件；2、本合同协议书；3、国家、广东省、广州市、广州开发区黄埔区关于本工程施工的有关文件（发包人在收到后尽快通报给承包人）；4、建设业主针对本工程建设管理的各项制度、规定；5、中标通知书；6、本合同专用条款；7、招标文件及附件（包括补充、修改、澄清文件及答疑纪要等）； 8、本合同通用条款；9、投标文件及附件；10、标准、规范和其他有关技术文件；11、图纸；12、工程量清单；13、合同附件（工程质量保修责任书、标函承诺书、项目负责人驻场承诺书、工程建设廉政协议书等）。</w:t>
      </w:r>
    </w:p>
    <w:p w14:paraId="6B38565E">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3、语言文字和适用法律、标准及规范</w:t>
      </w:r>
    </w:p>
    <w:p w14:paraId="3FD6C330">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本合同除使用汉语外，还使用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语言文字。</w:t>
      </w:r>
    </w:p>
    <w:p w14:paraId="79A82C7A">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适用法律和法规</w:t>
      </w:r>
    </w:p>
    <w:p w14:paraId="2F4E3725">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需要明示的法律、行政法规：</w:t>
      </w:r>
      <w:r>
        <w:rPr>
          <w:rFonts w:hint="eastAsia" w:ascii="宋体" w:hAnsi="宋体" w:eastAsia="宋体" w:cs="宋体"/>
          <w:color w:val="auto"/>
          <w:sz w:val="24"/>
          <w:szCs w:val="24"/>
          <w:highlight w:val="none"/>
          <w:u w:val="single"/>
        </w:rPr>
        <w:t>按照现行的法律、法规</w:t>
      </w:r>
      <w:r>
        <w:rPr>
          <w:rFonts w:hint="eastAsia" w:ascii="宋体" w:hAnsi="宋体" w:eastAsia="宋体" w:cs="宋体"/>
          <w:color w:val="auto"/>
          <w:sz w:val="24"/>
          <w:szCs w:val="24"/>
          <w:highlight w:val="none"/>
        </w:rPr>
        <w:t>。</w:t>
      </w:r>
    </w:p>
    <w:p w14:paraId="30FECC8E">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适用标准、规范</w:t>
      </w:r>
    </w:p>
    <w:p w14:paraId="7E33DB6A">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适用标准、规范的名称：</w:t>
      </w:r>
      <w:r>
        <w:rPr>
          <w:rFonts w:hint="eastAsia" w:ascii="宋体" w:hAnsi="宋体" w:eastAsia="宋体" w:cs="宋体"/>
          <w:color w:val="auto"/>
          <w:sz w:val="24"/>
          <w:szCs w:val="24"/>
          <w:highlight w:val="none"/>
          <w:u w:val="single"/>
        </w:rPr>
        <w:t>相应工种现行施工规范。</w:t>
      </w:r>
    </w:p>
    <w:p w14:paraId="72D51CF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发包人提供标准、规范的时间：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CBAA7A3">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国内没有相应标准、规范时的约定：</w:t>
      </w:r>
      <w:r>
        <w:rPr>
          <w:rFonts w:hint="eastAsia" w:ascii="宋体" w:hAnsi="宋体" w:eastAsia="宋体" w:cs="宋体"/>
          <w:color w:val="auto"/>
          <w:sz w:val="24"/>
          <w:szCs w:val="24"/>
          <w:highlight w:val="none"/>
          <w:u w:val="single"/>
        </w:rPr>
        <w:t>按施工图纸，招标文件和广州开发区相关规定及答疑纪要的要求执行。</w:t>
      </w:r>
    </w:p>
    <w:p w14:paraId="477CDF24">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4、图纸</w:t>
      </w:r>
    </w:p>
    <w:p w14:paraId="7262BEAC">
      <w:pPr>
        <w:snapToGrid w:val="0"/>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4.1 发包人向承包人提供图纸日期和套数：</w:t>
      </w:r>
      <w:r>
        <w:rPr>
          <w:rFonts w:hint="eastAsia" w:ascii="宋体" w:hAnsi="宋体" w:eastAsia="宋体" w:cs="宋体"/>
          <w:color w:val="auto"/>
          <w:sz w:val="24"/>
          <w:szCs w:val="24"/>
          <w:highlight w:val="none"/>
          <w:u w:val="single"/>
        </w:rPr>
        <w:t>开工前提供肆套图纸。</w:t>
      </w:r>
    </w:p>
    <w:p w14:paraId="3ACA45DC">
      <w:pPr>
        <w:snapToGrid w:val="0"/>
        <w:spacing w:line="440" w:lineRule="exact"/>
        <w:ind w:left="997" w:leftChars="132" w:hanging="720" w:hanging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发包人对图纸的保密要求：</w:t>
      </w:r>
      <w:r>
        <w:rPr>
          <w:rFonts w:hint="eastAsia" w:ascii="宋体" w:hAnsi="宋体" w:eastAsia="宋体" w:cs="宋体"/>
          <w:color w:val="auto"/>
          <w:sz w:val="24"/>
          <w:szCs w:val="24"/>
          <w:highlight w:val="none"/>
          <w:u w:val="single"/>
        </w:rPr>
        <w:t>按本合同通用条款</w:t>
      </w:r>
      <w:r>
        <w:rPr>
          <w:rFonts w:hint="eastAsia" w:ascii="宋体" w:hAnsi="宋体" w:eastAsia="宋体" w:cs="宋体"/>
          <w:color w:val="auto"/>
          <w:sz w:val="24"/>
          <w:szCs w:val="24"/>
          <w:highlight w:val="none"/>
        </w:rPr>
        <w:t>。</w:t>
      </w:r>
    </w:p>
    <w:p w14:paraId="2435BF20">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使用国外图纸的要求及费用承担：</w:t>
      </w:r>
      <w:r>
        <w:rPr>
          <w:rFonts w:hint="eastAsia" w:ascii="宋体" w:hAnsi="宋体" w:eastAsia="宋体" w:cs="宋体"/>
          <w:color w:val="auto"/>
          <w:sz w:val="24"/>
          <w:szCs w:val="24"/>
          <w:highlight w:val="none"/>
          <w:u w:val="single"/>
        </w:rPr>
        <w:t xml:space="preserve">    /    </w:t>
      </w:r>
    </w:p>
    <w:p w14:paraId="01E023D9">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二、双方一般权利和义务</w:t>
      </w:r>
    </w:p>
    <w:p w14:paraId="0E5D8A09">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5、工程师</w:t>
      </w:r>
    </w:p>
    <w:p w14:paraId="06CB7E89">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监理单位委派的工程师</w:t>
      </w:r>
    </w:p>
    <w:p w14:paraId="524797D8">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总监理工程师</w:t>
      </w:r>
      <w:r>
        <w:rPr>
          <w:rFonts w:hint="eastAsia" w:ascii="宋体" w:hAnsi="宋体" w:eastAsia="宋体" w:cs="宋体"/>
          <w:color w:val="auto"/>
          <w:sz w:val="24"/>
          <w:szCs w:val="24"/>
          <w:highlight w:val="none"/>
        </w:rPr>
        <w:t>。</w:t>
      </w:r>
    </w:p>
    <w:p w14:paraId="2102B4C5">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发包人委托的职权：</w:t>
      </w:r>
      <w:r>
        <w:rPr>
          <w:rFonts w:hint="eastAsia" w:ascii="宋体" w:hAnsi="宋体" w:eastAsia="宋体" w:cs="宋体"/>
          <w:color w:val="auto"/>
          <w:sz w:val="24"/>
          <w:szCs w:val="24"/>
          <w:highlight w:val="none"/>
          <w:u w:val="single"/>
        </w:rPr>
        <w:t xml:space="preserve"> 对本工程进行全过程的监理</w:t>
      </w:r>
      <w:r>
        <w:rPr>
          <w:rFonts w:hint="eastAsia" w:ascii="宋体" w:hAnsi="宋体" w:eastAsia="宋体" w:cs="宋体"/>
          <w:color w:val="auto"/>
          <w:sz w:val="24"/>
          <w:szCs w:val="24"/>
          <w:highlight w:val="none"/>
        </w:rPr>
        <w:t>。</w:t>
      </w:r>
    </w:p>
    <w:p w14:paraId="1CA70F70">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需要取得发包人批准才能行使的职权：</w:t>
      </w:r>
      <w:r>
        <w:rPr>
          <w:rFonts w:hint="eastAsia" w:ascii="宋体" w:hAnsi="宋体" w:eastAsia="宋体" w:cs="宋体"/>
          <w:color w:val="auto"/>
          <w:sz w:val="24"/>
          <w:szCs w:val="24"/>
          <w:highlight w:val="none"/>
          <w:u w:val="single"/>
        </w:rPr>
        <w:t>按发包人与监理单位签订的监理合同有关规定执行，涉及变更签证或费用调整、发布开工、停工、复工令等均需经发包人书面认可</w:t>
      </w:r>
      <w:r>
        <w:rPr>
          <w:rFonts w:hint="eastAsia" w:ascii="宋体" w:hAnsi="宋体" w:eastAsia="宋体" w:cs="宋体"/>
          <w:color w:val="auto"/>
          <w:sz w:val="24"/>
          <w:szCs w:val="24"/>
          <w:highlight w:val="none"/>
        </w:rPr>
        <w:t>。</w:t>
      </w:r>
    </w:p>
    <w:p w14:paraId="2AF9EF1B">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义务：</w:t>
      </w:r>
      <w:r>
        <w:rPr>
          <w:rFonts w:hint="eastAsia" w:ascii="宋体" w:hAnsi="宋体" w:eastAsia="宋体" w:cs="宋体"/>
          <w:color w:val="auto"/>
          <w:sz w:val="24"/>
          <w:szCs w:val="24"/>
          <w:highlight w:val="none"/>
          <w:u w:val="single"/>
        </w:rPr>
        <w:t>常驻现场，代表监理单位履行与发包人签订的监理合同</w:t>
      </w:r>
      <w:r>
        <w:rPr>
          <w:rFonts w:hint="eastAsia" w:ascii="宋体" w:hAnsi="宋体" w:eastAsia="宋体" w:cs="宋体"/>
          <w:color w:val="auto"/>
          <w:sz w:val="24"/>
          <w:szCs w:val="24"/>
          <w:highlight w:val="none"/>
        </w:rPr>
        <w:t>。</w:t>
      </w:r>
    </w:p>
    <w:p w14:paraId="2062BDFB">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发包人派驻的工程师</w:t>
      </w:r>
    </w:p>
    <w:p w14:paraId="70934D10">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工 程 师</w:t>
      </w:r>
      <w:r>
        <w:rPr>
          <w:rFonts w:hint="eastAsia" w:ascii="宋体" w:hAnsi="宋体" w:eastAsia="宋体" w:cs="宋体"/>
          <w:color w:val="auto"/>
          <w:sz w:val="24"/>
          <w:szCs w:val="24"/>
          <w:highlight w:val="none"/>
        </w:rPr>
        <w:t>。</w:t>
      </w:r>
    </w:p>
    <w:p w14:paraId="3ADA2538">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职权：</w:t>
      </w:r>
      <w:r>
        <w:rPr>
          <w:rFonts w:hint="eastAsia" w:ascii="宋体" w:hAnsi="宋体" w:eastAsia="宋体" w:cs="宋体"/>
          <w:color w:val="auto"/>
          <w:sz w:val="24"/>
          <w:szCs w:val="24"/>
          <w:highlight w:val="none"/>
          <w:u w:val="single"/>
        </w:rPr>
        <w:t>发包人代表，行使发包人的权利。</w:t>
      </w:r>
    </w:p>
    <w:p w14:paraId="5BA3B802">
      <w:pPr>
        <w:snapToGrid w:val="0"/>
        <w:spacing w:line="440" w:lineRule="exact"/>
        <w:ind w:firstLine="397"/>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义务：</w:t>
      </w:r>
      <w:r>
        <w:rPr>
          <w:rFonts w:hint="eastAsia" w:ascii="宋体" w:hAnsi="宋体" w:eastAsia="宋体" w:cs="宋体"/>
          <w:color w:val="auto"/>
          <w:spacing w:val="-8"/>
          <w:sz w:val="24"/>
          <w:szCs w:val="24"/>
          <w:highlight w:val="none"/>
          <w:u w:val="single"/>
        </w:rPr>
        <w:t>常驻现场，代表发包人负责工程质量、进度、技术、投资控制等施工期间的日常管理工作，履行与承包人签订的本建设工程施工合同</w:t>
      </w:r>
      <w:r>
        <w:rPr>
          <w:rFonts w:hint="eastAsia" w:ascii="宋体" w:hAnsi="宋体" w:eastAsia="宋体" w:cs="宋体"/>
          <w:color w:val="auto"/>
          <w:spacing w:val="-8"/>
          <w:sz w:val="24"/>
          <w:szCs w:val="24"/>
          <w:highlight w:val="none"/>
        </w:rPr>
        <w:t>。</w:t>
      </w:r>
    </w:p>
    <w:p w14:paraId="32A3C54A">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不实行监理的，工程师的职权：</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1BB2C2B">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7、项目负责人</w:t>
      </w:r>
    </w:p>
    <w:p w14:paraId="7A3F6E05">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7.1（1）项目负责人</w:t>
      </w:r>
    </w:p>
    <w:p w14:paraId="6A2B7BE8">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职权：</w:t>
      </w:r>
      <w:r>
        <w:rPr>
          <w:rFonts w:hint="eastAsia" w:ascii="宋体" w:hAnsi="宋体" w:eastAsia="宋体" w:cs="宋体"/>
          <w:color w:val="auto"/>
          <w:sz w:val="24"/>
          <w:szCs w:val="24"/>
          <w:highlight w:val="none"/>
          <w:u w:val="single"/>
        </w:rPr>
        <w:t xml:space="preserve">代表承包人全权处理本工程的一切事务 </w:t>
      </w:r>
      <w:r>
        <w:rPr>
          <w:rFonts w:hint="eastAsia" w:ascii="宋体" w:hAnsi="宋体" w:eastAsia="宋体" w:cs="宋体"/>
          <w:color w:val="auto"/>
          <w:sz w:val="24"/>
          <w:szCs w:val="24"/>
          <w:highlight w:val="none"/>
        </w:rPr>
        <w:t>。</w:t>
      </w:r>
    </w:p>
    <w:p w14:paraId="0F79ED3B">
      <w:pPr>
        <w:snapToGrid w:val="0"/>
        <w:spacing w:line="440" w:lineRule="exact"/>
        <w:ind w:firstLine="39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义务：</w:t>
      </w:r>
      <w:r>
        <w:rPr>
          <w:rFonts w:hint="eastAsia" w:ascii="宋体" w:hAnsi="宋体" w:eastAsia="宋体" w:cs="宋体"/>
          <w:color w:val="auto"/>
          <w:sz w:val="24"/>
          <w:szCs w:val="24"/>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本工程的项目负责人管理执行《广州市住房和城乡建设局关于加强建筑工程项目负责人管理的通知》（穗建规字〔2025〕9 号）的相关规定，如有新规，按最新规定执行。</w:t>
      </w:r>
    </w:p>
    <w:p w14:paraId="5A89E09B">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eastAsia="宋体" w:cs="宋体"/>
          <w:color w:val="auto"/>
          <w:sz w:val="24"/>
          <w:szCs w:val="24"/>
          <w:highlight w:val="none"/>
        </w:rPr>
        <w:t>。</w:t>
      </w:r>
    </w:p>
    <w:p w14:paraId="3EFB6B0D">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eastAsia="宋体" w:cs="宋体"/>
          <w:color w:val="auto"/>
          <w:sz w:val="24"/>
          <w:szCs w:val="24"/>
          <w:highlight w:val="none"/>
        </w:rPr>
        <w:t>。</w:t>
      </w:r>
    </w:p>
    <w:p w14:paraId="1CA1E258">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7.6</w:t>
      </w:r>
      <w:r>
        <w:rPr>
          <w:rFonts w:hint="eastAsia" w:ascii="宋体" w:hAnsi="宋体" w:eastAsia="宋体" w:cs="宋体"/>
          <w:color w:val="auto"/>
          <w:sz w:val="24"/>
          <w:szCs w:val="24"/>
          <w:highlight w:val="none"/>
          <w:u w:val="single"/>
        </w:rPr>
        <w:t>承包人项目负责人不得兼任其他工程项目负责人，否则发包人可按单方面终止合同处理。</w:t>
      </w:r>
    </w:p>
    <w:p w14:paraId="475F52A2">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7.7</w:t>
      </w:r>
      <w:r>
        <w:rPr>
          <w:rFonts w:hint="eastAsia" w:ascii="宋体" w:hAnsi="宋体" w:eastAsia="宋体" w:cs="宋体"/>
          <w:color w:val="auto"/>
          <w:sz w:val="24"/>
          <w:szCs w:val="24"/>
          <w:highlight w:val="none"/>
          <w:u w:val="single"/>
        </w:rPr>
        <w:t>现场管理机构</w:t>
      </w:r>
    </w:p>
    <w:p w14:paraId="50D692CB">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（1）承包人必须按照投标文件的承诺建立现场管理机构，严格执行现行建设工程项目管理规范，并积极主动接受建设行政主管部门的监督和检查。</w:t>
      </w:r>
    </w:p>
    <w:p w14:paraId="2F140D30">
      <w:pPr>
        <w:snapToGrid w:val="0"/>
        <w:spacing w:line="440" w:lineRule="exact"/>
        <w:ind w:firstLine="538"/>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26A5630E">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u w:val="single"/>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50FF5E55">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4497E329">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7.10</w:t>
      </w:r>
      <w:r>
        <w:rPr>
          <w:rFonts w:hint="eastAsia" w:ascii="宋体" w:hAnsi="宋体" w:eastAsia="宋体" w:cs="宋体"/>
          <w:color w:val="auto"/>
          <w:sz w:val="24"/>
          <w:szCs w:val="24"/>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283F7C3D">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8、发包人工作</w:t>
      </w:r>
    </w:p>
    <w:p w14:paraId="12D1AAEF">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发包人应按约定的时间和要求完成以下工作：</w:t>
      </w:r>
    </w:p>
    <w:p w14:paraId="3CC25706">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（1）施工场地具备施工条件的要求及完成的时间：</w:t>
      </w:r>
      <w:r>
        <w:rPr>
          <w:rFonts w:hint="eastAsia" w:ascii="宋体" w:hAnsi="宋体" w:eastAsia="宋体" w:cs="宋体"/>
          <w:color w:val="auto"/>
          <w:sz w:val="24"/>
          <w:szCs w:val="24"/>
          <w:highlight w:val="none"/>
          <w:u w:val="single"/>
        </w:rPr>
        <w:t>土地征收、国有土地上房屋征收、集体土地上房屋拆迁补偿工作完成时间原则上在开工前；因征收和拆迁补偿进度原因不能按时移交场地的，可采取分段逐步方式移交施工场地</w:t>
      </w:r>
      <w:r>
        <w:rPr>
          <w:rFonts w:hint="eastAsia" w:ascii="宋体" w:hAnsi="宋体" w:eastAsia="宋体" w:cs="宋体"/>
          <w:color w:val="auto"/>
          <w:sz w:val="24"/>
          <w:szCs w:val="24"/>
          <w:highlight w:val="none"/>
        </w:rPr>
        <w:t xml:space="preserve">。 </w:t>
      </w:r>
    </w:p>
    <w:p w14:paraId="1D7E00CF">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（2）将施工所需的水、电、电讯线路接至施工场地的时间、地点和供应要求：</w:t>
      </w:r>
      <w:r>
        <w:rPr>
          <w:rFonts w:hint="eastAsia" w:ascii="宋体" w:hAnsi="宋体" w:eastAsia="宋体" w:cs="宋体"/>
          <w:color w:val="auto"/>
          <w:sz w:val="24"/>
          <w:szCs w:val="24"/>
          <w:highlight w:val="none"/>
          <w:u w:val="single"/>
        </w:rPr>
        <w:t>由承包人自行解决，费用已包在本工程中标总造价中</w:t>
      </w:r>
      <w:r>
        <w:rPr>
          <w:rFonts w:hint="eastAsia" w:ascii="宋体" w:hAnsi="宋体" w:eastAsia="宋体" w:cs="宋体"/>
          <w:color w:val="auto"/>
          <w:sz w:val="24"/>
          <w:szCs w:val="24"/>
          <w:highlight w:val="none"/>
        </w:rPr>
        <w:t>。</w:t>
      </w:r>
    </w:p>
    <w:p w14:paraId="26F38F13">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（3）施工场地与公共道路的通道开通时间和要求：</w:t>
      </w:r>
      <w:r>
        <w:rPr>
          <w:rFonts w:hint="eastAsia" w:ascii="宋体" w:hAnsi="宋体" w:eastAsia="宋体" w:cs="宋体"/>
          <w:color w:val="auto"/>
          <w:sz w:val="24"/>
          <w:szCs w:val="24"/>
          <w:highlight w:val="none"/>
          <w:u w:val="single"/>
        </w:rPr>
        <w:t>通道按现状，不论满足施工要求与否，该通道及施工便道均由承包人自行解决，费用已包在本工程中标总造价中。</w:t>
      </w:r>
    </w:p>
    <w:p w14:paraId="1E2C4EE7">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（4）工程地质和地下管线资料的提供时间：</w:t>
      </w:r>
      <w:r>
        <w:rPr>
          <w:rFonts w:hint="eastAsia" w:ascii="宋体" w:hAnsi="宋体" w:eastAsia="宋体" w:cs="宋体"/>
          <w:color w:val="auto"/>
          <w:sz w:val="24"/>
          <w:szCs w:val="24"/>
          <w:highlight w:val="none"/>
          <w:u w:val="single"/>
        </w:rPr>
        <w:t>根据施工计划提前提供</w:t>
      </w:r>
      <w:r>
        <w:rPr>
          <w:rFonts w:hint="eastAsia" w:ascii="宋体" w:hAnsi="宋体" w:eastAsia="宋体" w:cs="宋体"/>
          <w:color w:val="auto"/>
          <w:sz w:val="24"/>
          <w:szCs w:val="24"/>
          <w:highlight w:val="none"/>
        </w:rPr>
        <w:t>。</w:t>
      </w:r>
    </w:p>
    <w:p w14:paraId="01B77EA7">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（5）由发包人办理的施工所需证件、批件的名称和完成时间：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7F338D1">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（6）水准点与坐标控制点交验要求： </w:t>
      </w:r>
      <w:r>
        <w:rPr>
          <w:rFonts w:hint="eastAsia" w:ascii="宋体" w:hAnsi="宋体" w:eastAsia="宋体" w:cs="宋体"/>
          <w:color w:val="auto"/>
          <w:sz w:val="24"/>
          <w:szCs w:val="24"/>
          <w:highlight w:val="none"/>
          <w:u w:val="single"/>
        </w:rPr>
        <w:t>开工前交验</w:t>
      </w:r>
      <w:r>
        <w:rPr>
          <w:rFonts w:hint="eastAsia" w:ascii="宋体" w:hAnsi="宋体" w:eastAsia="宋体" w:cs="宋体"/>
          <w:color w:val="auto"/>
          <w:sz w:val="24"/>
          <w:szCs w:val="24"/>
          <w:highlight w:val="none"/>
        </w:rPr>
        <w:t>。</w:t>
      </w:r>
    </w:p>
    <w:p w14:paraId="7EFECACD">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（7）图纸会审和设计交底时间：</w:t>
      </w:r>
      <w:r>
        <w:rPr>
          <w:rFonts w:hint="eastAsia" w:ascii="宋体" w:hAnsi="宋体" w:eastAsia="宋体" w:cs="宋体"/>
          <w:color w:val="auto"/>
          <w:sz w:val="24"/>
          <w:szCs w:val="24"/>
          <w:highlight w:val="none"/>
          <w:u w:val="single"/>
        </w:rPr>
        <w:t>工程施工前</w:t>
      </w:r>
      <w:r>
        <w:rPr>
          <w:rFonts w:hint="eastAsia" w:ascii="宋体" w:hAnsi="宋体" w:eastAsia="宋体" w:cs="宋体"/>
          <w:color w:val="auto"/>
          <w:sz w:val="24"/>
          <w:szCs w:val="24"/>
          <w:highlight w:val="none"/>
        </w:rPr>
        <w:t>。</w:t>
      </w:r>
    </w:p>
    <w:p w14:paraId="5FD25A28">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（8）协调处理施工场地周围地下管线和邻近建筑物、构筑物（含文物保护建筑）、古树名木的保护工作：</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E9401EE">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（9）双方约定发包人应做的其他工作：</w:t>
      </w:r>
      <w:r>
        <w:rPr>
          <w:rFonts w:hint="eastAsia" w:ascii="宋体" w:hAnsi="宋体" w:eastAsia="宋体" w:cs="宋体"/>
          <w:color w:val="auto"/>
          <w:sz w:val="24"/>
          <w:szCs w:val="24"/>
          <w:highlight w:val="none"/>
          <w:u w:val="single"/>
        </w:rPr>
        <w:t>发包人按现有场地移交给承包人，承包人应无条件接受。</w:t>
      </w:r>
    </w:p>
    <w:p w14:paraId="2FEFB9AA">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8.2发包人委托承包人办理的工作：</w:t>
      </w:r>
      <w:r>
        <w:rPr>
          <w:rFonts w:hint="eastAsia" w:ascii="宋体" w:hAnsi="宋体" w:eastAsia="宋体" w:cs="宋体"/>
          <w:color w:val="auto"/>
          <w:sz w:val="24"/>
          <w:szCs w:val="24"/>
          <w:highlight w:val="none"/>
          <w:u w:val="single"/>
        </w:rPr>
        <w:t xml:space="preserve"> 工程质监登记、合同鉴证、施工许可证、购买印花税等一切施工所需的审批、申领手续以及规划验收、消防验收、环保验收、防雷报建及验收、永久用水接驳及验收等工作。费用按政策规定各自承担相应部分。</w:t>
      </w:r>
    </w:p>
    <w:p w14:paraId="0326E23A">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9、承包人工作</w:t>
      </w:r>
    </w:p>
    <w:p w14:paraId="2FF2D6BE">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承包人应按约定时间和要求，完成以下工作：</w:t>
      </w:r>
    </w:p>
    <w:p w14:paraId="7733640F">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（1）需由设计资质等级和业务范围允许的承包人完成的设计文件提交时间：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04350A1">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（2）应提供计划、报表的名称及完成时间：</w:t>
      </w:r>
      <w:r>
        <w:rPr>
          <w:rFonts w:hint="eastAsia" w:ascii="宋体" w:hAnsi="宋体" w:eastAsia="宋体" w:cs="宋体"/>
          <w:color w:val="auto"/>
          <w:sz w:val="24"/>
          <w:szCs w:val="24"/>
          <w:highlight w:val="none"/>
          <w:u w:val="single"/>
        </w:rPr>
        <w:t>施工组织设计、管理人员架构表，于开工前三天报。提交工程年、季、月度计划及进度统计报表。</w:t>
      </w:r>
    </w:p>
    <w:p w14:paraId="78C7B3BA">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（3）承担施工安全保卫工作及非夜间施工照明的责任和要求：</w:t>
      </w:r>
      <w:r>
        <w:rPr>
          <w:rFonts w:hint="eastAsia" w:ascii="宋体" w:hAnsi="宋体" w:eastAsia="宋体" w:cs="宋体"/>
          <w:color w:val="auto"/>
          <w:sz w:val="24"/>
          <w:szCs w:val="24"/>
          <w:highlight w:val="none"/>
          <w:u w:val="single"/>
        </w:rPr>
        <w:t>按招标文件要求及国家、省、市、区相关规定执行，并满足本工程需要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根据工程需要，提供和维护施工使用的照明、围栏设施和警卫，并负责整个现场的安全文明施工、安全保卫。</w:t>
      </w:r>
    </w:p>
    <w:p w14:paraId="63B7DB0E">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（4）承包人自行解决办公、交通、生活及通讯等设施，费用已包含在</w:t>
      </w:r>
      <w:r>
        <w:rPr>
          <w:rFonts w:hint="eastAsia" w:ascii="宋体" w:hAnsi="宋体" w:eastAsia="宋体" w:cs="宋体"/>
          <w:color w:val="auto"/>
          <w:sz w:val="24"/>
          <w:szCs w:val="24"/>
          <w:highlight w:val="none"/>
          <w:u w:val="single"/>
        </w:rPr>
        <w:t>本工程中标总造价中</w:t>
      </w:r>
      <w:r>
        <w:rPr>
          <w:rFonts w:hint="eastAsia" w:ascii="宋体" w:hAnsi="宋体" w:eastAsia="宋体" w:cs="宋体"/>
          <w:color w:val="auto"/>
          <w:sz w:val="24"/>
          <w:szCs w:val="24"/>
          <w:highlight w:val="none"/>
        </w:rPr>
        <w:t>；向发包人或监理工程师提供的办公、交通和生活、通讯设施的要求：</w:t>
      </w:r>
      <w:r>
        <w:rPr>
          <w:rFonts w:hint="eastAsia" w:ascii="宋体" w:hAnsi="宋体" w:eastAsia="宋体" w:cs="宋体"/>
          <w:color w:val="auto"/>
          <w:sz w:val="24"/>
          <w:szCs w:val="24"/>
          <w:highlight w:val="none"/>
          <w:u w:val="single"/>
        </w:rPr>
        <w:t>向发包人和监理单位总共提供具备办公条件的办公用房4间，面积不少于100㎡。（向发包人或监理提供的设施要求由业务部门确认）</w:t>
      </w:r>
    </w:p>
    <w:p w14:paraId="36088587">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（5）需承包人办理有关施工场地交通、环卫和施工噪音管理等手续：</w:t>
      </w:r>
      <w:r>
        <w:rPr>
          <w:rFonts w:hint="eastAsia" w:ascii="宋体" w:hAnsi="宋体" w:eastAsia="宋体" w:cs="宋体"/>
          <w:color w:val="auto"/>
          <w:sz w:val="24"/>
          <w:szCs w:val="24"/>
          <w:highlight w:val="none"/>
          <w:u w:val="single"/>
        </w:rPr>
        <w:t>承包人按本合同通用条款要求执行，并承担相关费用</w:t>
      </w:r>
      <w:r>
        <w:rPr>
          <w:rFonts w:hint="eastAsia" w:ascii="宋体" w:hAnsi="宋体" w:eastAsia="宋体" w:cs="宋体"/>
          <w:color w:val="auto"/>
          <w:sz w:val="24"/>
          <w:szCs w:val="24"/>
          <w:highlight w:val="none"/>
        </w:rPr>
        <w:t xml:space="preserve">。 </w:t>
      </w:r>
    </w:p>
    <w:p w14:paraId="79EFBFC1">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（6）已完工程成品保护的特殊要求及费用承担：</w:t>
      </w:r>
      <w:r>
        <w:rPr>
          <w:rFonts w:hint="eastAsia" w:ascii="宋体" w:hAnsi="宋体" w:eastAsia="宋体" w:cs="宋体"/>
          <w:color w:val="auto"/>
          <w:sz w:val="24"/>
          <w:szCs w:val="24"/>
          <w:highlight w:val="none"/>
          <w:u w:val="single"/>
        </w:rPr>
        <w:t xml:space="preserve"> 按本合同通用条款执行</w:t>
      </w:r>
      <w:r>
        <w:rPr>
          <w:rFonts w:hint="eastAsia" w:ascii="宋体" w:hAnsi="宋体" w:eastAsia="宋体" w:cs="宋体"/>
          <w:color w:val="auto"/>
          <w:sz w:val="24"/>
          <w:szCs w:val="24"/>
          <w:highlight w:val="none"/>
        </w:rPr>
        <w:t>。</w:t>
      </w:r>
    </w:p>
    <w:p w14:paraId="4D206AF8">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（7）施工场地周围地下管线和邻近建筑物、构筑物（含文物保护建筑）、古树名木的保护要求及费用承担：</w:t>
      </w:r>
      <w:r>
        <w:rPr>
          <w:rFonts w:hint="eastAsia" w:ascii="宋体" w:hAnsi="宋体" w:eastAsia="宋体" w:cs="宋体"/>
          <w:color w:val="auto"/>
          <w:sz w:val="24"/>
          <w:szCs w:val="24"/>
          <w:highlight w:val="none"/>
          <w:u w:val="single"/>
        </w:rPr>
        <w:t xml:space="preserve"> 除文物保护外的保护费用全部由承包人承担</w:t>
      </w:r>
      <w:r>
        <w:rPr>
          <w:rFonts w:hint="eastAsia" w:ascii="宋体" w:hAnsi="宋体" w:eastAsia="宋体" w:cs="宋体"/>
          <w:color w:val="auto"/>
          <w:sz w:val="24"/>
          <w:szCs w:val="24"/>
          <w:highlight w:val="none"/>
        </w:rPr>
        <w:t>。</w:t>
      </w:r>
    </w:p>
    <w:p w14:paraId="2BCBB6D7">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（8）施工场地清洁卫生的要求：</w:t>
      </w:r>
      <w:r>
        <w:rPr>
          <w:rFonts w:hint="eastAsia" w:ascii="宋体" w:hAnsi="宋体" w:eastAsia="宋体" w:cs="宋体"/>
          <w:color w:val="auto"/>
          <w:sz w:val="24"/>
          <w:szCs w:val="24"/>
          <w:highlight w:val="none"/>
          <w:u w:val="single"/>
        </w:rPr>
        <w:t xml:space="preserve"> 满足</w:t>
      </w:r>
      <w:r>
        <w:rPr>
          <w:rFonts w:hint="eastAsia" w:ascii="宋体" w:hAnsi="宋体" w:eastAsia="宋体" w:cs="宋体"/>
          <w:color w:val="auto"/>
          <w:spacing w:val="-10"/>
          <w:sz w:val="24"/>
          <w:szCs w:val="24"/>
          <w:highlight w:val="none"/>
          <w:u w:val="single"/>
        </w:rPr>
        <w:t>文明施工要求</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599ED9BC">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（9）双方约定承包人应做的其他工作：</w:t>
      </w:r>
    </w:p>
    <w:p w14:paraId="3B28A54C">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穗建规字〔2019〕10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hint="eastAsia" w:ascii="宋体" w:hAnsi="宋体" w:eastAsia="宋体" w:cs="宋体"/>
          <w:b/>
          <w:color w:val="auto"/>
          <w:sz w:val="24"/>
          <w:szCs w:val="24"/>
          <w:highlight w:val="none"/>
        </w:rPr>
        <w:t>【总承包工程适用本条款】</w:t>
      </w:r>
    </w:p>
    <w:p w14:paraId="453E7941">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建筑节能要求:按照穗建技[2006]678号文的规定，承包人应履行以下质量责任和义务：A、严格按照审查合格的设计文件和建筑节能标准的要求进行施工，不得擅自修改设计文件。B、对进入施工现场的墙体材料、保温材料、门窗部品等进行检验。对采暖空调系统、照明设备等进行检验，保证产品说明书和产品标识上注明的性能指标符合建筑节能要求。C、应当编制建筑节能专项施工技术方案，并由施工单位专业技术人员及监理单位专业监理工程师进行审核，审核合格，由施工单位技术负责人及监理单位总监理工程师签字。D、应当加强施工过程质量控制，特别应当加强对易产生热桥和热工缺陷等重要部位的质量控制，保证符合设计要求和有关节能标准规定。E、对采暖空调、通风、电气等系统的调试，应当符合设计等要求。F、保温工程等在保修范围和保修期限内发生质量问题的，施工单位应当履行保修义务，并对造成的损失承担赔偿责任。</w:t>
      </w:r>
    </w:p>
    <w:p w14:paraId="7EAC6870">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创“无渗漏”工程:承包人为创“无渗漏”工程中必须承担的义务：对专业管线穿过楼地面或墙体等结构后留下的孔隙按要求进行填补，并达到防水的要求；卫生间、水池的试水：结构施工完成后做一次浸水试验、防水层施工完成后做一次浸水试验、管道安装完成后做一次浸水试验、装饰面层完成后做一次浸水试验、竣工验收前做一次浸水试验、移交前做一次浸水试验；屋面淋水试验：按GB50207-2002的要求做泼水、淋水、蓄水试验。以上试验所需费用已含在合同总价中。</w:t>
      </w:r>
    </w:p>
    <w:p w14:paraId="03492DAE">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④专业深化设计工程实行限额设计要求：(选择性条款)</w:t>
      </w:r>
    </w:p>
    <w:p w14:paraId="7D60CD4A">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后，部分需深化设计的专业工程（如弱电、电梯工程等）应由承包人负责按招标文件的技术要求及发包人规定的时限完成深化设计，深化设计图纸加盖出图章，并经总体设计单位审核及发包人、业主最终确认后方可按确认后的图纸施工。相关深化设计费包含在投标报价中，无论发包人是否提出变更，均无需另行支付设计费。</w:t>
      </w:r>
    </w:p>
    <w:p w14:paraId="3342A21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深化设计以承包人原对应专业工程的投标报价为上限，实行限额深化设计，除非属发包人对技术规范书（技术需求与标准）进行调整或有经发包人确认的工程变更，否则，超出限额的工程费用由承包人承担。如果因深化图纸未能满足使用功能需求而发生设计变更，工程费用一律不作调整。</w:t>
      </w:r>
    </w:p>
    <w:p w14:paraId="69159AA6">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⑤本工程要求达到“绿色建筑 星级”标准，承包人需协助发包人办理“绿色建筑评价标识”的相关申报工作。</w:t>
      </w:r>
    </w:p>
    <w:p w14:paraId="180C610B">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⑥本工程采取样板先行的办法推进，样板涉及的全部费用已含在投标报价中，不另计费。</w:t>
      </w:r>
    </w:p>
    <w:p w14:paraId="65DD1565">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14:paraId="20DA75D1">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承包人应按照《广州市建设领域工人工资支付分账管理实施细则》的规定选择商业银行开立工人工资支付专用账户，在用工之日起15日内为每个工人办理工人工资个人账户，保证按时足额支付工人工资。承包人应对依法分包的专业工程和劳务工程的承包人实施统一管理，严格按国家、省、市关于农民工工资实施总承包单位代发制度的相关规定代发分包单位工人工资。</w:t>
      </w:r>
    </w:p>
    <w:p w14:paraId="3EAF66DE">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⑨承包人应当建立工人考勤、工资结算和支付等管理台账，存档备查，并将相关信息按月报送发包人及监理单位。</w:t>
      </w:r>
    </w:p>
    <w:p w14:paraId="17438116">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（10）承包人应在本项目中投入使用燃料电池汽车等新能源工程车,且投入数量占本项目投入的建筑垃圾自卸车（渣土车）总数比例不得低于40%，相关费用已包含在合同价中，不另行计取。</w:t>
      </w:r>
    </w:p>
    <w:p w14:paraId="083CC4C8">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（11）承包人应当建立燃料电池汽车等新能源工程车投入管理台账备查，并将投入现场的影像等相关资料按要求报送发包人及监理单位核查。（适用于一般项目）</w:t>
      </w:r>
    </w:p>
    <w:p w14:paraId="0B585489">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（10）承包人应在本项目中投入使用燃料电池汽车等新能源工程车,且投入数量占本项目投入的建筑垃圾自卸车（渣土车）总数比例不得低于  %（按投标承诺），相关费用已包含在合同价中，不另行计取。</w:t>
      </w:r>
    </w:p>
    <w:p w14:paraId="1A1E287D">
      <w:pPr>
        <w:snapToGrid w:val="0"/>
        <w:spacing w:line="440" w:lineRule="exact"/>
        <w:ind w:firstLine="397"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包人必须严格按照《工程建设领域农民工工资保证金规定》[人社部发（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14:paraId="1E95F442">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三、施工组织设计和工期</w:t>
      </w:r>
    </w:p>
    <w:p w14:paraId="76FE7993">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10、进度计划</w:t>
      </w:r>
    </w:p>
    <w:p w14:paraId="39BB9D2A">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承包人提供施工组织设计(施工方案)和进度计划时间：</w:t>
      </w:r>
    </w:p>
    <w:p w14:paraId="27EF61A6">
      <w:pPr>
        <w:snapToGrid w:val="0"/>
        <w:spacing w:line="440" w:lineRule="exact"/>
        <w:ind w:firstLine="756" w:firstLineChars="31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1）承包人应于接到中标通知书后4天内向发包人提交总体工程进度计划（网络计划），并于开工前3天内提交施工组织设计（施工方案）给发包人。</w:t>
      </w:r>
    </w:p>
    <w:p w14:paraId="0BFD4CDD">
      <w:pPr>
        <w:snapToGrid w:val="0"/>
        <w:spacing w:line="440" w:lineRule="exact"/>
        <w:ind w:firstLine="516" w:firstLineChars="21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承包人提交的施工组织设计应当按监理工程师及国家、省、市及广州开发区关于施工承包管理的要求编制。</w:t>
      </w:r>
    </w:p>
    <w:p w14:paraId="5E30C2D6">
      <w:pPr>
        <w:snapToGrid w:val="0"/>
        <w:spacing w:line="440" w:lineRule="exact"/>
        <w:ind w:firstLine="516" w:firstLineChars="2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14:paraId="02C3609E">
      <w:pPr>
        <w:snapToGrid w:val="0"/>
        <w:spacing w:line="440" w:lineRule="exact"/>
        <w:ind w:firstLine="516" w:firstLineChars="21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总监理工程师在接到承包人提交的施工组织设计和工程进度计划后，予以确认或提出修改意见。</w:t>
      </w:r>
    </w:p>
    <w:p w14:paraId="3DA3C18F">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工程师确认的时间：</w:t>
      </w:r>
      <w:r>
        <w:rPr>
          <w:rFonts w:hint="eastAsia" w:ascii="宋体" w:hAnsi="宋体" w:eastAsia="宋体" w:cs="宋体"/>
          <w:color w:val="auto"/>
          <w:sz w:val="24"/>
          <w:szCs w:val="24"/>
          <w:highlight w:val="none"/>
          <w:u w:val="single"/>
        </w:rPr>
        <w:t>开工前。</w:t>
      </w:r>
    </w:p>
    <w:p w14:paraId="4DE8D8E7">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4D60BB26">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p>
    <w:p w14:paraId="631D1DFD">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11、开工及延期开工</w:t>
      </w:r>
    </w:p>
    <w:p w14:paraId="6AC6D8D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开工日期和竣工日期</w:t>
      </w:r>
    </w:p>
    <w:p w14:paraId="27A30F5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本工程工期为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日历天。其中开工时间初定为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日。（具体开工日期以发包人或监理单位开工令或批准的开工报告日期为准） </w:t>
      </w:r>
    </w:p>
    <w:p w14:paraId="2AF140C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承包人必须采取一切有效措施保证竣工日期，不得延误。除非发生了以下情形：</w:t>
      </w:r>
    </w:p>
    <w:p w14:paraId="2E93E2C5">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（1）政府对本工程建设项目作出停建、缓建的决定；</w:t>
      </w:r>
    </w:p>
    <w:p w14:paraId="7559E0F4">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（2）重大设计变更导致本工程在规划、使用、功能方面有重大调整；</w:t>
      </w:r>
    </w:p>
    <w:p w14:paraId="1B783517">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（3）不可抗力持续影响而延误工期超过12天以上。</w:t>
      </w:r>
    </w:p>
    <w:p w14:paraId="4F33F54C">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（4）本合同专用条款约定的其他非承包人原因导致的工期延误。</w:t>
      </w:r>
    </w:p>
    <w:p w14:paraId="16AE9F4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延期开工：</w:t>
      </w:r>
    </w:p>
    <w:p w14:paraId="17678991">
      <w:pPr>
        <w:adjustRightInd w:val="0"/>
        <w:snapToGrid w:val="0"/>
        <w:spacing w:line="440" w:lineRule="exact"/>
        <w:ind w:right="11"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11.2.1 </w:t>
      </w:r>
      <w:r>
        <w:rPr>
          <w:rFonts w:hint="eastAsia" w:ascii="宋体" w:hAnsi="宋体" w:eastAsia="宋体" w:cs="宋体"/>
          <w:color w:val="auto"/>
          <w:sz w:val="24"/>
          <w:szCs w:val="24"/>
          <w:highlight w:val="none"/>
          <w:u w:val="single"/>
        </w:rPr>
        <w:t>因发包人原因不能按照协议书约定的开工日期开工或暂停施工的，总监理工程师应通知承包人推迟开工日期，经监理单位、发包人确认后，工期可相应顺延，但不作费用补偿。</w:t>
      </w:r>
    </w:p>
    <w:p w14:paraId="0585A85E">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11.2.2 </w:t>
      </w:r>
      <w:r>
        <w:rPr>
          <w:rFonts w:hint="eastAsia" w:ascii="宋体" w:hAnsi="宋体" w:eastAsia="宋体" w:cs="宋体"/>
          <w:color w:val="auto"/>
          <w:sz w:val="24"/>
          <w:szCs w:val="24"/>
          <w:highlight w:val="none"/>
          <w:u w:val="single"/>
        </w:rPr>
        <w:t>承包人未能主动及时地履行其协调、配合服务义务而造成专业承包单位无法开工，由此产生的工期延误等损失由承包人承担，并承担违约责任。</w:t>
      </w:r>
    </w:p>
    <w:p w14:paraId="40252FA1">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12、暂停施工</w:t>
      </w:r>
    </w:p>
    <w:p w14:paraId="38B1780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12.1因下列原因，总监理工程师报经发包人同意，可通知承包人暂停施工：</w:t>
      </w:r>
    </w:p>
    <w:p w14:paraId="76603BA4">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（1）工程设计发生重大变更；</w:t>
      </w:r>
    </w:p>
    <w:p w14:paraId="7AB72162">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（2）不可抗力；</w:t>
      </w:r>
    </w:p>
    <w:p w14:paraId="7A9E8E45">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（3）质量事故；</w:t>
      </w:r>
    </w:p>
    <w:p w14:paraId="48924B5C">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（4）安全生产事故；</w:t>
      </w:r>
    </w:p>
    <w:p w14:paraId="669AF6D9">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（5）因承包人管理不善，可能导致现场混乱；</w:t>
      </w:r>
    </w:p>
    <w:p w14:paraId="5D9D4181">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（6）承包人违规施工，经监理工程师通知改正但仍不执行。</w:t>
      </w:r>
    </w:p>
    <w:p w14:paraId="52EE0D2E">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承包人不得以与发包人有争议为由或者以争议未解决为由而单方面停工。否则，应按约定承担工期延误的违约责任。</w:t>
      </w:r>
    </w:p>
    <w:p w14:paraId="76B130FD">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因发生上述第（1）、（2）项原因而暂停施工的，工期可协商调整，因发生上述第（3）、（4）、（5）、（6）项原因而暂停施工的，工期不予顺延,承包人必须承担由此发生的费用并向发包人承担违约责任。</w:t>
      </w:r>
    </w:p>
    <w:p w14:paraId="7A85BEA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7E79921C">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(1)拒绝监理单位管理；</w:t>
      </w:r>
    </w:p>
    <w:p w14:paraId="607925ED">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(2)施工组织设计（方案）未获总监理工程师批准而进行施工；</w:t>
      </w:r>
    </w:p>
    <w:p w14:paraId="229B48F9">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(3)未经监理单位检验而进行下一道工序作业者；</w:t>
      </w:r>
    </w:p>
    <w:p w14:paraId="3D96E630">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(4)擅自采用未经监理单位及发包人认可或批准的材料的，或者使用的原材料、构配件不合格或未经检查确认的，或者擅自采用未经认可的代用材料的；</w:t>
      </w:r>
    </w:p>
    <w:p w14:paraId="7C4D35E4">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(5)擅自变更设计图纸的要求；</w:t>
      </w:r>
    </w:p>
    <w:p w14:paraId="38BFE638">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(6)转包工程；</w:t>
      </w:r>
    </w:p>
    <w:p w14:paraId="70E7D2EB">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(7)擅自让未经总监理工程师批准的专业承包单位进场作业；</w:t>
      </w:r>
    </w:p>
    <w:p w14:paraId="3FD5A470">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(8)存在安全隐患，未按监理单位要求及时进行整改；</w:t>
      </w:r>
    </w:p>
    <w:p w14:paraId="356649D2">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(9)未按双方约定的资料上报要求上报所需资料的。</w:t>
      </w:r>
    </w:p>
    <w:p w14:paraId="62C4668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12.3因不可抗力引起工程停工，工期按第12.1款约定执行，费用承担按以下原则：</w:t>
      </w:r>
    </w:p>
    <w:p w14:paraId="4876DD39">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（1）因工程损害导致第三方人员伤亡和财产损失，如系在工程竣工验收合格移交给发包人使用前造成的，费用由承包人承担；如系在工程竣工验收合格移交给发包人使用后发生的，费用由发包人承担。</w:t>
      </w:r>
    </w:p>
    <w:p w14:paraId="22371D3A">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（2）运至施工场地用于施工的材料和待安装的设备的损害，属发包人供应的由发包人承担；属承包人采购的由承包人承担。</w:t>
      </w:r>
    </w:p>
    <w:p w14:paraId="2FA97FBC">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（3）发包人承包人人员伤亡由其所在单位负责，并承担相应费用。</w:t>
      </w:r>
    </w:p>
    <w:p w14:paraId="47F9B37A">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（4）承包人机械设备损坏及停工损失由承包人承担。</w:t>
      </w:r>
    </w:p>
    <w:p w14:paraId="3C1D2084">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（5）停工期间，承包人应总监理工程师要求留在施工场地的必要的管理人员及保卫人员的费用由承包人承担。</w:t>
      </w:r>
    </w:p>
    <w:p w14:paraId="0A743907">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（6）工程所需清理、修复费用由发包人承担。</w:t>
      </w:r>
    </w:p>
    <w:p w14:paraId="07CEB9E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12.4由于承包人自身原因或施工承包管理、配合及协调不力，而导致专业承包工程停工，产生的费用由承包人承担。</w:t>
      </w:r>
    </w:p>
    <w:p w14:paraId="0437FE8A">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13、工期延误</w:t>
      </w:r>
    </w:p>
    <w:p w14:paraId="0BB0B6C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p>
    <w:p w14:paraId="13BD6EE2">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四、质量与验收</w:t>
      </w:r>
    </w:p>
    <w:p w14:paraId="683EAEDC">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15、工程质量</w:t>
      </w:r>
    </w:p>
    <w:p w14:paraId="1DCC4C60">
      <w:pPr>
        <w:pStyle w:val="315"/>
        <w:snapToGrid w:val="0"/>
        <w:spacing w:line="440" w:lineRule="exact"/>
        <w:ind w:firstLine="49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15.3</w:t>
      </w:r>
      <w:r>
        <w:rPr>
          <w:rFonts w:hint="eastAsia" w:ascii="宋体" w:hAnsi="宋体" w:eastAsia="宋体" w:cs="宋体"/>
          <w:bCs/>
          <w:color w:val="auto"/>
          <w:sz w:val="24"/>
          <w:szCs w:val="24"/>
          <w:highlight w:val="none"/>
          <w:u w:val="single"/>
        </w:rPr>
        <w:t xml:space="preserve">承包人必须严格按照设计施工图和国家及行业颁发的现行有关设计、施工及验收规范的要求进行施工，确保工程质量，工程的质量要求达到  </w:t>
      </w:r>
      <w:r>
        <w:rPr>
          <w:rFonts w:hint="eastAsia" w:ascii="宋体" w:hAnsi="宋体" w:eastAsia="宋体" w:cs="宋体"/>
          <w:color w:val="auto"/>
          <w:sz w:val="24"/>
          <w:szCs w:val="24"/>
          <w:highlight w:val="none"/>
          <w:u w:val="single"/>
          <w:lang w:eastAsia="zh-CN"/>
        </w:rPr>
        <w:t>（按投标文件承诺填写）</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none"/>
        </w:rPr>
        <w:t>。</w:t>
      </w:r>
    </w:p>
    <w:p w14:paraId="34821298">
      <w:pPr>
        <w:snapToGrid w:val="0"/>
        <w:spacing w:line="440" w:lineRule="exact"/>
        <w:ind w:firstLine="4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承包人对图纸中存在的问题有责任和义务提前以书面形式报告工程师及发包人，以供发包人同监理人核实并及时要求设计方修改设计图纸。</w:t>
      </w:r>
    </w:p>
    <w:p w14:paraId="4EB9EF70">
      <w:pPr>
        <w:snapToGrid w:val="0"/>
        <w:spacing w:line="440" w:lineRule="exact"/>
        <w:ind w:firstLine="3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15.4</w:t>
      </w:r>
      <w:r>
        <w:rPr>
          <w:rFonts w:hint="eastAsia" w:ascii="宋体" w:hAnsi="宋体" w:eastAsia="宋体" w:cs="宋体"/>
          <w:bCs/>
          <w:color w:val="auto"/>
          <w:sz w:val="24"/>
          <w:szCs w:val="24"/>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p>
    <w:p w14:paraId="54C18F61">
      <w:pPr>
        <w:snapToGrid w:val="0"/>
        <w:spacing w:line="440" w:lineRule="exact"/>
        <w:ind w:firstLine="3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15.5</w:t>
      </w:r>
      <w:r>
        <w:rPr>
          <w:rFonts w:hint="eastAsia" w:ascii="宋体" w:hAnsi="宋体" w:eastAsia="宋体" w:cs="宋体"/>
          <w:bCs/>
          <w:color w:val="auto"/>
          <w:sz w:val="24"/>
          <w:szCs w:val="24"/>
          <w:highlight w:val="none"/>
          <w:u w:val="single"/>
        </w:rPr>
        <w:t>工程质量不符合设计要求、质量不合格者，监理工程师可指令承包人停工或返工，返工费用由承包人承担，工期不予顺延。</w:t>
      </w:r>
    </w:p>
    <w:p w14:paraId="421443D0">
      <w:pPr>
        <w:snapToGrid w:val="0"/>
        <w:spacing w:line="440" w:lineRule="exact"/>
        <w:ind w:firstLine="3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15.6</w:t>
      </w:r>
      <w:r>
        <w:rPr>
          <w:rFonts w:hint="eastAsia" w:ascii="宋体" w:hAnsi="宋体" w:eastAsia="宋体" w:cs="宋体"/>
          <w:bCs/>
          <w:color w:val="auto"/>
          <w:sz w:val="24"/>
          <w:szCs w:val="24"/>
          <w:highlight w:val="none"/>
          <w:u w:val="single"/>
        </w:rPr>
        <w:t>发生须紧急抢修事故，承包人接到通知后，应立即到达事故现场抢修；否则，发包人可以另委托单位抢修，属承包人施工质量问题造成的修复等费用全部由承包人承担。</w:t>
      </w:r>
    </w:p>
    <w:p w14:paraId="35F29355">
      <w:pPr>
        <w:snapToGrid w:val="0"/>
        <w:spacing w:line="440" w:lineRule="exact"/>
        <w:ind w:firstLine="3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15.7</w:t>
      </w:r>
      <w:r>
        <w:rPr>
          <w:rFonts w:hint="eastAsia" w:ascii="宋体" w:hAnsi="宋体" w:eastAsia="宋体" w:cs="宋体"/>
          <w:bCs/>
          <w:color w:val="auto"/>
          <w:sz w:val="24"/>
          <w:szCs w:val="24"/>
          <w:highlight w:val="none"/>
          <w:u w:val="single"/>
        </w:rPr>
        <w:t>本工程按照本合同专用条款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p>
    <w:p w14:paraId="48DF8F1F">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16、检查和返工</w:t>
      </w:r>
    </w:p>
    <w:p w14:paraId="09C668D1">
      <w:pPr>
        <w:snapToGrid w:val="0"/>
        <w:spacing w:line="440" w:lineRule="exact"/>
        <w:ind w:firstLine="3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16.3工程师的检查检验：</w:t>
      </w:r>
      <w:r>
        <w:rPr>
          <w:rFonts w:hint="eastAsia" w:ascii="宋体" w:hAnsi="宋体" w:eastAsia="宋体" w:cs="宋体"/>
          <w:bCs/>
          <w:color w:val="auto"/>
          <w:sz w:val="24"/>
          <w:szCs w:val="24"/>
          <w:highlight w:val="none"/>
          <w:u w:val="single"/>
        </w:rPr>
        <w:t>工程师按规范、标准、设计图纸要求和频率所进行的检查检测不应成为承包人工期顺延的理由</w:t>
      </w:r>
      <w:r>
        <w:rPr>
          <w:rFonts w:hint="eastAsia" w:ascii="宋体" w:hAnsi="宋体" w:eastAsia="宋体" w:cs="宋体"/>
          <w:bCs/>
          <w:color w:val="auto"/>
          <w:sz w:val="24"/>
          <w:szCs w:val="24"/>
          <w:highlight w:val="none"/>
        </w:rPr>
        <w:t>。</w:t>
      </w:r>
    </w:p>
    <w:p w14:paraId="77F16B2D">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17、隐蔽工程和中间验收</w:t>
      </w:r>
    </w:p>
    <w:p w14:paraId="5C32CA70">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17.1 双方约定中间验收部位：</w:t>
      </w:r>
      <w:r>
        <w:rPr>
          <w:rFonts w:hint="eastAsia" w:ascii="宋体" w:hAnsi="宋体" w:eastAsia="宋体" w:cs="宋体"/>
          <w:color w:val="auto"/>
          <w:sz w:val="24"/>
          <w:szCs w:val="24"/>
          <w:highlight w:val="none"/>
          <w:u w:val="single"/>
        </w:rPr>
        <w:t>按相应工程施工及验收规范要求执行。</w:t>
      </w:r>
      <w:r>
        <w:rPr>
          <w:rFonts w:hint="eastAsia" w:ascii="宋体" w:hAnsi="宋体" w:eastAsia="宋体" w:cs="宋体"/>
          <w:color w:val="auto"/>
          <w:sz w:val="24"/>
          <w:szCs w:val="24"/>
          <w:highlight w:val="none"/>
        </w:rPr>
        <w:t xml:space="preserve"> </w:t>
      </w:r>
    </w:p>
    <w:p w14:paraId="7E2F90A6">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19、工程试车</w:t>
      </w:r>
    </w:p>
    <w:p w14:paraId="5663B409">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 试车费用的承担：</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3184473">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五、安全施工  </w:t>
      </w:r>
    </w:p>
    <w:p w14:paraId="1299E498">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20、安全施工与检查</w:t>
      </w:r>
    </w:p>
    <w:p w14:paraId="7A102112">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20.3</w:t>
      </w:r>
      <w:r>
        <w:rPr>
          <w:rFonts w:hint="eastAsia" w:ascii="宋体" w:hAnsi="宋体" w:eastAsia="宋体" w:cs="宋体"/>
          <w:color w:val="auto"/>
          <w:sz w:val="24"/>
          <w:szCs w:val="24"/>
          <w:highlight w:val="none"/>
          <w:u w:val="single"/>
        </w:rPr>
        <w:t>承包人应建立安全责任制，明确各部门安全工作的岗位责任人，建立健全正常运转的各种安全工作保证体系和规章制度，将安全生产目标分解落实到实处。</w:t>
      </w:r>
    </w:p>
    <w:p w14:paraId="417C357F">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20.4</w:t>
      </w:r>
      <w:r>
        <w:rPr>
          <w:rFonts w:hint="eastAsia" w:ascii="宋体" w:hAnsi="宋体" w:eastAsia="宋体" w:cs="宋体"/>
          <w:color w:val="auto"/>
          <w:sz w:val="24"/>
          <w:szCs w:val="24"/>
          <w:highlight w:val="none"/>
          <w:u w:val="single"/>
        </w:rPr>
        <w:t>承包人按规定数量配置安全员。</w:t>
      </w:r>
    </w:p>
    <w:p w14:paraId="5B1A4544">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20.5</w:t>
      </w:r>
      <w:r>
        <w:rPr>
          <w:rFonts w:hint="eastAsia" w:ascii="宋体" w:hAnsi="宋体" w:eastAsia="宋体" w:cs="宋体"/>
          <w:color w:val="auto"/>
          <w:sz w:val="24"/>
          <w:szCs w:val="24"/>
          <w:highlight w:val="none"/>
          <w:u w:val="single"/>
        </w:rPr>
        <w:t>承包人在开工前须向质量安全监督机构提交备案的书面资料。</w:t>
      </w:r>
    </w:p>
    <w:p w14:paraId="0588199E">
      <w:pPr>
        <w:snapToGrid w:val="0"/>
        <w:spacing w:line="440" w:lineRule="exact"/>
        <w:ind w:firstLine="397"/>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20.6</w:t>
      </w:r>
      <w:r>
        <w:rPr>
          <w:rFonts w:hint="eastAsia" w:ascii="宋体" w:hAnsi="宋体" w:eastAsia="宋体" w:cs="宋体"/>
          <w:color w:val="auto"/>
          <w:sz w:val="24"/>
          <w:szCs w:val="24"/>
          <w:highlight w:val="none"/>
          <w:u w:val="single"/>
          <w:lang w:val="en-US" w:eastAsia="zh-CN"/>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14:paraId="2D9B9A39">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20.7</w:t>
      </w:r>
      <w:r>
        <w:rPr>
          <w:rFonts w:hint="eastAsia" w:ascii="宋体" w:hAnsi="宋体" w:eastAsia="宋体" w:cs="宋体"/>
          <w:color w:val="auto"/>
          <w:sz w:val="24"/>
          <w:szCs w:val="24"/>
          <w:highlight w:val="none"/>
          <w:u w:val="single"/>
        </w:rPr>
        <w:t>承包人按有关安全和防护的规定组织施工生产，不得使用不合标准的防护器材、机具和材料。</w:t>
      </w:r>
    </w:p>
    <w:p w14:paraId="19B90BB4">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20.8</w:t>
      </w:r>
      <w:r>
        <w:rPr>
          <w:rFonts w:hint="eastAsia" w:ascii="宋体" w:hAnsi="宋体" w:eastAsia="宋体" w:cs="宋体"/>
          <w:color w:val="auto"/>
          <w:sz w:val="24"/>
          <w:szCs w:val="24"/>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14:paraId="27B66519">
      <w:pPr>
        <w:adjustRightInd w:val="0"/>
        <w:snapToGrid w:val="0"/>
        <w:spacing w:line="440" w:lineRule="exact"/>
        <w:ind w:right="11" w:firstLine="420" w:firstLineChars="17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20.9</w:t>
      </w:r>
      <w:r>
        <w:rPr>
          <w:rFonts w:hint="eastAsia" w:ascii="宋体" w:hAnsi="宋体" w:eastAsia="宋体" w:cs="宋体"/>
          <w:color w:val="auto"/>
          <w:sz w:val="24"/>
          <w:szCs w:val="24"/>
          <w:highlight w:val="none"/>
          <w:u w:val="single"/>
        </w:rPr>
        <w:t>对于承包人或其分包人所雇佣的工人出现的伤亡事故或损失，应由承包人自行负责（但由于发包人或监理单位的行为所造成的除外）。对于这类伤亡或损失，发包人不负责任，不负担涉及这类伤亡或损失的索赔、诉讼、损害赔偿及其他费用。</w:t>
      </w:r>
    </w:p>
    <w:p w14:paraId="318D0A4B">
      <w:pPr>
        <w:tabs>
          <w:tab w:val="left" w:pos="2340"/>
        </w:tabs>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21、安全防护</w:t>
      </w:r>
    </w:p>
    <w:p w14:paraId="79E6EE40">
      <w:pPr>
        <w:tabs>
          <w:tab w:val="left" w:pos="2340"/>
        </w:tabs>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r>
        <w:rPr>
          <w:rFonts w:hint="eastAsia" w:ascii="宋体" w:hAnsi="宋体" w:eastAsia="宋体" w:cs="宋体"/>
          <w:color w:val="auto"/>
          <w:sz w:val="24"/>
          <w:szCs w:val="24"/>
          <w:highlight w:val="none"/>
          <w:u w:val="single"/>
        </w:rPr>
        <w:t>承包人应在施工现场采取维护安全、防范危险、预防火灾等措施，在特殊作业环境应对作业人员采取劳动保护措施。</w:t>
      </w:r>
    </w:p>
    <w:p w14:paraId="41F07AD8">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none"/>
        </w:rPr>
        <w:t>21.4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Pr>
          <w:rFonts w:hint="eastAsia" w:ascii="宋体" w:hAnsi="宋体" w:eastAsia="宋体" w:cs="宋体"/>
          <w:bCs/>
          <w:smallCaps/>
          <w:color w:val="auto"/>
          <w:sz w:val="24"/>
          <w:szCs w:val="24"/>
          <w:highlight w:val="none"/>
          <w:u w:val="none"/>
        </w:rPr>
        <w:t>穗建质</w:t>
      </w:r>
      <w:r>
        <w:rPr>
          <w:rFonts w:hint="eastAsia" w:ascii="宋体" w:hAnsi="宋体" w:eastAsia="宋体" w:cs="宋体"/>
          <w:color w:val="auto"/>
          <w:sz w:val="24"/>
          <w:szCs w:val="24"/>
          <w:highlight w:val="none"/>
          <w:u w:val="none"/>
        </w:rPr>
        <w:t>〔2008〕</w:t>
      </w:r>
      <w:r>
        <w:rPr>
          <w:rFonts w:hint="eastAsia" w:ascii="宋体" w:hAnsi="宋体" w:eastAsia="宋体" w:cs="宋体"/>
          <w:bCs/>
          <w:smallCaps/>
          <w:color w:val="auto"/>
          <w:sz w:val="24"/>
          <w:szCs w:val="24"/>
          <w:highlight w:val="none"/>
          <w:u w:val="none"/>
        </w:rPr>
        <w:t>937号）</w:t>
      </w:r>
      <w:r>
        <w:rPr>
          <w:rFonts w:hint="eastAsia" w:ascii="宋体" w:hAnsi="宋体" w:eastAsia="宋体" w:cs="宋体"/>
          <w:color w:val="auto"/>
          <w:sz w:val="24"/>
          <w:szCs w:val="24"/>
          <w:highlight w:val="none"/>
          <w:u w:val="non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Pr>
          <w:rFonts w:hint="eastAsia" w:ascii="宋体" w:hAnsi="宋体" w:eastAsia="宋体" w:cs="宋体"/>
          <w:bCs/>
          <w:snapToGrid w:val="0"/>
          <w:color w:val="auto"/>
          <w:kern w:val="0"/>
          <w:sz w:val="24"/>
          <w:szCs w:val="24"/>
          <w:highlight w:val="none"/>
          <w:u w:val="none"/>
        </w:rPr>
        <w:t>《危险性较大的分部分项工程安全管理规定》(中华人民共和国住房和城乡建设部令第</w:t>
      </w:r>
      <w:r>
        <w:rPr>
          <w:rFonts w:hint="eastAsia" w:ascii="宋体" w:hAnsi="宋体" w:eastAsia="宋体" w:cs="宋体"/>
          <w:b/>
          <w:bCs w:val="0"/>
          <w:snapToGrid w:val="0"/>
          <w:color w:val="auto"/>
          <w:kern w:val="0"/>
          <w:sz w:val="24"/>
          <w:szCs w:val="24"/>
          <w:highlight w:val="none"/>
          <w:u w:val="none"/>
          <w:lang w:val="en-US" w:eastAsia="zh-CN"/>
        </w:rPr>
        <w:t>4</w:t>
      </w:r>
      <w:r>
        <w:rPr>
          <w:rFonts w:hint="eastAsia" w:ascii="宋体" w:hAnsi="宋体" w:eastAsia="宋体" w:cs="宋体"/>
          <w:b/>
          <w:bCs w:val="0"/>
          <w:snapToGrid w:val="0"/>
          <w:color w:val="auto"/>
          <w:kern w:val="0"/>
          <w:sz w:val="24"/>
          <w:szCs w:val="24"/>
          <w:highlight w:val="none"/>
          <w:u w:val="none"/>
        </w:rPr>
        <w:t>7号</w:t>
      </w:r>
      <w:r>
        <w:rPr>
          <w:rFonts w:hint="eastAsia" w:ascii="宋体" w:hAnsi="宋体" w:eastAsia="宋体" w:cs="宋体"/>
          <w:bCs/>
          <w:snapToGrid w:val="0"/>
          <w:color w:val="auto"/>
          <w:kern w:val="0"/>
          <w:sz w:val="24"/>
          <w:szCs w:val="24"/>
          <w:highlight w:val="none"/>
          <w:u w:val="none"/>
        </w:rPr>
        <w:t>)</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color w:val="auto"/>
          <w:sz w:val="24"/>
          <w:szCs w:val="24"/>
          <w:highlight w:val="none"/>
          <w:u w:val="none"/>
        </w:rPr>
        <w:t>《关于进一步落实我区市政建设项目施工围蔽提升工作的通知》（穗埔建[2019]123号）及《黄埔区住房和城乡建设局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文件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3F66D8A7">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21.5</w:t>
      </w:r>
      <w:r>
        <w:rPr>
          <w:rFonts w:hint="eastAsia" w:ascii="宋体" w:hAnsi="宋体" w:eastAsia="宋体" w:cs="宋体"/>
          <w:color w:val="auto"/>
          <w:sz w:val="24"/>
          <w:szCs w:val="24"/>
          <w:highlight w:val="none"/>
          <w:u w:val="single"/>
        </w:rPr>
        <w:t>承包人应按规定对工程施工人员进行安全教育和管理。</w:t>
      </w:r>
    </w:p>
    <w:p w14:paraId="5755A6D9">
      <w:pPr>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21.6</w:t>
      </w:r>
      <w:r>
        <w:rPr>
          <w:rFonts w:hint="eastAsia" w:ascii="宋体" w:hAnsi="宋体" w:eastAsia="宋体" w:cs="宋体"/>
          <w:color w:val="auto"/>
          <w:sz w:val="24"/>
          <w:szCs w:val="24"/>
          <w:highlight w:val="none"/>
          <w:u w:val="single"/>
        </w:rPr>
        <w:t>承包人应书面记录专项安全施工组织设计方案审查、安全检查、安全技术交底、安全隐患整改、安全教育等重要安全管理活动。</w:t>
      </w:r>
    </w:p>
    <w:p w14:paraId="42C7039E">
      <w:pPr>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21.7</w:t>
      </w:r>
      <w:r>
        <w:rPr>
          <w:rFonts w:hint="eastAsia" w:ascii="宋体" w:hAnsi="宋体" w:eastAsia="宋体" w:cs="宋体"/>
          <w:color w:val="auto"/>
          <w:sz w:val="24"/>
          <w:szCs w:val="24"/>
          <w:highlight w:val="none"/>
          <w:u w:val="single"/>
        </w:rPr>
        <w:t>承包人用于本项目的非标起重机械设备须严格执行《关于印发&lt;广州市非标建筑起重机械管理办法&gt;的通知》(穗建质[2010]999号)的相关规定，非标起重机械设备是指没有国家或行业制造标准的各类起重机械设备，如非标架桥设备、 竖井提升设备、非标龙门吊、贝雷架式或扒杆式起重装置等。</w:t>
      </w:r>
    </w:p>
    <w:p w14:paraId="3C487BDD">
      <w:pPr>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21.8</w:t>
      </w:r>
      <w:r>
        <w:rPr>
          <w:rFonts w:hint="eastAsia" w:ascii="宋体" w:hAnsi="宋体" w:eastAsia="宋体" w:cs="宋体"/>
          <w:color w:val="auto"/>
          <w:sz w:val="24"/>
          <w:szCs w:val="24"/>
          <w:highlight w:val="none"/>
          <w:u w:val="single"/>
        </w:rPr>
        <w:t>承包人用于本项目的起重设备须严格执行《广州市住房和城乡建设委员会关于启用建筑起重机械设备安全监管系统的通知 》（穗建质〔2018〕889号）、《广州市住房和城乡建设局关于进一步加强建筑起重机械安全管理的通知 》（穗建质【2020】216号）、《广州市住房和城乡建设委员会关于进一步加强建筑起重机械设备信息化安全监管的通知》等相关规定。</w:t>
      </w:r>
    </w:p>
    <w:p w14:paraId="136B9189">
      <w:pPr>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21.9</w:t>
      </w:r>
      <w:r>
        <w:rPr>
          <w:rFonts w:hint="eastAsia" w:ascii="宋体" w:hAnsi="宋体" w:eastAsia="宋体" w:cs="宋体"/>
          <w:color w:val="auto"/>
          <w:sz w:val="24"/>
          <w:szCs w:val="24"/>
          <w:highlight w:val="none"/>
          <w:u w:val="single"/>
        </w:rPr>
        <w:t>承包人在工程实施过程中，按照国家、省、市的相关规定制定相关的专项安全施工方案（如高支模、基坑支护、沉井等），组织专家评审通过后，报监理人、发包人审批后方可开展专项工程的施工。</w:t>
      </w:r>
    </w:p>
    <w:p w14:paraId="6700D32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14:paraId="5642C53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14:paraId="4920B08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21.12承包人必须考虑安全、环保等因素在局部施工范围进行围蔽施工，现场围蔽不符合国家有关安全措施及技术要求的，不得开展施工作业，由此造成的工期延长，由承包人自己负责，当作延误工期处理。</w:t>
      </w:r>
    </w:p>
    <w:p w14:paraId="781EF4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09B1F43D">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14:paraId="4D1F16B3">
      <w:pPr>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u w:val="single"/>
        </w:rPr>
        <w:t>事故处理</w:t>
      </w:r>
    </w:p>
    <w:p w14:paraId="0ED2A646">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u w:val="single"/>
        </w:rPr>
        <w:t>如发生安全事故，除按法定程序办理有关事宜外，还必须按以下程序进行处理：</w:t>
      </w:r>
    </w:p>
    <w:p w14:paraId="1B039AA9">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22.3.1</w:t>
      </w:r>
      <w:r>
        <w:rPr>
          <w:rFonts w:hint="eastAsia" w:ascii="宋体" w:hAnsi="宋体" w:eastAsia="宋体" w:cs="宋体"/>
          <w:color w:val="auto"/>
          <w:sz w:val="24"/>
          <w:szCs w:val="24"/>
          <w:highlight w:val="none"/>
          <w:u w:val="single"/>
        </w:rPr>
        <w:t>报告安全事故：安全事故发生后，承包人应在1小时内用最快的信息传递手段，将发生事故的时间、地点、伤亡人数、事故原因等情况，报工程师和发包人。</w:t>
      </w:r>
    </w:p>
    <w:p w14:paraId="51C7B3E0">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22.3.2</w:t>
      </w:r>
      <w:r>
        <w:rPr>
          <w:rFonts w:hint="eastAsia" w:ascii="宋体" w:hAnsi="宋体" w:eastAsia="宋体" w:cs="宋体"/>
          <w:color w:val="auto"/>
          <w:sz w:val="24"/>
          <w:szCs w:val="24"/>
          <w:highlight w:val="none"/>
          <w:u w:val="single"/>
        </w:rPr>
        <w:t>事故处理：承包人负责抢救伤员、排除险情，防止事故扩大蔓延，保护好现场，并做好标志，启动保险理赔程序。</w:t>
      </w:r>
    </w:p>
    <w:p w14:paraId="7826BC54">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22.3.3</w:t>
      </w:r>
      <w:r>
        <w:rPr>
          <w:rFonts w:hint="eastAsia" w:ascii="宋体" w:hAnsi="宋体" w:eastAsia="宋体" w:cs="宋体"/>
          <w:color w:val="auto"/>
          <w:sz w:val="24"/>
          <w:szCs w:val="24"/>
          <w:highlight w:val="none"/>
          <w:u w:val="single"/>
        </w:rPr>
        <w:t>事故调查：承包人应组织内部技术安全、质量部门的人员组成调查组，开展调查，并配合做好发包人或政府有关部门组织的调查工作。</w:t>
      </w:r>
    </w:p>
    <w:p w14:paraId="31A65888">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22.3.4</w:t>
      </w:r>
      <w:r>
        <w:rPr>
          <w:rFonts w:hint="eastAsia" w:ascii="宋体" w:hAnsi="宋体" w:eastAsia="宋体" w:cs="宋体"/>
          <w:color w:val="auto"/>
          <w:sz w:val="24"/>
          <w:szCs w:val="24"/>
          <w:highlight w:val="none"/>
          <w:u w:val="single"/>
        </w:rPr>
        <w:t>调查报告：承包人应把事故发生经过、原因、性质、损失、责任、处理意见、纠正和预防措施撰写成调查报告，送工程师会审后报发包人。</w:t>
      </w:r>
    </w:p>
    <w:p w14:paraId="1EC51DDF">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六、合同价款与支付</w:t>
      </w:r>
    </w:p>
    <w:p w14:paraId="04C4AAC2">
      <w:pPr>
        <w:snapToGrid w:val="0"/>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u w:val="single"/>
        </w:rPr>
        <w:t>本合同价款按照协议书第五条、本条及专用条款23.3款、23.5款约定执行，</w:t>
      </w:r>
      <w:r>
        <w:rPr>
          <w:rFonts w:hint="eastAsia" w:ascii="宋体" w:hAnsi="宋体" w:eastAsia="宋体" w:cs="宋体"/>
          <w:snapToGrid w:val="0"/>
          <w:color w:val="auto"/>
          <w:kern w:val="0"/>
          <w:sz w:val="24"/>
          <w:szCs w:val="24"/>
          <w:highlight w:val="none"/>
          <w:u w:val="single"/>
        </w:rPr>
        <w:t>最终按结算终审部门审定价结算</w:t>
      </w:r>
      <w:r>
        <w:rPr>
          <w:rFonts w:hint="eastAsia" w:ascii="宋体" w:hAnsi="宋体" w:eastAsia="宋体" w:cs="宋体"/>
          <w:color w:val="auto"/>
          <w:sz w:val="24"/>
          <w:szCs w:val="24"/>
          <w:highlight w:val="none"/>
          <w:u w:val="single"/>
        </w:rPr>
        <w:t>。</w:t>
      </w:r>
    </w:p>
    <w:p w14:paraId="30FA0CCA">
      <w:pPr>
        <w:snapToGrid w:val="0"/>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本合同价款采用分部分项工程量清单固定综合单价方式确定，具体办法如下：</w:t>
      </w:r>
    </w:p>
    <w:p w14:paraId="049411FC">
      <w:pPr>
        <w:snapToGrid w:val="0"/>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（1）分部分项工程量清单费：除23.5.1及23.5.2规定情况外，分部分项工程量清单综合单价固定不变，工程量按实计量。</w:t>
      </w:r>
    </w:p>
    <w:p w14:paraId="21A2B6EA">
      <w:pPr>
        <w:snapToGrid w:val="0"/>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（2）措施项目费：措施项目费（除施工围蔽费用外）固定不变，包干使用，结算时不予调整，施工围蔽清单综合单价固定不变，工程量按实计量。</w:t>
      </w:r>
    </w:p>
    <w:p w14:paraId="30BA1A52">
      <w:pPr>
        <w:snapToGrid w:val="0"/>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（3）其他项目部分：</w:t>
      </w:r>
    </w:p>
    <w:p w14:paraId="3939A946">
      <w:pPr>
        <w:snapToGrid w:val="0"/>
        <w:spacing w:line="440" w:lineRule="exact"/>
        <w:ind w:firstLine="3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w:t>
      </w:r>
      <w:r>
        <w:rPr>
          <w:rFonts w:hint="eastAsia" w:ascii="宋体" w:hAnsi="宋体" w:eastAsia="宋体" w:cs="宋体"/>
          <w:color w:val="auto"/>
          <w:sz w:val="24"/>
          <w:szCs w:val="24"/>
          <w:highlight w:val="none"/>
          <w:u w:val="single"/>
        </w:rPr>
        <w:t>招标人部分为暂定价，按实际签订的专业承包合同或预留金使用情况进行调整和结算；</w:t>
      </w:r>
    </w:p>
    <w:p w14:paraId="5DAFA3D2">
      <w:pPr>
        <w:snapToGrid w:val="0"/>
        <w:spacing w:line="440" w:lineRule="exact"/>
        <w:ind w:firstLine="31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②</w:t>
      </w:r>
      <w:r>
        <w:rPr>
          <w:rFonts w:hint="eastAsia" w:ascii="宋体" w:hAnsi="宋体" w:eastAsia="宋体" w:cs="宋体"/>
          <w:color w:val="auto"/>
          <w:sz w:val="24"/>
          <w:szCs w:val="24"/>
          <w:highlight w:val="none"/>
          <w:u w:val="single"/>
        </w:rPr>
        <w:t>投标人部分为固定价格，结算时不作调整。（若实际没有发生，在结算时扣除未发生项目的费用）</w:t>
      </w:r>
    </w:p>
    <w:p w14:paraId="6ABCCD23">
      <w:pPr>
        <w:snapToGrid w:val="0"/>
        <w:spacing w:line="440" w:lineRule="exact"/>
        <w:ind w:firstLine="31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③</w:t>
      </w:r>
      <w:r>
        <w:rPr>
          <w:rFonts w:hint="eastAsia" w:ascii="宋体" w:hAnsi="宋体" w:eastAsia="宋体" w:cs="宋体"/>
          <w:color w:val="auto"/>
          <w:sz w:val="24"/>
          <w:szCs w:val="24"/>
          <w:highlight w:val="none"/>
          <w:u w:val="single"/>
        </w:rPr>
        <w:t xml:space="preserve"> 投标人预算包干费部分按投标人报价中的费率取费，费率结算时不作调整。</w:t>
      </w:r>
    </w:p>
    <w:p w14:paraId="6DC8959C">
      <w:pPr>
        <w:snapToGrid w:val="0"/>
        <w:spacing w:line="440" w:lineRule="exact"/>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（4）税金：税金按实计取，费率固定不变。</w:t>
      </w:r>
    </w:p>
    <w:p w14:paraId="662136F5">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23.3</w:t>
      </w:r>
      <w:r>
        <w:rPr>
          <w:rFonts w:hint="eastAsia" w:ascii="宋体" w:hAnsi="宋体" w:eastAsia="宋体" w:cs="宋体"/>
          <w:color w:val="auto"/>
          <w:sz w:val="24"/>
          <w:szCs w:val="24"/>
          <w:highlight w:val="none"/>
          <w:u w:val="single"/>
        </w:rPr>
        <w:t xml:space="preserve"> 双方约定合同价款的调整因素：</w:t>
      </w:r>
    </w:p>
    <w:p w14:paraId="3B3A9027">
      <w:pPr>
        <w:numPr>
          <w:ilvl w:val="0"/>
          <w:numId w:val="15"/>
        </w:num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发包人及监理单位共同确认工程量偏差；</w:t>
      </w:r>
    </w:p>
    <w:p w14:paraId="136A4CD2">
      <w:pPr>
        <w:numPr>
          <w:ilvl w:val="0"/>
          <w:numId w:val="15"/>
        </w:num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发包人及监理单位共同确认工程变更、签证和新增工程；</w:t>
      </w:r>
    </w:p>
    <w:p w14:paraId="6A152090">
      <w:pPr>
        <w:numPr>
          <w:ilvl w:val="0"/>
          <w:numId w:val="15"/>
        </w:num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物价变化；</w:t>
      </w:r>
    </w:p>
    <w:p w14:paraId="1315178D">
      <w:pPr>
        <w:numPr>
          <w:ilvl w:val="0"/>
          <w:numId w:val="15"/>
        </w:num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费用索赔事件或发包人负责的其他情况。</w:t>
      </w:r>
    </w:p>
    <w:p w14:paraId="65BEAEC4">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以上调整事项涉及的价款计价原则按23.5款约定执行。</w:t>
      </w:r>
    </w:p>
    <w:p w14:paraId="7210D127">
      <w:pPr>
        <w:snapToGrid w:val="0"/>
        <w:spacing w:line="440" w:lineRule="exact"/>
        <w:ind w:firstLine="338" w:firstLineChars="1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承包人应在第23.3款情况发生后3天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61037649">
      <w:pPr>
        <w:pStyle w:val="261"/>
        <w:snapToGrid w:val="0"/>
        <w:spacing w:line="440" w:lineRule="exact"/>
        <w:ind w:firstLine="338" w:firstLineChars="14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23.5</w:t>
      </w:r>
      <w:r>
        <w:rPr>
          <w:rFonts w:hint="eastAsia" w:ascii="宋体" w:hAnsi="宋体" w:eastAsia="宋体" w:cs="宋体"/>
          <w:color w:val="auto"/>
          <w:sz w:val="24"/>
          <w:szCs w:val="24"/>
          <w:highlight w:val="none"/>
          <w:u w:val="single"/>
        </w:rPr>
        <w:t>合同价款调整原则</w:t>
      </w:r>
    </w:p>
    <w:p w14:paraId="30035FBE">
      <w:pPr>
        <w:pStyle w:val="312"/>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23.5.1</w:t>
      </w:r>
      <w:r>
        <w:rPr>
          <w:rFonts w:hint="eastAsia" w:ascii="宋体" w:hAnsi="宋体" w:eastAsia="宋体" w:cs="宋体"/>
          <w:color w:val="auto"/>
          <w:sz w:val="24"/>
          <w:szCs w:val="24"/>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14:paraId="2BE87AF7">
      <w:pPr>
        <w:pStyle w:val="261"/>
        <w:spacing w:line="440" w:lineRule="exact"/>
        <w:ind w:firstLine="5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p>
    <w:p w14:paraId="5E93CA6E">
      <w:pPr>
        <w:pStyle w:val="261"/>
        <w:spacing w:line="440" w:lineRule="exact"/>
        <w:ind w:firstLine="3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p>
    <w:p w14:paraId="2419ACED">
      <w:pPr>
        <w:pStyle w:val="261"/>
        <w:spacing w:line="440" w:lineRule="exact"/>
        <w:ind w:firstLine="39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合同工程量清单报价中没有相同或类似适用项目的，按以下原则计价</w:t>
      </w:r>
      <w:r>
        <w:rPr>
          <w:rFonts w:hint="eastAsia" w:ascii="宋体" w:hAnsi="宋体" w:eastAsia="宋体" w:cs="宋体"/>
          <w:color w:val="auto"/>
          <w:sz w:val="24"/>
          <w:szCs w:val="24"/>
          <w:highlight w:val="none"/>
        </w:rPr>
        <w:t>：</w:t>
      </w:r>
    </w:p>
    <w:p w14:paraId="62126BF9">
      <w:pPr>
        <w:pStyle w:val="261"/>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① 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eastAsia="宋体" w:cs="宋体"/>
          <w:color w:val="auto"/>
          <w:sz w:val="24"/>
          <w:szCs w:val="24"/>
          <w:highlight w:val="none"/>
        </w:rPr>
        <w:t>，且需对选用的厂商价格信息重新进行市场调研询价后方可使用。</w:t>
      </w:r>
      <w:r>
        <w:rPr>
          <w:rFonts w:hint="eastAsia" w:ascii="宋体" w:hAnsi="宋体" w:eastAsia="宋体" w:cs="宋体"/>
          <w:color w:val="auto"/>
          <w:sz w:val="24"/>
          <w:szCs w:val="24"/>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eastAsia="宋体" w:cs="宋体"/>
          <w:color w:val="auto"/>
          <w:sz w:val="24"/>
          <w:szCs w:val="24"/>
          <w:highlight w:val="none"/>
        </w:rPr>
        <w:t>。</w:t>
      </w:r>
    </w:p>
    <w:p w14:paraId="69A62B97">
      <w:pPr>
        <w:pStyle w:val="261"/>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 </w:t>
      </w:r>
      <w:r>
        <w:rPr>
          <w:rFonts w:hint="eastAsia" w:ascii="宋体" w:hAnsi="宋体" w:eastAsia="宋体" w:cs="宋体"/>
          <w:color w:val="auto"/>
          <w:sz w:val="24"/>
          <w:szCs w:val="24"/>
          <w:highlight w:val="none"/>
          <w:u w:val="single"/>
        </w:rPr>
        <w:t>合同工程量清单没有相同或相类似且无相关定额的项目，承包人参照《广东省市政工程综合定额》（2018年）、《广东省房屋建筑与装饰工程综合定额》（2018年）、《广东省通用安装工程综合定额》（2018年）、《广东省园林绿化工程综合定额》（2018年）、《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eastAsia="宋体" w:cs="宋体"/>
          <w:color w:val="auto"/>
          <w:sz w:val="24"/>
          <w:szCs w:val="24"/>
          <w:highlight w:val="none"/>
        </w:rPr>
        <w:t>，且需对选用的厂商价格信息重新进行市场调研询价后方可使用。</w:t>
      </w:r>
      <w:r>
        <w:rPr>
          <w:rFonts w:hint="eastAsia" w:ascii="宋体" w:hAnsi="宋体" w:eastAsia="宋体" w:cs="宋体"/>
          <w:color w:val="auto"/>
          <w:sz w:val="24"/>
          <w:szCs w:val="24"/>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eastAsia="宋体" w:cs="宋体"/>
          <w:color w:val="auto"/>
          <w:sz w:val="24"/>
          <w:szCs w:val="24"/>
          <w:highlight w:val="none"/>
        </w:rPr>
        <w:t>。</w:t>
      </w:r>
    </w:p>
    <w:p w14:paraId="2DB84351">
      <w:pPr>
        <w:pStyle w:val="261"/>
        <w:adjustRightInd w:val="0"/>
        <w:snapToGrid w:val="0"/>
        <w:spacing w:line="440" w:lineRule="exact"/>
        <w:ind w:right="11"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按上述原则确定价格时，措施项目费用（除施工围蔽外）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14:paraId="3EE8D1E6">
      <w:pPr>
        <w:snapToGrid w:val="0"/>
        <w:spacing w:line="440" w:lineRule="exact"/>
        <w:ind w:firstLine="338" w:firstLineChars="1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23.5.2 </w:t>
      </w:r>
      <w:r>
        <w:rPr>
          <w:rFonts w:hint="eastAsia" w:ascii="宋体" w:hAnsi="宋体" w:eastAsia="宋体" w:cs="宋体"/>
          <w:color w:val="auto"/>
          <w:sz w:val="24"/>
          <w:szCs w:val="24"/>
          <w:highlight w:val="none"/>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eastAsia="宋体" w:cs="宋体"/>
          <w:color w:val="auto"/>
          <w:sz w:val="24"/>
          <w:szCs w:val="24"/>
          <w:highlight w:val="none"/>
        </w:rPr>
        <w:t>。</w:t>
      </w:r>
    </w:p>
    <w:p w14:paraId="0F568316">
      <w:pPr>
        <w:snapToGrid w:val="0"/>
        <w:spacing w:line="440" w:lineRule="exact"/>
        <w:ind w:firstLine="338" w:firstLineChars="14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23.5.3</w:t>
      </w:r>
      <w:r>
        <w:rPr>
          <w:rFonts w:hint="eastAsia" w:ascii="宋体" w:hAnsi="宋体" w:eastAsia="宋体" w:cs="宋体"/>
          <w:color w:val="auto"/>
          <w:sz w:val="24"/>
          <w:szCs w:val="24"/>
          <w:highlight w:val="none"/>
          <w:u w:val="single"/>
        </w:rPr>
        <w:t>物价涨跌的价格调整</w:t>
      </w:r>
    </w:p>
    <w:p w14:paraId="1924E3E3">
      <w:pPr>
        <w:snapToGrid w:val="0"/>
        <w:spacing w:line="440" w:lineRule="exact"/>
        <w:ind w:firstLine="338" w:firstLineChars="14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14:paraId="69C8FB8A">
      <w:pPr>
        <w:snapToGrid w:val="0"/>
        <w:spacing w:line="440" w:lineRule="exact"/>
        <w:ind w:firstLine="338" w:firstLineChars="14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14:paraId="081B4470">
      <w:pPr>
        <w:snapToGrid w:val="0"/>
        <w:spacing w:line="440" w:lineRule="exact"/>
        <w:ind w:firstLine="338" w:firstLineChars="14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（2）价款调整的方法</w:t>
      </w:r>
    </w:p>
    <w:p w14:paraId="5911DE20">
      <w:pPr>
        <w:snapToGrid w:val="0"/>
        <w:spacing w:line="440" w:lineRule="exact"/>
        <w:ind w:firstLine="338" w:firstLineChars="14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14:paraId="13E5524C">
      <w:pPr>
        <w:snapToGrid w:val="0"/>
        <w:spacing w:line="440" w:lineRule="exact"/>
        <w:ind w:firstLine="338" w:firstLineChars="14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14:paraId="523FB30C">
      <w:pPr>
        <w:snapToGrid w:val="0"/>
        <w:spacing w:line="440" w:lineRule="exact"/>
        <w:ind w:firstLine="338" w:firstLineChars="14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 价款调整以月为单位计算，结算时一次性调整，如施工期间需调整价款的，经发包人、承包人协商一致后可签订价差补充协议，作为追加（减）合同价款和支付工程进度款的依据。</w:t>
      </w:r>
    </w:p>
    <w:p w14:paraId="69B59155">
      <w:pPr>
        <w:snapToGrid w:val="0"/>
        <w:spacing w:line="440" w:lineRule="exact"/>
        <w:ind w:firstLine="338" w:firstLineChars="14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 各调价材料、设备的信息价格按广州市建设工程造价管理部门发布的当月 “综合价格”计取，综合价格中没有的材料、设备单价，价差不予调整。</w:t>
      </w:r>
    </w:p>
    <w:p w14:paraId="692092A1">
      <w:pPr>
        <w:snapToGrid w:val="0"/>
        <w:spacing w:line="440" w:lineRule="exact"/>
        <w:ind w:firstLine="338" w:firstLineChars="14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（3）由于承包人原因导致工期延误的，所延误时段内物价上涨的风险全部由承包人承担，不予调整；如物价下跌，则仍按第（2）款约定计算及扣回相应价款。</w:t>
      </w:r>
    </w:p>
    <w:p w14:paraId="6B2F54D1">
      <w:pPr>
        <w:spacing w:line="440" w:lineRule="exact"/>
        <w:rPr>
          <w:rFonts w:hint="eastAsia" w:ascii="宋体" w:hAnsi="宋体" w:eastAsia="宋体" w:cs="宋体"/>
          <w:color w:val="auto"/>
          <w:sz w:val="24"/>
          <w:szCs w:val="24"/>
          <w:highlight w:val="none"/>
        </w:rPr>
      </w:pPr>
    </w:p>
    <w:p w14:paraId="14A4F9F8">
      <w:pPr>
        <w:snapToGrid w:val="0"/>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24</w:t>
      </w:r>
      <w:r>
        <w:rPr>
          <w:rFonts w:hint="eastAsia" w:ascii="宋体" w:hAnsi="宋体" w:eastAsia="宋体" w:cs="宋体"/>
          <w:b/>
          <w:color w:val="auto"/>
          <w:sz w:val="24"/>
          <w:szCs w:val="24"/>
          <w:highlight w:val="none"/>
        </w:rPr>
        <w:t>、工程预付款及工人工资</w:t>
      </w:r>
    </w:p>
    <w:p w14:paraId="56ED599E">
      <w:pPr>
        <w:snapToGrid w:val="0"/>
        <w:spacing w:line="440" w:lineRule="exact"/>
        <w:ind w:firstLine="338" w:firstLineChars="1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24.1工程预付款</w:t>
      </w:r>
    </w:p>
    <w:p w14:paraId="6EC9B316">
      <w:pPr>
        <w:snapToGrid w:val="0"/>
        <w:spacing w:line="440" w:lineRule="exact"/>
        <w:ind w:firstLine="338" w:firstLineChars="1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24.1.1发包人向承包人预付工程款的时间和金额或占合同价款总额的比例：按广州开发区财政投资建设项目管理中心 《关于加强建设工程预付款管理的通知》及相关规定核查，承包人相关情况符合要求，且合同生效及财政拨款到位后，发包人预付合同价【扣除绿色施工安全防护措施费，若工程量清单中有暂定金则扣除暂定金（含暂列金额和暂估价）部分】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%作为预付款，但最高不超过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预付款中，（预付款×工人工资比例）的部分需支付至工人工资专用账户。（注：根据工程实际，执行《广州开发区财政投资建设项目管理中心建设工程招投标管理办法补充规定（2021年试行版）广州开发区财政投资建设项目管理中心 建设工程招投标管理办法补充规定》）</w:t>
      </w:r>
    </w:p>
    <w:p w14:paraId="1F672BDF">
      <w:pPr>
        <w:snapToGrid w:val="0"/>
        <w:spacing w:line="440" w:lineRule="exact"/>
        <w:ind w:firstLine="338" w:firstLineChars="1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24.1.2承包人收取预付款后，应优先用于按有关规定缴纳工伤保险和办理建筑意外伤害险，专款专用。</w:t>
      </w:r>
    </w:p>
    <w:p w14:paraId="2BFC1154">
      <w:pPr>
        <w:snapToGrid w:val="0"/>
        <w:spacing w:line="440" w:lineRule="exact"/>
        <w:ind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24.1.3扣回预付款的时间、比例：按本合同专用条款26条约定执行。</w:t>
      </w:r>
    </w:p>
    <w:p w14:paraId="432752FB">
      <w:pPr>
        <w:snapToGrid w:val="0"/>
        <w:spacing w:line="440" w:lineRule="exact"/>
        <w:ind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24.2工人工资</w:t>
      </w:r>
    </w:p>
    <w:p w14:paraId="31846FCF">
      <w:pPr>
        <w:snapToGrid w:val="0"/>
        <w:spacing w:line="440" w:lineRule="exact"/>
        <w:ind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24.2.1承包人需按有关规定与商业银行另行签订广州市建设领域工人工资支付专用账户管理协议、开设专用账户并报发包人备案,工人工资支付至专用账户。</w:t>
      </w:r>
    </w:p>
    <w:p w14:paraId="3FD9D576">
      <w:pPr>
        <w:snapToGrid w:val="0"/>
        <w:spacing w:line="440" w:lineRule="exact"/>
        <w:ind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24.2.2工人工资进度款与工程进度款同步支付，其中每期需支付的工程进度款×工人工资比例为该期工人工资进度款，支付至工人工资专用账户。</w:t>
      </w:r>
    </w:p>
    <w:p w14:paraId="05384F1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b/>
          <w:color w:val="auto"/>
          <w:sz w:val="24"/>
          <w:szCs w:val="24"/>
          <w:highlight w:val="none"/>
        </w:rPr>
        <w:t>、工程量确认</w:t>
      </w:r>
    </w:p>
    <w:p w14:paraId="33BF1646">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承包人向工程师提交已完工程量报告的时间：</w:t>
      </w:r>
      <w:r>
        <w:rPr>
          <w:rFonts w:hint="eastAsia" w:ascii="宋体" w:hAnsi="宋体" w:eastAsia="宋体" w:cs="宋体"/>
          <w:color w:val="auto"/>
          <w:sz w:val="24"/>
          <w:szCs w:val="24"/>
          <w:highlight w:val="none"/>
          <w:u w:val="single"/>
        </w:rPr>
        <w:t>自开工之日起每周及每月报告已完成工程状况</w:t>
      </w:r>
      <w:r>
        <w:rPr>
          <w:rFonts w:hint="eastAsia" w:ascii="宋体" w:hAnsi="宋体" w:eastAsia="宋体" w:cs="宋体"/>
          <w:color w:val="auto"/>
          <w:sz w:val="24"/>
          <w:szCs w:val="24"/>
          <w:highlight w:val="none"/>
        </w:rPr>
        <w:t>。</w:t>
      </w:r>
    </w:p>
    <w:p w14:paraId="305C1BCB">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25.2双方一致同意不适用通用条款25.2款。承包人完成工程量必须经发包人书面确认。</w:t>
      </w:r>
    </w:p>
    <w:p w14:paraId="71D621B5">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b/>
          <w:color w:val="auto"/>
          <w:sz w:val="24"/>
          <w:szCs w:val="24"/>
          <w:highlight w:val="none"/>
        </w:rPr>
        <w:t>工程款（进度款）支付</w:t>
      </w:r>
    </w:p>
    <w:p w14:paraId="2D7D68DD">
      <w:pPr>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26.1双方约定的工程款（进度款）支付采取如下的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26.1.2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方式进行：</w:t>
      </w:r>
    </w:p>
    <w:p w14:paraId="41D835F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 按累计完成工作量百分率支付工程款（进度款）方式：</w:t>
      </w:r>
    </w:p>
    <w:p w14:paraId="2CD7589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（1）当完成工作量达到 60% 时，支付工程进度款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【累计付款(含已支付的绿色施工安全防护措施费)至合同价款若有暂定金(含暂列金额和暂估价)扣除未计量部分暂定金(含暂列金额和暂估价)后的55%】</w:t>
      </w:r>
      <w:r>
        <w:rPr>
          <w:rFonts w:hint="eastAsia" w:ascii="宋体" w:hAnsi="宋体" w:eastAsia="宋体" w:cs="宋体"/>
          <w:color w:val="auto"/>
          <w:sz w:val="24"/>
          <w:szCs w:val="24"/>
          <w:highlight w:val="none"/>
        </w:rPr>
        <w:t>；</w:t>
      </w:r>
    </w:p>
    <w:p w14:paraId="0E9E53B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（2）工程完工，并通过初验后支付合同价款30%</w:t>
      </w:r>
      <w:r>
        <w:rPr>
          <w:rFonts w:hint="eastAsia" w:ascii="宋体" w:hAnsi="宋体" w:eastAsia="宋体" w:cs="宋体"/>
          <w:color w:val="auto"/>
          <w:sz w:val="24"/>
          <w:szCs w:val="24"/>
          <w:highlight w:val="none"/>
          <w:u w:val="single"/>
        </w:rPr>
        <w:t>【累计付款(含绿色施工安全防护措施费）至合同价款若有暂定金(含暂列金额和暂估价)扣除未计量部分暂定金(含暂列金额和暂估价)后的85%】</w:t>
      </w:r>
      <w:r>
        <w:rPr>
          <w:rFonts w:hint="eastAsia" w:ascii="宋体" w:hAnsi="宋体" w:eastAsia="宋体" w:cs="宋体"/>
          <w:color w:val="auto"/>
          <w:sz w:val="24"/>
          <w:szCs w:val="24"/>
          <w:highlight w:val="none"/>
        </w:rPr>
        <w:t>；</w:t>
      </w:r>
    </w:p>
    <w:p w14:paraId="6CB8A823">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（3）工程通过验收并经广州开发区财政局审定施工结算后支付工程款</w:t>
      </w:r>
      <w:r>
        <w:rPr>
          <w:rFonts w:hint="eastAsia" w:ascii="宋体" w:hAnsi="宋体" w:eastAsia="宋体" w:cs="宋体"/>
          <w:color w:val="auto"/>
          <w:sz w:val="24"/>
          <w:szCs w:val="24"/>
          <w:highlight w:val="none"/>
          <w:u w:val="single"/>
        </w:rPr>
        <w:t>(含绿色施工安全防护措施费）</w:t>
      </w:r>
      <w:r>
        <w:rPr>
          <w:rFonts w:hint="eastAsia" w:ascii="宋体" w:hAnsi="宋体" w:eastAsia="宋体" w:cs="宋体"/>
          <w:color w:val="auto"/>
          <w:sz w:val="24"/>
          <w:szCs w:val="24"/>
          <w:highlight w:val="none"/>
        </w:rPr>
        <w:t>至结算价的97%，工程质量要求达到“</w:t>
      </w:r>
      <w:r>
        <w:rPr>
          <w:rFonts w:hint="eastAsia" w:ascii="宋体" w:hAnsi="宋体" w:eastAsia="宋体" w:cs="宋体"/>
          <w:color w:val="auto"/>
          <w:sz w:val="24"/>
          <w:szCs w:val="24"/>
          <w:highlight w:val="none"/>
          <w:u w:val="single"/>
        </w:rPr>
        <w:t xml:space="preserve"> （按投标文件承诺填写） </w:t>
      </w:r>
      <w:r>
        <w:rPr>
          <w:rFonts w:hint="eastAsia" w:ascii="宋体" w:hAnsi="宋体" w:eastAsia="宋体" w:cs="宋体"/>
          <w:color w:val="auto"/>
          <w:sz w:val="24"/>
          <w:szCs w:val="24"/>
          <w:highlight w:val="none"/>
        </w:rPr>
        <w:t>”的质量标准而支付此款项时尚未获得相关称号的，暂按未达到质量要求暂扣相应违约金，获得相关称号后再行支付给承包人；工程结算价款额度的3%作为保修金，待缺陷责任期结束后结清（不计利息）。</w:t>
      </w:r>
    </w:p>
    <w:p w14:paraId="2DEA501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217E6A4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26.1.2按月度支付工程款（进度款）：</w:t>
      </w:r>
    </w:p>
    <w:p w14:paraId="2F5CD44B">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承包人每月上报完成工程量报表，经监理审核及发包人确认后，发包人按经审定月度完成工程量的85%支付工程进度款。</w:t>
      </w:r>
    </w:p>
    <w:p w14:paraId="6615D5DB">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本工程发生的第一次进度款支付起，发包人每次按审定月度完成工程量的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工程款</w:t>
      </w:r>
      <w:r>
        <w:rPr>
          <w:rFonts w:hint="eastAsia" w:ascii="宋体" w:hAnsi="宋体" w:eastAsia="宋体" w:cs="宋体"/>
          <w:color w:val="auto"/>
          <w:sz w:val="24"/>
          <w:szCs w:val="24"/>
          <w:highlight w:val="none"/>
          <w:u w:val="single"/>
        </w:rPr>
        <w:t>（含绿色施工安全防护措施费）</w:t>
      </w:r>
      <w:r>
        <w:rPr>
          <w:rFonts w:hint="eastAsia" w:ascii="宋体" w:hAnsi="宋体" w:eastAsia="宋体" w:cs="宋体"/>
          <w:color w:val="auto"/>
          <w:sz w:val="24"/>
          <w:szCs w:val="24"/>
          <w:highlight w:val="none"/>
          <w:lang w:eastAsia="zh-CN"/>
        </w:rPr>
        <w:t>不超过</w:t>
      </w:r>
      <w:r>
        <w:rPr>
          <w:rFonts w:hint="eastAsia" w:ascii="宋体" w:hAnsi="宋体" w:eastAsia="宋体" w:cs="宋体"/>
          <w:color w:val="auto"/>
          <w:sz w:val="24"/>
          <w:szCs w:val="24"/>
          <w:highlight w:val="none"/>
        </w:rPr>
        <w:t>合同价扣除若有暂定金</w:t>
      </w:r>
      <w:r>
        <w:rPr>
          <w:rFonts w:hint="eastAsia" w:ascii="宋体" w:hAnsi="宋体" w:eastAsia="宋体" w:cs="宋体"/>
          <w:color w:val="auto"/>
          <w:sz w:val="24"/>
          <w:szCs w:val="24"/>
          <w:highlight w:val="none"/>
          <w:u w:val="single"/>
        </w:rPr>
        <w:t>（含暂列金额及暂估价）</w:t>
      </w:r>
      <w:r>
        <w:rPr>
          <w:rFonts w:hint="eastAsia" w:ascii="宋体" w:hAnsi="宋体" w:eastAsia="宋体" w:cs="宋体"/>
          <w:color w:val="auto"/>
          <w:sz w:val="24"/>
          <w:szCs w:val="24"/>
          <w:highlight w:val="none"/>
        </w:rPr>
        <w:t>则扣除未计量部分暂定金后的85%。</w:t>
      </w:r>
    </w:p>
    <w:p w14:paraId="3A33E244">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工程通过验收并经广州开发区财政局审定施工结算后支付工程款</w:t>
      </w:r>
      <w:r>
        <w:rPr>
          <w:rFonts w:hint="eastAsia" w:ascii="宋体" w:hAnsi="宋体" w:eastAsia="宋体" w:cs="宋体"/>
          <w:color w:val="auto"/>
          <w:sz w:val="24"/>
          <w:szCs w:val="24"/>
          <w:highlight w:val="none"/>
          <w:u w:val="single"/>
        </w:rPr>
        <w:t>（含绿色施工安全防护措施费）</w:t>
      </w:r>
      <w:r>
        <w:rPr>
          <w:rFonts w:hint="eastAsia" w:ascii="宋体" w:hAnsi="宋体" w:eastAsia="宋体" w:cs="宋体"/>
          <w:color w:val="auto"/>
          <w:sz w:val="24"/>
          <w:szCs w:val="24"/>
          <w:highlight w:val="none"/>
        </w:rPr>
        <w:t>至结算价的97%，□工程质量要求达到“</w:t>
      </w:r>
      <w:r>
        <w:rPr>
          <w:rFonts w:hint="eastAsia" w:ascii="宋体" w:hAnsi="宋体" w:eastAsia="宋体" w:cs="宋体"/>
          <w:color w:val="auto"/>
          <w:sz w:val="24"/>
          <w:szCs w:val="24"/>
          <w:highlight w:val="none"/>
          <w:u w:val="single"/>
        </w:rPr>
        <w:t xml:space="preserve"> （按投标文件承诺填写） </w:t>
      </w:r>
      <w:r>
        <w:rPr>
          <w:rFonts w:hint="eastAsia" w:ascii="宋体" w:hAnsi="宋体" w:eastAsia="宋体" w:cs="宋体"/>
          <w:color w:val="auto"/>
          <w:sz w:val="24"/>
          <w:szCs w:val="24"/>
          <w:highlight w:val="none"/>
        </w:rPr>
        <w:t>”的质量标准而支付此款项时尚未获得相关称号的，暂按未达到质量要求暂扣相应违约金，获得相关称号后再行支付给承包人；工程结算价款额度的3%作为保修金，待缺陷责任期期结束后结清（不计利息）。</w:t>
      </w:r>
    </w:p>
    <w:p w14:paraId="0F0659A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252C1904">
      <w:pPr>
        <w:adjustRightInd w:val="0"/>
        <w:snapToGrid w:val="0"/>
        <w:spacing w:line="440" w:lineRule="exact"/>
        <w:ind w:right="11"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所有因变更、签证及价格调整等原因所调整增加的工程价款均应由承包人按广州开发区、黄埔区及建设业主相关规定程序，报监理初审，并经发包人审批同意后，按审定金额另行签订补充协议支付，或在工程结算中一并支付。</w:t>
      </w:r>
    </w:p>
    <w:p w14:paraId="641723E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26.4工程价款的支付条件：</w:t>
      </w:r>
    </w:p>
    <w:p w14:paraId="0DA08548">
      <w:pPr>
        <w:snapToGrid w:val="0"/>
        <w:spacing w:line="440" w:lineRule="exact"/>
        <w:ind w:firstLine="480"/>
        <w:rPr>
          <w:rFonts w:hint="eastAsia" w:ascii="宋体" w:hAnsi="宋体" w:eastAsia="宋体" w:cs="宋体"/>
          <w:snapToGrid w:val="0"/>
          <w:color w:val="auto"/>
          <w:sz w:val="24"/>
          <w:szCs w:val="24"/>
          <w:highlight w:val="none"/>
          <w:u w:val="single"/>
        </w:rPr>
      </w:pPr>
      <w:r>
        <w:rPr>
          <w:rFonts w:hint="eastAsia" w:ascii="宋体" w:hAnsi="宋体" w:eastAsia="宋体" w:cs="宋体"/>
          <w:color w:val="auto"/>
          <w:sz w:val="24"/>
          <w:szCs w:val="24"/>
          <w:highlight w:val="none"/>
        </w:rPr>
        <w:t>（1）支付预付款：</w:t>
      </w:r>
      <w:r>
        <w:rPr>
          <w:rFonts w:hint="eastAsia" w:ascii="宋体" w:hAnsi="宋体" w:eastAsia="宋体" w:cs="宋体"/>
          <w:color w:val="auto"/>
          <w:sz w:val="24"/>
          <w:szCs w:val="24"/>
          <w:highlight w:val="none"/>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将按开工部分的工程量占总工程量的比例做相应调整</w:t>
      </w:r>
      <w:r>
        <w:rPr>
          <w:rFonts w:hint="eastAsia" w:ascii="宋体" w:hAnsi="宋体" w:eastAsia="宋体" w:cs="宋体"/>
          <w:snapToGrid w:val="0"/>
          <w:color w:val="auto"/>
          <w:sz w:val="24"/>
          <w:szCs w:val="24"/>
          <w:highlight w:val="none"/>
          <w:u w:val="single"/>
        </w:rPr>
        <w:t>。</w:t>
      </w:r>
    </w:p>
    <w:p w14:paraId="73D3F48A">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（2）支付工程款（进度款）：</w:t>
      </w:r>
      <w:r>
        <w:rPr>
          <w:rFonts w:hint="eastAsia" w:ascii="宋体" w:hAnsi="宋体" w:eastAsia="宋体" w:cs="宋体"/>
          <w:color w:val="auto"/>
          <w:sz w:val="24"/>
          <w:szCs w:val="24"/>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14:paraId="2D71447D">
      <w:pPr>
        <w:pStyle w:val="243"/>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w:t>
      </w:r>
      <w:r>
        <w:rPr>
          <w:rFonts w:hint="eastAsia" w:ascii="宋体" w:hAnsi="宋体" w:eastAsia="宋体" w:cs="宋体"/>
          <w:color w:val="auto"/>
          <w:sz w:val="24"/>
          <w:szCs w:val="24"/>
          <w:highlight w:val="none"/>
          <w:u w:val="single"/>
        </w:rPr>
        <w:t>绿色施工安全防护措施费</w:t>
      </w:r>
      <w:r>
        <w:rPr>
          <w:rFonts w:hint="eastAsia" w:ascii="宋体" w:hAnsi="宋体" w:eastAsia="宋体" w:cs="宋体"/>
          <w:color w:val="auto"/>
          <w:sz w:val="24"/>
          <w:szCs w:val="24"/>
          <w:highlight w:val="none"/>
        </w:rPr>
        <w:t>支付的支付条件：</w:t>
      </w:r>
    </w:p>
    <w:p w14:paraId="3CC5B1C8">
      <w:pPr>
        <w:pStyle w:val="243"/>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绿色施工安全防护措施费</w:t>
      </w:r>
      <w:r>
        <w:rPr>
          <w:rFonts w:hint="eastAsia" w:ascii="宋体" w:hAnsi="宋体" w:eastAsia="宋体" w:cs="宋体"/>
          <w:color w:val="auto"/>
          <w:sz w:val="24"/>
          <w:szCs w:val="24"/>
          <w:highlight w:val="none"/>
        </w:rPr>
        <w:t>按在工程投标最高报价中的</w:t>
      </w:r>
      <w:r>
        <w:rPr>
          <w:rFonts w:hint="eastAsia" w:ascii="宋体" w:hAnsi="宋体" w:eastAsia="宋体" w:cs="宋体"/>
          <w:color w:val="auto"/>
          <w:sz w:val="24"/>
          <w:szCs w:val="24"/>
          <w:highlight w:val="none"/>
          <w:u w:val="single"/>
        </w:rPr>
        <w:t>绿色施工安全防护措施费</w:t>
      </w:r>
      <w:r>
        <w:rPr>
          <w:rFonts w:hint="eastAsia" w:ascii="宋体" w:hAnsi="宋体" w:eastAsia="宋体" w:cs="宋体"/>
          <w:color w:val="auto"/>
          <w:sz w:val="24"/>
          <w:szCs w:val="24"/>
          <w:highlight w:val="none"/>
        </w:rPr>
        <w:t>用计取，专款专用，并从本施工合同价款中提取（</w:t>
      </w:r>
      <w:r>
        <w:rPr>
          <w:rFonts w:hint="eastAsia" w:ascii="宋体" w:hAnsi="宋体" w:eastAsia="宋体" w:cs="宋体"/>
          <w:color w:val="auto"/>
          <w:sz w:val="24"/>
          <w:szCs w:val="24"/>
          <w:highlight w:val="none"/>
          <w:u w:val="single"/>
        </w:rPr>
        <w:t>绿色施工安全防护措施费</w:t>
      </w:r>
      <w:r>
        <w:rPr>
          <w:rFonts w:hint="eastAsia" w:ascii="宋体" w:hAnsi="宋体" w:eastAsia="宋体" w:cs="宋体"/>
          <w:color w:val="auto"/>
          <w:sz w:val="24"/>
          <w:szCs w:val="24"/>
          <w:highlight w:val="none"/>
        </w:rPr>
        <w:t>已包含在本工程中标价即施工合同价中）。该费用根据《广州开发区财政投资建设项目管理中心建设项目绿色施工安全防护措施费支付管理实施细则（2024年修订）》（穗开建管〔2024〕47号）及“穗建筑【2008】967号”文及“穗建筑【2018】981号”规定，分阶段支付</w:t>
      </w:r>
      <w:r>
        <w:rPr>
          <w:rFonts w:hint="eastAsia" w:ascii="宋体" w:hAnsi="宋体" w:eastAsia="宋体" w:cs="宋体"/>
          <w:color w:val="auto"/>
          <w:sz w:val="24"/>
          <w:szCs w:val="24"/>
          <w:highlight w:val="none"/>
          <w:u w:val="single"/>
        </w:rPr>
        <w:t>绿色施工安全防护措施费</w:t>
      </w:r>
      <w:r>
        <w:rPr>
          <w:rFonts w:hint="eastAsia" w:ascii="宋体" w:hAnsi="宋体" w:eastAsia="宋体" w:cs="宋体"/>
          <w:color w:val="auto"/>
          <w:sz w:val="24"/>
          <w:szCs w:val="24"/>
          <w:highlight w:val="none"/>
        </w:rPr>
        <w:t>：</w:t>
      </w:r>
    </w:p>
    <w:p w14:paraId="192B4D0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1、工程项目开工日一个月内，由承包人主动向发包人提出申请，预付绿色施工安全防护措施费的50%。</w:t>
      </w:r>
    </w:p>
    <w:p w14:paraId="6073B2A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2、第一次现场验收合格后可以申请绿色施工安全防护措施费的40%。申请需提供区建管中心出具的《检查记录表》，且评定等级为合格或以上。</w:t>
      </w:r>
    </w:p>
    <w:p w14:paraId="096F4DC4">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3、第二次现场验收合格后可以申请绿色施工安全防护措施费的10%。申请需提供区质监站出具的《建设工程施工安全评价书》且评定等级为合格或以上。</w:t>
      </w:r>
    </w:p>
    <w:p w14:paraId="202DF317">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如存在特殊情况的，绿色施工安全防护措施费</w:t>
      </w:r>
      <w:r>
        <w:rPr>
          <w:rFonts w:hint="eastAsia" w:ascii="宋体" w:hAnsi="宋体" w:eastAsia="宋体" w:cs="宋体"/>
          <w:color w:val="auto"/>
          <w:sz w:val="24"/>
          <w:szCs w:val="24"/>
          <w:highlight w:val="none"/>
        </w:rPr>
        <w:t>具体支付方式及条件以《广州开发区财政投资建设项目管理中心建设项目绿色施工安全防护措施费支付管理实施细则（2024年修订）》（穗开建管〔2024〕47号）为准。</w:t>
      </w:r>
    </w:p>
    <w:p w14:paraId="2605E889">
      <w:pPr>
        <w:pStyle w:val="263"/>
        <w:spacing w:line="440" w:lineRule="exact"/>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647CC0AF">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七、材料设备供应</w:t>
      </w:r>
    </w:p>
    <w:p w14:paraId="1255CF29">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27、发包人供应材料设备</w:t>
      </w:r>
    </w:p>
    <w:p w14:paraId="471EAC6E">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 发包人供应的材料设备与一览表不符时，双方约定发包人承担责任如下：</w:t>
      </w:r>
    </w:p>
    <w:p w14:paraId="0E4F2F08">
      <w:pPr>
        <w:snapToGrid w:val="0"/>
        <w:spacing w:line="440" w:lineRule="exact"/>
        <w:ind w:left="397"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u w:val="single"/>
        </w:rPr>
        <mc:AlternateContent>
          <mc:Choice Requires="wps">
            <w:drawing>
              <wp:anchor distT="0" distB="0" distL="114300" distR="114300" simplePos="0" relativeHeight="251663360"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7"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280pt;margin-top:0pt;height:0pt;width:0.05pt;z-index:251663360;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OXkENMAAAAF&#10;AQAADwAAAAAAAAABACAAAAAiAAAAZHJzL2Rvd25yZXYueG1sUEsBAhQAFAAAAAgAh07iQPSfvmPo&#10;AQAA5QMAAA4AAAAAAAAAAQAgAAAAIgEAAGRycy9lMm9Eb2MueG1sUEsFBgAAAAAGAAYAWQEAAHwF&#10;A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3C3D2B">
      <w:pPr>
        <w:snapToGrid w:val="0"/>
        <w:spacing w:line="440" w:lineRule="exact"/>
        <w:ind w:left="397"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A014348">
      <w:pPr>
        <w:snapToGrid w:val="0"/>
        <w:spacing w:line="440" w:lineRule="exact"/>
        <w:ind w:left="397"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（3）承包人可代为调剂串换的材料：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D99F643">
      <w:pPr>
        <w:snapToGrid w:val="0"/>
        <w:spacing w:line="440" w:lineRule="exact"/>
        <w:ind w:left="397"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0B526AD">
      <w:pPr>
        <w:snapToGrid w:val="0"/>
        <w:spacing w:line="440" w:lineRule="exact"/>
        <w:ind w:left="397"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36FCB4E">
      <w:pPr>
        <w:snapToGrid w:val="0"/>
        <w:spacing w:line="440" w:lineRule="exact"/>
        <w:ind w:left="397"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6E0751F">
      <w:pPr>
        <w:tabs>
          <w:tab w:val="left" w:pos="700"/>
        </w:tabs>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 发包人供应材料设备的结算方法：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531B851">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28、承包人采购材料设备</w:t>
      </w:r>
    </w:p>
    <w:p w14:paraId="26D38F39">
      <w:pPr>
        <w:spacing w:line="440" w:lineRule="exact"/>
        <w:ind w:firstLine="410" w:firstLineChars="17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28.1 承包人采购材料设备的约定：</w:t>
      </w:r>
      <w:r>
        <w:rPr>
          <w:rFonts w:hint="eastAsia" w:ascii="宋体" w:hAnsi="宋体" w:eastAsia="宋体" w:cs="宋体"/>
          <w:color w:val="auto"/>
          <w:sz w:val="24"/>
          <w:szCs w:val="24"/>
          <w:highlight w:val="none"/>
          <w:u w:val="single"/>
        </w:rPr>
        <w:t>由承包人负责采购材料设备的，按招标文件规定和本合同专用条款第47.28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14:paraId="68FD51A6">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28.2</w:t>
      </w:r>
      <w:r>
        <w:rPr>
          <w:rFonts w:hint="eastAsia" w:ascii="宋体" w:hAnsi="宋体" w:eastAsia="宋体" w:cs="宋体"/>
          <w:color w:val="auto"/>
          <w:sz w:val="24"/>
          <w:szCs w:val="24"/>
          <w:highlight w:val="none"/>
          <w:u w:val="single"/>
        </w:rPr>
        <w:t>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该部分检验或试验费用由承包人承担。</w:t>
      </w:r>
    </w:p>
    <w:p w14:paraId="08EA71CF">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28.3</w:t>
      </w:r>
      <w:r>
        <w:rPr>
          <w:rFonts w:hint="eastAsia" w:ascii="宋体" w:hAnsi="宋体" w:eastAsia="宋体" w:cs="宋体"/>
          <w:color w:val="auto"/>
          <w:sz w:val="24"/>
          <w:szCs w:val="24"/>
          <w:highlight w:val="none"/>
          <w:u w:val="single"/>
        </w:rPr>
        <w:t>所有材料、设备报价必须报监理、业主同意后方可使用。</w:t>
      </w:r>
    </w:p>
    <w:p w14:paraId="062ECD3B">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八、工程变更</w:t>
      </w:r>
    </w:p>
    <w:p w14:paraId="4C08E872">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29、工程设计变更</w:t>
      </w:r>
    </w:p>
    <w:p w14:paraId="381AF7E9">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29.4</w:t>
      </w:r>
      <w:r>
        <w:rPr>
          <w:rFonts w:hint="eastAsia" w:ascii="宋体" w:hAnsi="宋体" w:eastAsia="宋体" w:cs="宋体"/>
          <w:color w:val="auto"/>
          <w:sz w:val="24"/>
          <w:szCs w:val="24"/>
          <w:highlight w:val="none"/>
          <w:u w:val="single"/>
        </w:rPr>
        <w:t>开工前，发包人组织承包人、监理单位、设计单位对施工图纸进行会审。</w:t>
      </w:r>
    </w:p>
    <w:p w14:paraId="64DA0FF5">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同时，如实施工程变更，承包人应以书面形式通知发包人和监理工程师，经监理工程师审查并报发包人同意后，由发包人与设计单位商定修改或变更设计方案进行实施。</w:t>
      </w:r>
    </w:p>
    <w:p w14:paraId="3498A497">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29.5</w:t>
      </w:r>
      <w:r>
        <w:rPr>
          <w:rFonts w:hint="eastAsia" w:ascii="宋体" w:hAnsi="宋体" w:eastAsia="宋体" w:cs="宋体"/>
          <w:color w:val="auto"/>
          <w:sz w:val="24"/>
          <w:szCs w:val="24"/>
          <w:highlight w:val="none"/>
          <w:u w:val="single"/>
        </w:rPr>
        <w:t>变更应由监理工程师发出变更指令，没有监理工程师的指令，承包人不得进行上述变更。</w:t>
      </w:r>
    </w:p>
    <w:p w14:paraId="61584E1B">
      <w:pPr>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29.6</w:t>
      </w:r>
      <w:r>
        <w:rPr>
          <w:rFonts w:hint="eastAsia" w:ascii="宋体" w:hAnsi="宋体" w:eastAsia="宋体" w:cs="宋体"/>
          <w:color w:val="auto"/>
          <w:sz w:val="24"/>
          <w:szCs w:val="24"/>
          <w:highlight w:val="none"/>
          <w:u w:val="single"/>
        </w:rPr>
        <w:t>按施工图纸实施使得工程量少于施工合同工程量清单中已确定或有规定的数量的，则该项工程量减少不需要任何指令。</w:t>
      </w:r>
    </w:p>
    <w:p w14:paraId="165235DC">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29.7</w:t>
      </w:r>
      <w:r>
        <w:rPr>
          <w:rFonts w:hint="eastAsia" w:ascii="宋体" w:hAnsi="宋体" w:eastAsia="宋体" w:cs="宋体"/>
          <w:color w:val="auto"/>
          <w:sz w:val="24"/>
          <w:szCs w:val="24"/>
          <w:highlight w:val="none"/>
          <w:u w:val="single"/>
        </w:rPr>
        <w:t>所有涉及工期和工程量的变更均应获得发包人书面批准才能生效。</w:t>
      </w:r>
    </w:p>
    <w:p w14:paraId="0A114739">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29.8 </w:t>
      </w:r>
      <w:r>
        <w:rPr>
          <w:rFonts w:hint="eastAsia" w:ascii="宋体" w:hAnsi="宋体" w:eastAsia="宋体" w:cs="宋体"/>
          <w:color w:val="auto"/>
          <w:sz w:val="24"/>
          <w:szCs w:val="24"/>
          <w:highlight w:val="none"/>
          <w:u w:val="single"/>
        </w:rPr>
        <w:t>当发包人提出变更通知，承包人认为产生了增加费用，承包人应在发包人提出通知要求后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p>
    <w:p w14:paraId="7979EC97">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29.9</w:t>
      </w:r>
      <w:r>
        <w:rPr>
          <w:rFonts w:hint="eastAsia" w:ascii="宋体" w:hAnsi="宋体" w:eastAsia="宋体" w:cs="宋体"/>
          <w:color w:val="auto"/>
          <w:sz w:val="24"/>
          <w:szCs w:val="24"/>
          <w:highlight w:val="none"/>
          <w:u w:val="single"/>
        </w:rPr>
        <w:t>工程变更申报程序按广州开发区、黄埔区以及建设业主的有关规定执行。</w:t>
      </w:r>
    </w:p>
    <w:p w14:paraId="7A2E2829">
      <w:pPr>
        <w:widowControl/>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29.10</w:t>
      </w:r>
      <w:r>
        <w:rPr>
          <w:rFonts w:hint="eastAsia" w:ascii="宋体" w:hAnsi="宋体" w:eastAsia="宋体" w:cs="宋体"/>
          <w:color w:val="auto"/>
          <w:sz w:val="24"/>
          <w:szCs w:val="24"/>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14:paraId="6EB6EA64">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30、其它变更</w:t>
      </w:r>
    </w:p>
    <w:p w14:paraId="5C082A6F">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30.1工程现场签证：</w:t>
      </w:r>
      <w:r>
        <w:rPr>
          <w:rFonts w:hint="eastAsia" w:ascii="宋体" w:hAnsi="宋体" w:eastAsia="宋体" w:cs="宋体"/>
          <w:color w:val="auto"/>
          <w:sz w:val="24"/>
          <w:szCs w:val="24"/>
          <w:highlight w:val="none"/>
          <w:u w:val="single"/>
        </w:rPr>
        <w:t>工程现场签证是指施工生产活动中用以证实在施工中遇到的某些特殊情况的一种书证明资料，一般指按承发包合同约定，由承发包双方代表就施工过程中涉及合同价款之外的责任事件所作的签认证明。</w:t>
      </w:r>
    </w:p>
    <w:p w14:paraId="3652B775">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承包人需对施工图纸进行会审，如需对工程量清单错漏进行确认，承包人需在前四分之一工期阶段内且最长不得超过中标通知书发出之日起6个月内向发包人提出，并按《广州开发区财政投资建设项目管理中心工程量清单错漏申报管理办法（202</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年）》（穗开建管〔202</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5</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14:paraId="0977F328">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u w:val="single"/>
        </w:rPr>
        <w:t>签证的计价：按招标文件及合同中关于工程变更的计价有关规定执行。</w:t>
      </w:r>
    </w:p>
    <w:p w14:paraId="615C0884">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30.3签证实施前所需的施工方案：</w:t>
      </w:r>
      <w:r>
        <w:rPr>
          <w:rFonts w:hint="eastAsia" w:ascii="宋体" w:hAnsi="宋体" w:eastAsia="宋体" w:cs="宋体"/>
          <w:color w:val="auto"/>
          <w:sz w:val="24"/>
          <w:szCs w:val="24"/>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p>
    <w:p w14:paraId="1CA8E1E4">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30.4</w:t>
      </w:r>
      <w:r>
        <w:rPr>
          <w:rFonts w:hint="eastAsia" w:ascii="宋体" w:hAnsi="宋体" w:eastAsia="宋体" w:cs="宋体"/>
          <w:color w:val="auto"/>
          <w:sz w:val="24"/>
          <w:szCs w:val="24"/>
          <w:highlight w:val="none"/>
          <w:u w:val="single"/>
        </w:rPr>
        <w:t>工程现场签证申报程序按广州开发区、黄埔区以及建设业主的有关规定执行。</w:t>
      </w:r>
    </w:p>
    <w:p w14:paraId="45886C4B">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31、确定变更价款</w:t>
      </w:r>
    </w:p>
    <w:p w14:paraId="5962DD51">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31.1承包人在工程变更确定后14天内，提出变更工程价款的报告，经工程师确认后调整合同价款。</w:t>
      </w:r>
      <w:r>
        <w:rPr>
          <w:rFonts w:hint="eastAsia" w:ascii="宋体" w:hAnsi="宋体" w:eastAsia="宋体" w:cs="宋体"/>
          <w:color w:val="auto"/>
          <w:sz w:val="24"/>
          <w:szCs w:val="24"/>
          <w:highlight w:val="none"/>
          <w:u w:val="single"/>
        </w:rPr>
        <w:t>变更合同价款确定原则按本合同相关约定执行。</w:t>
      </w:r>
    </w:p>
    <w:p w14:paraId="4546E863">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w:t>
      </w:r>
      <w:r>
        <w:rPr>
          <w:rFonts w:hint="eastAsia" w:ascii="宋体" w:hAnsi="宋体" w:eastAsia="宋体" w:cs="宋体"/>
          <w:color w:val="auto"/>
          <w:sz w:val="24"/>
          <w:szCs w:val="24"/>
          <w:highlight w:val="none"/>
          <w:u w:val="single"/>
        </w:rPr>
        <w:t>所有变更工程价款的报告必须按规定程序报发包人审核确认。</w:t>
      </w:r>
    </w:p>
    <w:p w14:paraId="3C31E4E0">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31.5</w:t>
      </w:r>
      <w:r>
        <w:rPr>
          <w:rFonts w:hint="eastAsia" w:ascii="宋体" w:hAnsi="宋体" w:eastAsia="宋体" w:cs="宋体"/>
          <w:color w:val="auto"/>
          <w:sz w:val="24"/>
          <w:szCs w:val="24"/>
          <w:highlight w:val="none"/>
          <w:u w:val="single"/>
        </w:rPr>
        <w:t>工程变更价款的支付按本合同相关约定支付。</w:t>
      </w:r>
    </w:p>
    <w:p w14:paraId="40E59E4D">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31.7 </w:t>
      </w:r>
      <w:r>
        <w:rPr>
          <w:rFonts w:hint="eastAsia" w:ascii="宋体" w:hAnsi="宋体" w:eastAsia="宋体" w:cs="宋体"/>
          <w:color w:val="auto"/>
          <w:sz w:val="24"/>
          <w:szCs w:val="24"/>
          <w:highlight w:val="none"/>
          <w:u w:val="single"/>
        </w:rPr>
        <w:t>发生上述规定的变更后，承包人在收到发包人变更通知的7天内按合同文件规定的计价方式内容编出变更工程建议送交监理单位。</w:t>
      </w:r>
    </w:p>
    <w:p w14:paraId="39811212">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31.8</w:t>
      </w:r>
      <w:r>
        <w:rPr>
          <w:rFonts w:hint="eastAsia" w:ascii="宋体" w:hAnsi="宋体" w:eastAsia="宋体" w:cs="宋体"/>
          <w:color w:val="auto"/>
          <w:sz w:val="24"/>
          <w:szCs w:val="24"/>
          <w:highlight w:val="none"/>
          <w:u w:val="single"/>
        </w:rPr>
        <w:t>在工程变更价款计算时，承包人应按招标文件相关规定编制变更工程的预算，提供变更依据及详细的计算资料，报监理单位和发包人批准。</w:t>
      </w:r>
    </w:p>
    <w:p w14:paraId="69570C0C">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31.9</w:t>
      </w:r>
      <w:r>
        <w:rPr>
          <w:rFonts w:hint="eastAsia" w:ascii="宋体" w:hAnsi="宋体" w:eastAsia="宋体" w:cs="宋体"/>
          <w:color w:val="auto"/>
          <w:sz w:val="24"/>
          <w:szCs w:val="24"/>
          <w:highlight w:val="none"/>
          <w:u w:val="single"/>
        </w:rPr>
        <w:t>工程变更、签证申报程序按广州开发区、黄埔区以及建设业主的有关规定执行。</w:t>
      </w:r>
    </w:p>
    <w:p w14:paraId="75A2D0E8">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九、竣工验收与结算</w:t>
      </w:r>
    </w:p>
    <w:p w14:paraId="66432B2D">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32、竣工验收</w:t>
      </w:r>
    </w:p>
    <w:p w14:paraId="5778DF3E">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32.1 承包人提供竣工图纸的约定：</w:t>
      </w:r>
      <w:r>
        <w:rPr>
          <w:rFonts w:hint="eastAsia" w:ascii="宋体" w:hAnsi="宋体" w:eastAsia="宋体" w:cs="宋体"/>
          <w:color w:val="auto"/>
          <w:sz w:val="24"/>
          <w:szCs w:val="24"/>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p>
    <w:p w14:paraId="3EDB4A28">
      <w:pPr>
        <w:snapToGrid w:val="0"/>
        <w:spacing w:line="4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32.6 中间交工工程的范围和竣工时间：</w:t>
      </w:r>
      <w:r>
        <w:rPr>
          <w:rFonts w:hint="eastAsia" w:ascii="宋体" w:hAnsi="宋体" w:eastAsia="宋体" w:cs="宋体"/>
          <w:color w:val="auto"/>
          <w:sz w:val="24"/>
          <w:szCs w:val="24"/>
          <w:highlight w:val="none"/>
          <w:u w:val="single"/>
        </w:rPr>
        <w:t xml:space="preserve">      /     </w:t>
      </w:r>
    </w:p>
    <w:p w14:paraId="67175C59">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33、竣工结算</w:t>
      </w:r>
    </w:p>
    <w:p w14:paraId="35D21638">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（1）承发包双方一致同意不适用</w:t>
      </w:r>
      <w:r>
        <w:rPr>
          <w:rFonts w:hint="eastAsia" w:ascii="宋体" w:hAnsi="宋体" w:eastAsia="宋体" w:cs="宋体"/>
          <w:color w:val="auto"/>
          <w:sz w:val="24"/>
          <w:szCs w:val="24"/>
          <w:highlight w:val="none"/>
          <w:u w:val="single"/>
        </w:rPr>
        <w:t>通用条款33.2款、33.3款、33.4款</w:t>
      </w:r>
      <w:r>
        <w:rPr>
          <w:rFonts w:hint="eastAsia" w:ascii="宋体" w:hAnsi="宋体" w:eastAsia="宋体" w:cs="宋体"/>
          <w:color w:val="auto"/>
          <w:sz w:val="24"/>
          <w:szCs w:val="24"/>
          <w:highlight w:val="none"/>
        </w:rPr>
        <w:t>。</w:t>
      </w:r>
    </w:p>
    <w:p w14:paraId="2C7DBE9B">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（2）竣工结算办法：</w:t>
      </w:r>
      <w:r>
        <w:rPr>
          <w:rFonts w:hint="eastAsia" w:ascii="宋体" w:hAnsi="宋体" w:eastAsia="宋体" w:cs="宋体"/>
          <w:color w:val="auto"/>
          <w:sz w:val="24"/>
          <w:szCs w:val="24"/>
          <w:highlight w:val="none"/>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eastAsia="宋体" w:cs="宋体"/>
          <w:color w:val="auto"/>
          <w:sz w:val="24"/>
          <w:szCs w:val="24"/>
          <w:highlight w:val="none"/>
        </w:rPr>
        <w:t>。</w:t>
      </w:r>
    </w:p>
    <w:p w14:paraId="7709ADAC">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（3）竣工结算提交时间：</w:t>
      </w:r>
      <w:r>
        <w:rPr>
          <w:rFonts w:hint="eastAsia" w:ascii="宋体" w:hAnsi="宋体" w:eastAsia="宋体" w:cs="宋体"/>
          <w:color w:val="auto"/>
          <w:sz w:val="24"/>
          <w:szCs w:val="24"/>
          <w:highlight w:val="none"/>
          <w:u w:val="single"/>
        </w:rPr>
        <w:t>承包人须按《广州开发区财政投资建设项目管理中心施工类合同结算编审指引（2024年修订稿）》（穗开建管【2024】65号）及区有关规定编制及办理建设项目工程结算</w:t>
      </w:r>
      <w:r>
        <w:rPr>
          <w:rFonts w:hint="eastAsia" w:ascii="宋体" w:hAnsi="宋体" w:eastAsia="宋体" w:cs="宋体"/>
          <w:color w:val="auto"/>
          <w:sz w:val="24"/>
          <w:szCs w:val="24"/>
          <w:highlight w:val="none"/>
        </w:rPr>
        <w:t>。</w:t>
      </w:r>
    </w:p>
    <w:p w14:paraId="7E4C408E">
      <w:pPr>
        <w:pStyle w:val="262"/>
        <w:spacing w:line="440" w:lineRule="exact"/>
        <w:ind w:firstLine="48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14:paraId="2C0358AD">
      <w:pPr>
        <w:pStyle w:val="262"/>
        <w:spacing w:line="44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（4）承包人应实事求是报审项目投资，编制项目竣工结算报告，如提交的施工合同结算，经财政评审后核减率超过10%的，超出部分产生的中介评审费用由承包人负担，在结算审核中予以扣除。</w:t>
      </w:r>
    </w:p>
    <w:p w14:paraId="58C0EA93">
      <w:pPr>
        <w:snapToGrid w:val="0"/>
        <w:spacing w:line="440" w:lineRule="exact"/>
        <w:ind w:firstLine="397"/>
        <w:rPr>
          <w:rFonts w:hint="eastAsia" w:ascii="宋体" w:hAnsi="宋体" w:eastAsia="宋体" w:cs="宋体"/>
          <w:color w:val="auto"/>
          <w:sz w:val="24"/>
          <w:szCs w:val="24"/>
          <w:highlight w:val="none"/>
          <w:u w:val="single"/>
        </w:rPr>
      </w:pPr>
    </w:p>
    <w:p w14:paraId="0CBCCC32">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十、违约、索赔和争议</w:t>
      </w:r>
    </w:p>
    <w:p w14:paraId="3E43C030">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35、违约</w:t>
      </w:r>
    </w:p>
    <w:p w14:paraId="27188AF4">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35.1本合同中关于发包人违约的具体责任如下：</w:t>
      </w:r>
    </w:p>
    <w:p w14:paraId="61108ABA">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本合同通用条款第35.1条约定发包人违约应承担的责任：</w:t>
      </w:r>
      <w:r>
        <w:rPr>
          <w:rFonts w:hint="eastAsia" w:ascii="宋体" w:hAnsi="宋体" w:eastAsia="宋体" w:cs="宋体"/>
          <w:color w:val="auto"/>
          <w:sz w:val="24"/>
          <w:szCs w:val="24"/>
          <w:highlight w:val="none"/>
          <w:u w:val="single"/>
        </w:rPr>
        <w:t>顺延工期，但不作费用赔偿</w:t>
      </w:r>
      <w:r>
        <w:rPr>
          <w:rFonts w:hint="eastAsia" w:ascii="宋体" w:hAnsi="宋体" w:eastAsia="宋体" w:cs="宋体"/>
          <w:color w:val="auto"/>
          <w:sz w:val="24"/>
          <w:szCs w:val="24"/>
          <w:highlight w:val="none"/>
        </w:rPr>
        <w:t>。</w:t>
      </w:r>
    </w:p>
    <w:p w14:paraId="3D5A165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双方约定的发包人其他违约责任：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631D053">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本合同中关于承包人违约的具体责任如下：</w:t>
      </w:r>
    </w:p>
    <w:p w14:paraId="1DB73D8D">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35.2.1工期延误的违约责任</w:t>
      </w:r>
    </w:p>
    <w:p w14:paraId="12C1BC44">
      <w:pPr>
        <w:spacing w:line="440" w:lineRule="exact"/>
        <w:ind w:firstLine="567"/>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（1）承包人未按发包人或监理单位开工令要求时间开工的，每迟延开工1天，应向发包人支付违约金5000元；迟延开工超过20天的，发包人有权根据实际情况单方面解除合同。</w:t>
      </w:r>
    </w:p>
    <w:p w14:paraId="218F1739">
      <w:pPr>
        <w:spacing w:line="440" w:lineRule="exact"/>
        <w:ind w:firstLine="567"/>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因承包人的原因造成工期延误，其中属节点工期延误，从延误的第一天起，每天支付违约金5000元，如在下一个节点赶回工期，可免除上述违约金。属总工期延误，从总工期延误的第一天起，每天支付违约金20000元。</w:t>
      </w:r>
      <w:r>
        <w:rPr>
          <w:rFonts w:hint="eastAsia" w:ascii="宋体" w:hAnsi="宋体" w:eastAsia="宋体" w:cs="宋体"/>
          <w:color w:val="auto"/>
          <w:sz w:val="24"/>
          <w:szCs w:val="24"/>
          <w:highlight w:val="none"/>
        </w:rPr>
        <w:t>延误工期超过20天的，发包人可视情况终止合同。</w:t>
      </w:r>
    </w:p>
    <w:p w14:paraId="4C20B482">
      <w:pPr>
        <w:spacing w:line="440" w:lineRule="exact"/>
        <w:ind w:firstLine="567"/>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备案。并由承包人承担相应的进度严重违约责任。</w:t>
      </w:r>
    </w:p>
    <w:p w14:paraId="44DC63B5">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(4）承包人承担的进度严重违约责任为：</w:t>
      </w:r>
    </w:p>
    <w:p w14:paraId="076CA0F5">
      <w:pPr>
        <w:spacing w:line="440" w:lineRule="exact"/>
        <w:ind w:firstLine="567"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如果承包人出现进度严重违约事件，则须无条件接受发包人终止合同，并在接到终止合同通知书之日起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14:paraId="12141D39">
      <w:pPr>
        <w:spacing w:line="440" w:lineRule="exact"/>
        <w:ind w:firstLine="567"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14:paraId="2EDDC427">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u w:val="none"/>
        </w:rPr>
        <w:t>（6）承包人违反合同专用条款的约定和发包人的规定，逾期完成竣工档案的整理、移交、送审备案工作的，每逾期1天，承包人支付违约金5000元。</w:t>
      </w:r>
    </w:p>
    <w:p w14:paraId="2C079EBD">
      <w:pPr>
        <w:adjustRightInd w:val="0"/>
        <w:snapToGrid w:val="0"/>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35.2.2</w:t>
      </w:r>
      <w:r>
        <w:rPr>
          <w:rFonts w:hint="eastAsia" w:ascii="宋体" w:hAnsi="宋体" w:eastAsia="宋体" w:cs="宋体"/>
          <w:color w:val="auto"/>
          <w:sz w:val="24"/>
          <w:szCs w:val="24"/>
          <w:highlight w:val="none"/>
          <w:u w:val="none"/>
        </w:rPr>
        <w:t>安全、文明施工要求及违约处理</w:t>
      </w:r>
    </w:p>
    <w:p w14:paraId="2723AA14">
      <w:pPr>
        <w:snapToGrid w:val="0"/>
        <w:spacing w:line="440" w:lineRule="exact"/>
        <w:ind w:firstLine="397"/>
        <w:rPr>
          <w:rFonts w:hint="eastAsia" w:ascii="宋体" w:hAnsi="宋体" w:eastAsia="宋体" w:cs="宋体"/>
          <w:b/>
          <w:bCs/>
          <w:i w:val="0"/>
          <w:iCs w:val="0"/>
          <w:caps w:val="0"/>
          <w:color w:val="auto"/>
          <w:spacing w:val="0"/>
          <w:sz w:val="24"/>
          <w:szCs w:val="24"/>
          <w:highlight w:val="none"/>
          <w:shd w:val="clear" w:color="auto" w:fill="DDEEEE"/>
          <w:lang w:val="en-US" w:eastAsia="zh-CN"/>
        </w:rPr>
      </w:pPr>
      <w:r>
        <w:rPr>
          <w:rFonts w:hint="eastAsia" w:ascii="宋体" w:hAnsi="宋体" w:eastAsia="宋体" w:cs="宋体"/>
          <w:color w:val="auto"/>
          <w:sz w:val="24"/>
          <w:szCs w:val="24"/>
          <w:highlight w:val="none"/>
          <w:u w:val="none"/>
          <w:lang w:val="en-US" w:eastAsia="zh-CN"/>
        </w:rPr>
        <w:t>（1）承包人必须按本合同的约定编制施工组织设计（施工方案、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、包括安全文明施工措施）或不按照施工组织设计（施工方案，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、包括安全文明施工措施）施工，则发包人将扣减更改部分的造价（该造价按广东省相关综合定额和取费标准计算，不下浮）；同时，每擅自更改一次，承包人需支付10000元人民币违约金给发包人。</w:t>
      </w:r>
    </w:p>
    <w:p w14:paraId="77CA3453">
      <w:pPr>
        <w:adjustRightInd w:val="0"/>
        <w:spacing w:line="440" w:lineRule="exact"/>
        <w:ind w:right="11"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p>
    <w:p w14:paraId="6766525C">
      <w:pPr>
        <w:snapToGrid w:val="0"/>
        <w:spacing w:line="440" w:lineRule="exact"/>
        <w:ind w:firstLine="360" w:firstLineChars="1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14:paraId="4C3BD698">
      <w:pPr>
        <w:adjustRightInd w:val="0"/>
        <w:spacing w:line="440" w:lineRule="exact"/>
        <w:ind w:firstLine="480" w:firstLineChars="200"/>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rPr>
        <w:t>(4）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14:paraId="2C2EAE31">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在本工程余泥渣土清运施工和建筑垃圾排放运输时，承包人必须严格执行《广州市建筑废弃物管理条例（2015年修正本）》、《广州市市容环境卫生管理规定》、《广州市建设工程现场文明施工管理办法》《关于加强施工现场余泥渣土排放管理工作的通知》（穗建筑【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14:paraId="25DF719D">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（6）经发包人或监理单位抽查发现承包人违反合同专用条款的约定，其技术管理人员或施工作业人员没有佩带平安卡的，承包人按每人次1000元的标准向发包人支付违约金并立即改正。</w:t>
      </w:r>
    </w:p>
    <w:p w14:paraId="6AC3DCE0">
      <w:pPr>
        <w:adjustRightInd w:val="0"/>
        <w:snapToGrid w:val="0"/>
        <w:spacing w:line="440" w:lineRule="exact"/>
        <w:ind w:right="11"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35.2.3</w:t>
      </w:r>
      <w:r>
        <w:rPr>
          <w:rFonts w:hint="eastAsia" w:ascii="宋体" w:hAnsi="宋体" w:eastAsia="宋体" w:cs="宋体"/>
          <w:color w:val="auto"/>
          <w:sz w:val="24"/>
          <w:szCs w:val="24"/>
          <w:highlight w:val="none"/>
          <w:u w:val="none"/>
        </w:rPr>
        <w:t>工程质量方面的违约责任</w:t>
      </w:r>
    </w:p>
    <w:p w14:paraId="34410412">
      <w:pPr>
        <w:numPr>
          <w:ilvl w:val="0"/>
          <w:numId w:val="16"/>
        </w:num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p>
    <w:p w14:paraId="03DC9C22">
      <w:pPr>
        <w:pStyle w:val="30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（2）工程质量标准要求达到“广东省建筑工程优质奖”的质量标准而未达到的：如达到了“广州市优良样板工程”的质量标准的，承包人需按本合同工程中可申报评优部分工程结算价的0.3%承担违约金；未达到 “广州市优良样板工程”的质量标准的，承包人需按本合同工程中可申报评优部分工程结算价的1.5%承担违约金。</w:t>
      </w:r>
    </w:p>
    <w:p w14:paraId="1DAC9412">
      <w:pPr>
        <w:pStyle w:val="30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工程质量标准要求达到“广州市优良样板工程”的质量标准而未达到的，承包人需按本合同工程中可申报评优部分工程结算价的1.2%承担违约金。</w:t>
      </w:r>
    </w:p>
    <w:p w14:paraId="6434A596">
      <w:pPr>
        <w:pStyle w:val="30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上述违约金由发包人直接从工程结算款中扣减。因非承包人原因导致本工程未能达到要求的工程质量标准的除外。</w:t>
      </w:r>
    </w:p>
    <w:p w14:paraId="48F2DA11">
      <w:pPr>
        <w:spacing w:line="44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2E825ACA">
      <w:pPr>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（4）对施工质量问题存在争议，应请国家认可的第三方机构出具检测报告，检测费用由责任方承担。</w:t>
      </w:r>
    </w:p>
    <w:p w14:paraId="30D575FC">
      <w:pPr>
        <w:adjustRightInd w:val="0"/>
        <w:spacing w:line="440" w:lineRule="exact"/>
        <w:ind w:right="11"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35.2.4关于第三方质量安全评估的违约责任：</w:t>
      </w:r>
    </w:p>
    <w:p w14:paraId="10F10E7B">
      <w:pPr>
        <w:adjustRightInd w:val="0"/>
        <w:spacing w:line="440" w:lineRule="exact"/>
        <w:ind w:right="11"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应严格遵守中心制定的建设工程第三方质量安全评估服务相关管理办法，配合完成第三方质量安全评估工作。根据每次评估结果，经评估确定为一般违约情况的，承包人每次应支付10000元违约金给发包人；经评估确定为严重违约情况的，承包人每次应支付50000元违约金给发包人。</w:t>
      </w:r>
    </w:p>
    <w:p w14:paraId="40F26D9D">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35.2.5</w:t>
      </w:r>
      <w:r>
        <w:rPr>
          <w:rFonts w:hint="eastAsia" w:ascii="宋体" w:hAnsi="宋体" w:eastAsia="宋体" w:cs="宋体"/>
          <w:color w:val="auto"/>
          <w:sz w:val="24"/>
          <w:szCs w:val="24"/>
          <w:highlight w:val="none"/>
          <w:u w:val="none"/>
        </w:rPr>
        <w:t>关于农民工工资支付的违约责任</w:t>
      </w:r>
    </w:p>
    <w:p w14:paraId="048155EB">
      <w:pPr>
        <w:adjustRightInd w:val="0"/>
        <w:spacing w:line="440" w:lineRule="exact"/>
        <w:ind w:right="11"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拖欠农民工工资（含代发的分包单位工人工资），被农民工投诉属实的，承包人必须在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14:paraId="5B89383D">
      <w:pPr>
        <w:pStyle w:val="261"/>
        <w:snapToGrid w:val="0"/>
        <w:spacing w:line="440" w:lineRule="exact"/>
        <w:ind w:firstLine="397"/>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35.2.6</w:t>
      </w:r>
      <w:r>
        <w:rPr>
          <w:rFonts w:hint="eastAsia" w:ascii="宋体" w:hAnsi="宋体" w:eastAsia="宋体" w:cs="宋体"/>
          <w:color w:val="auto"/>
          <w:sz w:val="24"/>
          <w:szCs w:val="24"/>
          <w:highlight w:val="none"/>
          <w:u w:val="none"/>
        </w:rPr>
        <w:t>项目管理机构人员、机械设备、劳动力到位方面的违约责任：</w:t>
      </w:r>
    </w:p>
    <w:p w14:paraId="16FB6593">
      <w:pPr>
        <w:pStyle w:val="261"/>
        <w:numPr>
          <w:ilvl w:val="0"/>
          <w:numId w:val="17"/>
        </w:numPr>
        <w:snapToGrid w:val="0"/>
        <w:spacing w:line="440" w:lineRule="exact"/>
        <w:ind w:firstLine="397"/>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但征得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14:paraId="0A417638">
      <w:pPr>
        <w:pStyle w:val="261"/>
        <w:snapToGrid w:val="0"/>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none"/>
        </w:rPr>
        <w:t>如果承包人未按投标文件中的《拟投入本工程施工的主要机械设备配备表》投入机械设备，经监理工程师或发包人代表检查发现的，将书面告知限期整改，未在限期内完成整改的，每延期一天，承包人需支付10000元违约金给发包人。且承包人应按照本合同相关约定投入相应比例的新能源工程车，否则发包人有权要求其限期整改，逾期不整改的，每缺少提供一台，承包人支付违约金20000元/台。</w:t>
      </w:r>
    </w:p>
    <w:p w14:paraId="6C1E9697">
      <w:pPr>
        <w:pStyle w:val="261"/>
        <w:snapToGrid w:val="0"/>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（3）如果承包人未投标文件中的人力投入计划投入人力，经监理工程师和发包人代表检查发现的，每发现一次，承包人支付10000元违约金给发包人。</w:t>
      </w:r>
    </w:p>
    <w:p w14:paraId="5775B565">
      <w:pPr>
        <w:pStyle w:val="261"/>
        <w:snapToGrid w:val="0"/>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p>
    <w:p w14:paraId="2F85D817">
      <w:pPr>
        <w:pStyle w:val="261"/>
        <w:snapToGrid w:val="0"/>
        <w:spacing w:line="440" w:lineRule="exact"/>
        <w:ind w:firstLine="397"/>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承包人的项目负责人、技术负责人、安全负责人、质量负责人、防火负责人等必须常驻施工现场，且须无条件参加每周的工地例会以及发包人书面通知的其它会议，如有缺席，则每人每缺席一次，承包人需支付5000元人民币违约金。</w:t>
      </w:r>
    </w:p>
    <w:p w14:paraId="17E6C3CB">
      <w:pPr>
        <w:spacing w:line="44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    35.2.7</w:t>
      </w:r>
      <w:r>
        <w:rPr>
          <w:rFonts w:hint="eastAsia" w:ascii="宋体" w:hAnsi="宋体" w:eastAsia="宋体" w:cs="宋体"/>
          <w:color w:val="auto"/>
          <w:sz w:val="24"/>
          <w:szCs w:val="24"/>
          <w:highlight w:val="none"/>
          <w:u w:val="none"/>
        </w:rPr>
        <w:t>工程转包违约责任</w:t>
      </w:r>
    </w:p>
    <w:p w14:paraId="6866B36D">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14:paraId="677BB42E">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合同约定的工程项目承包人不得转包，必须分包的少量子项工程和专业工程，承包人应按招标文件、投标文件要求向小微企业工程分包（分包意向协议约定小微企业的合同份额占到合同总金额30%以上的）。并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发包人有权将承包人列入黑名单，拒绝承包人在一年内参与发包人后续项目投标，且发包人将上报建设主管部门，对承包人违法行为进行处罚。</w:t>
      </w:r>
    </w:p>
    <w:p w14:paraId="241A7BF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35.2.8解除合同的违约责任</w:t>
      </w:r>
    </w:p>
    <w:p w14:paraId="0D65FAA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35.2.8.1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59E5F9C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35.2.8.2不适用通用条款44.6条的约定。</w:t>
      </w:r>
    </w:p>
    <w:p w14:paraId="06374E1B">
      <w:pPr>
        <w:pStyle w:val="311"/>
        <w:tabs>
          <w:tab w:val="left" w:pos="8280"/>
        </w:tabs>
        <w:spacing w:line="440" w:lineRule="exact"/>
        <w:ind w:right="28" w:firstLine="480" w:firstLineChars="200"/>
        <w:rPr>
          <w:rFonts w:hint="eastAsia" w:ascii="宋体" w:hAnsi="宋体" w:eastAsia="宋体" w:cs="宋体"/>
          <w:bCs/>
          <w:snapToGrid w:val="0"/>
          <w:color w:val="auto"/>
          <w:kern w:val="0"/>
          <w:sz w:val="24"/>
          <w:szCs w:val="24"/>
          <w:highlight w:val="none"/>
          <w:u w:val="none"/>
        </w:rPr>
      </w:pPr>
      <w:r>
        <w:rPr>
          <w:rFonts w:hint="eastAsia" w:ascii="宋体" w:hAnsi="宋体" w:eastAsia="宋体" w:cs="宋体"/>
          <w:bCs/>
          <w:snapToGrid w:val="0"/>
          <w:color w:val="auto"/>
          <w:kern w:val="0"/>
          <w:sz w:val="24"/>
          <w:szCs w:val="24"/>
          <w:highlight w:val="none"/>
        </w:rPr>
        <w:t>35.2.9</w:t>
      </w:r>
      <w:r>
        <w:rPr>
          <w:rFonts w:hint="eastAsia" w:ascii="宋体" w:hAnsi="宋体" w:eastAsia="宋体" w:cs="宋体"/>
          <w:bCs/>
          <w:snapToGrid w:val="0"/>
          <w:color w:val="auto"/>
          <w:kern w:val="0"/>
          <w:sz w:val="24"/>
          <w:szCs w:val="24"/>
          <w:highlight w:val="none"/>
          <w:u w:val="none"/>
        </w:rPr>
        <w:t>办理结算的违约责任：</w:t>
      </w:r>
    </w:p>
    <w:p w14:paraId="65D52241">
      <w:pPr>
        <w:pStyle w:val="311"/>
        <w:tabs>
          <w:tab w:val="left" w:pos="8280"/>
        </w:tabs>
        <w:spacing w:line="440" w:lineRule="exact"/>
        <w:ind w:right="28" w:firstLine="480" w:firstLineChars="200"/>
        <w:rPr>
          <w:rFonts w:hint="eastAsia" w:ascii="宋体" w:hAnsi="宋体" w:eastAsia="宋体" w:cs="宋体"/>
          <w:bCs/>
          <w:snapToGrid w:val="0"/>
          <w:color w:val="auto"/>
          <w:kern w:val="0"/>
          <w:sz w:val="24"/>
          <w:szCs w:val="24"/>
          <w:highlight w:val="none"/>
          <w:u w:val="none"/>
        </w:rPr>
      </w:pPr>
      <w:r>
        <w:rPr>
          <w:rFonts w:hint="eastAsia" w:ascii="宋体" w:hAnsi="宋体" w:eastAsia="宋体" w:cs="宋体"/>
          <w:bCs/>
          <w:snapToGrid w:val="0"/>
          <w:color w:val="auto"/>
          <w:kern w:val="0"/>
          <w:sz w:val="24"/>
          <w:szCs w:val="24"/>
          <w:highlight w:val="none"/>
          <w:u w:val="none"/>
        </w:rPr>
        <w:t>承包人不执行</w:t>
      </w:r>
      <w:r>
        <w:rPr>
          <w:rFonts w:hint="eastAsia" w:ascii="宋体" w:hAnsi="宋体" w:eastAsia="宋体" w:cs="宋体"/>
          <w:color w:val="auto"/>
          <w:sz w:val="24"/>
          <w:szCs w:val="24"/>
          <w:highlight w:val="none"/>
          <w:u w:val="single"/>
        </w:rPr>
        <w:t>《广州开发区财政投资建设项目管理中心施工类合同结算编审指引（2024年修订稿）》（穗开建管【2024】65号）</w:t>
      </w:r>
      <w:r>
        <w:rPr>
          <w:rFonts w:hint="eastAsia" w:ascii="宋体" w:hAnsi="宋体" w:eastAsia="宋体" w:cs="宋体"/>
          <w:bCs/>
          <w:snapToGrid w:val="0"/>
          <w:color w:val="auto"/>
          <w:kern w:val="0"/>
          <w:sz w:val="24"/>
          <w:szCs w:val="24"/>
          <w:highlight w:val="none"/>
          <w:u w:val="none"/>
        </w:rPr>
        <w:t>有关规定的，须按该指引有关规定承担违约责任。</w:t>
      </w:r>
    </w:p>
    <w:p w14:paraId="3738ACAB">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35.2.10</w:t>
      </w:r>
      <w:r>
        <w:rPr>
          <w:rFonts w:hint="eastAsia" w:ascii="宋体" w:hAnsi="宋体" w:eastAsia="宋体" w:cs="宋体"/>
          <w:color w:val="auto"/>
          <w:sz w:val="24"/>
          <w:szCs w:val="24"/>
          <w:highlight w:val="none"/>
          <w:u w:val="none"/>
        </w:rPr>
        <w:t xml:space="preserve"> 除上述违约责任外，因承包人履行本合同不符合约定或相关规定，发包人可根据实际情况，给予承包人通报批评及作不良记录等处罚措施；情节严重的，可报请上级行政主管部门给予相应处罚。</w:t>
      </w:r>
    </w:p>
    <w:p w14:paraId="648B5A61">
      <w:pPr>
        <w:adjustRightInd w:val="0"/>
        <w:snapToGrid w:val="0"/>
        <w:spacing w:line="440" w:lineRule="exact"/>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35.2.11承包人违约责任的认定方式、送达程序及违约金的处理</w:t>
      </w:r>
    </w:p>
    <w:p w14:paraId="25BE5883">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（1）认定方式：以发包人发出的通知、通报、会议纪要等书面文件确定的内容为准。</w:t>
      </w:r>
    </w:p>
    <w:p w14:paraId="34C1FB62">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（2）送达程序：发包人以下列方式之一将书面违约处理决定送达承包人：</w:t>
      </w:r>
    </w:p>
    <w:p w14:paraId="5D90F97D">
      <w:pPr>
        <w:adjustRightInd w:val="0"/>
        <w:snapToGrid w:val="0"/>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1）承包人现场管理机构工作人员签收。</w:t>
      </w:r>
    </w:p>
    <w:p w14:paraId="71B4578D">
      <w:pPr>
        <w:adjustRightInd w:val="0"/>
        <w:snapToGrid w:val="0"/>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2）承包人其他工作人员签收。</w:t>
      </w:r>
    </w:p>
    <w:p w14:paraId="3FD49D2E">
      <w:pPr>
        <w:adjustRightInd w:val="0"/>
        <w:snapToGrid w:val="0"/>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3）发包人邮寄送达。</w:t>
      </w:r>
    </w:p>
    <w:p w14:paraId="51FB7890">
      <w:pPr>
        <w:adjustRightInd w:val="0"/>
        <w:snapToGrid w:val="0"/>
        <w:spacing w:line="440" w:lineRule="exact"/>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28D9FB58">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37、争议</w:t>
      </w:r>
    </w:p>
    <w:p w14:paraId="253259EB">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 双方约定，在履行合同过程中产生争议时：</w:t>
      </w:r>
    </w:p>
    <w:p w14:paraId="0AE7C10B">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（1）由双方协商解决；</w:t>
      </w:r>
    </w:p>
    <w:p w14:paraId="5A41C20F">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（2）协商不成的，向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人民法院提起诉讼。</w:t>
      </w:r>
    </w:p>
    <w:p w14:paraId="23880305">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十一、其他</w:t>
      </w:r>
    </w:p>
    <w:p w14:paraId="3AFF9A4E">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38、工程分包</w:t>
      </w:r>
    </w:p>
    <w:p w14:paraId="23A9902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14:paraId="41FC1707">
      <w:pPr>
        <w:numPr>
          <w:ilvl w:val="0"/>
          <w:numId w:val="17"/>
        </w:numPr>
        <w:snapToGrid w:val="0"/>
        <w:spacing w:line="440" w:lineRule="exact"/>
        <w:ind w:left="0" w:leftChars="0" w:firstLine="397"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承包人向一家或者多家小微施工企业分包的合同份额为合同总金额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14:paraId="3C057A37">
      <w:pPr>
        <w:numPr>
          <w:ilvl w:val="0"/>
          <w:numId w:val="0"/>
        </w:numPr>
        <w:snapToGrid w:val="0"/>
        <w:spacing w:line="440" w:lineRule="exact"/>
        <w:ind w:left="397"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14:paraId="02CBC088">
      <w:pPr>
        <w:snapToGrid w:val="0"/>
        <w:spacing w:line="440" w:lineRule="exact"/>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39、不可抗力</w:t>
      </w:r>
    </w:p>
    <w:p w14:paraId="0BF9DECC">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双方关于不可抗力的约定： 按本合同通用条款执行。自然灾害的范围及其认定方式，按下述约定执行：</w:t>
      </w:r>
    </w:p>
    <w:p w14:paraId="328D94A4">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14:paraId="313617F7">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（2）里氏5级（含本数）以上地震。</w:t>
      </w:r>
    </w:p>
    <w:p w14:paraId="17A4C1D9">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39.3双方关于不可抗力事件导致的</w:t>
      </w:r>
      <w:r>
        <w:rPr>
          <w:rFonts w:hint="eastAsia" w:ascii="宋体" w:hAnsi="宋体" w:eastAsia="宋体" w:cs="宋体"/>
          <w:color w:val="auto"/>
          <w:sz w:val="24"/>
          <w:szCs w:val="24"/>
          <w:highlight w:val="none"/>
          <w:u w:val="single"/>
        </w:rPr>
        <w:t>费用承担按本专用条款12.3款约定执行。</w:t>
      </w:r>
    </w:p>
    <w:p w14:paraId="62FE895C">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40、保险</w:t>
      </w:r>
    </w:p>
    <w:p w14:paraId="5FA7AB1F">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40.2承包人对其运至施工场地内用于工程的材料和待安装设备办理保险并支付保险费用。</w:t>
      </w:r>
    </w:p>
    <w:p w14:paraId="3004DC4E">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 本工程双方约定投保内容如下</w:t>
      </w:r>
    </w:p>
    <w:p w14:paraId="7DB62D05">
      <w:pPr>
        <w:tabs>
          <w:tab w:val="left" w:pos="960"/>
          <w:tab w:val="left" w:pos="1080"/>
        </w:tabs>
        <w:snapToGrid w:val="0"/>
        <w:spacing w:line="440" w:lineRule="exact"/>
        <w:ind w:left="397"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（一）发包人投保内容：</w:t>
      </w:r>
      <w:r>
        <w:rPr>
          <w:rFonts w:hint="eastAsia" w:ascii="宋体" w:hAnsi="宋体" w:eastAsia="宋体" w:cs="宋体"/>
          <w:color w:val="auto"/>
          <w:sz w:val="24"/>
          <w:szCs w:val="24"/>
          <w:highlight w:val="none"/>
          <w:u w:val="single"/>
        </w:rPr>
        <w:t>按广州市建设项目劳动保险相关规定投保</w:t>
      </w:r>
      <w:r>
        <w:rPr>
          <w:rFonts w:hint="eastAsia" w:ascii="宋体" w:hAnsi="宋体" w:eastAsia="宋体" w:cs="宋体"/>
          <w:color w:val="auto"/>
          <w:sz w:val="24"/>
          <w:szCs w:val="24"/>
          <w:highlight w:val="none"/>
        </w:rPr>
        <w:t>。</w:t>
      </w:r>
    </w:p>
    <w:p w14:paraId="2CC8D3F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发包人委托承包人办理的保险事项：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80EC54">
      <w:pPr>
        <w:tabs>
          <w:tab w:val="left" w:pos="960"/>
          <w:tab w:val="left" w:pos="1080"/>
        </w:tabs>
        <w:snapToGrid w:val="0"/>
        <w:spacing w:line="440" w:lineRule="exact"/>
        <w:ind w:left="397"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（二）承包人投保内容：</w:t>
      </w:r>
      <w:r>
        <w:rPr>
          <w:rFonts w:hint="eastAsia" w:ascii="宋体" w:hAnsi="宋体" w:eastAsia="宋体" w:cs="宋体"/>
          <w:color w:val="auto"/>
          <w:sz w:val="24"/>
          <w:szCs w:val="24"/>
          <w:highlight w:val="none"/>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p>
    <w:p w14:paraId="240BA3F7">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41、担保</w:t>
      </w:r>
    </w:p>
    <w:p w14:paraId="71A39605">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本工程双方约定担保事项如下：</w:t>
      </w:r>
    </w:p>
    <w:p w14:paraId="01F47B22">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（1）发包人向承包人提供支付担保，担保方式为：支付担保保函。</w:t>
      </w:r>
    </w:p>
    <w:p w14:paraId="6DFCABC2">
      <w:pPr>
        <w:snapToGrid w:val="0"/>
        <w:spacing w:line="440" w:lineRule="exact"/>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（2）承包人按如下方式向发包人提供履约担保：</w:t>
      </w:r>
    </w:p>
    <w:p w14:paraId="1C691539">
      <w:pPr>
        <w:snapToGrid w:val="0"/>
        <w:spacing w:line="440" w:lineRule="exact"/>
        <w:ind w:firstLine="516" w:firstLineChars="2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履约担保：承包人向发包人提交担保金额为中标价10%的履约担保，担保形式执行《关于规范招投标领域工程建设保证金收取有关工作的通知》（粤发改法规函〔2022〕1178 号）规定。担保到期但工程尚未验收的，承包人应自觉办理担保延期手续，确保担保期限不出现空缺，否则，发包人不予支付工程款。</w:t>
      </w:r>
    </w:p>
    <w:p w14:paraId="027BDCF4">
      <w:pPr>
        <w:snapToGrid w:val="0"/>
        <w:spacing w:line="440" w:lineRule="exact"/>
        <w:ind w:firstLine="516" w:firstLineChars="2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首次办理履约担保，如合同工期低于1 年的，担保期限可按合同工期，如合同工期高于1年的，担保期限不低于1 年。</w:t>
      </w:r>
    </w:p>
    <w:p w14:paraId="7409A576">
      <w:pPr>
        <w:snapToGrid w:val="0"/>
        <w:spacing w:line="440" w:lineRule="exact"/>
        <w:ind w:firstLine="516" w:firstLineChars="2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履约担保办理延期手续时，若项目的完成工程量不足一半，担保金额按中标价的10%；若项目的完成工程量超过一半，担保金额可按中标价的5%；其他特殊情况需调整的，需报发包人审议同意。</w:t>
      </w:r>
    </w:p>
    <w:p w14:paraId="6BA35662">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履约担保</w:t>
      </w:r>
      <w:r>
        <w:rPr>
          <w:rFonts w:hint="eastAsia" w:ascii="宋体" w:hAnsi="宋体" w:eastAsia="宋体" w:cs="宋体"/>
          <w:color w:val="auto"/>
          <w:sz w:val="24"/>
          <w:szCs w:val="24"/>
          <w:highlight w:val="none"/>
          <w:u w:val="single"/>
        </w:rPr>
        <w:t>的管理和格式按《广州开发区财政投资建设项目管理中心建设工程履约担保管理细则（2025修订版）》执行。</w:t>
      </w:r>
    </w:p>
    <w:p w14:paraId="30A206E7">
      <w:pPr>
        <w:snapToGrid w:val="0"/>
        <w:spacing w:line="440" w:lineRule="exact"/>
        <w:ind w:firstLine="516" w:firstLineChars="2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履约担保的返还方式：在工程</w:t>
      </w:r>
      <w:r>
        <w:rPr>
          <w:rFonts w:hint="eastAsia" w:ascii="宋体" w:hAnsi="宋体" w:eastAsia="宋体" w:cs="宋体"/>
          <w:color w:val="auto"/>
          <w:sz w:val="24"/>
          <w:szCs w:val="24"/>
          <w:highlight w:val="none"/>
          <w:lang w:val="en-US" w:eastAsia="zh-CN"/>
        </w:rPr>
        <w:t>竣工</w:t>
      </w:r>
      <w:r>
        <w:rPr>
          <w:rFonts w:hint="eastAsia" w:ascii="宋体" w:hAnsi="宋体" w:eastAsia="宋体" w:cs="宋体"/>
          <w:color w:val="auto"/>
          <w:sz w:val="24"/>
          <w:szCs w:val="24"/>
          <w:highlight w:val="none"/>
        </w:rPr>
        <w:t>验收合格后返还承包人。</w:t>
      </w:r>
    </w:p>
    <w:p w14:paraId="2B797B98">
      <w:pPr>
        <w:snapToGrid w:val="0"/>
        <w:spacing w:line="440" w:lineRule="exact"/>
        <w:ind w:firstLine="516" w:firstLineChars="2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4B799D16">
      <w:pPr>
        <w:snapToGrid w:val="0"/>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46、合同份数</w:t>
      </w:r>
    </w:p>
    <w:p w14:paraId="4E10DF5B">
      <w:pPr>
        <w:snapToGrid w:val="0"/>
        <w:spacing w:line="440" w:lineRule="exact"/>
        <w:ind w:firstLine="3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46.1 双方约定合同正副本份数：</w:t>
      </w:r>
      <w:r>
        <w:rPr>
          <w:rFonts w:hint="eastAsia" w:ascii="宋体" w:hAnsi="宋体" w:eastAsia="宋体" w:cs="宋体"/>
          <w:color w:val="auto"/>
          <w:sz w:val="24"/>
          <w:szCs w:val="24"/>
          <w:highlight w:val="none"/>
          <w:u w:val="single"/>
        </w:rPr>
        <w:t>共十份，正本一式二份，发包人承包人各执一份；副本共八份，发包人四份，承包人四份（含监理人一份）</w:t>
      </w:r>
      <w:r>
        <w:rPr>
          <w:rFonts w:hint="eastAsia" w:ascii="宋体" w:hAnsi="宋体" w:eastAsia="宋体" w:cs="宋体"/>
          <w:color w:val="auto"/>
          <w:sz w:val="24"/>
          <w:szCs w:val="24"/>
          <w:highlight w:val="none"/>
          <w:u w:val="none"/>
        </w:rPr>
        <w:t>。</w:t>
      </w:r>
    </w:p>
    <w:p w14:paraId="6946E8D8">
      <w:pPr>
        <w:spacing w:line="440" w:lineRule="exact"/>
        <w:ind w:firstLine="3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47、补充条款</w:t>
      </w:r>
    </w:p>
    <w:p w14:paraId="556395F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安全、文明、科学、规范的施工要求</w:t>
      </w:r>
      <w:r>
        <w:rPr>
          <w:rFonts w:hint="eastAsia" w:ascii="宋体" w:hAnsi="宋体" w:eastAsia="宋体" w:cs="宋体"/>
          <w:color w:val="auto"/>
          <w:sz w:val="24"/>
          <w:szCs w:val="24"/>
          <w:highlight w:val="none"/>
        </w:rPr>
        <w:t>）</w:t>
      </w:r>
    </w:p>
    <w:p w14:paraId="0C08C884">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47.1</w:t>
      </w:r>
      <w:r>
        <w:rPr>
          <w:rFonts w:hint="eastAsia" w:ascii="宋体" w:hAnsi="宋体" w:eastAsia="宋体" w:cs="宋体"/>
          <w:color w:val="auto"/>
          <w:sz w:val="24"/>
          <w:szCs w:val="24"/>
          <w:highlight w:val="none"/>
          <w:u w:val="none"/>
        </w:rPr>
        <w:t>承包人在开工前，必须按照广州市、开发区有关要求办理好相应的施工手续方可开工。</w:t>
      </w:r>
    </w:p>
    <w:p w14:paraId="3058BB20">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47.2</w:t>
      </w:r>
      <w:r>
        <w:rPr>
          <w:rFonts w:hint="eastAsia" w:ascii="宋体" w:hAnsi="宋体" w:eastAsia="宋体" w:cs="宋体"/>
          <w:color w:val="auto"/>
          <w:sz w:val="24"/>
          <w:szCs w:val="24"/>
          <w:highlight w:val="none"/>
          <w:u w:val="none"/>
        </w:rPr>
        <w:t>施工范围的具体位置及可交付承包人施工安排的用地范围，由承包人根据现场勘察情况报发包人同意确定，建筑轴线控制基点由承包人联系规划局提供。</w:t>
      </w:r>
    </w:p>
    <w:p w14:paraId="472A730F">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47.3</w:t>
      </w:r>
      <w:r>
        <w:rPr>
          <w:rFonts w:hint="eastAsia" w:ascii="宋体" w:hAnsi="宋体" w:eastAsia="宋体" w:cs="宋体"/>
          <w:color w:val="auto"/>
          <w:sz w:val="24"/>
          <w:szCs w:val="24"/>
          <w:highlight w:val="none"/>
          <w:u w:val="non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14:paraId="0AE18AA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47.4</w:t>
      </w:r>
      <w:r>
        <w:rPr>
          <w:rFonts w:hint="eastAsia" w:ascii="宋体" w:hAnsi="宋体" w:eastAsia="宋体" w:cs="宋体"/>
          <w:color w:val="auto"/>
          <w:sz w:val="24"/>
          <w:szCs w:val="24"/>
          <w:highlight w:val="none"/>
          <w:u w:val="none"/>
        </w:rPr>
        <w:t>承包人在施工期间要确保工程外场地清洁及道路畅通，如须使用他方道路，则还必须负责养护、保洁责任，否则责任自负。施工和警示标志明显，因施工造成人身损害和财产损失的，由承包人承担责任。</w:t>
      </w:r>
    </w:p>
    <w:p w14:paraId="1B15B096">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47.5</w:t>
      </w:r>
      <w:r>
        <w:rPr>
          <w:rFonts w:hint="eastAsia" w:ascii="宋体" w:hAnsi="宋体" w:eastAsia="宋体" w:cs="宋体"/>
          <w:color w:val="auto"/>
          <w:sz w:val="24"/>
          <w:szCs w:val="24"/>
          <w:highlight w:val="none"/>
          <w:u w:val="none"/>
        </w:rPr>
        <w:t>承包人必须考虑安全、环保等因素在局部施工范围进行围蔽施工，现场围蔽不符合国家有关安全措施及技术要求的，不得开展施工作业，由此造成的工期延长，由承包人自己负责，当作延误工期处理。</w:t>
      </w:r>
    </w:p>
    <w:p w14:paraId="5B3C85B0">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47.6</w:t>
      </w:r>
      <w:r>
        <w:rPr>
          <w:rFonts w:hint="eastAsia" w:ascii="宋体" w:hAnsi="宋体" w:eastAsia="宋体" w:cs="宋体"/>
          <w:color w:val="auto"/>
          <w:sz w:val="24"/>
          <w:szCs w:val="24"/>
          <w:highlight w:val="none"/>
          <w:u w:val="non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6122BE7A">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47.7</w:t>
      </w:r>
      <w:r>
        <w:rPr>
          <w:rFonts w:hint="eastAsia" w:ascii="宋体" w:hAnsi="宋体" w:eastAsia="宋体" w:cs="宋体"/>
          <w:color w:val="auto"/>
          <w:sz w:val="24"/>
          <w:szCs w:val="24"/>
          <w:highlight w:val="none"/>
          <w:u w:val="non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p>
    <w:p w14:paraId="56BEDC1B">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47.8</w:t>
      </w:r>
      <w:r>
        <w:rPr>
          <w:rFonts w:hint="eastAsia" w:ascii="宋体" w:hAnsi="宋体" w:eastAsia="宋体" w:cs="宋体"/>
          <w:color w:val="auto"/>
          <w:sz w:val="24"/>
          <w:szCs w:val="24"/>
          <w:highlight w:val="none"/>
          <w:u w:val="none"/>
        </w:rPr>
        <w:t>若遇阻碍施工需拆迁的旧建（构）筑物、地下孤石等障碍物，由承包人负责清障，所需清障费用经监理、发包人现场签证调整。</w:t>
      </w:r>
    </w:p>
    <w:p w14:paraId="63C7A34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47.9</w:t>
      </w:r>
      <w:r>
        <w:rPr>
          <w:rFonts w:hint="eastAsia" w:ascii="宋体" w:hAnsi="宋体" w:eastAsia="宋体" w:cs="宋体"/>
          <w:color w:val="auto"/>
          <w:sz w:val="24"/>
          <w:szCs w:val="24"/>
          <w:highlight w:val="none"/>
          <w:u w:val="non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p>
    <w:p w14:paraId="0169C0D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47.10双方根据国家有关规定，结合具体工程约定质量缺陷责任期如下：</w:t>
      </w:r>
    </w:p>
    <w:p w14:paraId="13F5130D">
      <w:pPr>
        <w:pStyle w:val="261"/>
        <w:snapToGrid w:val="0"/>
        <w:spacing w:line="44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1、基础设施工程，房屋建筑的地基基础工程和主体结构工程为2年；</w:t>
      </w:r>
    </w:p>
    <w:p w14:paraId="5537E9DF">
      <w:pPr>
        <w:pStyle w:val="261"/>
        <w:snapToGrid w:val="0"/>
        <w:spacing w:line="44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2、屋面防水工程、有防水要求的卫生间、房间和外墙面的防渗漏为 2年；</w:t>
      </w:r>
    </w:p>
    <w:p w14:paraId="7E8DB83B">
      <w:pPr>
        <w:pStyle w:val="261"/>
        <w:snapToGrid w:val="0"/>
        <w:spacing w:line="44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3、电气管线、给排水管道、设备安装工程为 2 年；</w:t>
      </w:r>
    </w:p>
    <w:p w14:paraId="517F4E9C">
      <w:pPr>
        <w:pStyle w:val="261"/>
        <w:snapToGrid w:val="0"/>
        <w:spacing w:line="44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4、供热及供冷为 2 个采暖期及供冷期；</w:t>
      </w:r>
    </w:p>
    <w:p w14:paraId="6795ED3F">
      <w:pPr>
        <w:pStyle w:val="261"/>
        <w:snapToGrid w:val="0"/>
        <w:spacing w:line="44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5、装饰装修工程为 2 年；</w:t>
      </w:r>
    </w:p>
    <w:p w14:paraId="6ABF9890">
      <w:pPr>
        <w:pStyle w:val="261"/>
        <w:snapToGrid w:val="0"/>
        <w:spacing w:line="44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6、室外的上下水和小区道路等市政公用工程为 2 年；</w:t>
      </w:r>
    </w:p>
    <w:p w14:paraId="09FA8DF0">
      <w:pPr>
        <w:pStyle w:val="261"/>
        <w:snapToGrid w:val="0"/>
        <w:spacing w:line="44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7、在本项目建成投入使用的前两年内，需对钢结构的节点、杆件应力集中部位、支座等受力关键部位进行应力、应变监控（监测方案由双方确定）。</w:t>
      </w:r>
    </w:p>
    <w:p w14:paraId="49702954">
      <w:pPr>
        <w:pStyle w:val="261"/>
        <w:snapToGrid w:val="0"/>
        <w:spacing w:line="44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8、园林建筑工程为 1 年，喷淋工程为 2 年，胸径15cm以内（含15cm）的苗木养护期为 3 个月，胸径15cm以上的苗木养护期为 1 年。</w:t>
      </w:r>
    </w:p>
    <w:p w14:paraId="594C8B8D">
      <w:pPr>
        <w:pStyle w:val="261"/>
        <w:snapToGrid w:val="0"/>
        <w:spacing w:line="44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除上述专业工程外其它工程的质量缺陷责任期按相关规定或经双方另行协商确定。</w:t>
      </w:r>
    </w:p>
    <w:p w14:paraId="0785DD3E">
      <w:pPr>
        <w:pStyle w:val="261"/>
        <w:snapToGrid w:val="0"/>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本工程质量缺陷责任期从自广州开发区管委会或其相关职能部门批准的提前移交之日或工程竣工验收合格之日起（以先发生日期为准）计算（广州开发区、黄埔区对工程竣工验收有相关规定的，按该规定执行）。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14:paraId="08708D6D">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47.11</w:t>
      </w:r>
      <w:r>
        <w:rPr>
          <w:rFonts w:hint="eastAsia" w:ascii="宋体" w:hAnsi="宋体" w:eastAsia="宋体" w:cs="宋体"/>
          <w:color w:val="auto"/>
          <w:sz w:val="24"/>
          <w:szCs w:val="24"/>
          <w:highlight w:val="none"/>
          <w:u w:val="none"/>
        </w:rPr>
        <w:t>本工程的保修期按本合同《工程质量保修责任书》规定的保修期限实行。在保修期内因施工质量而造成返修，其费用由承包人负责。工程质量按房建工程现行验评标准组织验收认定。</w:t>
      </w:r>
    </w:p>
    <w:p w14:paraId="24691938">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47.12施工现场生活区应设置信息公示栏，每月10日前将上月作业工人考勤和工资结算和支付信息在信息公示栏进行公示，公示期不少于5天。</w:t>
      </w:r>
    </w:p>
    <w:p w14:paraId="3983CEA9">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农民工佣工要求</w:t>
      </w:r>
      <w:r>
        <w:rPr>
          <w:rFonts w:hint="eastAsia" w:ascii="宋体" w:hAnsi="宋体" w:eastAsia="宋体" w:cs="宋体"/>
          <w:color w:val="auto"/>
          <w:sz w:val="24"/>
          <w:szCs w:val="24"/>
          <w:highlight w:val="none"/>
        </w:rPr>
        <w:t>）</w:t>
      </w:r>
    </w:p>
    <w:p w14:paraId="213C4A6A">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47.13</w:t>
      </w:r>
      <w:r>
        <w:rPr>
          <w:rFonts w:hint="eastAsia" w:ascii="宋体" w:hAnsi="宋体" w:eastAsia="宋体" w:cs="宋体"/>
          <w:color w:val="auto"/>
          <w:sz w:val="24"/>
          <w:szCs w:val="24"/>
          <w:highlight w:val="none"/>
          <w:u w:val="none"/>
        </w:rPr>
        <w:t>承包人必须按照穗开规『2004』58号文的有关要求及规定优先使用广州开发区的农民工。</w:t>
      </w:r>
    </w:p>
    <w:p w14:paraId="503B659B">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47.14</w:t>
      </w:r>
      <w:r>
        <w:rPr>
          <w:rFonts w:hint="eastAsia" w:ascii="宋体" w:hAnsi="宋体" w:eastAsia="宋体" w:cs="宋体"/>
          <w:color w:val="auto"/>
          <w:sz w:val="24"/>
          <w:szCs w:val="24"/>
          <w:highlight w:val="none"/>
          <w:u w:val="none"/>
        </w:rPr>
        <w:t>承包人必须严格执行穗开纪[2005]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14:paraId="38C9FBAF">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47.15</w:t>
      </w:r>
      <w:r>
        <w:rPr>
          <w:rFonts w:hint="eastAsia" w:ascii="宋体" w:hAnsi="宋体" w:eastAsia="宋体" w:cs="宋体"/>
          <w:color w:val="auto"/>
          <w:sz w:val="24"/>
          <w:szCs w:val="24"/>
          <w:highlight w:val="none"/>
          <w:u w:val="none"/>
        </w:rPr>
        <w:t>承包人必须严格执行广州市黄埔区人民政府办公室《关于贯彻实施国家劳动部、建设部&lt;建设领域农民工工资支付管理暂行办法&gt;的若干意见》（穗萝府办[2005]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14:paraId="72634BB4">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47.16</w:t>
      </w:r>
      <w:r>
        <w:rPr>
          <w:rFonts w:hint="eastAsia" w:ascii="宋体" w:hAnsi="宋体" w:eastAsia="宋体" w:cs="宋体"/>
          <w:color w:val="auto"/>
          <w:sz w:val="24"/>
          <w:szCs w:val="24"/>
          <w:highlight w:val="none"/>
          <w:u w:val="none"/>
        </w:rPr>
        <w:t>若承包人在本工程内发生无故拖欠农民工工资现象，将被作不良记录，上报区建设主管部门。</w:t>
      </w:r>
      <w:r>
        <w:rPr>
          <w:rFonts w:hint="eastAsia" w:ascii="宋体" w:hAnsi="宋体" w:eastAsia="宋体" w:cs="宋体"/>
          <w:color w:val="auto"/>
          <w:sz w:val="24"/>
          <w:szCs w:val="24"/>
          <w:highlight w:val="none"/>
        </w:rPr>
        <w:t>若承包人转包或者违法分包造成拖欠工人工资的，除上报区建设行政主管部门外，还将提请省建设行业主管部门禁止在广东省行政区域范围内承包工程。</w:t>
      </w:r>
    </w:p>
    <w:p w14:paraId="6820EAEA">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项目管理机构人员、机械设备、劳动力到位方面的要求</w:t>
      </w:r>
      <w:r>
        <w:rPr>
          <w:rFonts w:hint="eastAsia" w:ascii="宋体" w:hAnsi="宋体" w:eastAsia="宋体" w:cs="宋体"/>
          <w:color w:val="auto"/>
          <w:sz w:val="24"/>
          <w:szCs w:val="24"/>
          <w:highlight w:val="none"/>
        </w:rPr>
        <w:t>）</w:t>
      </w:r>
    </w:p>
    <w:p w14:paraId="13BBEB9B">
      <w:pPr>
        <w:snapToGrid w:val="0"/>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47.17</w:t>
      </w:r>
      <w:r>
        <w:rPr>
          <w:rFonts w:hint="eastAsia" w:ascii="宋体" w:hAnsi="宋体" w:eastAsia="宋体" w:cs="宋体"/>
          <w:color w:val="auto"/>
          <w:sz w:val="24"/>
          <w:szCs w:val="24"/>
          <w:highlight w:val="none"/>
          <w:u w:val="non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6AC49C3E">
      <w:pPr>
        <w:snapToGrid w:val="0"/>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47.18</w:t>
      </w:r>
      <w:r>
        <w:rPr>
          <w:rFonts w:hint="eastAsia" w:ascii="宋体" w:hAnsi="宋体" w:eastAsia="宋体" w:cs="宋体"/>
          <w:color w:val="auto"/>
          <w:sz w:val="24"/>
          <w:szCs w:val="24"/>
          <w:highlight w:val="none"/>
          <w:u w:val="non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40719C5A">
      <w:pPr>
        <w:snapToGrid w:val="0"/>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47.19</w:t>
      </w:r>
      <w:r>
        <w:rPr>
          <w:rFonts w:hint="eastAsia" w:ascii="宋体" w:hAnsi="宋体" w:eastAsia="宋体" w:cs="宋体"/>
          <w:color w:val="auto"/>
          <w:sz w:val="24"/>
          <w:szCs w:val="24"/>
          <w:highlight w:val="none"/>
          <w:u w:val="none"/>
        </w:rPr>
        <w:t>现场施工时，施工员（技术员）不在施工现场不得施工，否则发包人可随时要求停工，工期延误由承包人负责。</w:t>
      </w:r>
    </w:p>
    <w:p w14:paraId="155B5918">
      <w:pPr>
        <w:snapToGrid w:val="0"/>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47.20</w:t>
      </w:r>
      <w:r>
        <w:rPr>
          <w:rFonts w:hint="eastAsia" w:ascii="宋体" w:hAnsi="宋体" w:eastAsia="宋体" w:cs="宋体"/>
          <w:color w:val="auto"/>
          <w:sz w:val="24"/>
          <w:szCs w:val="24"/>
          <w:highlight w:val="none"/>
          <w:u w:val="none"/>
        </w:rPr>
        <w:t>承包人派往现场的管理人员若因不负责任、或玩忽职守、或严重失职等给发包人造成经济损失，承包人承担相应的经济责任和连带法律责任。</w:t>
      </w:r>
    </w:p>
    <w:p w14:paraId="5F67152F">
      <w:pP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（投标报价及造价承包和变更结算方式的要求</w:t>
      </w:r>
      <w:r>
        <w:rPr>
          <w:rFonts w:hint="eastAsia" w:ascii="宋体" w:hAnsi="宋体" w:eastAsia="宋体" w:cs="宋体"/>
          <w:color w:val="auto"/>
          <w:sz w:val="24"/>
          <w:szCs w:val="24"/>
          <w:highlight w:val="none"/>
        </w:rPr>
        <w:t>）</w:t>
      </w:r>
    </w:p>
    <w:p w14:paraId="5300F31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47.21</w:t>
      </w:r>
      <w:r>
        <w:rPr>
          <w:rFonts w:hint="eastAsia" w:ascii="宋体" w:hAnsi="宋体" w:eastAsia="宋体" w:cs="宋体"/>
          <w:color w:val="auto"/>
          <w:sz w:val="24"/>
          <w:szCs w:val="24"/>
          <w:highlight w:val="none"/>
          <w:u w:val="none"/>
        </w:rPr>
        <w:t>工程量清单报价中有关问题的说明：</w:t>
      </w:r>
    </w:p>
    <w:p w14:paraId="17F0EA3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①投标时,土方的弃运距离暂按15km内考虑，超过15km按15km计算，结算时按招标人确认的实际运距计算,实际运距超过15公里时，按15公里包干,弃运的土方单价按定额计算。</w:t>
      </w:r>
    </w:p>
    <w:p w14:paraId="6F556657">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中的绿色施工安全防护措施费计取，作为非竞争费用，在投标报价中单列，不参与投标竞价，该费用从工程施工中标价中提取，专款专用。</w:t>
      </w:r>
    </w:p>
    <w:p w14:paraId="1560D0B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47.22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施工围蔽费用除外）使用，且承包人不得以任何理由要求发包人另行增加该部分费用（承包人要充分考虑最不利因素影响而采用的施工方案所需的费用）。</w:t>
      </w:r>
    </w:p>
    <w:p w14:paraId="572445C5">
      <w:pPr>
        <w:pBdr>
          <w:bottom w:val="none" w:color="auto" w:sz="0" w:space="0"/>
        </w:pBd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47.23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14:paraId="535BF567">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47.24</w:t>
      </w:r>
      <w:r>
        <w:rPr>
          <w:rFonts w:hint="eastAsia" w:ascii="宋体" w:hAnsi="宋体" w:eastAsia="宋体" w:cs="宋体"/>
          <w:color w:val="auto"/>
          <w:sz w:val="24"/>
          <w:szCs w:val="24"/>
          <w:highlight w:val="none"/>
          <w:u w:val="none"/>
        </w:rPr>
        <w:t>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14:paraId="34D24C51">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47.25</w:t>
      </w:r>
      <w:r>
        <w:rPr>
          <w:rFonts w:hint="eastAsia" w:ascii="宋体" w:hAnsi="宋体" w:eastAsia="宋体" w:cs="宋体"/>
          <w:color w:val="auto"/>
          <w:sz w:val="24"/>
          <w:szCs w:val="24"/>
          <w:highlight w:val="none"/>
          <w:u w:val="none"/>
        </w:rPr>
        <w:t>承包人应使用绿色生产达标企业生产的混凝土，若不遵守承诺，自愿按不履行合同约定处理。</w:t>
      </w:r>
    </w:p>
    <w:p w14:paraId="2E4FED68">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47.26</w:t>
      </w:r>
      <w:r>
        <w:rPr>
          <w:rFonts w:hint="eastAsia" w:ascii="宋体" w:hAnsi="宋体" w:eastAsia="宋体" w:cs="宋体"/>
          <w:color w:val="auto"/>
          <w:sz w:val="24"/>
          <w:szCs w:val="24"/>
          <w:highlight w:val="none"/>
          <w:u w:val="none"/>
        </w:rPr>
        <w:t>承包人应按有关规定协助发包人完成公共排水设施竣工图纸备案工作。</w:t>
      </w:r>
    </w:p>
    <w:p w14:paraId="4E314929">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47.27</w:t>
      </w:r>
      <w:r>
        <w:rPr>
          <w:rFonts w:hint="eastAsia" w:ascii="宋体" w:hAnsi="宋体" w:eastAsia="宋体" w:cs="宋体"/>
          <w:color w:val="auto"/>
          <w:sz w:val="24"/>
          <w:szCs w:val="24"/>
          <w:highlight w:val="none"/>
          <w:u w:val="none"/>
        </w:rPr>
        <w:t>在整个合同执行期间发包人如发现有不合理投标报价的，发包人有权按有关规定和合同约定进行调整，并将书面通知承包人，并以此作为结算依据。</w:t>
      </w:r>
    </w:p>
    <w:p w14:paraId="1C88FDE3">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47.28本工程采用的主要材料推荐选用招标文件附件《参考品牌》的品牌、厂家或选用相当于该档次和质量（或以上）的产品。所有材料品牌选择均须报发包人、监理工程师确认，且经检验合格后方能使用。</w:t>
      </w:r>
    </w:p>
    <w:p w14:paraId="4AC19642">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47.29</w:t>
      </w:r>
      <w:r>
        <w:rPr>
          <w:rFonts w:hint="eastAsia" w:ascii="宋体" w:hAnsi="宋体" w:eastAsia="宋体" w:cs="宋体"/>
          <w:color w:val="auto"/>
          <w:sz w:val="24"/>
          <w:szCs w:val="24"/>
          <w:highlight w:val="none"/>
          <w:u w:val="non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14:paraId="68E2FDA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47.30</w:t>
      </w:r>
      <w:r>
        <w:rPr>
          <w:rFonts w:hint="eastAsia" w:ascii="宋体" w:hAnsi="宋体" w:eastAsia="宋体" w:cs="宋体"/>
          <w:color w:val="auto"/>
          <w:sz w:val="24"/>
          <w:szCs w:val="24"/>
          <w:highlight w:val="none"/>
          <w:u w:val="non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14:paraId="327B2EA2">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47.31</w:t>
      </w:r>
      <w:r>
        <w:rPr>
          <w:rFonts w:hint="eastAsia" w:ascii="宋体" w:hAnsi="宋体" w:eastAsia="宋体" w:cs="宋体"/>
          <w:color w:val="auto"/>
          <w:sz w:val="24"/>
          <w:szCs w:val="24"/>
          <w:highlight w:val="none"/>
          <w:u w:val="none"/>
        </w:rPr>
        <w:t>承包人须按照发包人与监理人签订的委托监理合同接受监理人的全过程监理。</w:t>
      </w:r>
    </w:p>
    <w:p w14:paraId="2529C25C">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47.32</w:t>
      </w:r>
      <w:r>
        <w:rPr>
          <w:rFonts w:hint="eastAsia" w:ascii="宋体" w:hAnsi="宋体" w:eastAsia="宋体" w:cs="宋体"/>
          <w:color w:val="auto"/>
          <w:sz w:val="24"/>
          <w:szCs w:val="24"/>
          <w:highlight w:val="none"/>
          <w:u w:val="none"/>
        </w:rPr>
        <w:t>如广州开发区、黄埔区对工程竣工验收及备案有相关规定，则本合同执行该规定。</w:t>
      </w:r>
    </w:p>
    <w:p w14:paraId="1ECD9842">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47.33</w:t>
      </w:r>
      <w:r>
        <w:rPr>
          <w:rFonts w:hint="eastAsia" w:ascii="宋体" w:hAnsi="宋体" w:eastAsia="宋体" w:cs="宋体"/>
          <w:color w:val="auto"/>
          <w:sz w:val="24"/>
          <w:szCs w:val="24"/>
          <w:highlight w:val="none"/>
          <w:u w:val="none"/>
        </w:rPr>
        <w:t>如果审计机关依法对本工程实施审计，发包人、承包人及监理单位应积极配合。</w:t>
      </w:r>
    </w:p>
    <w:p w14:paraId="5F471CD8">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47.34</w:t>
      </w:r>
      <w:r>
        <w:rPr>
          <w:rFonts w:hint="eastAsia" w:ascii="宋体" w:hAnsi="宋体" w:eastAsia="宋体" w:cs="宋体"/>
          <w:color w:val="auto"/>
          <w:sz w:val="24"/>
          <w:szCs w:val="24"/>
          <w:highlight w:val="none"/>
          <w:u w:val="none"/>
        </w:rPr>
        <w:t>本合同在实施过程中所发生的文件来往，双方不得拒绝签收。如果发生类似事件，发文一方可以监理工程师签收为准，视为送达。</w:t>
      </w:r>
    </w:p>
    <w:p w14:paraId="7A9C575C">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47.35</w:t>
      </w:r>
      <w:r>
        <w:rPr>
          <w:rFonts w:hint="eastAsia" w:ascii="宋体" w:hAnsi="宋体" w:eastAsia="宋体" w:cs="宋体"/>
          <w:color w:val="auto"/>
          <w:sz w:val="24"/>
          <w:szCs w:val="24"/>
          <w:highlight w:val="none"/>
          <w:u w:val="non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p>
    <w:p w14:paraId="7B9C7CA3">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47.36</w:t>
      </w:r>
      <w:r>
        <w:rPr>
          <w:rFonts w:hint="eastAsia" w:ascii="宋体" w:hAnsi="宋体" w:eastAsia="宋体" w:cs="宋体"/>
          <w:color w:val="auto"/>
          <w:sz w:val="24"/>
          <w:szCs w:val="24"/>
          <w:highlight w:val="none"/>
          <w:u w:val="none"/>
        </w:rPr>
        <w:t>在本合同实施过程中所发生的违约金、罚款、扣款等费用，经监理工程师核实并通知承包人后直接作为财务扣款依据（无需承包人签认或同意），可由发包人在履约担保中主张或在工程款中扣除，承包人对此无异议。</w:t>
      </w:r>
    </w:p>
    <w:p w14:paraId="0C3E892E">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47.37</w:t>
      </w:r>
      <w:r>
        <w:rPr>
          <w:rFonts w:hint="eastAsia" w:ascii="宋体" w:hAnsi="宋体" w:eastAsia="宋体" w:cs="宋体"/>
          <w:color w:val="auto"/>
          <w:sz w:val="24"/>
          <w:szCs w:val="24"/>
          <w:highlight w:val="none"/>
          <w:u w:val="none"/>
        </w:rPr>
        <w:t>承包人施工过程中不得侵犯他人的专利权或者其他合法权益，否则由承包人承担相关责任，并保证不因该侵权行为影响工程建设。</w:t>
      </w:r>
    </w:p>
    <w:p w14:paraId="3E7C4055">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47.38</w:t>
      </w:r>
      <w:r>
        <w:rPr>
          <w:rFonts w:hint="eastAsia" w:ascii="宋体" w:hAnsi="宋体" w:eastAsia="宋体" w:cs="宋体"/>
          <w:color w:val="auto"/>
          <w:sz w:val="24"/>
          <w:szCs w:val="24"/>
          <w:highlight w:val="none"/>
          <w:u w:val="none"/>
        </w:rPr>
        <w:t>承包人与发包人签订合同时所提供的开户银行名称及帐号不得擅自变更，如需变更必须征得发包人的书面同意，否则发包人有权停止工程款的拨付，所造成的一切后果由承包人承担。</w:t>
      </w:r>
    </w:p>
    <w:p w14:paraId="4EF3E3C7">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47.39</w:t>
      </w:r>
      <w:r>
        <w:rPr>
          <w:rFonts w:hint="eastAsia" w:ascii="宋体" w:hAnsi="宋体" w:eastAsia="宋体" w:cs="宋体"/>
          <w:color w:val="auto"/>
          <w:sz w:val="24"/>
          <w:szCs w:val="24"/>
          <w:highlight w:val="none"/>
          <w:u w:val="none"/>
        </w:rPr>
        <w:t>如发包人为本工程的代建单位，则本工程建设业主同时享有本合同项下属发包人的权利，并且合同中约定需发包人审批的事项，必须经建设业主审批同意后方可实施。</w:t>
      </w:r>
    </w:p>
    <w:p w14:paraId="0DD97B27">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47.40《广州开发区财政投资建设项目管理中心绿化景观工程计量管理办法》将作为合同附件，各相关单位须遵照执行。 (该条款适用于绿化施工工程)</w:t>
      </w:r>
    </w:p>
    <w:p w14:paraId="2327694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47.41工程获得国家、省级、市级所发奖项的，可给予通报表彰，但不给予任何物质奖励。</w:t>
      </w:r>
    </w:p>
    <w:p w14:paraId="1904C18E">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47.42</w:t>
      </w:r>
      <w:r>
        <w:rPr>
          <w:rFonts w:hint="eastAsia" w:ascii="宋体" w:hAnsi="宋体" w:eastAsia="宋体" w:cs="宋体"/>
          <w:color w:val="auto"/>
          <w:sz w:val="24"/>
          <w:szCs w:val="24"/>
          <w:highlight w:val="none"/>
          <w:u w:val="non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04B36F19">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47.43</w:t>
      </w:r>
      <w:r>
        <w:rPr>
          <w:rFonts w:hint="eastAsia" w:ascii="宋体" w:hAnsi="宋体" w:eastAsia="宋体" w:cs="宋体"/>
          <w:color w:val="auto"/>
          <w:sz w:val="24"/>
          <w:szCs w:val="24"/>
          <w:highlight w:val="none"/>
          <w:u w:val="none"/>
        </w:rPr>
        <w:t>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14:paraId="2D8FB483">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47.44</w:t>
      </w:r>
      <w:r>
        <w:rPr>
          <w:rFonts w:hint="eastAsia" w:ascii="宋体" w:hAnsi="宋体" w:eastAsia="宋体" w:cs="宋体"/>
          <w:color w:val="auto"/>
          <w:sz w:val="24"/>
          <w:szCs w:val="24"/>
          <w:highlight w:val="none"/>
          <w:u w:val="none"/>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14:paraId="51801910">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14:paraId="5E9C86D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47.46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14:paraId="7B22AF34">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47.47 如承包人存在出让投标资格、与其他单位围标串标、行贿、在投标文件中提供虚假材料、少放或不放业绩、奖项等客观评审资料减少自身竞争力、拖欠农民工工资、将中标工程转包或者违法分包等行为的，发包人将拒绝承包人在一年内参与后续招标项目的投标。</w:t>
      </w:r>
    </w:p>
    <w:p w14:paraId="6A788143">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47.48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14:paraId="0FDB0B84">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47.49 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14:paraId="0ADF7C6A">
      <w:pPr>
        <w:spacing w:line="44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47.50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14:paraId="77AE14CA">
      <w:pPr>
        <w:spacing w:line="520" w:lineRule="exact"/>
        <w:ind w:firstLine="544" w:firstLineChars="227"/>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none"/>
        </w:rPr>
        <w:t>47.51 未尽事宜，经双方友好协商解决。</w:t>
      </w:r>
    </w:p>
    <w:p w14:paraId="7E951F72">
      <w:pPr>
        <w:numPr>
          <w:ilvl w:val="0"/>
          <w:numId w:val="18"/>
        </w:numPr>
        <w:jc w:val="cente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 xml:space="preserve"> </w:t>
      </w:r>
      <w:r>
        <w:rPr>
          <w:rFonts w:hint="eastAsia" w:ascii="宋体" w:hAnsi="宋体" w:eastAsia="宋体" w:cs="宋体"/>
          <w:b/>
          <w:bCs/>
          <w:color w:val="auto"/>
          <w:sz w:val="28"/>
          <w:szCs w:val="28"/>
          <w:highlight w:val="none"/>
        </w:rPr>
        <w:t>绿化种植专篇</w:t>
      </w:r>
    </w:p>
    <w:p w14:paraId="348B8A6E">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（本专篇适用于绿化建设项目、房建及道路配套绿化项目。）</w:t>
      </w:r>
    </w:p>
    <w:p w14:paraId="5455F0AF">
      <w:pPr>
        <w:spacing w:line="440" w:lineRule="exact"/>
        <w:rPr>
          <w:rFonts w:hint="eastAsia" w:ascii="宋体" w:hAnsi="宋体" w:eastAsia="宋体" w:cs="宋体"/>
          <w:color w:val="auto"/>
          <w:sz w:val="24"/>
          <w:highlight w:val="none"/>
        </w:rPr>
      </w:pPr>
    </w:p>
    <w:p w14:paraId="456799C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发包人（甲方）：</w:t>
      </w:r>
      <w:r>
        <w:rPr>
          <w:rFonts w:hint="eastAsia" w:ascii="宋体" w:hAnsi="宋体" w:eastAsia="宋体" w:cs="宋体"/>
          <w:color w:val="auto"/>
          <w:sz w:val="24"/>
          <w:highlight w:val="none"/>
          <w:u w:val="single"/>
        </w:rPr>
        <w:t>广州开发区财政投资建设项目管理中心</w:t>
      </w:r>
    </w:p>
    <w:p w14:paraId="1C8AC1D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承包人（乙方）：</w:t>
      </w:r>
      <w:r>
        <w:rPr>
          <w:rFonts w:hint="eastAsia" w:ascii="宋体" w:hAnsi="宋体" w:eastAsia="宋体" w:cs="宋体"/>
          <w:color w:val="auto"/>
          <w:sz w:val="24"/>
          <w:highlight w:val="none"/>
          <w:u w:val="single"/>
        </w:rPr>
        <w:t xml:space="preserve">                    </w:t>
      </w:r>
    </w:p>
    <w:p w14:paraId="43DA3E28">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为提高绿化苗木选取和种植苗木质量，加强科学绿化建设和管理，提升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项目绿化种植和养护管理标准，制订本项目绿化种植专篇。</w:t>
      </w:r>
    </w:p>
    <w:p w14:paraId="5363B3FC">
      <w:pPr>
        <w:spacing w:line="44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一、绿化种植、养护内容及范围</w:t>
      </w:r>
    </w:p>
    <w:p w14:paraId="73677AB3">
      <w:pPr>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1、本项目绿化工程范围：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本项目施工合同约定的承包范围内的全部绿化工程内容</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C081D2B">
      <w:pPr>
        <w:pStyle w:val="35"/>
        <w:spacing w:line="440" w:lineRule="exac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2、本项目苗木供应清单，详见招标工程量清单。</w:t>
      </w:r>
    </w:p>
    <w:p w14:paraId="1B578567">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二、质量要求</w:t>
      </w:r>
    </w:p>
    <w:p w14:paraId="43490F4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要求符合国家、省、市园林绿化规程、检评标准、相关要求及行业标准，包括但不限于以下： </w:t>
      </w:r>
    </w:p>
    <w:p w14:paraId="5E238DEF">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相关法律法规与政策文件</w:t>
      </w:r>
    </w:p>
    <w:p w14:paraId="2DA4DC4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（1）《城市绿化条例》（2017 年修订）；</w:t>
      </w:r>
    </w:p>
    <w:p w14:paraId="1AE5BE8F">
      <w:pPr>
        <w:pStyle w:val="86"/>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（2）《广东省城市绿化条例》（2022 年修订）</w:t>
      </w:r>
    </w:p>
    <w:p w14:paraId="67D70513">
      <w:pPr>
        <w:pStyle w:val="86"/>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（3）《广州市绿化条例》（2022 年修订）</w:t>
      </w:r>
    </w:p>
    <w:p w14:paraId="5FE561EE">
      <w:pPr>
        <w:pStyle w:val="86"/>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（4）《国务院办公厅关于科学绿化的指导意见》（国办发〔2021〕19 号）</w:t>
      </w:r>
    </w:p>
    <w:p w14:paraId="4AC30868">
      <w:pPr>
        <w:pStyle w:val="86"/>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（5）《中共广东省委关于深入推进绿美广东生态建设的决定》（2022 年 12 月 8 日中国共产党广东省第十三届委员会第二次全体会议通过）</w:t>
      </w:r>
    </w:p>
    <w:p w14:paraId="18E32838">
      <w:pPr>
        <w:pStyle w:val="86"/>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（6）《广东省人民政府办公厅关于科学绿化的实施意见》（粤府办〔2021〕48 号）</w:t>
      </w:r>
    </w:p>
    <w:p w14:paraId="42AE7E1D">
      <w:pPr>
        <w:pStyle w:val="86"/>
        <w:spacing w:line="440" w:lineRule="exact"/>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（7）中共广州市委办公厅 广州市人民政府办公厅印发《广州市关于科学绿化的实施意见》的通知（穗办〔2021〕11号）</w:t>
      </w:r>
    </w:p>
    <w:p w14:paraId="751ED6D0">
      <w:pPr>
        <w:pStyle w:val="86"/>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（8）《广州市林业和园林局关于印发广州市树木修剪技术指引（试行）的通知》（穗林业园林通〔2021〕153 号）</w:t>
      </w:r>
    </w:p>
    <w:p w14:paraId="7A657047">
      <w:pPr>
        <w:pStyle w:val="86"/>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（9）《广州市林业和园林局关于规范提升全市树木支撑的通知》（穗林业园林通〔2019〕100 号）</w:t>
      </w:r>
    </w:p>
    <w:p w14:paraId="0E9B992F">
      <w:pPr>
        <w:pStyle w:val="86"/>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（10）黄埔区住房和城乡建设局 广州开发区建设和交通局关于印发《黄埔区绿化苗木选用及种植技术指引（1.0版）》《黄埔区园林绿化养护技术指引（1.0版）》的通知（穗埔建〔2023〕93 号）</w:t>
      </w:r>
    </w:p>
    <w:p w14:paraId="4AA970A7">
      <w:pPr>
        <w:pStyle w:val="86"/>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《黄埔区住房和城乡建设局 广州开发区建设和交通局关于加强科学绿化工作的提醒函》（穗埔建函[2023]2767号）</w:t>
      </w:r>
    </w:p>
    <w:p w14:paraId="0B0820C2">
      <w:pPr>
        <w:spacing w:line="44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相关标准规范</w:t>
      </w:r>
    </w:p>
    <w:p w14:paraId="338F4A43">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（1）《园林绿化工程项目规范》（GB55014-2021）；</w:t>
      </w:r>
    </w:p>
    <w:p w14:paraId="63161E8F">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（2）《城市园林绿化评价标准》GBT 50563-2010；</w:t>
      </w:r>
    </w:p>
    <w:p w14:paraId="7A1069F4">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（3）《城市绿地草坪建植与管理技术规程》GBT 19535.2-2004；</w:t>
      </w:r>
    </w:p>
    <w:p w14:paraId="50D9BF27">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（4）《城市园林绿化评价标准》[附条文说明]GB/T 50563-2010</w:t>
      </w:r>
    </w:p>
    <w:p w14:paraId="4D9D0E3E">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（5）《地表水环境质量标准》GB 3838-2002</w:t>
      </w:r>
    </w:p>
    <w:p w14:paraId="74B945C8">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（6）《园林树木安全性评价技术规范》DB4401/T17—2019 ；</w:t>
      </w:r>
    </w:p>
    <w:p w14:paraId="65E9EB7D">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（7）《广东城市绿化工程施工和验收规范》DBBT581-2009 ；</w:t>
      </w:r>
    </w:p>
    <w:p w14:paraId="0018CB11">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（8）《城市园林绿化工程施工及验收规范》DB11/T 212-2017；</w:t>
      </w:r>
    </w:p>
    <w:p w14:paraId="41DF7C34">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（9）《城市园林绿化用苗-木本苗木分级》DB440300/T 28—2006。</w:t>
      </w:r>
    </w:p>
    <w:p w14:paraId="3400CADF">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（10）《城市绿化和园林绿地用植物材料-木本苗》CJT 24-1999；</w:t>
      </w:r>
    </w:p>
    <w:p w14:paraId="4E323C7E">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（11）《城市绿化和园林绿地用植物材料- 球根花卉种球》CJT</w:t>
      </w:r>
    </w:p>
    <w:p w14:paraId="1C719CAE">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135-2001 ；</w:t>
      </w:r>
    </w:p>
    <w:p w14:paraId="3D901F67">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（12）《绿化种植土壤》CJ/T340-2016；</w:t>
      </w:r>
    </w:p>
    <w:p w14:paraId="581133AE">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（13）《园林植物筛选通用技术要求》CJT 512-2017；</w:t>
      </w:r>
    </w:p>
    <w:p w14:paraId="38F5AF9D">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（14）《城市主要绿化竹种苗木等级》LYT 2345-2014；</w:t>
      </w:r>
    </w:p>
    <w:p w14:paraId="4293EF5E">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（15）《绿化全冠苗木栽植技术规程》LYT 2632-2016；</w:t>
      </w:r>
    </w:p>
    <w:p w14:paraId="553EC6AF">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（16）《森林植物检疫技术规程》</w:t>
      </w:r>
    </w:p>
    <w:p w14:paraId="29341FA3">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（17）《广州市主要乡土和适生植物名录》</w:t>
      </w:r>
    </w:p>
    <w:p w14:paraId="6CAF1D2F">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（18）《城市道路绿化规划与设计规范》</w:t>
      </w:r>
    </w:p>
    <w:p w14:paraId="69744E75">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三、绿化种植、养护要求</w:t>
      </w:r>
    </w:p>
    <w:p w14:paraId="46AFCFCC">
      <w:pPr>
        <w:numPr>
          <w:ilvl w:val="0"/>
          <w:numId w:val="19"/>
        </w:numPr>
        <w:spacing w:line="440" w:lineRule="exact"/>
        <w:ind w:firstLine="549" w:firstLineChars="22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绿化苗木选用和种植过程要求 </w:t>
      </w:r>
    </w:p>
    <w:p w14:paraId="388AEB7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严格按照本项目《苗木供应清单》要求选用苗木，执行《黄埔区绿化苗木选用及种植技术指引（1.0版）》，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14:paraId="2002782C">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2、绿化养护技术及时间要求</w:t>
      </w:r>
    </w:p>
    <w:p w14:paraId="77360237">
      <w:pPr>
        <w:pStyle w:val="2"/>
        <w:spacing w:line="440" w:lineRule="exact"/>
        <w:ind w:left="0" w:leftChars="0" w:firstLine="56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承包人应认真学习并执行《黄埔区园林绿化养护技术指引（1.0版）》的具体要求，规范项目中绿化灌溉、施肥、修剪、病虫害综合防治、日常养护管理工作。</w:t>
      </w:r>
    </w:p>
    <w:p w14:paraId="422C867C">
      <w:pPr>
        <w:snapToGrid w:val="0"/>
        <w:spacing w:line="440" w:lineRule="exact"/>
        <w:ind w:firstLine="581" w:firstLineChars="241"/>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养护期：</w:t>
      </w:r>
      <w:r>
        <w:rPr>
          <w:rFonts w:hint="eastAsia" w:ascii="宋体" w:hAnsi="宋体" w:eastAsia="宋体" w:cs="宋体"/>
          <w:color w:val="auto"/>
          <w:sz w:val="24"/>
          <w:highlight w:val="none"/>
        </w:rPr>
        <w:t>胸径15cm以内（含15cm）的苗木养护期为自本项目绿化工程通过竣工验收之日起</w:t>
      </w:r>
      <w:r>
        <w:rPr>
          <w:rFonts w:hint="eastAsia" w:ascii="宋体" w:hAnsi="宋体" w:eastAsia="宋体" w:cs="宋体"/>
          <w:color w:val="auto"/>
          <w:sz w:val="24"/>
          <w:highlight w:val="none"/>
          <w:u w:val="single"/>
        </w:rPr>
        <w:t xml:space="preserve"> 3 </w:t>
      </w:r>
      <w:r>
        <w:rPr>
          <w:rFonts w:hint="eastAsia" w:ascii="宋体" w:hAnsi="宋体" w:eastAsia="宋体" w:cs="宋体"/>
          <w:color w:val="auto"/>
          <w:sz w:val="24"/>
          <w:highlight w:val="none"/>
        </w:rPr>
        <w:t>个月，胸径15cm以上的苗木养护期为自本项目绿化工程通过竣工验收之日起</w:t>
      </w:r>
      <w:r>
        <w:rPr>
          <w:rFonts w:hint="eastAsia" w:ascii="宋体" w:hAnsi="宋体" w:eastAsia="宋体" w:cs="宋体"/>
          <w:color w:val="auto"/>
          <w:sz w:val="24"/>
          <w:highlight w:val="none"/>
          <w:u w:val="single"/>
        </w:rPr>
        <w:t xml:space="preserve"> 1 </w:t>
      </w:r>
      <w:r>
        <w:rPr>
          <w:rFonts w:hint="eastAsia" w:ascii="宋体" w:hAnsi="宋体" w:eastAsia="宋体" w:cs="宋体"/>
          <w:color w:val="auto"/>
          <w:sz w:val="24"/>
          <w:highlight w:val="none"/>
        </w:rPr>
        <w:t>年。</w:t>
      </w:r>
    </w:p>
    <w:p w14:paraId="71FFAF0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养护期内，承包人需负责项目中绿化灌溉、施肥、修剪、病虫害综合防治、日常养护管理工作，及时更换不符合清单要求的苗木，提高绿化种植成活率，确保绿化移交时符合《黄埔区绿化苗木选用及种植技术指引（1.0版）》《黄埔区园林绿化养护技术指引（1.0版）》及发包人要求。</w:t>
      </w:r>
    </w:p>
    <w:p w14:paraId="2AA15AB5">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四、责任与义务</w:t>
      </w:r>
    </w:p>
    <w:p w14:paraId="49734171">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1、承包人应严格按照本项目《苗木供应清单》执行苗木选用、种植和养护工作。如经发包人</w:t>
      </w:r>
      <w:r>
        <w:rPr>
          <w:rFonts w:hint="eastAsia" w:ascii="宋体" w:hAnsi="宋体" w:eastAsia="宋体" w:cs="宋体"/>
          <w:color w:val="auto"/>
          <w:kern w:val="0"/>
          <w:sz w:val="24"/>
          <w:highlight w:val="none"/>
        </w:rPr>
        <w:t>或本项目监理单位</w:t>
      </w:r>
      <w:r>
        <w:rPr>
          <w:rFonts w:hint="eastAsia" w:ascii="宋体" w:hAnsi="宋体" w:eastAsia="宋体" w:cs="宋体"/>
          <w:color w:val="auto"/>
          <w:sz w:val="24"/>
          <w:highlight w:val="none"/>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14:paraId="28DB4A9A">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每逾期一天，由发包人扣减绿化工程造价的万分之一作为违约金。同时，发包人有权另行委托其他服务单位实施整改，以保证按时按质按量完成整改，所需费用从承包人工程款中全额扣除。</w:t>
      </w:r>
    </w:p>
    <w:p w14:paraId="296A3248">
      <w:pPr>
        <w:pStyle w:val="86"/>
        <w:spacing w:line="440" w:lineRule="exact"/>
        <w:ind w:firstLine="24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五、其它</w:t>
      </w:r>
    </w:p>
    <w:p w14:paraId="164618BE">
      <w:pPr>
        <w:pStyle w:val="86"/>
        <w:spacing w:line="440" w:lineRule="exact"/>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本专篇是为规范本项目绿化工程种植、养护工作制定，未提及的内容均按施工合同专用条款的约定执行。</w:t>
      </w:r>
    </w:p>
    <w:p w14:paraId="6922D703">
      <w:pPr>
        <w:spacing w:line="520" w:lineRule="exact"/>
        <w:rPr>
          <w:rFonts w:hint="eastAsia" w:ascii="宋体" w:hAnsi="宋体" w:eastAsia="宋体" w:cs="宋体"/>
          <w:color w:val="auto"/>
          <w:sz w:val="24"/>
          <w:highlight w:val="none"/>
        </w:rPr>
      </w:pPr>
    </w:p>
    <w:p w14:paraId="7D377EFB">
      <w:pPr>
        <w:spacing w:line="520" w:lineRule="exact"/>
        <w:jc w:val="center"/>
        <w:rPr>
          <w:rFonts w:hint="eastAsia" w:ascii="宋体" w:hAnsi="宋体" w:eastAsia="宋体" w:cs="宋体"/>
          <w:color w:val="auto"/>
          <w:sz w:val="24"/>
          <w:highlight w:val="none"/>
        </w:rPr>
      </w:pPr>
    </w:p>
    <w:p w14:paraId="6E335338">
      <w:pPr>
        <w:numPr>
          <w:ilvl w:val="0"/>
          <w:numId w:val="18"/>
        </w:num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工程质量保修责任书</w:t>
      </w:r>
    </w:p>
    <w:p w14:paraId="10AD3C3A">
      <w:pPr>
        <w:numPr>
          <w:ilvl w:val="255"/>
          <w:numId w:val="0"/>
        </w:numPr>
        <w:spacing w:line="440" w:lineRule="exact"/>
        <w:jc w:val="center"/>
        <w:rPr>
          <w:rStyle w:val="285"/>
          <w:rFonts w:hint="eastAsia" w:ascii="宋体" w:hAnsi="宋体" w:eastAsia="宋体" w:cs="宋体"/>
          <w:color w:val="auto"/>
          <w:sz w:val="32"/>
          <w:szCs w:val="32"/>
          <w:highlight w:val="none"/>
        </w:rPr>
      </w:pPr>
    </w:p>
    <w:p w14:paraId="7E87D8B2">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发包人：</w:t>
      </w:r>
      <w:r>
        <w:rPr>
          <w:rFonts w:hint="eastAsia" w:ascii="宋体" w:hAnsi="宋体" w:eastAsia="宋体" w:cs="宋体"/>
          <w:color w:val="auto"/>
          <w:sz w:val="24"/>
          <w:szCs w:val="24"/>
          <w:highlight w:val="none"/>
          <w:u w:val="single"/>
        </w:rPr>
        <w:t>广州开发区财政投资建设项目管理中心</w:t>
      </w:r>
    </w:p>
    <w:p w14:paraId="51905274">
      <w:pPr>
        <w:spacing w:line="440" w:lineRule="exact"/>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承包人：</w:t>
      </w:r>
      <w:r>
        <w:rPr>
          <w:rFonts w:hint="eastAsia" w:ascii="宋体" w:hAnsi="宋体" w:eastAsia="宋体" w:cs="宋体"/>
          <w:color w:val="auto"/>
          <w:sz w:val="24"/>
          <w:szCs w:val="24"/>
          <w:highlight w:val="none"/>
          <w:u w:val="single"/>
        </w:rPr>
        <w:t xml:space="preserve">                       </w:t>
      </w:r>
    </w:p>
    <w:p w14:paraId="5F92F7E6">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发包人、承包人根据《中华人民共和国建筑法》、《建设工程质量管理条例》和《房屋建筑工程质量保修办法》等相关规定，经协商一致，对</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建设项目工程项目签订工程质量保修书。</w:t>
      </w:r>
    </w:p>
    <w:p w14:paraId="123159FB">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一、工程质量保修范围和内容</w:t>
      </w:r>
    </w:p>
    <w:p w14:paraId="5BDE007E">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1、承包人在质量保修期内，按照有关法律、法规、规章的管理规定和双方约定，承担本工程质量保修责任。</w:t>
      </w:r>
    </w:p>
    <w:p w14:paraId="4DAC8D5F">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2、质量保修范围本工程施工合同约定的工程内容。</w:t>
      </w:r>
    </w:p>
    <w:p w14:paraId="11307434">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二、质量保修期</w:t>
      </w:r>
    </w:p>
    <w:p w14:paraId="22713DCB">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双方根据《建设工程质量管理条例》、《房屋建筑工程质量保修办法》（建设部第80号令）的有关规定及设计要求，约定本工程质量保修期如下：</w:t>
      </w:r>
    </w:p>
    <w:p w14:paraId="404B3C4A">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1、地基基础工程和主体结构工程为设计文件规定的该工程的合理使用年限；</w:t>
      </w:r>
    </w:p>
    <w:p w14:paraId="638E3CD6">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2、屋面防水工程、有防水要求的卫生间、房间和外墙面的防渗漏为</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年；</w:t>
      </w:r>
    </w:p>
    <w:p w14:paraId="29F176D6">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3、电气管线、给排水管道、设备安装工程为</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年；</w:t>
      </w:r>
    </w:p>
    <w:p w14:paraId="3BA19DA1">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4、供热及供冷为</w:t>
      </w:r>
      <w:r>
        <w:rPr>
          <w:rFonts w:hint="eastAsia" w:ascii="宋体" w:hAnsi="宋体" w:eastAsia="宋体" w:cs="宋体"/>
          <w:snapToGrid w:val="0"/>
          <w:color w:val="auto"/>
          <w:kern w:val="0"/>
          <w:sz w:val="24"/>
          <w:szCs w:val="24"/>
          <w:highlight w:val="none"/>
          <w:u w:val="single"/>
        </w:rPr>
        <w:t xml:space="preserve"> 2</w:t>
      </w:r>
      <w:r>
        <w:rPr>
          <w:rFonts w:hint="eastAsia" w:ascii="宋体" w:hAnsi="宋体" w:eastAsia="宋体" w:cs="宋体"/>
          <w:snapToGrid w:val="0"/>
          <w:color w:val="auto"/>
          <w:kern w:val="0"/>
          <w:sz w:val="24"/>
          <w:szCs w:val="24"/>
          <w:highlight w:val="none"/>
        </w:rPr>
        <w:t>个采暖期及供冷期；</w:t>
      </w:r>
    </w:p>
    <w:p w14:paraId="483C6223">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5、装饰装修工程为</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年；</w:t>
      </w:r>
    </w:p>
    <w:p w14:paraId="353915A8">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6、室外的上下水和小区道路等市政公用工程为 </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年；</w:t>
      </w:r>
    </w:p>
    <w:p w14:paraId="32849D9B">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7、在本项目建成投入使用的前两年内，需对钢结构的节点、杆件应力集中部位、支座等受力关键部位进行应力、应变监控（监测方案由双方确定）。</w:t>
      </w:r>
    </w:p>
    <w:p w14:paraId="6A859688">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color w:val="auto"/>
          <w:sz w:val="24"/>
          <w:szCs w:val="24"/>
          <w:highlight w:val="none"/>
        </w:rPr>
        <w:t>园林建筑工程为</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年，喷淋工程为</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年，胸径15cm以内（含15cm）的苗木养护期为</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个月，胸径15cm以上的苗木养护期为</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年。</w:t>
      </w:r>
    </w:p>
    <w:p w14:paraId="2993731A">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9、其他约定：按国家现行规范规程及相关标准和设计的有关要求执行。 </w:t>
      </w:r>
    </w:p>
    <w:p w14:paraId="5BEAF5CC">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质量保修期自广州开发区管委会或其相关职能部门批准的提前移交之日或工程竣工验收合格之日起（以先发生日期为准）计算（广州开发区、黄埔区对工程竣工验收有相关规定的，按该规定执行）。</w:t>
      </w:r>
    </w:p>
    <w:p w14:paraId="10555066">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三、质量保修责任</w:t>
      </w:r>
    </w:p>
    <w:p w14:paraId="589CD5D2">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1、属于保修范围、内容的项目，承包人应当在接到保修通知之日后7天内派人修理。承包人不在约定期限内派人修理，发包人委托他人修理。</w:t>
      </w:r>
    </w:p>
    <w:p w14:paraId="71BE5C8B">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2、发生须紧急抢修事故的，承包人接到事故通知后，应当立即到达事故现场抢修。</w:t>
      </w:r>
    </w:p>
    <w:p w14:paraId="36D4F30F">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F0BB84C">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（2）质量保修完成后，由发包人组织验收。</w:t>
      </w:r>
    </w:p>
    <w:p w14:paraId="258C2084">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四、保修费用</w:t>
      </w:r>
    </w:p>
    <w:p w14:paraId="3F097AC9">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保修费用及相关的损害赔偿费，由造成质量缺陷的责任方承担。</w:t>
      </w:r>
    </w:p>
    <w:p w14:paraId="1D49AEBE">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五、其他</w:t>
      </w:r>
    </w:p>
    <w:p w14:paraId="6E0F049F">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1、保修金的使用、约定和支付按施工合同的约定执行。</w:t>
      </w:r>
    </w:p>
    <w:p w14:paraId="6C2A1327">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2、发包人将保修金返还给承包人后，承包人仍须按《建设工程质量管理条例》及市政府有关部门规定承担保修责任。</w:t>
      </w:r>
    </w:p>
    <w:p w14:paraId="03E02230">
      <w:pPr>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3、本工程质量保修书由施工合同发包人、承包人双方共同签署，作为施工合同附件，其有效期限至保修期满。 </w:t>
      </w:r>
    </w:p>
    <w:p w14:paraId="09B3C353">
      <w:pPr>
        <w:adjustRightInd w:val="0"/>
        <w:snapToGrid w:val="0"/>
        <w:spacing w:beforeLines="50" w:afterLines="50" w:line="440" w:lineRule="exact"/>
        <w:rPr>
          <w:rFonts w:hint="eastAsia" w:ascii="宋体" w:hAnsi="宋体" w:eastAsia="宋体" w:cs="宋体"/>
          <w:color w:val="auto"/>
          <w:sz w:val="24"/>
          <w:szCs w:val="24"/>
          <w:highlight w:val="none"/>
        </w:rPr>
      </w:pPr>
    </w:p>
    <w:tbl>
      <w:tblPr>
        <w:tblStyle w:val="88"/>
        <w:tblW w:w="0" w:type="auto"/>
        <w:tblInd w:w="431" w:type="dxa"/>
        <w:tblLayout w:type="fixed"/>
        <w:tblCellMar>
          <w:top w:w="0" w:type="dxa"/>
          <w:left w:w="108" w:type="dxa"/>
          <w:bottom w:w="0" w:type="dxa"/>
          <w:right w:w="108" w:type="dxa"/>
        </w:tblCellMar>
      </w:tblPr>
      <w:tblGrid>
        <w:gridCol w:w="1668"/>
        <w:gridCol w:w="2835"/>
        <w:gridCol w:w="1559"/>
        <w:gridCol w:w="2835"/>
      </w:tblGrid>
      <w:tr w14:paraId="61E38486">
        <w:trPr>
          <w:trHeight w:val="857" w:hRule="atLeast"/>
        </w:trPr>
        <w:tc>
          <w:tcPr>
            <w:tcW w:w="1668" w:type="dxa"/>
            <w:vAlign w:val="center"/>
          </w:tcPr>
          <w:p w14:paraId="48A91697">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  包  人：</w:t>
            </w:r>
          </w:p>
        </w:tc>
        <w:tc>
          <w:tcPr>
            <w:tcW w:w="2835" w:type="dxa"/>
            <w:vAlign w:val="center"/>
          </w:tcPr>
          <w:p w14:paraId="56AB7CBD">
            <w:pPr>
              <w:widowControl/>
              <w:wordWrap w:val="0"/>
              <w:topLinePunct/>
              <w:adjustRightInd w:val="0"/>
              <w:snapToGrid w:val="0"/>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广州开发区财政投资建设项目管理中心</w:t>
            </w:r>
          </w:p>
        </w:tc>
        <w:tc>
          <w:tcPr>
            <w:tcW w:w="1559" w:type="dxa"/>
            <w:vAlign w:val="center"/>
          </w:tcPr>
          <w:p w14:paraId="478263E1">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  包  人：</w:t>
            </w:r>
          </w:p>
        </w:tc>
        <w:tc>
          <w:tcPr>
            <w:tcW w:w="2835" w:type="dxa"/>
            <w:vAlign w:val="center"/>
          </w:tcPr>
          <w:p w14:paraId="69B564E4">
            <w:pPr>
              <w:widowControl/>
              <w:wordWrap w:val="0"/>
              <w:topLinePunct/>
              <w:adjustRightInd w:val="0"/>
              <w:snapToGrid w:val="0"/>
              <w:spacing w:line="300" w:lineRule="exact"/>
              <w:rPr>
                <w:rFonts w:hint="eastAsia" w:ascii="宋体" w:hAnsi="宋体" w:eastAsia="宋体" w:cs="宋体"/>
                <w:color w:val="auto"/>
                <w:sz w:val="24"/>
                <w:szCs w:val="24"/>
                <w:highlight w:val="none"/>
              </w:rPr>
            </w:pPr>
          </w:p>
        </w:tc>
      </w:tr>
      <w:tr w14:paraId="65DA06B1">
        <w:tblPrEx>
          <w:tblCellMar>
            <w:top w:w="0" w:type="dxa"/>
            <w:left w:w="108" w:type="dxa"/>
            <w:bottom w:w="0" w:type="dxa"/>
            <w:right w:w="108" w:type="dxa"/>
          </w:tblCellMar>
        </w:tblPrEx>
        <w:trPr>
          <w:trHeight w:val="1021" w:hRule="atLeast"/>
        </w:trPr>
        <w:tc>
          <w:tcPr>
            <w:tcW w:w="1668" w:type="dxa"/>
            <w:vAlign w:val="center"/>
          </w:tcPr>
          <w:p w14:paraId="0FF9A05C">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835" w:type="dxa"/>
            <w:vAlign w:val="center"/>
          </w:tcPr>
          <w:p w14:paraId="0916B4A0">
            <w:pPr>
              <w:widowControl/>
              <w:wordWrap w:val="0"/>
              <w:topLinePunct/>
              <w:adjustRightInd w:val="0"/>
              <w:snapToGrid w:val="0"/>
              <w:spacing w:line="480" w:lineRule="exact"/>
              <w:rPr>
                <w:rFonts w:hint="eastAsia" w:ascii="宋体" w:hAnsi="宋体" w:eastAsia="宋体" w:cs="宋体"/>
                <w:color w:val="auto"/>
                <w:sz w:val="24"/>
                <w:szCs w:val="24"/>
                <w:highlight w:val="none"/>
              </w:rPr>
            </w:pPr>
          </w:p>
        </w:tc>
        <w:tc>
          <w:tcPr>
            <w:tcW w:w="1559" w:type="dxa"/>
            <w:vAlign w:val="center"/>
          </w:tcPr>
          <w:p w14:paraId="4D86E7A7">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835" w:type="dxa"/>
            <w:vAlign w:val="center"/>
          </w:tcPr>
          <w:p w14:paraId="76B13779">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r w14:paraId="655A7CA3">
        <w:tblPrEx>
          <w:tblCellMar>
            <w:top w:w="0" w:type="dxa"/>
            <w:left w:w="108" w:type="dxa"/>
            <w:bottom w:w="0" w:type="dxa"/>
            <w:right w:w="108" w:type="dxa"/>
          </w:tblCellMar>
        </w:tblPrEx>
        <w:trPr>
          <w:trHeight w:val="1021" w:hRule="atLeast"/>
        </w:trPr>
        <w:tc>
          <w:tcPr>
            <w:tcW w:w="1668" w:type="dxa"/>
            <w:vAlign w:val="center"/>
          </w:tcPr>
          <w:p w14:paraId="5CDD1223">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2835" w:type="dxa"/>
            <w:vAlign w:val="center"/>
          </w:tcPr>
          <w:p w14:paraId="4B5A1757">
            <w:pPr>
              <w:widowControl/>
              <w:wordWrap w:val="0"/>
              <w:topLinePunct/>
              <w:adjustRightInd w:val="0"/>
              <w:snapToGrid w:val="0"/>
              <w:spacing w:line="480" w:lineRule="exact"/>
              <w:rPr>
                <w:rFonts w:hint="eastAsia" w:ascii="宋体" w:hAnsi="宋体" w:eastAsia="宋体" w:cs="宋体"/>
                <w:color w:val="auto"/>
                <w:sz w:val="24"/>
                <w:szCs w:val="24"/>
                <w:highlight w:val="none"/>
              </w:rPr>
            </w:pPr>
          </w:p>
        </w:tc>
        <w:tc>
          <w:tcPr>
            <w:tcW w:w="1559" w:type="dxa"/>
            <w:vAlign w:val="center"/>
          </w:tcPr>
          <w:p w14:paraId="43EA483D">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2835" w:type="dxa"/>
            <w:vAlign w:val="center"/>
          </w:tcPr>
          <w:p w14:paraId="1AFE4AA8">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bl>
    <w:p w14:paraId="0B9F17DD">
      <w:pPr>
        <w:pStyle w:val="264"/>
        <w:tabs>
          <w:tab w:val="left" w:pos="5460"/>
        </w:tabs>
        <w:adjustRightInd w:val="0"/>
        <w:snapToGrid w:val="0"/>
        <w:spacing w:line="360" w:lineRule="auto"/>
        <w:ind w:left="-2" w:leftChars="-1" w:right="11" w:firstLine="480" w:firstLineChars="200"/>
        <w:rPr>
          <w:rFonts w:hint="eastAsia" w:ascii="宋体" w:hAnsi="宋体" w:eastAsia="宋体" w:cs="宋体"/>
          <w:color w:val="auto"/>
          <w:sz w:val="24"/>
          <w:szCs w:val="24"/>
          <w:highlight w:val="none"/>
        </w:rPr>
      </w:pPr>
    </w:p>
    <w:p w14:paraId="012BA0F3">
      <w:pPr>
        <w:spacing w:line="440" w:lineRule="exact"/>
        <w:ind w:firstLine="397"/>
        <w:jc w:val="left"/>
        <w:rPr>
          <w:rFonts w:hint="eastAsia" w:ascii="宋体" w:hAnsi="宋体" w:eastAsia="宋体" w:cs="宋体"/>
          <w:color w:val="auto"/>
          <w:sz w:val="24"/>
          <w:szCs w:val="24"/>
          <w:highlight w:val="none"/>
        </w:rPr>
      </w:pPr>
    </w:p>
    <w:p w14:paraId="1EF8974D">
      <w:pPr>
        <w:tabs>
          <w:tab w:val="left" w:pos="5460"/>
        </w:tabs>
        <w:adjustRightInd w:val="0"/>
        <w:snapToGrid w:val="0"/>
        <w:spacing w:line="400" w:lineRule="exact"/>
        <w:ind w:left="-2" w:leftChars="-1" w:right="11"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签订日期：</w:t>
      </w:r>
      <w:r>
        <w:rPr>
          <w:rFonts w:hint="eastAsia" w:ascii="宋体" w:hAnsi="宋体" w:eastAsia="宋体" w:cs="宋体"/>
          <w:snapToGrid w:val="0"/>
          <w:color w:val="auto"/>
          <w:kern w:val="0"/>
          <w:sz w:val="24"/>
          <w:szCs w:val="24"/>
          <w:highlight w:val="none"/>
          <w:u w:val="single"/>
        </w:rPr>
        <w:t xml:space="preserve">      年   月    日</w:t>
      </w:r>
    </w:p>
    <w:p w14:paraId="0209D348">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snapToGrid w:val="0"/>
          <w:color w:val="auto"/>
          <w:kern w:val="0"/>
          <w:sz w:val="24"/>
          <w:szCs w:val="24"/>
          <w:highlight w:val="none"/>
        </w:rPr>
        <w:t>签订地点：</w:t>
      </w:r>
      <w:r>
        <w:rPr>
          <w:rFonts w:hint="eastAsia" w:ascii="宋体" w:hAnsi="宋体" w:eastAsia="宋体" w:cs="宋体"/>
          <w:snapToGrid w:val="0"/>
          <w:color w:val="auto"/>
          <w:kern w:val="0"/>
          <w:sz w:val="24"/>
          <w:szCs w:val="24"/>
          <w:highlight w:val="none"/>
          <w:u w:val="single"/>
        </w:rPr>
        <w:t>广州市黄埔区</w:t>
      </w:r>
    </w:p>
    <w:p w14:paraId="48FC26FC">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2F13F393">
      <w:pPr>
        <w:pStyle w:val="264"/>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rPr>
        <w:t xml:space="preserve">：            </w:t>
      </w:r>
      <w:r>
        <w:rPr>
          <w:rFonts w:hint="eastAsia" w:ascii="宋体" w:hAnsi="宋体" w:eastAsia="宋体" w:cs="宋体"/>
          <w:color w:val="auto"/>
          <w:sz w:val="24"/>
          <w:highlight w:val="none"/>
        </w:rPr>
        <w:t xml:space="preserve">  </w:t>
      </w:r>
    </w:p>
    <w:p w14:paraId="0AF6BDCC">
      <w:pPr>
        <w:pStyle w:val="264"/>
        <w:adjustRightInd w:val="0"/>
        <w:snapToGrid w:val="0"/>
        <w:spacing w:line="400" w:lineRule="exact"/>
        <w:rPr>
          <w:rFonts w:hint="eastAsia" w:ascii="宋体" w:hAnsi="宋体" w:eastAsia="宋体" w:cs="宋体"/>
          <w:color w:val="auto"/>
          <w:sz w:val="24"/>
          <w:highlight w:val="none"/>
        </w:rPr>
      </w:pPr>
    </w:p>
    <w:p w14:paraId="723366BF">
      <w:pPr>
        <w:pStyle w:val="264"/>
        <w:adjustRightInd w:val="0"/>
        <w:snapToGrid w:val="0"/>
        <w:spacing w:line="440" w:lineRule="exact"/>
        <w:jc w:val="center"/>
        <w:rPr>
          <w:rFonts w:hint="eastAsia" w:ascii="宋体" w:hAnsi="宋体" w:eastAsia="宋体" w:cs="宋体"/>
          <w:b/>
          <w:bCs/>
          <w:color w:val="auto"/>
          <w:sz w:val="36"/>
          <w:szCs w:val="30"/>
          <w:highlight w:val="none"/>
        </w:rPr>
      </w:pPr>
      <w:r>
        <w:rPr>
          <w:rFonts w:hint="eastAsia" w:ascii="宋体" w:hAnsi="宋体" w:eastAsia="宋体" w:cs="宋体"/>
          <w:b/>
          <w:bCs/>
          <w:color w:val="auto"/>
          <w:sz w:val="36"/>
          <w:szCs w:val="30"/>
          <w:highlight w:val="none"/>
        </w:rPr>
        <w:t>工程建设项目廉政责任书</w:t>
      </w:r>
    </w:p>
    <w:p w14:paraId="7FFBBF94">
      <w:pPr>
        <w:pStyle w:val="265"/>
        <w:adjustRightInd w:val="0"/>
        <w:snapToGrid w:val="0"/>
        <w:spacing w:line="440" w:lineRule="exact"/>
        <w:ind w:firstLine="0"/>
        <w:rPr>
          <w:rFonts w:hint="eastAsia" w:ascii="宋体" w:hAnsi="宋体" w:eastAsia="宋体" w:cs="宋体"/>
          <w:snapToGrid w:val="0"/>
          <w:color w:val="auto"/>
          <w:kern w:val="0"/>
          <w:sz w:val="24"/>
          <w:szCs w:val="24"/>
          <w:highlight w:val="none"/>
        </w:rPr>
      </w:pPr>
    </w:p>
    <w:p w14:paraId="27FD7A56">
      <w:pPr>
        <w:pStyle w:val="264"/>
        <w:adjustRightInd w:val="0"/>
        <w:snapToGrid w:val="0"/>
        <w:spacing w:line="400" w:lineRule="exact"/>
        <w:ind w:left="495" w:hanging="49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工程项目名称：</w:t>
      </w:r>
      <w:r>
        <w:rPr>
          <w:rFonts w:hint="eastAsia" w:ascii="宋体" w:hAnsi="宋体" w:eastAsia="宋体" w:cs="宋体"/>
          <w:color w:val="auto"/>
          <w:sz w:val="24"/>
          <w:szCs w:val="24"/>
          <w:highlight w:val="none"/>
          <w:u w:val="single"/>
        </w:rPr>
        <w:t xml:space="preserve">                                </w:t>
      </w:r>
    </w:p>
    <w:p w14:paraId="0F4A3EF0">
      <w:pPr>
        <w:pStyle w:val="264"/>
        <w:adjustRightInd w:val="0"/>
        <w:snapToGrid w:val="0"/>
        <w:spacing w:line="400" w:lineRule="exact"/>
        <w:ind w:left="495" w:hanging="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工程项目地址：</w:t>
      </w:r>
      <w:r>
        <w:rPr>
          <w:rFonts w:hint="eastAsia" w:ascii="宋体" w:hAnsi="宋体" w:eastAsia="宋体" w:cs="宋体"/>
          <w:color w:val="auto"/>
          <w:sz w:val="24"/>
          <w:szCs w:val="24"/>
          <w:highlight w:val="none"/>
          <w:u w:val="single"/>
        </w:rPr>
        <w:t xml:space="preserve">                                </w:t>
      </w:r>
    </w:p>
    <w:p w14:paraId="458D4D91">
      <w:pPr>
        <w:pStyle w:val="264"/>
        <w:adjustRightInd w:val="0"/>
        <w:snapToGrid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广州开发区财政投资建设项目管理中心</w:t>
      </w:r>
    </w:p>
    <w:p w14:paraId="703F3FA3">
      <w:pPr>
        <w:pStyle w:val="264"/>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13548C98">
      <w:pPr>
        <w:pStyle w:val="264"/>
        <w:adjustRightInd w:val="0"/>
        <w:snapToGrid w:val="0"/>
        <w:spacing w:line="400" w:lineRule="exact"/>
        <w:rPr>
          <w:rFonts w:hint="eastAsia" w:ascii="宋体" w:hAnsi="宋体" w:eastAsia="宋体" w:cs="宋体"/>
          <w:color w:val="auto"/>
          <w:sz w:val="24"/>
          <w:szCs w:val="24"/>
          <w:highlight w:val="none"/>
        </w:rPr>
      </w:pPr>
    </w:p>
    <w:p w14:paraId="0EFCF140">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6A0E0FE8">
      <w:pPr>
        <w:adjustRightInd w:val="0"/>
        <w:snapToGrid w:val="0"/>
        <w:spacing w:line="400" w:lineRule="exact"/>
        <w:ind w:firstLine="482"/>
        <w:rPr>
          <w:rFonts w:hint="eastAsia" w:ascii="宋体" w:hAnsi="宋体" w:eastAsia="宋体" w:cs="宋体"/>
          <w:b/>
          <w:color w:val="auto"/>
          <w:kern w:val="0"/>
          <w:sz w:val="24"/>
          <w:szCs w:val="24"/>
          <w:highlight w:val="none"/>
        </w:rPr>
      </w:pPr>
      <w:r>
        <w:rPr>
          <w:rFonts w:hint="eastAsia" w:ascii="宋体" w:hAnsi="宋体" w:eastAsia="宋体" w:cs="宋体"/>
          <w:b/>
          <w:snapToGrid w:val="0"/>
          <w:color w:val="auto"/>
          <w:kern w:val="0"/>
          <w:sz w:val="24"/>
          <w:szCs w:val="24"/>
          <w:highlight w:val="none"/>
        </w:rPr>
        <w:t>第一条  甲、乙双方的责任</w:t>
      </w:r>
    </w:p>
    <w:p w14:paraId="19E953E8">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（一）应严格遵守国家关于市场准入、项目招标投标、</w:t>
      </w:r>
      <w:r>
        <w:rPr>
          <w:rFonts w:hint="eastAsia" w:ascii="宋体" w:hAnsi="宋体" w:eastAsia="宋体" w:cs="宋体"/>
          <w:color w:val="auto"/>
          <w:kern w:val="0"/>
          <w:sz w:val="24"/>
          <w:szCs w:val="24"/>
          <w:highlight w:val="none"/>
        </w:rPr>
        <w:t>工程建设和市场活动</w:t>
      </w:r>
      <w:r>
        <w:rPr>
          <w:rFonts w:hint="eastAsia" w:ascii="宋体" w:hAnsi="宋体" w:eastAsia="宋体" w:cs="宋体"/>
          <w:snapToGrid w:val="0"/>
          <w:color w:val="auto"/>
          <w:kern w:val="0"/>
          <w:sz w:val="24"/>
          <w:szCs w:val="24"/>
          <w:highlight w:val="none"/>
        </w:rPr>
        <w:t>等有关法律、法规、相关政策，以及廉政建设的各项规定。</w:t>
      </w:r>
    </w:p>
    <w:p w14:paraId="3ABAA64F">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（二）严格执行建设工程项目承发包合同文件，自觉按合同办事。</w:t>
      </w:r>
    </w:p>
    <w:p w14:paraId="3E36D18D">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（三）业务活动必须坚持公开、公平、公正、诚信、透明的原则（除法律法规另有规定者外），不得为获取不正当的利益，损害国家、集体和对方利益，不得</w:t>
      </w:r>
      <w:r>
        <w:rPr>
          <w:rFonts w:hint="eastAsia" w:ascii="宋体" w:hAnsi="宋体" w:eastAsia="宋体" w:cs="宋体"/>
          <w:color w:val="auto"/>
          <w:kern w:val="0"/>
          <w:sz w:val="24"/>
          <w:szCs w:val="24"/>
          <w:highlight w:val="none"/>
        </w:rPr>
        <w:t>违反工程建设过程管理的规章制度。</w:t>
      </w:r>
    </w:p>
    <w:p w14:paraId="37621AD9">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（四）发现对方在业务活动中有违规、违纪、违法行为的，应及时提醒对方，情节严重的，应向其上级主管部门或纪检监察、司法等有关机关举报。</w:t>
      </w:r>
    </w:p>
    <w:p w14:paraId="48549E28">
      <w:pPr>
        <w:adjustRightInd w:val="0"/>
        <w:snapToGrid w:val="0"/>
        <w:spacing w:line="400" w:lineRule="exact"/>
        <w:ind w:firstLine="482"/>
        <w:rPr>
          <w:rFonts w:hint="eastAsia" w:ascii="宋体" w:hAnsi="宋体" w:eastAsia="宋体" w:cs="宋体"/>
          <w:b/>
          <w:color w:val="auto"/>
          <w:kern w:val="0"/>
          <w:sz w:val="24"/>
          <w:szCs w:val="24"/>
          <w:highlight w:val="none"/>
        </w:rPr>
      </w:pPr>
      <w:r>
        <w:rPr>
          <w:rFonts w:hint="eastAsia" w:ascii="宋体" w:hAnsi="宋体" w:eastAsia="宋体" w:cs="宋体"/>
          <w:b/>
          <w:snapToGrid w:val="0"/>
          <w:color w:val="auto"/>
          <w:kern w:val="0"/>
          <w:sz w:val="24"/>
          <w:szCs w:val="24"/>
          <w:highlight w:val="none"/>
        </w:rPr>
        <w:t>第二条  甲方的责任</w:t>
      </w:r>
    </w:p>
    <w:p w14:paraId="1A60A695">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甲方的领导和从事本建设工程项目的工作人员，在工程建设的事前、事中、事后应遵守以下规定：</w:t>
      </w:r>
    </w:p>
    <w:p w14:paraId="7A0B3913">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（一）不准向乙方和相关单位索要或接受回扣、礼金、有价证券、贵重物品和好处费、感谢费等。</w:t>
      </w:r>
    </w:p>
    <w:p w14:paraId="7E8A3660">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（二）不准在乙方和相关单位报销任何应由甲方或个人支付的费用。</w:t>
      </w:r>
    </w:p>
    <w:p w14:paraId="5F3DA9D7">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（三）不准要求、暗示或接受乙方和相关单位为个人装修住房、婚丧嫁娶、配偶子女的工作安排以及出国（境）、旅游等提供方便。</w:t>
      </w:r>
    </w:p>
    <w:p w14:paraId="15858D7A">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（四）不准参加有可能影响公正执行公务的乙方及相关单位的宴请、健身、娱乐等活动。</w:t>
      </w:r>
    </w:p>
    <w:p w14:paraId="7C7B688C">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（五）不准向乙方介绍或为配偶、子女、亲属参与同甲方项目工程合同有关的设备、材料、工程分包、劳务等经济活动。不得以任何理由向乙方和相关单位推荐分包单位。</w:t>
      </w:r>
    </w:p>
    <w:p w14:paraId="2DC748DD">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b/>
          <w:snapToGrid w:val="0"/>
          <w:color w:val="auto"/>
          <w:kern w:val="0"/>
          <w:sz w:val="24"/>
          <w:szCs w:val="24"/>
          <w:highlight w:val="none"/>
        </w:rPr>
        <w:t>第三条  乙方的责任</w:t>
      </w:r>
    </w:p>
    <w:p w14:paraId="5F84F20F">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应与甲方保持正常的业务交往，按照有关法律法规和程序开展业务工作，严格执行</w:t>
      </w:r>
      <w:r>
        <w:rPr>
          <w:rFonts w:hint="eastAsia" w:ascii="宋体" w:hAnsi="宋体" w:eastAsia="宋体" w:cs="宋体"/>
          <w:color w:val="auto"/>
          <w:kern w:val="0"/>
          <w:sz w:val="24"/>
          <w:szCs w:val="24"/>
          <w:highlight w:val="none"/>
        </w:rPr>
        <w:t>工程建设过程管理的有关方针、政策，尤其是强制性标准和规范</w:t>
      </w:r>
      <w:r>
        <w:rPr>
          <w:rFonts w:hint="eastAsia" w:ascii="宋体" w:hAnsi="宋体" w:eastAsia="宋体" w:cs="宋体"/>
          <w:snapToGrid w:val="0"/>
          <w:color w:val="auto"/>
          <w:kern w:val="0"/>
          <w:sz w:val="24"/>
          <w:szCs w:val="24"/>
          <w:highlight w:val="none"/>
        </w:rPr>
        <w:t>，并遵守以下规定：</w:t>
      </w:r>
    </w:p>
    <w:p w14:paraId="7FDEC8EA">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（一）不准以任何理由向甲方、相关单位及其工作人员索要、接受或赠送礼金、有价证券、贵重物品及回扣、好处费、感谢费等。</w:t>
      </w:r>
    </w:p>
    <w:p w14:paraId="4F4DD31C">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（二）不准以任何理由为甲方和相关单位报销应由对方或个人支付的费用。</w:t>
      </w:r>
    </w:p>
    <w:p w14:paraId="436BF878">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（三）不准接受或暗示为甲方、相关单位或个人装修住房、婚丧嫁娶、配偶子女的工作安排以及出国（境）、旅游等提供方便。</w:t>
      </w:r>
    </w:p>
    <w:p w14:paraId="50DC9625">
      <w:pPr>
        <w:adjustRightInd w:val="0"/>
        <w:snapToGrid w:val="0"/>
        <w:spacing w:line="400" w:lineRule="exact"/>
        <w:ind w:firstLine="48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（四）不准以任何理由为甲方、相关单位或个人组织有可能影响公正执行公务的宴请、健身、娱乐等活动。</w:t>
      </w:r>
    </w:p>
    <w:p w14:paraId="04789971">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b/>
          <w:snapToGrid w:val="0"/>
          <w:color w:val="auto"/>
          <w:kern w:val="0"/>
          <w:sz w:val="24"/>
          <w:szCs w:val="24"/>
          <w:highlight w:val="none"/>
        </w:rPr>
        <w:t>第四条  违约责任</w:t>
      </w:r>
    </w:p>
    <w:p w14:paraId="3C515D55">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375037D5">
      <w:pPr>
        <w:adjustRightInd w:val="0"/>
        <w:snapToGrid w:val="0"/>
        <w:spacing w:line="40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432097EA">
      <w:pPr>
        <w:adjustRightInd w:val="0"/>
        <w:snapToGrid w:val="0"/>
        <w:spacing w:line="400" w:lineRule="exact"/>
        <w:ind w:firstLine="482"/>
        <w:rPr>
          <w:rFonts w:hint="eastAsia" w:ascii="宋体" w:hAnsi="宋体" w:eastAsia="宋体" w:cs="宋体"/>
          <w:b/>
          <w:color w:val="auto"/>
          <w:kern w:val="0"/>
          <w:sz w:val="24"/>
          <w:szCs w:val="24"/>
          <w:highlight w:val="none"/>
        </w:rPr>
      </w:pPr>
      <w:r>
        <w:rPr>
          <w:rFonts w:hint="eastAsia" w:ascii="宋体" w:hAnsi="宋体" w:eastAsia="宋体" w:cs="宋体"/>
          <w:b/>
          <w:snapToGrid w:val="0"/>
          <w:color w:val="auto"/>
          <w:kern w:val="0"/>
          <w:sz w:val="24"/>
          <w:szCs w:val="24"/>
          <w:highlight w:val="none"/>
        </w:rPr>
        <w:t xml:space="preserve">第五条  </w:t>
      </w:r>
      <w:r>
        <w:rPr>
          <w:rFonts w:hint="eastAsia" w:ascii="宋体" w:hAnsi="宋体" w:eastAsia="宋体" w:cs="宋体"/>
          <w:snapToGrid w:val="0"/>
          <w:color w:val="auto"/>
          <w:kern w:val="0"/>
          <w:sz w:val="24"/>
          <w:szCs w:val="24"/>
          <w:highlight w:val="none"/>
        </w:rPr>
        <w:t>本廉政责任书作为合同的附件，与合同具有同等法律效力。经双方签署后立即生效。</w:t>
      </w:r>
    </w:p>
    <w:p w14:paraId="18E4B735">
      <w:pPr>
        <w:adjustRightInd w:val="0"/>
        <w:snapToGrid w:val="0"/>
        <w:spacing w:line="400" w:lineRule="exact"/>
        <w:ind w:firstLine="482"/>
        <w:rPr>
          <w:rFonts w:hint="eastAsia" w:ascii="宋体" w:hAnsi="宋体" w:eastAsia="宋体" w:cs="宋体"/>
          <w:b/>
          <w:color w:val="auto"/>
          <w:kern w:val="0"/>
          <w:sz w:val="24"/>
          <w:szCs w:val="24"/>
          <w:highlight w:val="none"/>
        </w:rPr>
      </w:pPr>
      <w:r>
        <w:rPr>
          <w:rFonts w:hint="eastAsia" w:ascii="宋体" w:hAnsi="宋体" w:eastAsia="宋体" w:cs="宋体"/>
          <w:b/>
          <w:snapToGrid w:val="0"/>
          <w:color w:val="auto"/>
          <w:kern w:val="0"/>
          <w:sz w:val="24"/>
          <w:szCs w:val="24"/>
          <w:highlight w:val="none"/>
        </w:rPr>
        <w:t xml:space="preserve">第六条  </w:t>
      </w:r>
      <w:r>
        <w:rPr>
          <w:rFonts w:hint="eastAsia" w:ascii="宋体" w:hAnsi="宋体" w:eastAsia="宋体" w:cs="宋体"/>
          <w:snapToGrid w:val="0"/>
          <w:color w:val="auto"/>
          <w:kern w:val="0"/>
          <w:sz w:val="24"/>
          <w:szCs w:val="24"/>
          <w:highlight w:val="none"/>
        </w:rPr>
        <w:t>本廉政责任书的有效期与合同的有效期相同。</w:t>
      </w:r>
    </w:p>
    <w:p w14:paraId="3D20D604">
      <w:pPr>
        <w:adjustRightInd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 xml:space="preserve">    </w:t>
      </w:r>
      <w:r>
        <w:rPr>
          <w:rFonts w:hint="eastAsia" w:ascii="宋体" w:hAnsi="宋体" w:eastAsia="宋体" w:cs="宋体"/>
          <w:b/>
          <w:snapToGrid w:val="0"/>
          <w:color w:val="auto"/>
          <w:kern w:val="0"/>
          <w:sz w:val="24"/>
          <w:szCs w:val="24"/>
          <w:highlight w:val="none"/>
        </w:rPr>
        <w:t xml:space="preserve">第七条  </w:t>
      </w:r>
      <w:r>
        <w:rPr>
          <w:rFonts w:hint="eastAsia" w:ascii="宋体" w:hAnsi="宋体" w:eastAsia="宋体" w:cs="宋体"/>
          <w:snapToGrid w:val="0"/>
          <w:color w:val="auto"/>
          <w:kern w:val="0"/>
          <w:sz w:val="24"/>
          <w:szCs w:val="24"/>
          <w:highlight w:val="none"/>
        </w:rPr>
        <w:t>本廉政责任书份数和合同份数一致</w:t>
      </w:r>
      <w:r>
        <w:rPr>
          <w:rFonts w:hint="eastAsia" w:ascii="宋体" w:hAnsi="宋体" w:eastAsia="宋体" w:cs="宋体"/>
          <w:bCs/>
          <w:color w:val="auto"/>
          <w:kern w:val="0"/>
          <w:sz w:val="24"/>
          <w:szCs w:val="24"/>
          <w:highlight w:val="none"/>
        </w:rPr>
        <w:t>。</w:t>
      </w:r>
    </w:p>
    <w:p w14:paraId="7034953F">
      <w:pPr>
        <w:adjustRightInd w:val="0"/>
        <w:snapToGrid w:val="0"/>
        <w:spacing w:line="440" w:lineRule="exact"/>
        <w:ind w:right="11"/>
        <w:rPr>
          <w:rFonts w:hint="eastAsia" w:ascii="宋体" w:hAnsi="宋体" w:eastAsia="宋体" w:cs="宋体"/>
          <w:snapToGrid w:val="0"/>
          <w:color w:val="auto"/>
          <w:kern w:val="0"/>
          <w:sz w:val="24"/>
          <w:szCs w:val="24"/>
          <w:highlight w:val="none"/>
        </w:rPr>
      </w:pPr>
    </w:p>
    <w:tbl>
      <w:tblPr>
        <w:tblStyle w:val="88"/>
        <w:tblW w:w="0" w:type="auto"/>
        <w:tblInd w:w="431" w:type="dxa"/>
        <w:tblLayout w:type="fixed"/>
        <w:tblCellMar>
          <w:top w:w="0" w:type="dxa"/>
          <w:left w:w="108" w:type="dxa"/>
          <w:bottom w:w="0" w:type="dxa"/>
          <w:right w:w="108" w:type="dxa"/>
        </w:tblCellMar>
      </w:tblPr>
      <w:tblGrid>
        <w:gridCol w:w="1668"/>
        <w:gridCol w:w="2835"/>
        <w:gridCol w:w="1559"/>
        <w:gridCol w:w="2835"/>
      </w:tblGrid>
      <w:tr w14:paraId="327079DD">
        <w:tblPrEx>
          <w:tblCellMar>
            <w:top w:w="0" w:type="dxa"/>
            <w:left w:w="108" w:type="dxa"/>
            <w:bottom w:w="0" w:type="dxa"/>
            <w:right w:w="108" w:type="dxa"/>
          </w:tblCellMar>
        </w:tblPrEx>
        <w:trPr>
          <w:trHeight w:val="857" w:hRule="atLeast"/>
        </w:trPr>
        <w:tc>
          <w:tcPr>
            <w:tcW w:w="1668" w:type="dxa"/>
            <w:vAlign w:val="center"/>
          </w:tcPr>
          <w:p w14:paraId="0DC0CF85">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  包  人：</w:t>
            </w:r>
          </w:p>
        </w:tc>
        <w:tc>
          <w:tcPr>
            <w:tcW w:w="2835" w:type="dxa"/>
            <w:vAlign w:val="center"/>
          </w:tcPr>
          <w:p w14:paraId="712D097D">
            <w:pPr>
              <w:widowControl/>
              <w:wordWrap w:val="0"/>
              <w:topLinePunct/>
              <w:adjustRightInd w:val="0"/>
              <w:snapToGrid w:val="0"/>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广州开发区财政投资建设项目管理中心</w:t>
            </w:r>
          </w:p>
        </w:tc>
        <w:tc>
          <w:tcPr>
            <w:tcW w:w="1559" w:type="dxa"/>
            <w:vAlign w:val="center"/>
          </w:tcPr>
          <w:p w14:paraId="48CF24F8">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  包  人：</w:t>
            </w:r>
          </w:p>
        </w:tc>
        <w:tc>
          <w:tcPr>
            <w:tcW w:w="2835" w:type="dxa"/>
            <w:vAlign w:val="center"/>
          </w:tcPr>
          <w:p w14:paraId="2A144A38">
            <w:pPr>
              <w:widowControl/>
              <w:wordWrap w:val="0"/>
              <w:topLinePunct/>
              <w:adjustRightInd w:val="0"/>
              <w:snapToGrid w:val="0"/>
              <w:spacing w:line="300" w:lineRule="exact"/>
              <w:rPr>
                <w:rFonts w:hint="eastAsia" w:ascii="宋体" w:hAnsi="宋体" w:eastAsia="宋体" w:cs="宋体"/>
                <w:color w:val="auto"/>
                <w:sz w:val="24"/>
                <w:szCs w:val="24"/>
                <w:highlight w:val="none"/>
              </w:rPr>
            </w:pPr>
          </w:p>
        </w:tc>
      </w:tr>
      <w:tr w14:paraId="2F89C0BE">
        <w:tblPrEx>
          <w:tblCellMar>
            <w:top w:w="0" w:type="dxa"/>
            <w:left w:w="108" w:type="dxa"/>
            <w:bottom w:w="0" w:type="dxa"/>
            <w:right w:w="108" w:type="dxa"/>
          </w:tblCellMar>
        </w:tblPrEx>
        <w:trPr>
          <w:trHeight w:val="1021" w:hRule="atLeast"/>
        </w:trPr>
        <w:tc>
          <w:tcPr>
            <w:tcW w:w="1668" w:type="dxa"/>
            <w:vAlign w:val="center"/>
          </w:tcPr>
          <w:p w14:paraId="7F87E392">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835" w:type="dxa"/>
            <w:vAlign w:val="center"/>
          </w:tcPr>
          <w:p w14:paraId="4E70D38B">
            <w:pPr>
              <w:widowControl/>
              <w:wordWrap w:val="0"/>
              <w:topLinePunct/>
              <w:adjustRightInd w:val="0"/>
              <w:snapToGrid w:val="0"/>
              <w:spacing w:line="480" w:lineRule="exact"/>
              <w:rPr>
                <w:rFonts w:hint="eastAsia" w:ascii="宋体" w:hAnsi="宋体" w:eastAsia="宋体" w:cs="宋体"/>
                <w:color w:val="auto"/>
                <w:sz w:val="24"/>
                <w:szCs w:val="24"/>
                <w:highlight w:val="none"/>
              </w:rPr>
            </w:pPr>
          </w:p>
        </w:tc>
        <w:tc>
          <w:tcPr>
            <w:tcW w:w="1559" w:type="dxa"/>
            <w:vAlign w:val="center"/>
          </w:tcPr>
          <w:p w14:paraId="38EE1D3D">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835" w:type="dxa"/>
            <w:vAlign w:val="center"/>
          </w:tcPr>
          <w:p w14:paraId="56BE2900">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r w14:paraId="7EDB8F11">
        <w:tblPrEx>
          <w:tblCellMar>
            <w:top w:w="0" w:type="dxa"/>
            <w:left w:w="108" w:type="dxa"/>
            <w:bottom w:w="0" w:type="dxa"/>
            <w:right w:w="108" w:type="dxa"/>
          </w:tblCellMar>
        </w:tblPrEx>
        <w:trPr>
          <w:trHeight w:val="1021" w:hRule="atLeast"/>
        </w:trPr>
        <w:tc>
          <w:tcPr>
            <w:tcW w:w="1668" w:type="dxa"/>
            <w:vAlign w:val="center"/>
          </w:tcPr>
          <w:p w14:paraId="15604AFD">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2835" w:type="dxa"/>
            <w:vAlign w:val="center"/>
          </w:tcPr>
          <w:p w14:paraId="2467A724">
            <w:pPr>
              <w:widowControl/>
              <w:wordWrap w:val="0"/>
              <w:topLinePunct/>
              <w:adjustRightInd w:val="0"/>
              <w:snapToGrid w:val="0"/>
              <w:spacing w:line="480" w:lineRule="exact"/>
              <w:rPr>
                <w:rFonts w:hint="eastAsia" w:ascii="宋体" w:hAnsi="宋体" w:eastAsia="宋体" w:cs="宋体"/>
                <w:color w:val="auto"/>
                <w:sz w:val="24"/>
                <w:szCs w:val="24"/>
                <w:highlight w:val="none"/>
              </w:rPr>
            </w:pPr>
          </w:p>
        </w:tc>
        <w:tc>
          <w:tcPr>
            <w:tcW w:w="1559" w:type="dxa"/>
            <w:vAlign w:val="center"/>
          </w:tcPr>
          <w:p w14:paraId="0FF8B56E">
            <w:pPr>
              <w:widowControl/>
              <w:wordWrap w:val="0"/>
              <w:topLinePunct/>
              <w:adjustRightInd w:val="0"/>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2835" w:type="dxa"/>
            <w:vAlign w:val="center"/>
          </w:tcPr>
          <w:p w14:paraId="35D5EEA4">
            <w:pPr>
              <w:widowControl/>
              <w:wordWrap w:val="0"/>
              <w:topLinePunct/>
              <w:adjustRightInd w:val="0"/>
              <w:snapToGrid w:val="0"/>
              <w:spacing w:line="360" w:lineRule="exact"/>
              <w:rPr>
                <w:rFonts w:hint="eastAsia" w:ascii="宋体" w:hAnsi="宋体" w:eastAsia="宋体" w:cs="宋体"/>
                <w:color w:val="auto"/>
                <w:sz w:val="24"/>
                <w:szCs w:val="24"/>
                <w:highlight w:val="none"/>
              </w:rPr>
            </w:pPr>
          </w:p>
        </w:tc>
      </w:tr>
    </w:tbl>
    <w:p w14:paraId="3E94DF2C">
      <w:pPr>
        <w:spacing w:line="440" w:lineRule="exact"/>
        <w:ind w:firstLine="397"/>
        <w:jc w:val="left"/>
        <w:rPr>
          <w:rFonts w:hint="eastAsia" w:ascii="宋体" w:hAnsi="宋体" w:eastAsia="宋体" w:cs="宋体"/>
          <w:snapToGrid w:val="0"/>
          <w:color w:val="auto"/>
          <w:kern w:val="0"/>
          <w:sz w:val="24"/>
          <w:szCs w:val="24"/>
          <w:highlight w:val="none"/>
        </w:rPr>
      </w:pPr>
    </w:p>
    <w:p w14:paraId="48A1DAED">
      <w:pPr>
        <w:tabs>
          <w:tab w:val="left" w:pos="5460"/>
        </w:tabs>
        <w:adjustRightInd w:val="0"/>
        <w:snapToGrid w:val="0"/>
        <w:spacing w:line="460" w:lineRule="exact"/>
        <w:ind w:left="-2" w:leftChars="-1" w:right="11"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签订日期：</w:t>
      </w:r>
      <w:r>
        <w:rPr>
          <w:rFonts w:hint="eastAsia" w:ascii="宋体" w:hAnsi="宋体" w:eastAsia="宋体" w:cs="宋体"/>
          <w:snapToGrid w:val="0"/>
          <w:color w:val="auto"/>
          <w:kern w:val="0"/>
          <w:sz w:val="24"/>
          <w:szCs w:val="24"/>
          <w:highlight w:val="none"/>
          <w:u w:val="single"/>
        </w:rPr>
        <w:t xml:space="preserve">      年   月    日</w:t>
      </w:r>
    </w:p>
    <w:p w14:paraId="4D440A1E">
      <w:pPr>
        <w:adjustRightInd/>
        <w:snapToGrid/>
        <w:spacing w:line="460" w:lineRule="exact"/>
        <w:ind w:right="0"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签订地点：</w:t>
      </w:r>
      <w:r>
        <w:rPr>
          <w:rFonts w:hint="eastAsia" w:ascii="宋体" w:hAnsi="宋体" w:eastAsia="宋体" w:cs="宋体"/>
          <w:snapToGrid w:val="0"/>
          <w:color w:val="auto"/>
          <w:kern w:val="0"/>
          <w:sz w:val="24"/>
          <w:szCs w:val="24"/>
          <w:highlight w:val="none"/>
          <w:u w:val="single"/>
        </w:rPr>
        <w:t>广州市黄埔区</w:t>
      </w:r>
    </w:p>
    <w:p w14:paraId="0621E05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863283C">
      <w:pPr>
        <w:pStyle w:val="26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附件2：标函承诺书</w:t>
      </w:r>
    </w:p>
    <w:p w14:paraId="68550328">
      <w:pPr>
        <w:pStyle w:val="26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附件3：项目负责人驻场承诺书</w:t>
      </w:r>
    </w:p>
    <w:p w14:paraId="022829E1">
      <w:pPr>
        <w:pStyle w:val="26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附件4：危险性较大的分部分项工程安全管理措施</w:t>
      </w:r>
    </w:p>
    <w:p w14:paraId="70985702">
      <w:pPr>
        <w:pStyle w:val="26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附件5：拟投入本工程的主要技术、经济和管理人员一览表</w:t>
      </w:r>
    </w:p>
    <w:p w14:paraId="7245750C">
      <w:pPr>
        <w:pStyle w:val="26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附件:6：拟投入本工程施工的主要机械设备配备表</w:t>
      </w:r>
    </w:p>
    <w:p w14:paraId="01E03663">
      <w:pPr>
        <w:pStyle w:val="26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附件7：中小企业声明函（如有)</w:t>
      </w:r>
    </w:p>
    <w:p w14:paraId="7222EE3D">
      <w:pPr>
        <w:pStyle w:val="264"/>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附件8：分包意向协议书(如有)</w:t>
      </w:r>
    </w:p>
    <w:p w14:paraId="44D0370A">
      <w:pPr>
        <w:snapToGrid/>
        <w:spacing w:line="460" w:lineRule="exact"/>
        <w:jc w:val="both"/>
        <w:rPr>
          <w:rFonts w:hint="eastAsia" w:ascii="宋体" w:hAnsi="宋体" w:eastAsia="宋体" w:cs="宋体"/>
          <w:color w:val="auto"/>
          <w:sz w:val="24"/>
          <w:highlight w:val="none"/>
          <w:lang w:val="en-US" w:eastAsia="zh-CN"/>
        </w:rPr>
      </w:pPr>
    </w:p>
    <w:p w14:paraId="66C3659E">
      <w:pPr>
        <w:spacing w:line="240" w:lineRule="exact"/>
        <w:rPr>
          <w:rFonts w:ascii="宋体" w:hAnsi="宋体" w:eastAsia="宋体" w:cs="宋体"/>
          <w:color w:val="auto"/>
          <w:highlight w:val="none"/>
        </w:rPr>
      </w:pPr>
    </w:p>
    <w:p w14:paraId="36905514">
      <w:pPr>
        <w:pStyle w:val="264"/>
        <w:snapToGrid w:val="0"/>
        <w:spacing w:line="360" w:lineRule="auto"/>
        <w:rPr>
          <w:rFonts w:ascii="宋体" w:hAnsi="宋体"/>
          <w:color w:val="auto"/>
          <w:sz w:val="28"/>
          <w:szCs w:val="28"/>
          <w:highlight w:val="none"/>
        </w:rPr>
      </w:pPr>
    </w:p>
    <w:p w14:paraId="707D9AF0">
      <w:pPr>
        <w:rPr>
          <w:rFonts w:ascii="宋体" w:hAnsi="宋体" w:eastAsia="宋体" w:cs="宋体"/>
          <w:color w:val="auto"/>
          <w:sz w:val="32"/>
          <w:szCs w:val="32"/>
          <w:highlight w:val="none"/>
        </w:rPr>
      </w:pPr>
      <w:bookmarkStart w:id="34" w:name="_Toc30083"/>
      <w:r>
        <w:rPr>
          <w:rFonts w:ascii="宋体" w:hAnsi="宋体" w:eastAsia="宋体" w:cs="宋体"/>
          <w:color w:val="auto"/>
          <w:sz w:val="32"/>
          <w:szCs w:val="32"/>
          <w:highlight w:val="none"/>
        </w:rPr>
        <w:br w:type="page"/>
      </w:r>
    </w:p>
    <w:p w14:paraId="67BDFB25">
      <w:pPr>
        <w:pStyle w:val="4"/>
        <w:tabs>
          <w:tab w:val="left" w:pos="0"/>
        </w:tabs>
        <w:snapToGrid w:val="0"/>
        <w:spacing w:before="0" w:after="0"/>
        <w:jc w:val="center"/>
        <w:rPr>
          <w:rFonts w:ascii="宋体" w:hAnsi="宋体" w:eastAsia="宋体" w:cs="宋体"/>
          <w:bCs/>
          <w:color w:val="auto"/>
          <w:sz w:val="32"/>
          <w:szCs w:val="32"/>
          <w:highlight w:val="none"/>
        </w:rPr>
      </w:pPr>
      <w:r>
        <w:rPr>
          <w:rFonts w:hint="eastAsia" w:ascii="宋体" w:hAnsi="宋体" w:eastAsia="宋体" w:cs="宋体"/>
          <w:b/>
          <w:bCs/>
          <w:color w:val="auto"/>
          <w:kern w:val="44"/>
          <w:sz w:val="32"/>
          <w:szCs w:val="32"/>
          <w:highlight w:val="none"/>
        </w:rPr>
        <w:t>第四章</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rPr>
        <w:t>投标文件格式</w:t>
      </w:r>
      <w:bookmarkEnd w:id="34"/>
    </w:p>
    <w:p w14:paraId="2A8CC8CB">
      <w:pPr>
        <w:autoSpaceDE w:val="0"/>
        <w:autoSpaceDN w:val="0"/>
        <w:adjustRightInd w:val="0"/>
        <w:snapToGrid w:val="0"/>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一、投标文件技术标部分（含资格审查文件）格式</w:t>
      </w:r>
    </w:p>
    <w:p w14:paraId="453A89FA">
      <w:pPr>
        <w:topLinePunct/>
        <w:adjustRightInd w:val="0"/>
        <w:snapToGrid w:val="0"/>
        <w:spacing w:line="360" w:lineRule="auto"/>
        <w:jc w:val="left"/>
        <w:rPr>
          <w:rFonts w:ascii="宋体" w:hAnsi="宋体" w:eastAsia="宋体" w:cs="宋体"/>
          <w:color w:val="auto"/>
          <w:sz w:val="24"/>
          <w:highlight w:val="none"/>
        </w:rPr>
      </w:pPr>
      <w:bookmarkStart w:id="35" w:name="_Toc6493845"/>
    </w:p>
    <w:p w14:paraId="4E5A3F69">
      <w:pPr>
        <w:topLinePunct/>
        <w:adjustRightInd w:val="0"/>
        <w:snapToGrid w:val="0"/>
        <w:spacing w:line="360" w:lineRule="auto"/>
        <w:jc w:val="left"/>
        <w:rPr>
          <w:rFonts w:ascii="宋体" w:hAnsi="宋体" w:eastAsia="宋体" w:cs="宋体"/>
          <w:bCs/>
          <w:color w:val="auto"/>
          <w:spacing w:val="4"/>
          <w:kern w:val="0"/>
          <w:sz w:val="24"/>
          <w:highlight w:val="none"/>
        </w:rPr>
      </w:pPr>
      <w:r>
        <w:rPr>
          <w:rFonts w:hint="eastAsia" w:ascii="宋体" w:hAnsi="宋体" w:eastAsia="宋体" w:cs="宋体"/>
          <w:color w:val="auto"/>
          <w:sz w:val="24"/>
          <w:highlight w:val="none"/>
        </w:rPr>
        <w:t>技术标</w:t>
      </w:r>
      <w:r>
        <w:rPr>
          <w:rFonts w:hint="eastAsia" w:ascii="宋体" w:hAnsi="宋体" w:eastAsia="宋体" w:cs="宋体"/>
          <w:bCs/>
          <w:color w:val="auto"/>
          <w:spacing w:val="4"/>
          <w:kern w:val="0"/>
          <w:sz w:val="24"/>
          <w:highlight w:val="none"/>
        </w:rPr>
        <w:t>格式一</w:t>
      </w:r>
      <w:bookmarkEnd w:id="35"/>
    </w:p>
    <w:p w14:paraId="26B55472">
      <w:pPr>
        <w:autoSpaceDE w:val="0"/>
        <w:autoSpaceDN w:val="0"/>
        <w:adjustRightInd w:val="0"/>
        <w:snapToGrid w:val="0"/>
        <w:spacing w:line="360" w:lineRule="auto"/>
        <w:jc w:val="center"/>
        <w:outlineLvl w:val="1"/>
        <w:rPr>
          <w:rFonts w:ascii="宋体" w:hAnsi="宋体" w:eastAsia="宋体" w:cs="宋体"/>
          <w:b/>
          <w:bCs/>
          <w:color w:val="auto"/>
          <w:sz w:val="36"/>
          <w:szCs w:val="36"/>
          <w:highlight w:val="none"/>
          <w:lang w:val="zh-CN"/>
        </w:rPr>
      </w:pPr>
      <w:bookmarkStart w:id="36" w:name="_Toc17590"/>
      <w:bookmarkStart w:id="37" w:name="_Toc10308"/>
      <w:r>
        <w:rPr>
          <w:rFonts w:hint="eastAsia" w:ascii="宋体" w:hAnsi="宋体" w:eastAsia="宋体" w:cs="宋体"/>
          <w:b/>
          <w:bCs/>
          <w:color w:val="auto"/>
          <w:sz w:val="36"/>
          <w:szCs w:val="36"/>
          <w:highlight w:val="none"/>
          <w:lang w:val="zh-CN"/>
        </w:rPr>
        <w:t>广州建设工程施工招标投标书（技术标）</w:t>
      </w:r>
      <w:bookmarkEnd w:id="36"/>
      <w:bookmarkEnd w:id="37"/>
    </w:p>
    <w:tbl>
      <w:tblPr>
        <w:tblStyle w:val="8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14:paraId="5F67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226A3068">
            <w:pPr>
              <w:autoSpaceDE w:val="0"/>
              <w:autoSpaceDN w:val="0"/>
              <w:adjustRightInd w:val="0"/>
              <w:snapToGrid w:val="0"/>
              <w:spacing w:line="360" w:lineRule="auto"/>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noWrap/>
          </w:tcPr>
          <w:p w14:paraId="32F066B8">
            <w:pPr>
              <w:autoSpaceDE w:val="0"/>
              <w:autoSpaceDN w:val="0"/>
              <w:adjustRightInd w:val="0"/>
              <w:snapToGrid w:val="0"/>
              <w:spacing w:line="360" w:lineRule="auto"/>
              <w:rPr>
                <w:rFonts w:ascii="宋体" w:hAnsi="宋体" w:eastAsia="宋体" w:cs="宋体"/>
                <w:bCs/>
                <w:color w:val="auto"/>
                <w:sz w:val="24"/>
                <w:highlight w:val="none"/>
                <w:lang w:val="zh-CN"/>
              </w:rPr>
            </w:pPr>
          </w:p>
        </w:tc>
      </w:tr>
      <w:tr w14:paraId="6E02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1F293C94">
            <w:pPr>
              <w:snapToGrid w:val="0"/>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tcPr>
          <w:p w14:paraId="13790E04">
            <w:pPr>
              <w:autoSpaceDE w:val="0"/>
              <w:autoSpaceDN w:val="0"/>
              <w:adjustRightInd w:val="0"/>
              <w:snapToGrid w:val="0"/>
              <w:spacing w:line="360" w:lineRule="auto"/>
              <w:rPr>
                <w:rFonts w:ascii="宋体" w:hAnsi="宋体" w:eastAsia="宋体" w:cs="宋体"/>
                <w:bCs/>
                <w:color w:val="auto"/>
                <w:sz w:val="24"/>
                <w:highlight w:val="none"/>
                <w:lang w:val="zh-CN"/>
              </w:rPr>
            </w:pPr>
          </w:p>
        </w:tc>
      </w:tr>
      <w:tr w14:paraId="051C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3389444F">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tcPr>
          <w:p w14:paraId="3FF355D3">
            <w:pPr>
              <w:autoSpaceDE w:val="0"/>
              <w:autoSpaceDN w:val="0"/>
              <w:adjustRightInd w:val="0"/>
              <w:snapToGrid w:val="0"/>
              <w:spacing w:line="360" w:lineRule="auto"/>
              <w:rPr>
                <w:rFonts w:ascii="宋体" w:hAnsi="宋体" w:eastAsia="宋体" w:cs="宋体"/>
                <w:bCs/>
                <w:color w:val="auto"/>
                <w:sz w:val="24"/>
                <w:highlight w:val="none"/>
                <w:lang w:val="zh-CN"/>
              </w:rPr>
            </w:pPr>
          </w:p>
        </w:tc>
      </w:tr>
      <w:tr w14:paraId="183D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279B33EB">
            <w:pPr>
              <w:autoSpaceDE w:val="0"/>
              <w:autoSpaceDN w:val="0"/>
              <w:adjustRightInd w:val="0"/>
              <w:snapToGrid w:val="0"/>
              <w:spacing w:after="120" w:line="360" w:lineRule="auto"/>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noWrap/>
          </w:tcPr>
          <w:p w14:paraId="280EDBE0">
            <w:pPr>
              <w:autoSpaceDE w:val="0"/>
              <w:autoSpaceDN w:val="0"/>
              <w:adjustRightInd w:val="0"/>
              <w:snapToGrid w:val="0"/>
              <w:spacing w:line="360" w:lineRule="auto"/>
              <w:rPr>
                <w:rFonts w:ascii="宋体" w:hAnsi="宋体" w:eastAsia="宋体" w:cs="宋体"/>
                <w:bCs/>
                <w:color w:val="auto"/>
                <w:sz w:val="24"/>
                <w:highlight w:val="none"/>
                <w:lang w:val="zh-CN"/>
              </w:rPr>
            </w:pPr>
          </w:p>
        </w:tc>
      </w:tr>
      <w:tr w14:paraId="04B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1682D1DB">
            <w:pPr>
              <w:autoSpaceDE w:val="0"/>
              <w:autoSpaceDN w:val="0"/>
              <w:adjustRightInd w:val="0"/>
              <w:snapToGrid w:val="0"/>
              <w:spacing w:after="120" w:line="360" w:lineRule="auto"/>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ign w:val="center"/>
          </w:tcPr>
          <w:p w14:paraId="77B8F4E0">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3834" w:type="dxa"/>
            <w:tcBorders>
              <w:top w:val="single" w:color="auto" w:sz="4" w:space="0"/>
              <w:left w:val="single" w:color="auto" w:sz="4" w:space="0"/>
              <w:bottom w:val="single" w:color="auto" w:sz="4" w:space="0"/>
              <w:right w:val="single" w:color="auto" w:sz="4" w:space="0"/>
            </w:tcBorders>
            <w:noWrap/>
          </w:tcPr>
          <w:p w14:paraId="660CF631">
            <w:pPr>
              <w:autoSpaceDE w:val="0"/>
              <w:autoSpaceDN w:val="0"/>
              <w:adjustRightInd w:val="0"/>
              <w:snapToGrid w:val="0"/>
              <w:spacing w:line="360" w:lineRule="auto"/>
              <w:rPr>
                <w:rFonts w:ascii="宋体" w:hAnsi="宋体" w:eastAsia="宋体" w:cs="宋体"/>
                <w:bCs/>
                <w:color w:val="auto"/>
                <w:sz w:val="24"/>
                <w:highlight w:val="none"/>
                <w:lang w:val="zh-CN"/>
              </w:rPr>
            </w:pPr>
          </w:p>
        </w:tc>
      </w:tr>
      <w:tr w14:paraId="22CF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67E80163">
            <w:pPr>
              <w:autoSpaceDE w:val="0"/>
              <w:autoSpaceDN w:val="0"/>
              <w:adjustRightInd w:val="0"/>
              <w:snapToGrid w:val="0"/>
              <w:spacing w:line="360" w:lineRule="auto"/>
              <w:jc w:val="center"/>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ign w:val="center"/>
          </w:tcPr>
          <w:p w14:paraId="2D755D41">
            <w:pPr>
              <w:autoSpaceDE w:val="0"/>
              <w:autoSpaceDN w:val="0"/>
              <w:adjustRightInd w:val="0"/>
              <w:snapToGrid w:val="0"/>
              <w:spacing w:after="120" w:line="360" w:lineRule="auto"/>
              <w:jc w:val="center"/>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noWrap/>
          </w:tcPr>
          <w:p w14:paraId="3BCBF754">
            <w:pPr>
              <w:autoSpaceDE w:val="0"/>
              <w:autoSpaceDN w:val="0"/>
              <w:adjustRightInd w:val="0"/>
              <w:snapToGrid w:val="0"/>
              <w:spacing w:line="360" w:lineRule="auto"/>
              <w:rPr>
                <w:rFonts w:ascii="宋体" w:hAnsi="宋体" w:eastAsia="宋体" w:cs="宋体"/>
                <w:bCs/>
                <w:color w:val="auto"/>
                <w:sz w:val="24"/>
                <w:highlight w:val="none"/>
                <w:lang w:val="zh-CN"/>
              </w:rPr>
            </w:pPr>
          </w:p>
        </w:tc>
      </w:tr>
    </w:tbl>
    <w:p w14:paraId="4A8F8783">
      <w:pPr>
        <w:autoSpaceDE w:val="0"/>
        <w:autoSpaceDN w:val="0"/>
        <w:adjustRightInd w:val="0"/>
        <w:snapToGrid w:val="0"/>
        <w:spacing w:line="360" w:lineRule="auto"/>
        <w:rPr>
          <w:rFonts w:ascii="宋体" w:hAnsi="宋体" w:eastAsia="宋体" w:cs="宋体"/>
          <w:snapToGrid w:val="0"/>
          <w:color w:val="auto"/>
          <w:spacing w:val="4"/>
          <w:kern w:val="0"/>
          <w:sz w:val="24"/>
          <w:highlight w:val="none"/>
        </w:rPr>
      </w:pPr>
      <w:r>
        <w:rPr>
          <w:rFonts w:ascii="宋体" w:hAnsi="宋体" w:eastAsia="宋体" w:cs="宋体"/>
          <w:b/>
          <w:color w:val="auto"/>
          <w:highlight w:val="none"/>
        </w:rPr>
        <w:br w:type="page"/>
      </w:r>
      <w:r>
        <w:rPr>
          <w:rFonts w:hint="eastAsia" w:ascii="宋体" w:hAnsi="宋体" w:eastAsia="宋体" w:cs="宋体"/>
          <w:color w:val="auto"/>
          <w:sz w:val="24"/>
          <w:highlight w:val="none"/>
        </w:rPr>
        <w:t>技术标</w:t>
      </w:r>
      <w:r>
        <w:rPr>
          <w:rFonts w:hint="eastAsia" w:ascii="宋体" w:hAnsi="宋体" w:eastAsia="宋体" w:cs="宋体"/>
          <w:bCs/>
          <w:color w:val="auto"/>
          <w:sz w:val="24"/>
          <w:highlight w:val="none"/>
        </w:rPr>
        <w:t>格式二</w:t>
      </w:r>
    </w:p>
    <w:p w14:paraId="35B6063C">
      <w:pPr>
        <w:topLinePunct/>
        <w:adjustRightInd w:val="0"/>
        <w:snapToGrid w:val="0"/>
        <w:spacing w:line="360" w:lineRule="auto"/>
        <w:jc w:val="center"/>
        <w:rPr>
          <w:rFonts w:ascii="宋体" w:hAnsi="宋体" w:eastAsia="宋体" w:cs="宋体"/>
          <w:b/>
          <w:snapToGrid w:val="0"/>
          <w:color w:val="auto"/>
          <w:spacing w:val="4"/>
          <w:kern w:val="0"/>
          <w:sz w:val="32"/>
          <w:szCs w:val="32"/>
          <w:highlight w:val="none"/>
        </w:rPr>
      </w:pPr>
      <w:r>
        <w:rPr>
          <w:rFonts w:hint="eastAsia" w:ascii="宋体" w:hAnsi="宋体" w:eastAsia="宋体" w:cs="宋体"/>
          <w:b/>
          <w:snapToGrid w:val="0"/>
          <w:color w:val="auto"/>
          <w:spacing w:val="4"/>
          <w:kern w:val="0"/>
          <w:sz w:val="32"/>
          <w:szCs w:val="32"/>
          <w:highlight w:val="none"/>
        </w:rPr>
        <w:t>投标函</w:t>
      </w:r>
    </w:p>
    <w:p w14:paraId="013DB48E">
      <w:pPr>
        <w:topLinePunct/>
        <w:adjustRightInd w:val="0"/>
        <w:snapToGrid w:val="0"/>
        <w:spacing w:line="360" w:lineRule="auto"/>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致：</w:t>
      </w:r>
      <w:r>
        <w:rPr>
          <w:rFonts w:hint="eastAsia" w:ascii="宋体" w:hAnsi="宋体" w:eastAsia="宋体" w:cs="宋体"/>
          <w:color w:val="auto"/>
          <w:sz w:val="24"/>
          <w:highlight w:val="none"/>
          <w:u w:val="single"/>
        </w:rPr>
        <w:t>广州开发区财政投资建设项目管理中心</w:t>
      </w:r>
    </w:p>
    <w:p w14:paraId="1E61D63B">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1.根据已收到贵方的项目编号为</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广州科学城质子治疗中心新建项目施工总承包</w:t>
      </w:r>
      <w:r>
        <w:rPr>
          <w:rFonts w:hint="eastAsia" w:ascii="宋体" w:hAnsi="宋体" w:eastAsia="宋体" w:cs="宋体"/>
          <w:color w:val="auto"/>
          <w:sz w:val="24"/>
          <w:highlight w:val="none"/>
        </w:rPr>
        <w:t>的招标文件，并已详细审核了全部招标文件及有关附件。</w:t>
      </w:r>
    </w:p>
    <w:p w14:paraId="487D6F74">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3AD8AF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愿以经济标中的投标报价并按上述合同条款、标准和技术规范、图纸、工程量清单等的要求承包上述工程的施工、竣工并修补其任何缺陷。</w:t>
      </w:r>
    </w:p>
    <w:p w14:paraId="320AA6E1">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01E2B36F">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4.我方理解贵方将不受必须接受你们所收到的最低标价或其它任何投标文件的约束。</w:t>
      </w:r>
    </w:p>
    <w:p w14:paraId="7F220647">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5.如果我方中标，我方保证按招标文件中规定的工期，在</w:t>
      </w:r>
      <w:r>
        <w:rPr>
          <w:rFonts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日历天</w:t>
      </w:r>
      <w:r>
        <w:rPr>
          <w:rFonts w:hint="eastAsia" w:ascii="宋体" w:hAnsi="宋体" w:eastAsia="宋体" w:cs="宋体"/>
          <w:color w:val="auto"/>
          <w:sz w:val="24"/>
          <w:highlight w:val="none"/>
        </w:rPr>
        <w:t>内完成并移交本工程，质量标准达到</w:t>
      </w:r>
      <w:r>
        <w:rPr>
          <w:rFonts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要求</w:t>
      </w:r>
      <w:r>
        <w:rPr>
          <w:rFonts w:hint="eastAsia" w:ascii="宋体" w:hAnsi="宋体" w:eastAsia="宋体" w:cs="宋体"/>
          <w:color w:val="auto"/>
          <w:sz w:val="24"/>
          <w:highlight w:val="none"/>
        </w:rPr>
        <w:t>。</w:t>
      </w:r>
    </w:p>
    <w:p w14:paraId="14974FDE">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6.如果我方中标，我方将按照规定递交由招标人认可，并在招标文件中规定金额的履约保函。</w:t>
      </w:r>
    </w:p>
    <w:p w14:paraId="57AAEAEF">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7.除非另外达成协议并生效，贵方的中标通知书和本投标文件将成为约束双方的合同文件的组成部分。</w:t>
      </w:r>
    </w:p>
    <w:p w14:paraId="03C488BC">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3BCF640A">
      <w:pPr>
        <w:snapToGrid w:val="0"/>
        <w:spacing w:line="360" w:lineRule="auto"/>
        <w:ind w:firstLine="482" w:firstLineChars="200"/>
        <w:rPr>
          <w:rFonts w:ascii="宋体" w:hAnsi="宋体" w:eastAsia="宋体" w:cs="宋体"/>
          <w:b/>
          <w:bCs/>
          <w:color w:val="auto"/>
          <w:kern w:val="0"/>
          <w:sz w:val="24"/>
          <w:highlight w:val="none"/>
        </w:rPr>
      </w:pPr>
      <w:r>
        <w:rPr>
          <w:rFonts w:ascii="宋体" w:hAnsi="宋体" w:eastAsia="宋体" w:cs="宋体"/>
          <w:b/>
          <w:bCs/>
          <w:color w:val="auto"/>
          <w:sz w:val="24"/>
          <w:highlight w:val="none"/>
        </w:rPr>
        <w:t>9.</w:t>
      </w:r>
      <w:r>
        <w:rPr>
          <w:rFonts w:hint="eastAsia" w:ascii="宋体" w:hAnsi="宋体" w:eastAsia="宋体" w:cs="宋体"/>
          <w:b/>
          <w:bCs/>
          <w:color w:val="auto"/>
          <w:kern w:val="0"/>
          <w:sz w:val="24"/>
          <w:highlight w:val="none"/>
        </w:rPr>
        <w:t>如我方中标</w:t>
      </w:r>
      <w:r>
        <w:rPr>
          <w:rFonts w:ascii="宋体" w:hAnsi="宋体" w:eastAsia="宋体" w:cs="宋体"/>
          <w:b/>
          <w:bCs/>
          <w:color w:val="auto"/>
          <w:kern w:val="0"/>
          <w:sz w:val="24"/>
          <w:highlight w:val="none"/>
        </w:rPr>
        <w:t>,我方承诺：须按《广州开发区财政投资建设项目管理中心施工类合同结算编审指引2024年修订稿</w:t>
      </w:r>
      <w:r>
        <w:rPr>
          <w:rFonts w:hint="eastAsia" w:ascii="宋体" w:hAnsi="宋体" w:eastAsia="宋体" w:cs="宋体"/>
          <w:b/>
          <w:bCs/>
          <w:color w:val="auto"/>
          <w:kern w:val="0"/>
          <w:sz w:val="24"/>
          <w:highlight w:val="none"/>
        </w:rPr>
        <w:t>（穗开建管</w:t>
      </w:r>
      <w:r>
        <w:rPr>
          <w:rFonts w:ascii="宋体" w:hAnsi="宋体" w:eastAsia="宋体" w:cs="宋体"/>
          <w:b/>
          <w:bCs/>
          <w:color w:val="auto"/>
          <w:kern w:val="0"/>
          <w:sz w:val="24"/>
          <w:highlight w:val="none"/>
        </w:rPr>
        <w:t>[2024]65号）</w:t>
      </w:r>
      <w:r>
        <w:rPr>
          <w:rFonts w:hint="eastAsia" w:ascii="宋体" w:hAnsi="宋体" w:eastAsia="宋体" w:cs="宋体"/>
          <w:b/>
          <w:bCs/>
          <w:color w:val="auto"/>
          <w:kern w:val="0"/>
          <w:sz w:val="24"/>
          <w:highlight w:val="none"/>
        </w:rPr>
        <w:t>》及广州开发区有关规定编制及办理建设项目工程结算。本公司未按上述规定的期限和内容编制及办理建设项目工程结算，经建设业主或代建单位或监理人书面通知之日起</w:t>
      </w:r>
      <w:r>
        <w:rPr>
          <w:rFonts w:ascii="宋体" w:hAnsi="宋体" w:eastAsia="宋体" w:cs="宋体"/>
          <w:b/>
          <w:bCs/>
          <w:color w:val="auto"/>
          <w:kern w:val="0"/>
          <w:sz w:val="24"/>
          <w:highlight w:val="none"/>
        </w:rPr>
        <w:t>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14:paraId="353EEA2A">
      <w:pPr>
        <w:snapToGrid w:val="0"/>
        <w:spacing w:line="360" w:lineRule="auto"/>
        <w:ind w:firstLine="481"/>
        <w:rPr>
          <w:rFonts w:ascii="宋体" w:hAnsi="宋体" w:eastAsia="宋体" w:cs="宋体"/>
          <w:snapToGrid w:val="0"/>
          <w:color w:val="auto"/>
          <w:spacing w:val="4"/>
          <w:kern w:val="0"/>
          <w:sz w:val="24"/>
          <w:highlight w:val="none"/>
        </w:rPr>
      </w:pPr>
    </w:p>
    <w:p w14:paraId="499B91C0">
      <w:pPr>
        <w:topLinePunct/>
        <w:adjustRightInd w:val="0"/>
        <w:snapToGrid w:val="0"/>
        <w:spacing w:line="360" w:lineRule="auto"/>
        <w:ind w:firstLine="4535" w:firstLineChars="1829"/>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投标人（盖章）：</w:t>
      </w:r>
    </w:p>
    <w:p w14:paraId="07393B5E">
      <w:pPr>
        <w:topLinePunct/>
        <w:adjustRightInd w:val="0"/>
        <w:snapToGrid w:val="0"/>
        <w:spacing w:line="360" w:lineRule="auto"/>
        <w:ind w:firstLine="4535" w:firstLineChars="1829"/>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日期：</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年</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月</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日</w:t>
      </w:r>
    </w:p>
    <w:p w14:paraId="03E26409">
      <w:pPr>
        <w:topLinePunct/>
        <w:adjustRightInd w:val="0"/>
        <w:snapToGrid w:val="0"/>
        <w:spacing w:line="360" w:lineRule="auto"/>
        <w:ind w:firstLine="691" w:firstLineChars="279"/>
        <w:rPr>
          <w:rFonts w:ascii="宋体" w:hAnsi="宋体" w:eastAsia="宋体" w:cs="宋体"/>
          <w:snapToGrid w:val="0"/>
          <w:color w:val="auto"/>
          <w:spacing w:val="4"/>
          <w:kern w:val="0"/>
          <w:sz w:val="24"/>
          <w:highlight w:val="none"/>
        </w:rPr>
      </w:pPr>
    </w:p>
    <w:p w14:paraId="3C189283">
      <w:pPr>
        <w:snapToGrid w:val="0"/>
        <w:spacing w:line="360" w:lineRule="auto"/>
        <w:jc w:val="left"/>
        <w:rPr>
          <w:rFonts w:ascii="宋体" w:hAnsi="宋体" w:eastAsia="宋体" w:cs="宋体"/>
          <w:color w:val="auto"/>
          <w:szCs w:val="21"/>
          <w:highlight w:val="none"/>
        </w:rPr>
      </w:pPr>
    </w:p>
    <w:p w14:paraId="6BEA3840">
      <w:pPr>
        <w:topLinePunct/>
        <w:adjustRightInd w:val="0"/>
        <w:snapToGrid w:val="0"/>
        <w:spacing w:line="360" w:lineRule="auto"/>
        <w:ind w:firstLine="585" w:firstLineChars="279"/>
        <w:rPr>
          <w:rFonts w:ascii="宋体" w:hAnsi="宋体" w:eastAsia="宋体" w:cs="宋体"/>
          <w:b/>
          <w:color w:val="auto"/>
          <w:sz w:val="24"/>
          <w:highlight w:val="none"/>
        </w:rPr>
      </w:pPr>
      <w:r>
        <w:rPr>
          <w:rFonts w:hint="eastAsia" w:ascii="宋体" w:hAnsi="宋体" w:eastAsia="宋体" w:cs="宋体"/>
          <w:color w:val="auto"/>
          <w:szCs w:val="21"/>
          <w:highlight w:val="none"/>
        </w:rPr>
        <w:t>注：《投标函》第</w:t>
      </w:r>
      <w:r>
        <w:rPr>
          <w:rFonts w:ascii="宋体" w:hAnsi="宋体" w:eastAsia="宋体" w:cs="宋体"/>
          <w:color w:val="auto"/>
          <w:szCs w:val="21"/>
          <w:highlight w:val="none"/>
        </w:rPr>
        <w:t>5条内容“在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日历天内完成并移交本工程”横线上要求按照本工程《广州建设工程施工招标投标书（技术标）》承诺的投标总工期填写，否则视作未按规定的格式填写，作无效标处理；《投标函》第</w:t>
      </w:r>
      <w:r>
        <w:rPr>
          <w:rFonts w:ascii="宋体" w:hAnsi="宋体" w:eastAsia="宋体" w:cs="宋体"/>
          <w:color w:val="auto"/>
          <w:szCs w:val="21"/>
          <w:highlight w:val="none"/>
        </w:rPr>
        <w:t>5条内容“质量标准达到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要求”横线上要求按照本工程《广州建设工程施工招标投标书（技术标）》承诺的质量标准填写，否则视作未按规定的格式填写，作无效标处理</w:t>
      </w:r>
      <w:r>
        <w:rPr>
          <w:rFonts w:hint="eastAsia" w:ascii="宋体" w:hAnsi="宋体" w:eastAsia="宋体" w:cs="宋体"/>
          <w:snapToGrid w:val="0"/>
          <w:color w:val="auto"/>
          <w:spacing w:val="4"/>
          <w:kern w:val="0"/>
          <w:sz w:val="24"/>
          <w:highlight w:val="none"/>
        </w:rPr>
        <w:t>。</w:t>
      </w:r>
    </w:p>
    <w:p w14:paraId="6BF21D53">
      <w:pPr>
        <w:snapToGrid w:val="0"/>
        <w:spacing w:line="360" w:lineRule="auto"/>
        <w:jc w:val="left"/>
        <w:rPr>
          <w:rFonts w:ascii="宋体" w:hAnsi="宋体" w:eastAsia="宋体" w:cs="宋体"/>
          <w:color w:val="auto"/>
          <w:szCs w:val="21"/>
          <w:highlight w:val="none"/>
        </w:rPr>
      </w:pPr>
      <w:bookmarkStart w:id="38" w:name="_Toc474749524"/>
      <w:bookmarkStart w:id="39" w:name="_Toc478375101"/>
    </w:p>
    <w:p w14:paraId="254AA5AF">
      <w:pPr>
        <w:widowControl/>
        <w:snapToGrid w:val="0"/>
        <w:spacing w:line="360" w:lineRule="auto"/>
        <w:ind w:right="102"/>
        <w:jc w:val="left"/>
        <w:rPr>
          <w:rFonts w:ascii="宋体" w:hAnsi="宋体" w:eastAsia="宋体" w:cs="宋体"/>
          <w:color w:val="auto"/>
          <w:sz w:val="24"/>
          <w:highlight w:val="none"/>
        </w:rPr>
      </w:pPr>
      <w:r>
        <w:rPr>
          <w:rFonts w:ascii="宋体" w:hAnsi="宋体" w:eastAsia="宋体" w:cs="宋体"/>
          <w:bCs/>
          <w:color w:val="auto"/>
          <w:sz w:val="24"/>
          <w:highlight w:val="none"/>
        </w:rPr>
        <w:br w:type="page"/>
      </w:r>
      <w:r>
        <w:rPr>
          <w:rFonts w:hint="eastAsia" w:ascii="宋体" w:hAnsi="宋体" w:eastAsia="宋体" w:cs="宋体"/>
          <w:color w:val="auto"/>
          <w:sz w:val="24"/>
          <w:highlight w:val="none"/>
        </w:rPr>
        <w:t>技术标格式三</w:t>
      </w:r>
    </w:p>
    <w:p w14:paraId="164AABA3">
      <w:pPr>
        <w:rPr>
          <w:rFonts w:ascii="宋体" w:hAnsi="宋体" w:eastAsia="宋体" w:cs="宋体"/>
          <w:color w:val="auto"/>
          <w:sz w:val="24"/>
          <w:highlight w:val="none"/>
        </w:rPr>
      </w:pPr>
      <w:bookmarkStart w:id="40" w:name="_Toc4573"/>
      <w:bookmarkStart w:id="41" w:name="_Toc13235"/>
    </w:p>
    <w:bookmarkEnd w:id="38"/>
    <w:bookmarkEnd w:id="39"/>
    <w:bookmarkEnd w:id="40"/>
    <w:bookmarkEnd w:id="41"/>
    <w:p w14:paraId="1FCD88B0">
      <w:pPr>
        <w:topLinePunct/>
        <w:adjustRightInd w:val="0"/>
        <w:snapToGrid w:val="0"/>
        <w:spacing w:line="360" w:lineRule="auto"/>
        <w:jc w:val="center"/>
        <w:rPr>
          <w:rFonts w:ascii="宋体" w:hAnsi="宋体"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rPr>
        <w:t>标函承诺书</w:t>
      </w:r>
    </w:p>
    <w:p w14:paraId="7BFEBDAF">
      <w:pPr>
        <w:pStyle w:val="245"/>
        <w:snapToGrid w:val="0"/>
        <w:spacing w:after="0" w:line="360" w:lineRule="auto"/>
        <w:ind w:left="339" w:leftChars="101" w:hanging="127" w:hangingChars="53"/>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致：广州开发区财政投资建设项目管理中心</w:t>
      </w:r>
    </w:p>
    <w:p w14:paraId="01468BBA">
      <w:p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如果在本招标工程中我司中标，我司将积极响应贵单位提出的合同条件及招标文件的要求，并做出如下承诺：</w:t>
      </w:r>
    </w:p>
    <w:p w14:paraId="3F0EFD1B">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1、若我公司中标，我公司承诺按时交纳履约保证金。</w:t>
      </w:r>
    </w:p>
    <w:p w14:paraId="45992827">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2、在本工程施工期间，拟投入的人力不少于下表中的人数</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14:paraId="4B49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4E2638C2">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noWrap/>
            <w:vAlign w:val="center"/>
          </w:tcPr>
          <w:p w14:paraId="18C34827">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施工低峰期数量</w:t>
            </w:r>
          </w:p>
        </w:tc>
      </w:tr>
      <w:tr w14:paraId="0053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3FC2CF9B">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25F3C13F">
            <w:pPr>
              <w:snapToGrid w:val="0"/>
              <w:jc w:val="center"/>
              <w:rPr>
                <w:rFonts w:ascii="宋体" w:hAnsi="宋体" w:eastAsia="宋体" w:cs="宋体"/>
                <w:color w:val="auto"/>
                <w:szCs w:val="21"/>
                <w:highlight w:val="none"/>
              </w:rPr>
            </w:pPr>
          </w:p>
        </w:tc>
      </w:tr>
      <w:tr w14:paraId="400A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261B04AD">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4725BCE1">
            <w:pPr>
              <w:snapToGrid w:val="0"/>
              <w:jc w:val="center"/>
              <w:rPr>
                <w:rFonts w:ascii="宋体" w:hAnsi="宋体" w:eastAsia="宋体" w:cs="宋体"/>
                <w:color w:val="auto"/>
                <w:szCs w:val="21"/>
                <w:highlight w:val="none"/>
              </w:rPr>
            </w:pPr>
          </w:p>
        </w:tc>
      </w:tr>
      <w:tr w14:paraId="40F5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3EBC035F">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17F7960D">
            <w:pPr>
              <w:snapToGrid w:val="0"/>
              <w:jc w:val="center"/>
              <w:rPr>
                <w:rFonts w:ascii="宋体" w:hAnsi="宋体" w:eastAsia="宋体" w:cs="宋体"/>
                <w:color w:val="auto"/>
                <w:szCs w:val="21"/>
                <w:highlight w:val="none"/>
              </w:rPr>
            </w:pPr>
          </w:p>
        </w:tc>
      </w:tr>
      <w:tr w14:paraId="4B4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28CD532E">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4C321FFB">
            <w:pPr>
              <w:snapToGrid w:val="0"/>
              <w:jc w:val="center"/>
              <w:rPr>
                <w:rFonts w:ascii="宋体" w:hAnsi="宋体" w:eastAsia="宋体" w:cs="宋体"/>
                <w:color w:val="auto"/>
                <w:szCs w:val="21"/>
                <w:highlight w:val="none"/>
              </w:rPr>
            </w:pPr>
          </w:p>
        </w:tc>
      </w:tr>
      <w:tr w14:paraId="52BE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74D5055B">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CD63E54">
            <w:pPr>
              <w:snapToGrid w:val="0"/>
              <w:jc w:val="center"/>
              <w:rPr>
                <w:rFonts w:ascii="宋体" w:hAnsi="宋体" w:eastAsia="宋体" w:cs="宋体"/>
                <w:color w:val="auto"/>
                <w:szCs w:val="21"/>
                <w:highlight w:val="none"/>
              </w:rPr>
            </w:pPr>
          </w:p>
        </w:tc>
      </w:tr>
      <w:tr w14:paraId="4109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4D7B6829">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070C17CC">
            <w:pPr>
              <w:snapToGrid w:val="0"/>
              <w:jc w:val="center"/>
              <w:rPr>
                <w:rFonts w:ascii="宋体" w:hAnsi="宋体" w:eastAsia="宋体" w:cs="宋体"/>
                <w:color w:val="auto"/>
                <w:szCs w:val="21"/>
                <w:highlight w:val="none"/>
              </w:rPr>
            </w:pPr>
          </w:p>
        </w:tc>
      </w:tr>
      <w:tr w14:paraId="1A25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6E58BCAF">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4B98B88B">
            <w:pPr>
              <w:snapToGrid w:val="0"/>
              <w:jc w:val="center"/>
              <w:rPr>
                <w:rFonts w:ascii="宋体" w:hAnsi="宋体" w:eastAsia="宋体" w:cs="宋体"/>
                <w:color w:val="auto"/>
                <w:szCs w:val="21"/>
                <w:highlight w:val="none"/>
              </w:rPr>
            </w:pPr>
          </w:p>
        </w:tc>
      </w:tr>
      <w:tr w14:paraId="4961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7DE1F77D">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13BBBF9A">
            <w:pPr>
              <w:snapToGrid w:val="0"/>
              <w:jc w:val="center"/>
              <w:rPr>
                <w:rFonts w:ascii="宋体" w:hAnsi="宋体" w:eastAsia="宋体" w:cs="宋体"/>
                <w:color w:val="auto"/>
                <w:szCs w:val="21"/>
                <w:highlight w:val="none"/>
              </w:rPr>
            </w:pPr>
          </w:p>
        </w:tc>
      </w:tr>
    </w:tbl>
    <w:p w14:paraId="11CDB2EC">
      <w:pPr>
        <w:snapToGrid w:val="0"/>
        <w:ind w:firstLine="480" w:firstLineChars="200"/>
        <w:jc w:val="left"/>
        <w:rPr>
          <w:rFonts w:ascii="宋体" w:hAnsi="宋体" w:eastAsia="宋体" w:cs="宋体"/>
          <w:color w:val="auto"/>
          <w:sz w:val="24"/>
          <w:highlight w:val="none"/>
        </w:rPr>
      </w:pPr>
    </w:p>
    <w:p w14:paraId="2D902DA4">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3、在工程施工期间，拟投入的主要机械设备按投标文件所附的《拟投入本工程施工的主要机械设备配备表》。</w:t>
      </w:r>
    </w:p>
    <w:p w14:paraId="4F84B79D">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4、所选用的主要材料品牌符合招标文件的要求。</w:t>
      </w:r>
    </w:p>
    <w:p w14:paraId="294F41FA">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5、拟投入到本工程的主要技术人员、经济和管理人员按投标文件所附的《施工项目管理团队人员信息表》。中标后，拟投入到本工程安全员人数不得低于住建部相关文件的最低要求。</w:t>
      </w:r>
    </w:p>
    <w:p w14:paraId="279D34D0">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043AF62D">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7、本工程施工过程中，我司将严格按照国家、省、市有关施工及验收规范、标准进行施工，确保本工程质量标准按我司承诺的工程质量标准（不低于招标文件要求的标准）。</w:t>
      </w:r>
    </w:p>
    <w:p w14:paraId="46F00267">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8、在确保工程质量的前提下，我司严格控制工程工期，确保工程按我司承诺的工期（不大于招标文件规定工期）内完成。</w:t>
      </w:r>
    </w:p>
    <w:p w14:paraId="783A2B37">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00F53031">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10、按照发包人、监理工程师的要求及时为各专业工程（电信、电力管线、电力走廊、煤气、道路绿化、路灯、交通设施等）提供工作面，并为专业工程穿插施工所需各项配合工作给予方便。</w:t>
      </w:r>
    </w:p>
    <w:p w14:paraId="22EE474D">
      <w:pPr>
        <w:snapToGrid w:val="0"/>
        <w:spacing w:line="360" w:lineRule="auto"/>
        <w:ind w:firstLine="566" w:firstLineChars="236"/>
        <w:rPr>
          <w:rFonts w:ascii="宋体" w:hAnsi="宋体" w:eastAsia="宋体" w:cs="宋体"/>
          <w:color w:val="auto"/>
          <w:sz w:val="24"/>
          <w:highlight w:val="none"/>
        </w:rPr>
      </w:pPr>
      <w:r>
        <w:rPr>
          <w:rFonts w:ascii="宋体" w:hAnsi="宋体" w:eastAsia="宋体" w:cs="宋体"/>
          <w:color w:val="auto"/>
          <w:sz w:val="24"/>
          <w:highlight w:val="none"/>
        </w:rPr>
        <w:t>11、我司承诺按照招标文件的要求和合同有关规定履行总包单位的职责，依法依规实施工程分包。</w:t>
      </w:r>
    </w:p>
    <w:p w14:paraId="7E3B1293">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12、我司保证在中标后，严格按照《广州市住房和城乡建设委员会关于印发</w:t>
      </w:r>
      <w:r>
        <w:rPr>
          <w:rFonts w:hint="eastAsia" w:ascii="宋体" w:hAnsi="宋体" w:eastAsia="宋体" w:cs="宋体"/>
          <w:color w:val="auto"/>
          <w:sz w:val="24"/>
          <w:highlight w:val="none"/>
        </w:rPr>
        <w:t>＜广州市建筑施工实名制管理办法＞的通知》（穗建规字</w:t>
      </w:r>
      <w:r>
        <w:rPr>
          <w:rFonts w:ascii="宋体" w:hAnsi="宋体" w:eastAsia="宋体" w:cs="宋体"/>
          <w:color w:val="auto"/>
          <w:sz w:val="24"/>
          <w:highlight w:val="none"/>
        </w:rPr>
        <w:t>[2020]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21749637">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13、我司保证在中标后，根据工程特点，编制本工程详细的施工组织设计和施工方案，并报监理和发包人审核批准，并严格按审批的意见和要求组织施工。</w:t>
      </w:r>
    </w:p>
    <w:p w14:paraId="2B65F2A8">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14、我司承诺积极响应并接受招标文件中合同专用专款关于合同价款的调整办法。</w:t>
      </w:r>
    </w:p>
    <w:p w14:paraId="10562022">
      <w:pPr>
        <w:snapToGrid w:val="0"/>
        <w:spacing w:line="360" w:lineRule="auto"/>
        <w:ind w:firstLine="480" w:firstLineChars="200"/>
        <w:rPr>
          <w:rFonts w:ascii="宋体" w:hAnsi="宋体" w:eastAsia="宋体" w:cs="宋体"/>
          <w:snapToGrid w:val="0"/>
          <w:color w:val="auto"/>
          <w:kern w:val="0"/>
          <w:sz w:val="24"/>
          <w:highlight w:val="none"/>
        </w:rPr>
      </w:pPr>
      <w:r>
        <w:rPr>
          <w:rFonts w:ascii="宋体" w:hAnsi="宋体" w:eastAsia="宋体" w:cs="宋体"/>
          <w:color w:val="auto"/>
          <w:sz w:val="24"/>
          <w:highlight w:val="none"/>
        </w:rPr>
        <w:t xml:space="preserve">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 </w:t>
      </w:r>
      <w:r>
        <w:rPr>
          <w:rFonts w:hint="eastAsia" w:ascii="宋体" w:hAnsi="宋体" w:eastAsia="宋体" w:cs="宋体"/>
          <w:color w:val="auto"/>
          <w:sz w:val="24"/>
          <w:highlight w:val="none"/>
        </w:rPr>
        <w:t>广州开发区建设和交通局关于进一步规范全区建设工程施工围蔽标准的通知》（穗埔建﹝</w:t>
      </w:r>
      <w:r>
        <w:rPr>
          <w:rFonts w:ascii="宋体" w:hAnsi="宋体" w:eastAsia="宋体" w:cs="宋体"/>
          <w:color w:val="auto"/>
          <w:sz w:val="24"/>
          <w:highlight w:val="none"/>
        </w:rPr>
        <w:t>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r>
        <w:rPr>
          <w:rFonts w:hint="eastAsia" w:ascii="宋体" w:hAnsi="宋体" w:eastAsia="宋体" w:cs="宋体"/>
          <w:snapToGrid w:val="0"/>
          <w:color w:val="auto"/>
          <w:kern w:val="0"/>
          <w:sz w:val="24"/>
          <w:highlight w:val="none"/>
        </w:rPr>
        <w:t>。</w:t>
      </w:r>
    </w:p>
    <w:p w14:paraId="1969E2D3">
      <w:pPr>
        <w:snapToGrid w:val="0"/>
        <w:spacing w:line="360" w:lineRule="auto"/>
        <w:ind w:left="318"/>
        <w:rPr>
          <w:rFonts w:ascii="宋体" w:hAnsi="宋体" w:eastAsia="宋体" w:cs="宋体"/>
          <w:color w:val="auto"/>
          <w:sz w:val="24"/>
          <w:highlight w:val="none"/>
          <w:u w:val="single"/>
        </w:rPr>
      </w:pPr>
    </w:p>
    <w:p w14:paraId="32C4D44D">
      <w:pPr>
        <w:snapToGrid w:val="0"/>
        <w:spacing w:line="360" w:lineRule="auto"/>
        <w:ind w:left="420" w:leftChars="200" w:firstLine="4384" w:firstLineChars="1827"/>
        <w:jc w:val="left"/>
        <w:rPr>
          <w:rFonts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lang w:val="en-US" w:eastAsia="zh-CN"/>
        </w:rPr>
        <w:t>盖</w:t>
      </w:r>
      <w:r>
        <w:rPr>
          <w:rFonts w:hint="eastAsia" w:ascii="宋体" w:hAnsi="宋体" w:eastAsia="宋体" w:cs="宋体"/>
          <w:color w:val="auto"/>
          <w:sz w:val="24"/>
          <w:highlight w:val="none"/>
        </w:rPr>
        <w:t>章）</w:t>
      </w:r>
    </w:p>
    <w:p w14:paraId="11FBCF60">
      <w:pPr>
        <w:snapToGrid w:val="0"/>
        <w:spacing w:line="360" w:lineRule="auto"/>
        <w:ind w:left="420" w:leftChars="200" w:right="560" w:firstLine="5040" w:firstLineChars="2100"/>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月</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日</w:t>
      </w:r>
    </w:p>
    <w:p w14:paraId="1C5B3733">
      <w:pPr>
        <w:snapToGrid w:val="0"/>
        <w:spacing w:line="360" w:lineRule="auto"/>
        <w:ind w:left="420" w:leftChars="200"/>
        <w:jc w:val="left"/>
        <w:rPr>
          <w:rFonts w:ascii="宋体" w:hAnsi="宋体" w:eastAsia="宋体" w:cs="宋体"/>
          <w:color w:val="auto"/>
          <w:sz w:val="24"/>
          <w:highlight w:val="none"/>
          <w:u w:val="single"/>
        </w:rPr>
      </w:pPr>
    </w:p>
    <w:p w14:paraId="6907C1F0">
      <w:pPr>
        <w:snapToGrid w:val="0"/>
        <w:spacing w:line="360" w:lineRule="auto"/>
        <w:ind w:left="-2" w:leftChars="-1"/>
        <w:jc w:val="left"/>
        <w:rPr>
          <w:rFonts w:ascii="宋体" w:hAnsi="宋体" w:eastAsia="宋体" w:cs="宋体"/>
          <w:color w:val="auto"/>
          <w:szCs w:val="21"/>
          <w:highlight w:val="none"/>
        </w:rPr>
      </w:pPr>
      <w:r>
        <w:rPr>
          <w:rFonts w:hint="eastAsia" w:ascii="宋体" w:hAnsi="宋体" w:eastAsia="宋体" w:cs="宋体"/>
          <w:color w:val="auto"/>
          <w:szCs w:val="21"/>
          <w:highlight w:val="none"/>
        </w:rPr>
        <w:t>注：投标人应如实填写《标函承诺书》。中标后，工程的监理单位将经常核验投标人是否按填报内容实施，行政管理机构也将随时抽查。</w:t>
      </w:r>
    </w:p>
    <w:p w14:paraId="17953EFA">
      <w:pPr>
        <w:snapToGrid w:val="0"/>
        <w:spacing w:line="360" w:lineRule="auto"/>
        <w:ind w:left="420" w:leftChars="200"/>
        <w:jc w:val="left"/>
        <w:rPr>
          <w:rFonts w:ascii="宋体" w:hAnsi="宋体" w:eastAsia="宋体" w:cs="宋体"/>
          <w:color w:val="auto"/>
          <w:sz w:val="24"/>
          <w:highlight w:val="none"/>
          <w:u w:val="single"/>
        </w:rPr>
      </w:pPr>
      <w:bookmarkStart w:id="42" w:name="_Toc14656"/>
      <w:bookmarkStart w:id="43" w:name="_Toc24943"/>
    </w:p>
    <w:p w14:paraId="0B7162A3">
      <w:pPr>
        <w:jc w:val="left"/>
        <w:rPr>
          <w:rFonts w:ascii="宋体" w:hAnsi="宋体" w:eastAsia="宋体" w:cs="宋体"/>
          <w:color w:val="auto"/>
          <w:sz w:val="24"/>
          <w:highlight w:val="none"/>
        </w:rPr>
      </w:pPr>
      <w:r>
        <w:rPr>
          <w:rFonts w:ascii="宋体" w:hAnsi="宋体" w:eastAsia="宋体" w:cs="宋体"/>
          <w:color w:val="auto"/>
          <w:sz w:val="24"/>
          <w:highlight w:val="none"/>
        </w:rPr>
        <w:br w:type="page"/>
      </w:r>
    </w:p>
    <w:p w14:paraId="18F64ACD">
      <w:pPr>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技术标</w:t>
      </w:r>
      <w:r>
        <w:rPr>
          <w:rFonts w:hint="eastAsia" w:ascii="宋体" w:hAnsi="宋体" w:eastAsia="宋体" w:cs="宋体"/>
          <w:bCs/>
          <w:color w:val="auto"/>
          <w:spacing w:val="4"/>
          <w:kern w:val="0"/>
          <w:sz w:val="24"/>
          <w:highlight w:val="none"/>
        </w:rPr>
        <w:t>格式</w:t>
      </w:r>
      <w:r>
        <w:rPr>
          <w:rFonts w:hint="eastAsia" w:ascii="宋体" w:hAnsi="宋体" w:eastAsia="宋体" w:cs="宋体"/>
          <w:snapToGrid w:val="0"/>
          <w:color w:val="auto"/>
          <w:spacing w:val="4"/>
          <w:kern w:val="0"/>
          <w:sz w:val="24"/>
          <w:highlight w:val="none"/>
        </w:rPr>
        <w:t>四</w:t>
      </w:r>
    </w:p>
    <w:p w14:paraId="2BE2CE3D">
      <w:pPr>
        <w:pStyle w:val="329"/>
        <w:spacing w:line="240" w:lineRule="exact"/>
        <w:rPr>
          <w:rFonts w:ascii="宋体" w:hAnsi="宋体" w:cs="宋体"/>
          <w:b/>
          <w:bCs/>
          <w:color w:val="auto"/>
          <w:szCs w:val="21"/>
          <w:highlight w:val="none"/>
        </w:rPr>
      </w:pPr>
    </w:p>
    <w:bookmarkEnd w:id="42"/>
    <w:bookmarkEnd w:id="43"/>
    <w:p w14:paraId="56C9CA0A">
      <w:pPr>
        <w:pStyle w:val="86"/>
        <w:snapToGrid w:val="0"/>
        <w:spacing w:after="0" w:line="360" w:lineRule="auto"/>
        <w:ind w:left="-2" w:leftChars="-1" w:firstLine="562" w:firstLineChars="175"/>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项目负责人驻场承诺书</w:t>
      </w:r>
    </w:p>
    <w:p w14:paraId="33377329">
      <w:pPr>
        <w:snapToGrid w:val="0"/>
        <w:spacing w:line="240" w:lineRule="exact"/>
        <w:rPr>
          <w:rFonts w:ascii="宋体" w:hAnsi="宋体" w:eastAsia="宋体" w:cs="宋体"/>
          <w:color w:val="auto"/>
          <w:sz w:val="24"/>
          <w:highlight w:val="none"/>
          <w:u w:val="single"/>
        </w:rPr>
      </w:pPr>
    </w:p>
    <w:p w14:paraId="0AB42D7C">
      <w:pPr>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致：广州开发区财政投资建设项目管理中心</w:t>
      </w:r>
    </w:p>
    <w:p w14:paraId="3146AD38">
      <w:pPr>
        <w:snapToGrid w:val="0"/>
        <w:spacing w:line="360" w:lineRule="auto"/>
        <w:ind w:firstLine="523" w:firstLineChars="218"/>
        <w:jc w:val="left"/>
        <w:rPr>
          <w:rFonts w:ascii="宋体" w:hAnsi="宋体" w:eastAsia="宋体" w:cs="宋体"/>
          <w:color w:val="auto"/>
          <w:sz w:val="24"/>
          <w:highlight w:val="none"/>
        </w:rPr>
      </w:pPr>
      <w:r>
        <w:rPr>
          <w:rFonts w:hint="eastAsia" w:ascii="宋体" w:hAnsi="宋体" w:eastAsia="宋体" w:cs="宋体"/>
          <w:color w:val="auto"/>
          <w:sz w:val="24"/>
          <w:highlight w:val="none"/>
          <w:u w:val="single"/>
        </w:rPr>
        <w:t>本人（姓名）</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，项目负责人证书注册编号：</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受（投标人名称）</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委派，拟在（项目名称）</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担任项目负责人一职。</w:t>
      </w:r>
      <w:r>
        <w:rPr>
          <w:rFonts w:hint="eastAsia" w:ascii="宋体" w:hAnsi="宋体" w:eastAsia="宋体" w:cs="宋体"/>
          <w:color w:val="auto"/>
          <w:sz w:val="24"/>
          <w:highlight w:val="none"/>
        </w:rPr>
        <w:t>为加强本工程项目管理，保证我公司在中标后严格履行与业主签定的工程建设承包合同，圆满的完成本项工程，我愿就此做出以下承诺；</w:t>
      </w:r>
    </w:p>
    <w:p w14:paraId="3786D741">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028809DB">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2．如果本招标工程我公司中标，我本人保证在工程签订合同之日起至工程竣工验收完成期间只担任此工程的项目经理，不参加其他任何工程的报名和任何工作，不在其他任何工程担任本职务。</w:t>
      </w:r>
    </w:p>
    <w:p w14:paraId="13F79FEF">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14:paraId="6C45F297">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4．项目负责人本人身份证扫描件和相片扫描件：</w:t>
      </w:r>
    </w:p>
    <w:p w14:paraId="6DE37192">
      <w:pPr>
        <w:snapToGrid w:val="0"/>
        <w:rPr>
          <w:rFonts w:ascii="宋体" w:hAnsi="宋体" w:eastAsia="宋体" w:cs="宋体"/>
          <w:color w:val="auto"/>
          <w:sz w:val="24"/>
          <w:highlight w:val="none"/>
          <w:u w:val="single"/>
        </w:rPr>
      </w:pPr>
    </w:p>
    <w:tbl>
      <w:tblPr>
        <w:tblStyle w:val="8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14:paraId="0CEF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043" w:type="dxa"/>
            <w:tcBorders>
              <w:top w:val="single" w:color="auto" w:sz="4" w:space="0"/>
              <w:left w:val="single" w:color="auto" w:sz="4" w:space="0"/>
              <w:bottom w:val="single" w:color="auto" w:sz="4" w:space="0"/>
              <w:right w:val="single" w:color="auto" w:sz="4" w:space="0"/>
            </w:tcBorders>
            <w:noWrap/>
          </w:tcPr>
          <w:p w14:paraId="396EF04C">
            <w:pPr>
              <w:snapToGrid w:val="0"/>
              <w:spacing w:line="360" w:lineRule="auto"/>
              <w:jc w:val="center"/>
              <w:rPr>
                <w:rFonts w:ascii="宋体" w:hAnsi="宋体" w:eastAsia="宋体" w:cs="宋体"/>
                <w:color w:val="auto"/>
                <w:szCs w:val="21"/>
                <w:highlight w:val="none"/>
                <w:u w:val="single"/>
              </w:rPr>
            </w:pPr>
          </w:p>
          <w:p w14:paraId="39E8AF6C">
            <w:pPr>
              <w:snapToGrid w:val="0"/>
              <w:spacing w:line="360" w:lineRule="auto"/>
              <w:jc w:val="center"/>
              <w:rPr>
                <w:rFonts w:ascii="宋体" w:hAnsi="宋体" w:eastAsia="宋体" w:cs="宋体"/>
                <w:color w:val="auto"/>
                <w:szCs w:val="21"/>
                <w:highlight w:val="none"/>
                <w:u w:val="single"/>
              </w:rPr>
            </w:pPr>
          </w:p>
          <w:p w14:paraId="5A1295E9">
            <w:pPr>
              <w:snapToGrid w:val="0"/>
              <w:spacing w:line="360" w:lineRule="auto"/>
              <w:jc w:val="center"/>
              <w:rPr>
                <w:rFonts w:ascii="宋体" w:hAnsi="宋体" w:eastAsia="宋体" w:cs="宋体"/>
                <w:color w:val="auto"/>
                <w:szCs w:val="21"/>
                <w:highlight w:val="none"/>
                <w:u w:val="single"/>
              </w:rPr>
            </w:pPr>
          </w:p>
          <w:p w14:paraId="4420419E">
            <w:pPr>
              <w:snapToGrid w:val="0"/>
              <w:spacing w:line="360" w:lineRule="auto"/>
              <w:jc w:val="center"/>
              <w:rPr>
                <w:rFonts w:ascii="宋体" w:hAnsi="宋体" w:eastAsia="宋体" w:cs="宋体"/>
                <w:color w:val="auto"/>
                <w:szCs w:val="21"/>
                <w:highlight w:val="none"/>
                <w:u w:val="single"/>
              </w:rPr>
            </w:pPr>
            <w:r>
              <w:rPr>
                <w:rFonts w:hint="eastAsia" w:ascii="宋体" w:hAnsi="宋体" w:eastAsia="宋体" w:cs="宋体"/>
                <w:color w:val="auto"/>
                <w:sz w:val="24"/>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noWrap/>
          </w:tcPr>
          <w:p w14:paraId="29EBF4D7">
            <w:pPr>
              <w:snapToGrid w:val="0"/>
              <w:spacing w:line="360" w:lineRule="auto"/>
              <w:jc w:val="center"/>
              <w:rPr>
                <w:rFonts w:ascii="宋体" w:hAnsi="宋体" w:eastAsia="宋体" w:cs="宋体"/>
                <w:color w:val="auto"/>
                <w:szCs w:val="21"/>
                <w:highlight w:val="none"/>
                <w:u w:val="single"/>
              </w:rPr>
            </w:pPr>
          </w:p>
          <w:p w14:paraId="4638D55B">
            <w:pPr>
              <w:snapToGrid w:val="0"/>
              <w:spacing w:line="360" w:lineRule="auto"/>
              <w:jc w:val="center"/>
              <w:rPr>
                <w:rFonts w:ascii="宋体" w:hAnsi="宋体" w:eastAsia="宋体" w:cs="宋体"/>
                <w:color w:val="auto"/>
                <w:szCs w:val="21"/>
                <w:highlight w:val="none"/>
                <w:u w:val="single"/>
              </w:rPr>
            </w:pPr>
          </w:p>
          <w:p w14:paraId="64772AC6">
            <w:pPr>
              <w:snapToGrid w:val="0"/>
              <w:spacing w:line="360" w:lineRule="auto"/>
              <w:jc w:val="center"/>
              <w:rPr>
                <w:rFonts w:ascii="宋体" w:hAnsi="宋体" w:eastAsia="宋体" w:cs="宋体"/>
                <w:color w:val="auto"/>
                <w:szCs w:val="21"/>
                <w:highlight w:val="none"/>
                <w:u w:val="single"/>
              </w:rPr>
            </w:pPr>
          </w:p>
          <w:p w14:paraId="11834AB4">
            <w:pPr>
              <w:snapToGrid w:val="0"/>
              <w:spacing w:line="360" w:lineRule="auto"/>
              <w:jc w:val="center"/>
              <w:rPr>
                <w:rFonts w:ascii="宋体" w:hAnsi="宋体" w:eastAsia="宋体" w:cs="宋体"/>
                <w:color w:val="auto"/>
                <w:szCs w:val="21"/>
                <w:highlight w:val="none"/>
                <w:u w:val="single"/>
              </w:rPr>
            </w:pPr>
            <w:r>
              <w:rPr>
                <w:rFonts w:hint="eastAsia" w:ascii="宋体" w:hAnsi="宋体" w:eastAsia="宋体" w:cs="宋体"/>
                <w:color w:val="auto"/>
                <w:sz w:val="24"/>
                <w:highlight w:val="none"/>
                <w:u w:val="single"/>
              </w:rPr>
              <w:t>相片扫描件</w:t>
            </w:r>
          </w:p>
        </w:tc>
      </w:tr>
    </w:tbl>
    <w:p w14:paraId="44773479">
      <w:pPr>
        <w:snapToGrid w:val="0"/>
        <w:spacing w:line="360" w:lineRule="auto"/>
        <w:rPr>
          <w:rFonts w:ascii="宋体" w:hAnsi="宋体" w:eastAsia="宋体" w:cs="宋体"/>
          <w:color w:val="auto"/>
          <w:sz w:val="24"/>
          <w:highlight w:val="none"/>
          <w:u w:val="single"/>
        </w:rPr>
      </w:pPr>
    </w:p>
    <w:p w14:paraId="37BE3D5A">
      <w:pPr>
        <w:snapToGrid w:val="0"/>
        <w:spacing w:line="360" w:lineRule="auto"/>
        <w:ind w:firstLine="3840" w:firstLineChars="1600"/>
        <w:rPr>
          <w:rFonts w:ascii="宋体" w:hAnsi="宋体" w:eastAsia="宋体" w:cs="宋体"/>
          <w:color w:val="auto"/>
          <w:sz w:val="24"/>
          <w:highlight w:val="none"/>
          <w:u w:val="single"/>
        </w:rPr>
      </w:pPr>
      <w:r>
        <w:rPr>
          <w:rFonts w:hint="eastAsia" w:ascii="宋体" w:hAnsi="宋体" w:eastAsia="宋体" w:cs="宋体"/>
          <w:color w:val="auto"/>
          <w:sz w:val="24"/>
          <w:szCs w:val="20"/>
          <w:highlight w:val="none"/>
        </w:rPr>
        <w:t>投标人名称（盖章）</w:t>
      </w:r>
      <w:r>
        <w:rPr>
          <w:rFonts w:hint="eastAsia" w:ascii="宋体" w:hAnsi="宋体" w:eastAsia="宋体" w:cs="宋体"/>
          <w:color w:val="auto"/>
          <w:sz w:val="24"/>
          <w:highlight w:val="none"/>
        </w:rPr>
        <w:t>：</w:t>
      </w:r>
    </w:p>
    <w:p w14:paraId="2691611C">
      <w:pPr>
        <w:snapToGrid w:val="0"/>
        <w:spacing w:line="360" w:lineRule="auto"/>
        <w:ind w:firstLine="3840" w:firstLineChars="1600"/>
        <w:jc w:val="left"/>
        <w:rPr>
          <w:rFonts w:ascii="宋体" w:hAnsi="宋体" w:eastAsia="宋体" w:cs="宋体"/>
          <w:color w:val="auto"/>
          <w:sz w:val="24"/>
          <w:szCs w:val="20"/>
          <w:highlight w:val="none"/>
        </w:rPr>
      </w:pPr>
      <w:r>
        <w:rPr>
          <w:rFonts w:hint="eastAsia" w:ascii="宋体" w:hAnsi="宋体" w:eastAsia="宋体" w:cs="宋体"/>
          <w:color w:val="auto"/>
          <w:sz w:val="24"/>
          <w:highlight w:val="none"/>
        </w:rPr>
        <w:t>项目负责人签名：</w:t>
      </w:r>
    </w:p>
    <w:p w14:paraId="264AB2D0">
      <w:pPr>
        <w:snapToGrid w:val="0"/>
        <w:ind w:firstLine="3840" w:firstLineChars="1600"/>
        <w:rPr>
          <w:rFonts w:ascii="宋体" w:hAnsi="宋体" w:eastAsia="宋体" w:cs="宋体"/>
          <w:bCs/>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年</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月</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日</w:t>
      </w:r>
    </w:p>
    <w:p w14:paraId="69B6C85B">
      <w:pPr>
        <w:snapToGrid w:val="0"/>
        <w:spacing w:line="360" w:lineRule="auto"/>
        <w:rPr>
          <w:rFonts w:ascii="宋体" w:hAnsi="宋体" w:eastAsia="宋体" w:cs="宋体"/>
          <w:color w:val="auto"/>
          <w:sz w:val="24"/>
          <w:highlight w:val="none"/>
        </w:rPr>
      </w:pPr>
      <w:r>
        <w:rPr>
          <w:rFonts w:ascii="宋体" w:hAnsi="宋体" w:eastAsia="宋体" w:cs="宋体"/>
          <w:color w:val="auto"/>
          <w:sz w:val="24"/>
          <w:highlight w:val="none"/>
        </w:rPr>
        <w:br w:type="page"/>
      </w:r>
    </w:p>
    <w:p w14:paraId="5CC699DF">
      <w:pPr>
        <w:autoSpaceDE w:val="0"/>
        <w:autoSpaceDN w:val="0"/>
        <w:adjustRightInd w:val="0"/>
        <w:snapToGrid w:val="0"/>
        <w:spacing w:line="360" w:lineRule="auto"/>
        <w:rPr>
          <w:rFonts w:ascii="宋体" w:hAnsi="宋体" w:eastAsia="宋体" w:cs="宋体"/>
          <w:bCs/>
          <w:color w:val="auto"/>
          <w:sz w:val="24"/>
          <w:highlight w:val="none"/>
        </w:rPr>
      </w:pPr>
      <w:r>
        <w:rPr>
          <w:rFonts w:hint="eastAsia" w:ascii="宋体" w:hAnsi="宋体" w:eastAsia="宋体" w:cs="宋体"/>
          <w:color w:val="auto"/>
          <w:sz w:val="24"/>
          <w:highlight w:val="none"/>
        </w:rPr>
        <w:t>技术标</w:t>
      </w:r>
      <w:r>
        <w:rPr>
          <w:rFonts w:hint="eastAsia" w:ascii="宋体" w:hAnsi="宋体" w:eastAsia="宋体" w:cs="宋体"/>
          <w:bCs/>
          <w:color w:val="auto"/>
          <w:spacing w:val="4"/>
          <w:kern w:val="0"/>
          <w:sz w:val="24"/>
          <w:highlight w:val="none"/>
        </w:rPr>
        <w:t>格式</w:t>
      </w:r>
      <w:r>
        <w:rPr>
          <w:rFonts w:hint="eastAsia" w:ascii="宋体" w:hAnsi="宋体" w:eastAsia="宋体" w:cs="宋体"/>
          <w:bCs/>
          <w:color w:val="auto"/>
          <w:sz w:val="24"/>
          <w:highlight w:val="none"/>
        </w:rPr>
        <w:t>五</w:t>
      </w:r>
    </w:p>
    <w:p w14:paraId="7116D47E">
      <w:pPr>
        <w:snapToGrid w:val="0"/>
        <w:spacing w:line="360" w:lineRule="auto"/>
        <w:jc w:val="center"/>
        <w:rPr>
          <w:rFonts w:ascii="宋体" w:hAnsi="宋体" w:eastAsia="宋体" w:cs="宋体"/>
          <w:bCs/>
          <w:color w:val="auto"/>
          <w:sz w:val="36"/>
          <w:szCs w:val="36"/>
          <w:highlight w:val="none"/>
        </w:rPr>
      </w:pPr>
    </w:p>
    <w:p w14:paraId="56C6083F">
      <w:pPr>
        <w:widowControl/>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投入项目负责人及专职安全员承诺书</w:t>
      </w:r>
    </w:p>
    <w:p w14:paraId="07EB08DF">
      <w:pPr>
        <w:widowControl/>
        <w:topLinePunct/>
        <w:adjustRightInd w:val="0"/>
        <w:snapToGrid w:val="0"/>
        <w:spacing w:line="360" w:lineRule="auto"/>
        <w:jc w:val="left"/>
        <w:rPr>
          <w:rFonts w:ascii="宋体" w:hAnsi="宋体" w:eastAsia="宋体" w:cs="宋体"/>
          <w:snapToGrid w:val="0"/>
          <w:color w:val="auto"/>
          <w:spacing w:val="4"/>
          <w:kern w:val="0"/>
          <w:sz w:val="24"/>
          <w:highlight w:val="none"/>
        </w:rPr>
      </w:pPr>
    </w:p>
    <w:p w14:paraId="44B9B444">
      <w:pPr>
        <w:widowControl/>
        <w:topLinePunct/>
        <w:adjustRightInd w:val="0"/>
        <w:snapToGrid w:val="0"/>
        <w:spacing w:line="360" w:lineRule="auto"/>
        <w:jc w:val="left"/>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致：广州开发区财政投资建设项目管理中心：</w:t>
      </w:r>
    </w:p>
    <w:p w14:paraId="7667AF1B">
      <w:pPr>
        <w:widowControl/>
        <w:topLinePunct/>
        <w:adjustRightInd w:val="0"/>
        <w:snapToGrid w:val="0"/>
        <w:spacing w:line="360" w:lineRule="auto"/>
        <w:ind w:firstLine="496" w:firstLineChars="200"/>
        <w:jc w:val="left"/>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经详细阅读本工程招标文件、招标答疑纪要和踏勘现场，我司已理解招标人对本招标项目工程招标及管理的要求，在此，我司郑重作出以下承诺：</w:t>
      </w:r>
    </w:p>
    <w:p w14:paraId="42ED7475">
      <w:pPr>
        <w:widowControl/>
        <w:numPr>
          <w:ilvl w:val="0"/>
          <w:numId w:val="20"/>
        </w:numPr>
        <w:topLinePunct/>
        <w:adjustRightInd w:val="0"/>
        <w:snapToGrid w:val="0"/>
        <w:spacing w:line="360" w:lineRule="auto"/>
        <w:ind w:firstLine="496" w:firstLineChars="200"/>
        <w:jc w:val="left"/>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我司承诺本项目在投标阶段时，委派项目负责人</w:t>
      </w:r>
      <w:r>
        <w:rPr>
          <w:rFonts w:ascii="宋体" w:hAnsi="宋体" w:eastAsia="宋体" w:cs="宋体"/>
          <w:snapToGrid w:val="0"/>
          <w:color w:val="auto"/>
          <w:spacing w:val="4"/>
          <w:kern w:val="0"/>
          <w:sz w:val="24"/>
          <w:highlight w:val="none"/>
          <w:u w:val="single"/>
        </w:rPr>
        <w:t xml:space="preserve">   （名字）   </w:t>
      </w:r>
      <w:r>
        <w:rPr>
          <w:rFonts w:hint="eastAsia" w:ascii="宋体" w:hAnsi="宋体" w:eastAsia="宋体" w:cs="宋体"/>
          <w:snapToGrid w:val="0"/>
          <w:color w:val="auto"/>
          <w:spacing w:val="4"/>
          <w:kern w:val="0"/>
          <w:sz w:val="24"/>
          <w:highlight w:val="none"/>
        </w:rPr>
        <w:t>拟在本项目担任项目负责人一职，委派专职安全员</w:t>
      </w:r>
      <w:r>
        <w:rPr>
          <w:rFonts w:ascii="宋体" w:hAnsi="宋体" w:eastAsia="宋体" w:cs="宋体"/>
          <w:snapToGrid w:val="0"/>
          <w:color w:val="auto"/>
          <w:spacing w:val="4"/>
          <w:kern w:val="0"/>
          <w:sz w:val="24"/>
          <w:highlight w:val="none"/>
          <w:u w:val="single"/>
        </w:rPr>
        <w:t xml:space="preserve">    </w:t>
      </w:r>
      <w:r>
        <w:rPr>
          <w:rFonts w:hint="eastAsia" w:ascii="宋体" w:hAnsi="宋体" w:eastAsia="宋体" w:cs="宋体"/>
          <w:snapToGrid w:val="0"/>
          <w:color w:val="auto"/>
          <w:spacing w:val="4"/>
          <w:kern w:val="0"/>
          <w:sz w:val="24"/>
          <w:highlight w:val="none"/>
          <w:u w:val="single"/>
        </w:rPr>
        <w:t>（名字）</w:t>
      </w:r>
      <w:r>
        <w:rPr>
          <w:rFonts w:ascii="宋体" w:hAnsi="宋体" w:eastAsia="宋体" w:cs="宋体"/>
          <w:snapToGrid w:val="0"/>
          <w:color w:val="auto"/>
          <w:spacing w:val="4"/>
          <w:kern w:val="0"/>
          <w:sz w:val="24"/>
          <w:highlight w:val="none"/>
          <w:u w:val="single"/>
        </w:rPr>
        <w:t xml:space="preserve">    </w:t>
      </w:r>
      <w:r>
        <w:rPr>
          <w:rFonts w:hint="eastAsia" w:ascii="宋体" w:hAnsi="宋体" w:eastAsia="宋体" w:cs="宋体"/>
          <w:snapToGrid w:val="0"/>
          <w:color w:val="auto"/>
          <w:spacing w:val="4"/>
          <w:kern w:val="0"/>
          <w:sz w:val="24"/>
          <w:highlight w:val="none"/>
        </w:rPr>
        <w:t>拟在本项目担任专职安全员一职。</w:t>
      </w:r>
    </w:p>
    <w:p w14:paraId="17FC89D4">
      <w:pPr>
        <w:widowControl/>
        <w:numPr>
          <w:ilvl w:val="0"/>
          <w:numId w:val="20"/>
        </w:numPr>
        <w:topLinePunct/>
        <w:adjustRightInd w:val="0"/>
        <w:snapToGrid w:val="0"/>
        <w:spacing w:line="360" w:lineRule="auto"/>
        <w:ind w:firstLine="464" w:firstLineChars="200"/>
        <w:jc w:val="left"/>
        <w:rPr>
          <w:rFonts w:ascii="宋体" w:hAnsi="宋体" w:eastAsia="宋体" w:cs="宋体"/>
          <w:snapToGrid w:val="0"/>
          <w:color w:val="auto"/>
          <w:spacing w:val="-4"/>
          <w:kern w:val="0"/>
          <w:sz w:val="24"/>
          <w:szCs w:val="21"/>
          <w:highlight w:val="none"/>
        </w:rPr>
      </w:pPr>
      <w:r>
        <w:rPr>
          <w:rFonts w:hint="eastAsia" w:ascii="宋体" w:hAnsi="宋体" w:eastAsia="宋体" w:cs="宋体"/>
          <w:snapToGrid w:val="0"/>
          <w:color w:val="auto"/>
          <w:spacing w:val="-4"/>
          <w:kern w:val="0"/>
          <w:sz w:val="24"/>
          <w:szCs w:val="21"/>
          <w:highlight w:val="none"/>
        </w:rPr>
        <w:t>我司承诺严格按照合同和招投标文件规定履行义务，如因未按承诺执行，接受并同意</w:t>
      </w:r>
      <w:r>
        <w:rPr>
          <w:rFonts w:hint="eastAsia" w:ascii="宋体" w:hAnsi="宋体" w:eastAsia="宋体" w:cs="宋体"/>
          <w:color w:val="auto"/>
          <w:kern w:val="0"/>
          <w:sz w:val="24"/>
          <w:highlight w:val="none"/>
        </w:rPr>
        <w:t>招标人有权取消本公司作为中标人的中标资格</w:t>
      </w:r>
      <w:r>
        <w:rPr>
          <w:rFonts w:hint="eastAsia" w:ascii="宋体" w:hAnsi="宋体" w:eastAsia="宋体" w:cs="宋体"/>
          <w:snapToGrid w:val="0"/>
          <w:color w:val="auto"/>
          <w:spacing w:val="4"/>
          <w:kern w:val="0"/>
          <w:sz w:val="24"/>
          <w:highlight w:val="none"/>
        </w:rPr>
        <w:t>，并由此引起的一切后果由我司自行承担</w:t>
      </w:r>
      <w:r>
        <w:rPr>
          <w:rFonts w:hint="eastAsia" w:ascii="宋体" w:hAnsi="宋体" w:eastAsia="宋体" w:cs="宋体"/>
          <w:snapToGrid w:val="0"/>
          <w:color w:val="auto"/>
          <w:spacing w:val="-4"/>
          <w:kern w:val="0"/>
          <w:sz w:val="24"/>
          <w:szCs w:val="21"/>
          <w:highlight w:val="none"/>
        </w:rPr>
        <w:t>。</w:t>
      </w:r>
    </w:p>
    <w:p w14:paraId="3A649663">
      <w:pPr>
        <w:widowControl/>
        <w:topLinePunct/>
        <w:adjustRightInd w:val="0"/>
        <w:snapToGrid w:val="0"/>
        <w:spacing w:line="360" w:lineRule="auto"/>
        <w:ind w:firstLine="3472" w:firstLineChars="1400"/>
        <w:jc w:val="left"/>
        <w:rPr>
          <w:rFonts w:ascii="宋体" w:hAnsi="宋体" w:eastAsia="宋体" w:cs="宋体"/>
          <w:snapToGrid w:val="0"/>
          <w:color w:val="auto"/>
          <w:spacing w:val="4"/>
          <w:kern w:val="0"/>
          <w:sz w:val="24"/>
          <w:highlight w:val="none"/>
        </w:rPr>
      </w:pPr>
    </w:p>
    <w:p w14:paraId="7ED2DC39">
      <w:pPr>
        <w:spacing w:after="120"/>
        <w:rPr>
          <w:rFonts w:ascii="宋体" w:hAnsi="宋体" w:eastAsia="宋体" w:cs="宋体"/>
          <w:color w:val="auto"/>
          <w:kern w:val="0"/>
          <w:sz w:val="20"/>
          <w:szCs w:val="20"/>
          <w:highlight w:val="none"/>
        </w:rPr>
      </w:pPr>
    </w:p>
    <w:p w14:paraId="126E1CD2">
      <w:pPr>
        <w:spacing w:after="120"/>
        <w:rPr>
          <w:rFonts w:ascii="宋体" w:hAnsi="宋体" w:eastAsia="宋体" w:cs="宋体"/>
          <w:color w:val="auto"/>
          <w:kern w:val="0"/>
          <w:sz w:val="20"/>
          <w:szCs w:val="20"/>
          <w:highlight w:val="none"/>
        </w:rPr>
      </w:pPr>
    </w:p>
    <w:p w14:paraId="1D62CDD8">
      <w:pPr>
        <w:spacing w:after="120"/>
        <w:rPr>
          <w:rFonts w:ascii="宋体" w:hAnsi="宋体" w:eastAsia="宋体" w:cs="宋体"/>
          <w:color w:val="auto"/>
          <w:kern w:val="0"/>
          <w:sz w:val="20"/>
          <w:szCs w:val="20"/>
          <w:highlight w:val="none"/>
        </w:rPr>
      </w:pPr>
    </w:p>
    <w:p w14:paraId="4694F811">
      <w:pPr>
        <w:spacing w:after="120"/>
        <w:rPr>
          <w:rFonts w:ascii="宋体" w:hAnsi="宋体" w:eastAsia="宋体" w:cs="宋体"/>
          <w:color w:val="auto"/>
          <w:kern w:val="0"/>
          <w:sz w:val="20"/>
          <w:szCs w:val="20"/>
          <w:highlight w:val="none"/>
        </w:rPr>
      </w:pPr>
    </w:p>
    <w:p w14:paraId="5B21F9B2">
      <w:pPr>
        <w:widowControl/>
        <w:topLinePunct/>
        <w:adjustRightInd w:val="0"/>
        <w:snapToGrid w:val="0"/>
        <w:spacing w:line="360" w:lineRule="auto"/>
        <w:ind w:firstLine="5208" w:firstLineChars="2100"/>
        <w:jc w:val="left"/>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投标人：　　（盖章）</w:t>
      </w:r>
    </w:p>
    <w:p w14:paraId="5A50FE9D">
      <w:pPr>
        <w:topLinePunct/>
        <w:adjustRightInd w:val="0"/>
        <w:snapToGrid w:val="0"/>
        <w:spacing w:line="360" w:lineRule="auto"/>
        <w:ind w:right="1046" w:rightChars="498"/>
        <w:jc w:val="right"/>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日期：</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年</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月</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日</w:t>
      </w:r>
    </w:p>
    <w:p w14:paraId="43901CD7">
      <w:pPr>
        <w:snapToGrid w:val="0"/>
        <w:spacing w:line="360" w:lineRule="auto"/>
        <w:jc w:val="left"/>
        <w:rPr>
          <w:rFonts w:ascii="宋体" w:hAnsi="宋体" w:eastAsia="宋体" w:cs="宋体"/>
          <w:color w:val="auto"/>
          <w:sz w:val="24"/>
          <w:highlight w:val="none"/>
          <w:u w:val="single"/>
        </w:rPr>
      </w:pPr>
    </w:p>
    <w:p w14:paraId="54327F72">
      <w:pPr>
        <w:widowControl/>
        <w:jc w:val="left"/>
        <w:rPr>
          <w:rFonts w:ascii="宋体" w:hAnsi="宋体" w:eastAsia="宋体" w:cs="宋体"/>
          <w:color w:val="auto"/>
          <w:sz w:val="24"/>
          <w:highlight w:val="none"/>
        </w:rPr>
      </w:pPr>
      <w:r>
        <w:rPr>
          <w:rFonts w:ascii="宋体" w:hAnsi="宋体" w:eastAsia="宋体" w:cs="宋体"/>
          <w:color w:val="auto"/>
          <w:sz w:val="24"/>
          <w:highlight w:val="none"/>
        </w:rPr>
        <w:br w:type="page"/>
      </w:r>
    </w:p>
    <w:p w14:paraId="685C0B54">
      <w:pPr>
        <w:topLinePunct/>
        <w:adjustRightInd w:val="0"/>
        <w:snapToGrid w:val="0"/>
        <w:spacing w:line="360" w:lineRule="auto"/>
        <w:rPr>
          <w:rFonts w:ascii="宋体" w:hAnsi="宋体" w:eastAsia="宋体" w:cs="宋体"/>
          <w:b/>
          <w:snapToGrid w:val="0"/>
          <w:color w:val="auto"/>
          <w:spacing w:val="4"/>
          <w:kern w:val="0"/>
          <w:sz w:val="24"/>
          <w:highlight w:val="none"/>
        </w:rPr>
      </w:pPr>
      <w:r>
        <w:rPr>
          <w:rFonts w:hint="eastAsia" w:ascii="宋体" w:hAnsi="宋体" w:eastAsia="宋体" w:cs="宋体"/>
          <w:color w:val="auto"/>
          <w:sz w:val="24"/>
          <w:highlight w:val="none"/>
        </w:rPr>
        <w:t>技术标</w:t>
      </w:r>
      <w:r>
        <w:rPr>
          <w:rFonts w:hint="eastAsia" w:ascii="宋体" w:hAnsi="宋体" w:eastAsia="宋体" w:cs="宋体"/>
          <w:bCs/>
          <w:color w:val="auto"/>
          <w:sz w:val="24"/>
          <w:highlight w:val="none"/>
        </w:rPr>
        <w:t>格式六</w:t>
      </w:r>
    </w:p>
    <w:p w14:paraId="3DCE33E8">
      <w:pPr>
        <w:topLinePunct/>
        <w:adjustRightInd w:val="0"/>
        <w:snapToGrid w:val="0"/>
        <w:spacing w:line="360" w:lineRule="auto"/>
        <w:jc w:val="center"/>
        <w:rPr>
          <w:rFonts w:ascii="宋体" w:hAnsi="宋体" w:eastAsia="宋体" w:cs="宋体"/>
          <w:bCs/>
          <w:color w:val="auto"/>
          <w:spacing w:val="4"/>
          <w:kern w:val="0"/>
          <w:sz w:val="24"/>
          <w:highlight w:val="none"/>
        </w:rPr>
      </w:pPr>
    </w:p>
    <w:p w14:paraId="411C8EF4">
      <w:pPr>
        <w:topLinePunct/>
        <w:adjustRightInd w:val="0"/>
        <w:snapToGrid w:val="0"/>
        <w:spacing w:line="360" w:lineRule="auto"/>
        <w:jc w:val="center"/>
        <w:rPr>
          <w:rFonts w:ascii="宋体" w:hAnsi="宋体"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rPr>
        <w:t>施工项目管理团队人员信息表</w:t>
      </w:r>
    </w:p>
    <w:tbl>
      <w:tblPr>
        <w:tblStyle w:val="88"/>
        <w:tblW w:w="9157" w:type="dxa"/>
        <w:jc w:val="center"/>
        <w:tblLayout w:type="fixed"/>
        <w:tblCellMar>
          <w:top w:w="0" w:type="dxa"/>
          <w:left w:w="108" w:type="dxa"/>
          <w:bottom w:w="0" w:type="dxa"/>
          <w:right w:w="108" w:type="dxa"/>
        </w:tblCellMar>
      </w:tblPr>
      <w:tblGrid>
        <w:gridCol w:w="1239"/>
        <w:gridCol w:w="1740"/>
        <w:gridCol w:w="1545"/>
        <w:gridCol w:w="1413"/>
        <w:gridCol w:w="3220"/>
      </w:tblGrid>
      <w:tr w14:paraId="54BD3321">
        <w:tblPrEx>
          <w:tblCellMar>
            <w:top w:w="0" w:type="dxa"/>
            <w:left w:w="108" w:type="dxa"/>
            <w:bottom w:w="0" w:type="dxa"/>
            <w:right w:w="108" w:type="dxa"/>
          </w:tblCellMar>
        </w:tblPrEx>
        <w:trPr>
          <w:trHeight w:val="362" w:hRule="atLeast"/>
          <w:jc w:val="center"/>
        </w:trPr>
        <w:tc>
          <w:tcPr>
            <w:tcW w:w="1239" w:type="dxa"/>
            <w:tcBorders>
              <w:top w:val="single" w:color="auto" w:sz="4" w:space="0"/>
              <w:left w:val="single" w:color="auto" w:sz="4" w:space="0"/>
              <w:bottom w:val="single" w:color="auto" w:sz="4" w:space="0"/>
              <w:right w:val="single" w:color="auto" w:sz="4" w:space="0"/>
            </w:tcBorders>
            <w:vAlign w:val="center"/>
          </w:tcPr>
          <w:p w14:paraId="3225C42E">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40" w:type="dxa"/>
            <w:tcBorders>
              <w:top w:val="single" w:color="auto" w:sz="4" w:space="0"/>
              <w:left w:val="nil"/>
              <w:bottom w:val="single" w:color="auto" w:sz="4" w:space="0"/>
              <w:right w:val="single" w:color="auto" w:sz="4" w:space="0"/>
            </w:tcBorders>
            <w:vAlign w:val="center"/>
          </w:tcPr>
          <w:p w14:paraId="2BD9530F">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1545" w:type="dxa"/>
            <w:tcBorders>
              <w:top w:val="single" w:color="auto" w:sz="4" w:space="0"/>
              <w:left w:val="nil"/>
              <w:bottom w:val="single" w:color="auto" w:sz="4" w:space="0"/>
              <w:right w:val="single" w:color="auto" w:sz="4" w:space="0"/>
            </w:tcBorders>
            <w:vAlign w:val="center"/>
          </w:tcPr>
          <w:p w14:paraId="6CFEB62E">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岗位</w:t>
            </w:r>
          </w:p>
        </w:tc>
        <w:tc>
          <w:tcPr>
            <w:tcW w:w="1413" w:type="dxa"/>
            <w:tcBorders>
              <w:top w:val="single" w:color="auto" w:sz="4" w:space="0"/>
              <w:left w:val="nil"/>
              <w:bottom w:val="single" w:color="auto" w:sz="4" w:space="0"/>
              <w:right w:val="single" w:color="auto" w:sz="4" w:space="0"/>
            </w:tcBorders>
            <w:vAlign w:val="center"/>
          </w:tcPr>
          <w:p w14:paraId="37CE5089">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职称</w:t>
            </w:r>
          </w:p>
        </w:tc>
        <w:tc>
          <w:tcPr>
            <w:tcW w:w="3220" w:type="dxa"/>
            <w:tcBorders>
              <w:top w:val="single" w:color="auto" w:sz="4" w:space="0"/>
              <w:left w:val="nil"/>
              <w:bottom w:val="single" w:color="auto" w:sz="4" w:space="0"/>
              <w:right w:val="single" w:color="auto" w:sz="4" w:space="0"/>
            </w:tcBorders>
            <w:vAlign w:val="center"/>
          </w:tcPr>
          <w:p w14:paraId="7693867A">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职称证书或资格证书编号</w:t>
            </w:r>
          </w:p>
        </w:tc>
      </w:tr>
      <w:tr w14:paraId="2607B4E7">
        <w:tblPrEx>
          <w:tblCellMar>
            <w:top w:w="0" w:type="dxa"/>
            <w:left w:w="108" w:type="dxa"/>
            <w:bottom w:w="0" w:type="dxa"/>
            <w:right w:w="108" w:type="dxa"/>
          </w:tblCellMar>
        </w:tblPrEx>
        <w:trPr>
          <w:trHeight w:val="458" w:hRule="atLeast"/>
          <w:jc w:val="center"/>
        </w:trPr>
        <w:tc>
          <w:tcPr>
            <w:tcW w:w="1239" w:type="dxa"/>
            <w:tcBorders>
              <w:top w:val="nil"/>
              <w:left w:val="single" w:color="auto" w:sz="4" w:space="0"/>
              <w:bottom w:val="single" w:color="auto" w:sz="4" w:space="0"/>
              <w:right w:val="single" w:color="auto" w:sz="4" w:space="0"/>
            </w:tcBorders>
            <w:noWrap/>
            <w:vAlign w:val="center"/>
          </w:tcPr>
          <w:p w14:paraId="0EA6C3A4">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c>
          <w:tcPr>
            <w:tcW w:w="1740" w:type="dxa"/>
            <w:tcBorders>
              <w:top w:val="nil"/>
              <w:left w:val="nil"/>
              <w:bottom w:val="single" w:color="auto" w:sz="4" w:space="0"/>
              <w:right w:val="single" w:color="auto" w:sz="4" w:space="0"/>
            </w:tcBorders>
            <w:noWrap/>
            <w:vAlign w:val="center"/>
          </w:tcPr>
          <w:p w14:paraId="3881A74A">
            <w:pPr>
              <w:widowControl/>
              <w:jc w:val="center"/>
              <w:rPr>
                <w:rFonts w:ascii="宋体" w:hAnsi="宋体" w:eastAsia="宋体" w:cs="宋体"/>
                <w:color w:val="auto"/>
                <w:kern w:val="0"/>
                <w:szCs w:val="21"/>
                <w:highlight w:val="none"/>
              </w:rPr>
            </w:pPr>
          </w:p>
        </w:tc>
        <w:tc>
          <w:tcPr>
            <w:tcW w:w="1545" w:type="dxa"/>
            <w:tcBorders>
              <w:top w:val="nil"/>
              <w:left w:val="nil"/>
              <w:bottom w:val="single" w:color="auto" w:sz="4" w:space="0"/>
              <w:right w:val="single" w:color="auto" w:sz="4" w:space="0"/>
            </w:tcBorders>
            <w:noWrap/>
            <w:vAlign w:val="center"/>
          </w:tcPr>
          <w:p w14:paraId="790FFC4A">
            <w:pPr>
              <w:widowControl/>
              <w:jc w:val="center"/>
              <w:rPr>
                <w:rFonts w:ascii="宋体" w:hAnsi="宋体" w:eastAsia="宋体" w:cs="宋体"/>
                <w:color w:val="auto"/>
                <w:kern w:val="0"/>
                <w:szCs w:val="21"/>
                <w:highlight w:val="none"/>
              </w:rPr>
            </w:pPr>
          </w:p>
        </w:tc>
        <w:tc>
          <w:tcPr>
            <w:tcW w:w="1413" w:type="dxa"/>
            <w:tcBorders>
              <w:top w:val="nil"/>
              <w:left w:val="nil"/>
              <w:bottom w:val="single" w:color="auto" w:sz="4" w:space="0"/>
              <w:right w:val="single" w:color="auto" w:sz="4" w:space="0"/>
            </w:tcBorders>
            <w:noWrap/>
            <w:vAlign w:val="center"/>
          </w:tcPr>
          <w:p w14:paraId="27E213AE">
            <w:pPr>
              <w:widowControl/>
              <w:jc w:val="center"/>
              <w:rPr>
                <w:rFonts w:ascii="宋体" w:hAnsi="宋体" w:eastAsia="宋体" w:cs="宋体"/>
                <w:color w:val="auto"/>
                <w:kern w:val="0"/>
                <w:szCs w:val="21"/>
                <w:highlight w:val="none"/>
              </w:rPr>
            </w:pPr>
          </w:p>
        </w:tc>
        <w:tc>
          <w:tcPr>
            <w:tcW w:w="3220" w:type="dxa"/>
            <w:tcBorders>
              <w:top w:val="nil"/>
              <w:left w:val="nil"/>
              <w:bottom w:val="single" w:color="auto" w:sz="4" w:space="0"/>
              <w:right w:val="single" w:color="auto" w:sz="4" w:space="0"/>
            </w:tcBorders>
            <w:noWrap/>
            <w:vAlign w:val="center"/>
          </w:tcPr>
          <w:p w14:paraId="6FC7B962">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22375A8">
        <w:tblPrEx>
          <w:tblCellMar>
            <w:top w:w="0" w:type="dxa"/>
            <w:left w:w="108" w:type="dxa"/>
            <w:bottom w:w="0" w:type="dxa"/>
            <w:right w:w="108" w:type="dxa"/>
          </w:tblCellMar>
        </w:tblPrEx>
        <w:trPr>
          <w:trHeight w:val="458" w:hRule="atLeast"/>
          <w:jc w:val="center"/>
        </w:trPr>
        <w:tc>
          <w:tcPr>
            <w:tcW w:w="1239" w:type="dxa"/>
            <w:tcBorders>
              <w:top w:val="nil"/>
              <w:left w:val="single" w:color="auto" w:sz="4" w:space="0"/>
              <w:bottom w:val="single" w:color="auto" w:sz="4" w:space="0"/>
              <w:right w:val="single" w:color="auto" w:sz="4" w:space="0"/>
            </w:tcBorders>
            <w:noWrap/>
            <w:vAlign w:val="center"/>
          </w:tcPr>
          <w:p w14:paraId="39EE688C">
            <w:pPr>
              <w:widowControl/>
              <w:spacing w:after="120" w:line="48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p>
        </w:tc>
        <w:tc>
          <w:tcPr>
            <w:tcW w:w="1740" w:type="dxa"/>
            <w:tcBorders>
              <w:top w:val="nil"/>
              <w:left w:val="nil"/>
              <w:bottom w:val="single" w:color="auto" w:sz="4" w:space="0"/>
              <w:right w:val="single" w:color="auto" w:sz="4" w:space="0"/>
            </w:tcBorders>
            <w:noWrap/>
            <w:vAlign w:val="center"/>
          </w:tcPr>
          <w:p w14:paraId="74430D03">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5" w:type="dxa"/>
            <w:tcBorders>
              <w:top w:val="nil"/>
              <w:left w:val="nil"/>
              <w:bottom w:val="single" w:color="auto" w:sz="4" w:space="0"/>
              <w:right w:val="single" w:color="auto" w:sz="4" w:space="0"/>
            </w:tcBorders>
            <w:noWrap/>
            <w:vAlign w:val="center"/>
          </w:tcPr>
          <w:p w14:paraId="23F0D61D">
            <w:pPr>
              <w:widowControl/>
              <w:jc w:val="center"/>
              <w:rPr>
                <w:rFonts w:ascii="宋体" w:hAnsi="宋体" w:eastAsia="宋体" w:cs="宋体"/>
                <w:color w:val="auto"/>
                <w:kern w:val="0"/>
                <w:szCs w:val="21"/>
                <w:highlight w:val="none"/>
              </w:rPr>
            </w:pPr>
          </w:p>
        </w:tc>
        <w:tc>
          <w:tcPr>
            <w:tcW w:w="1413" w:type="dxa"/>
            <w:tcBorders>
              <w:top w:val="nil"/>
              <w:left w:val="nil"/>
              <w:bottom w:val="single" w:color="auto" w:sz="4" w:space="0"/>
              <w:right w:val="single" w:color="auto" w:sz="4" w:space="0"/>
            </w:tcBorders>
            <w:noWrap/>
            <w:vAlign w:val="center"/>
          </w:tcPr>
          <w:p w14:paraId="43EDAFCC">
            <w:pPr>
              <w:widowControl/>
              <w:jc w:val="center"/>
              <w:rPr>
                <w:rFonts w:ascii="宋体" w:hAnsi="宋体" w:eastAsia="宋体" w:cs="宋体"/>
                <w:color w:val="auto"/>
                <w:kern w:val="0"/>
                <w:szCs w:val="21"/>
                <w:highlight w:val="none"/>
              </w:rPr>
            </w:pPr>
          </w:p>
        </w:tc>
        <w:tc>
          <w:tcPr>
            <w:tcW w:w="3220" w:type="dxa"/>
            <w:tcBorders>
              <w:top w:val="nil"/>
              <w:left w:val="nil"/>
              <w:bottom w:val="single" w:color="auto" w:sz="4" w:space="0"/>
              <w:right w:val="single" w:color="auto" w:sz="4" w:space="0"/>
            </w:tcBorders>
            <w:noWrap/>
            <w:vAlign w:val="center"/>
          </w:tcPr>
          <w:p w14:paraId="4512D87D">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4ECDD33">
        <w:tblPrEx>
          <w:tblCellMar>
            <w:top w:w="0" w:type="dxa"/>
            <w:left w:w="108" w:type="dxa"/>
            <w:bottom w:w="0" w:type="dxa"/>
            <w:right w:w="108" w:type="dxa"/>
          </w:tblCellMar>
        </w:tblPrEx>
        <w:trPr>
          <w:trHeight w:val="458" w:hRule="atLeast"/>
          <w:jc w:val="center"/>
        </w:trPr>
        <w:tc>
          <w:tcPr>
            <w:tcW w:w="1239" w:type="dxa"/>
            <w:tcBorders>
              <w:top w:val="nil"/>
              <w:left w:val="single" w:color="auto" w:sz="4" w:space="0"/>
              <w:bottom w:val="single" w:color="auto" w:sz="4" w:space="0"/>
              <w:right w:val="single" w:color="auto" w:sz="4" w:space="0"/>
            </w:tcBorders>
            <w:noWrap/>
            <w:vAlign w:val="center"/>
          </w:tcPr>
          <w:p w14:paraId="4ED62090">
            <w:pPr>
              <w:widowControl/>
              <w:spacing w:after="120" w:line="48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w:t>
            </w:r>
          </w:p>
        </w:tc>
        <w:tc>
          <w:tcPr>
            <w:tcW w:w="1740" w:type="dxa"/>
            <w:tcBorders>
              <w:top w:val="nil"/>
              <w:left w:val="nil"/>
              <w:bottom w:val="single" w:color="auto" w:sz="4" w:space="0"/>
              <w:right w:val="single" w:color="auto" w:sz="4" w:space="0"/>
            </w:tcBorders>
            <w:noWrap/>
            <w:vAlign w:val="center"/>
          </w:tcPr>
          <w:p w14:paraId="0157ECFF">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5" w:type="dxa"/>
            <w:tcBorders>
              <w:top w:val="nil"/>
              <w:left w:val="nil"/>
              <w:bottom w:val="single" w:color="auto" w:sz="4" w:space="0"/>
              <w:right w:val="single" w:color="auto" w:sz="4" w:space="0"/>
            </w:tcBorders>
            <w:noWrap/>
            <w:vAlign w:val="center"/>
          </w:tcPr>
          <w:p w14:paraId="62C5E0D3">
            <w:pPr>
              <w:widowControl/>
              <w:jc w:val="center"/>
              <w:rPr>
                <w:rFonts w:ascii="宋体" w:hAnsi="宋体" w:eastAsia="宋体" w:cs="宋体"/>
                <w:color w:val="auto"/>
                <w:kern w:val="0"/>
                <w:szCs w:val="21"/>
                <w:highlight w:val="none"/>
              </w:rPr>
            </w:pPr>
          </w:p>
        </w:tc>
        <w:tc>
          <w:tcPr>
            <w:tcW w:w="1413" w:type="dxa"/>
            <w:tcBorders>
              <w:top w:val="nil"/>
              <w:left w:val="nil"/>
              <w:bottom w:val="single" w:color="auto" w:sz="4" w:space="0"/>
              <w:right w:val="single" w:color="auto" w:sz="4" w:space="0"/>
            </w:tcBorders>
            <w:noWrap/>
            <w:vAlign w:val="center"/>
          </w:tcPr>
          <w:p w14:paraId="18AA683C">
            <w:pPr>
              <w:widowControl/>
              <w:jc w:val="center"/>
              <w:rPr>
                <w:rFonts w:ascii="宋体" w:hAnsi="宋体" w:eastAsia="宋体" w:cs="宋体"/>
                <w:color w:val="auto"/>
                <w:kern w:val="0"/>
                <w:szCs w:val="21"/>
                <w:highlight w:val="none"/>
              </w:rPr>
            </w:pPr>
          </w:p>
        </w:tc>
        <w:tc>
          <w:tcPr>
            <w:tcW w:w="3220" w:type="dxa"/>
            <w:tcBorders>
              <w:top w:val="nil"/>
              <w:left w:val="nil"/>
              <w:bottom w:val="single" w:color="auto" w:sz="4" w:space="0"/>
              <w:right w:val="single" w:color="auto" w:sz="4" w:space="0"/>
            </w:tcBorders>
            <w:noWrap/>
            <w:vAlign w:val="center"/>
          </w:tcPr>
          <w:p w14:paraId="1EBE324F">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6485F578">
        <w:tblPrEx>
          <w:tblCellMar>
            <w:top w:w="0" w:type="dxa"/>
            <w:left w:w="108" w:type="dxa"/>
            <w:bottom w:w="0" w:type="dxa"/>
            <w:right w:w="108" w:type="dxa"/>
          </w:tblCellMar>
        </w:tblPrEx>
        <w:trPr>
          <w:trHeight w:val="458" w:hRule="atLeast"/>
          <w:jc w:val="center"/>
        </w:trPr>
        <w:tc>
          <w:tcPr>
            <w:tcW w:w="1239" w:type="dxa"/>
            <w:tcBorders>
              <w:top w:val="nil"/>
              <w:left w:val="single" w:color="auto" w:sz="4" w:space="0"/>
              <w:bottom w:val="single" w:color="auto" w:sz="4" w:space="0"/>
              <w:right w:val="single" w:color="auto" w:sz="4" w:space="0"/>
            </w:tcBorders>
            <w:noWrap/>
            <w:vAlign w:val="center"/>
          </w:tcPr>
          <w:p w14:paraId="18AD6273">
            <w:pPr>
              <w:widowControl/>
              <w:spacing w:after="120" w:line="48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p>
        </w:tc>
        <w:tc>
          <w:tcPr>
            <w:tcW w:w="1740" w:type="dxa"/>
            <w:tcBorders>
              <w:top w:val="nil"/>
              <w:left w:val="nil"/>
              <w:bottom w:val="single" w:color="auto" w:sz="4" w:space="0"/>
              <w:right w:val="single" w:color="auto" w:sz="4" w:space="0"/>
            </w:tcBorders>
            <w:noWrap/>
            <w:vAlign w:val="center"/>
          </w:tcPr>
          <w:p w14:paraId="6075101C">
            <w:pPr>
              <w:widowControl/>
              <w:jc w:val="center"/>
              <w:rPr>
                <w:rFonts w:ascii="宋体" w:hAnsi="宋体" w:eastAsia="宋体" w:cs="宋体"/>
                <w:color w:val="auto"/>
                <w:kern w:val="0"/>
                <w:szCs w:val="21"/>
                <w:highlight w:val="none"/>
              </w:rPr>
            </w:pPr>
          </w:p>
        </w:tc>
        <w:tc>
          <w:tcPr>
            <w:tcW w:w="1545" w:type="dxa"/>
            <w:tcBorders>
              <w:top w:val="nil"/>
              <w:left w:val="nil"/>
              <w:bottom w:val="single" w:color="auto" w:sz="4" w:space="0"/>
              <w:right w:val="single" w:color="auto" w:sz="4" w:space="0"/>
            </w:tcBorders>
            <w:noWrap/>
            <w:vAlign w:val="center"/>
          </w:tcPr>
          <w:p w14:paraId="7713ED61">
            <w:pPr>
              <w:widowControl/>
              <w:jc w:val="center"/>
              <w:rPr>
                <w:rFonts w:ascii="宋体" w:hAnsi="宋体" w:eastAsia="宋体" w:cs="宋体"/>
                <w:color w:val="auto"/>
                <w:kern w:val="0"/>
                <w:szCs w:val="21"/>
                <w:highlight w:val="none"/>
              </w:rPr>
            </w:pPr>
          </w:p>
        </w:tc>
        <w:tc>
          <w:tcPr>
            <w:tcW w:w="1413" w:type="dxa"/>
            <w:tcBorders>
              <w:top w:val="nil"/>
              <w:left w:val="nil"/>
              <w:bottom w:val="single" w:color="auto" w:sz="4" w:space="0"/>
              <w:right w:val="single" w:color="auto" w:sz="4" w:space="0"/>
            </w:tcBorders>
            <w:noWrap/>
            <w:vAlign w:val="center"/>
          </w:tcPr>
          <w:p w14:paraId="60C43F39">
            <w:pPr>
              <w:widowControl/>
              <w:jc w:val="center"/>
              <w:rPr>
                <w:rFonts w:ascii="宋体" w:hAnsi="宋体" w:eastAsia="宋体" w:cs="宋体"/>
                <w:color w:val="auto"/>
                <w:kern w:val="0"/>
                <w:szCs w:val="21"/>
                <w:highlight w:val="none"/>
              </w:rPr>
            </w:pPr>
          </w:p>
        </w:tc>
        <w:tc>
          <w:tcPr>
            <w:tcW w:w="3220" w:type="dxa"/>
            <w:tcBorders>
              <w:top w:val="nil"/>
              <w:left w:val="nil"/>
              <w:bottom w:val="single" w:color="auto" w:sz="4" w:space="0"/>
              <w:right w:val="single" w:color="auto" w:sz="4" w:space="0"/>
            </w:tcBorders>
            <w:noWrap/>
            <w:vAlign w:val="center"/>
          </w:tcPr>
          <w:p w14:paraId="13330289">
            <w:pPr>
              <w:widowControl/>
              <w:jc w:val="center"/>
              <w:rPr>
                <w:rFonts w:ascii="宋体" w:hAnsi="宋体" w:eastAsia="宋体" w:cs="宋体"/>
                <w:color w:val="auto"/>
                <w:kern w:val="0"/>
                <w:szCs w:val="21"/>
                <w:highlight w:val="none"/>
              </w:rPr>
            </w:pPr>
          </w:p>
        </w:tc>
      </w:tr>
      <w:tr w14:paraId="2522500A">
        <w:tblPrEx>
          <w:tblCellMar>
            <w:top w:w="0" w:type="dxa"/>
            <w:left w:w="108" w:type="dxa"/>
            <w:bottom w:w="0" w:type="dxa"/>
            <w:right w:w="108" w:type="dxa"/>
          </w:tblCellMar>
        </w:tblPrEx>
        <w:trPr>
          <w:trHeight w:val="458" w:hRule="atLeast"/>
          <w:jc w:val="center"/>
        </w:trPr>
        <w:tc>
          <w:tcPr>
            <w:tcW w:w="1239" w:type="dxa"/>
            <w:tcBorders>
              <w:top w:val="nil"/>
              <w:left w:val="single" w:color="auto" w:sz="4" w:space="0"/>
              <w:bottom w:val="single" w:color="auto" w:sz="4" w:space="0"/>
              <w:right w:val="single" w:color="auto" w:sz="4" w:space="0"/>
            </w:tcBorders>
            <w:noWrap/>
            <w:vAlign w:val="center"/>
          </w:tcPr>
          <w:p w14:paraId="19BAEC02">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740" w:type="dxa"/>
            <w:tcBorders>
              <w:top w:val="nil"/>
              <w:left w:val="nil"/>
              <w:bottom w:val="single" w:color="auto" w:sz="4" w:space="0"/>
              <w:right w:val="single" w:color="auto" w:sz="4" w:space="0"/>
            </w:tcBorders>
            <w:noWrap/>
            <w:vAlign w:val="center"/>
          </w:tcPr>
          <w:p w14:paraId="3E0286CB">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5" w:type="dxa"/>
            <w:tcBorders>
              <w:top w:val="nil"/>
              <w:left w:val="nil"/>
              <w:bottom w:val="single" w:color="auto" w:sz="4" w:space="0"/>
              <w:right w:val="single" w:color="auto" w:sz="4" w:space="0"/>
            </w:tcBorders>
            <w:noWrap/>
            <w:vAlign w:val="center"/>
          </w:tcPr>
          <w:p w14:paraId="3FBFF3DC">
            <w:pPr>
              <w:widowControl/>
              <w:jc w:val="center"/>
              <w:rPr>
                <w:rFonts w:ascii="宋体" w:hAnsi="宋体" w:eastAsia="宋体" w:cs="宋体"/>
                <w:color w:val="auto"/>
                <w:kern w:val="0"/>
                <w:szCs w:val="21"/>
                <w:highlight w:val="none"/>
              </w:rPr>
            </w:pPr>
          </w:p>
        </w:tc>
        <w:tc>
          <w:tcPr>
            <w:tcW w:w="1413" w:type="dxa"/>
            <w:tcBorders>
              <w:top w:val="nil"/>
              <w:left w:val="nil"/>
              <w:bottom w:val="single" w:color="auto" w:sz="4" w:space="0"/>
              <w:right w:val="single" w:color="auto" w:sz="4" w:space="0"/>
            </w:tcBorders>
            <w:noWrap/>
            <w:vAlign w:val="center"/>
          </w:tcPr>
          <w:p w14:paraId="118CB6E6">
            <w:pPr>
              <w:widowControl/>
              <w:jc w:val="center"/>
              <w:rPr>
                <w:rFonts w:ascii="宋体" w:hAnsi="宋体" w:eastAsia="宋体" w:cs="宋体"/>
                <w:color w:val="auto"/>
                <w:kern w:val="0"/>
                <w:szCs w:val="21"/>
                <w:highlight w:val="none"/>
              </w:rPr>
            </w:pPr>
          </w:p>
        </w:tc>
        <w:tc>
          <w:tcPr>
            <w:tcW w:w="3220" w:type="dxa"/>
            <w:tcBorders>
              <w:top w:val="nil"/>
              <w:left w:val="nil"/>
              <w:bottom w:val="single" w:color="auto" w:sz="4" w:space="0"/>
              <w:right w:val="single" w:color="auto" w:sz="4" w:space="0"/>
            </w:tcBorders>
            <w:noWrap/>
            <w:vAlign w:val="center"/>
          </w:tcPr>
          <w:p w14:paraId="66E5594D">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BB9124D">
        <w:tblPrEx>
          <w:tblCellMar>
            <w:top w:w="0" w:type="dxa"/>
            <w:left w:w="108" w:type="dxa"/>
            <w:bottom w:w="0" w:type="dxa"/>
            <w:right w:w="108" w:type="dxa"/>
          </w:tblCellMar>
        </w:tblPrEx>
        <w:trPr>
          <w:trHeight w:val="2781" w:hRule="atLeast"/>
          <w:jc w:val="center"/>
        </w:trPr>
        <w:tc>
          <w:tcPr>
            <w:tcW w:w="9157" w:type="dxa"/>
            <w:gridSpan w:val="5"/>
            <w:tcBorders>
              <w:top w:val="single" w:color="auto" w:sz="4" w:space="0"/>
              <w:left w:val="single" w:color="auto" w:sz="4" w:space="0"/>
              <w:bottom w:val="single" w:color="auto" w:sz="4" w:space="0"/>
              <w:right w:val="single" w:color="auto" w:sz="4" w:space="0"/>
            </w:tcBorders>
            <w:vAlign w:val="center"/>
          </w:tcPr>
          <w:p w14:paraId="3DBAB9F0">
            <w:pPr>
              <w:widowControl/>
              <w:spacing w:after="120"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r>
              <w:rPr>
                <w:rFonts w:ascii="宋体" w:hAnsi="宋体" w:eastAsia="宋体" w:cs="宋体"/>
                <w:color w:val="auto"/>
                <w:kern w:val="0"/>
                <w:szCs w:val="21"/>
                <w:highlight w:val="none"/>
              </w:rPr>
              <w:t>1、“岗位”要求</w:t>
            </w:r>
            <w:r>
              <w:rPr>
                <w:rFonts w:hint="eastAsia" w:ascii="宋体" w:hAnsi="宋体" w:eastAsia="宋体" w:cs="宋体"/>
                <w:b/>
                <w:bCs/>
                <w:color w:val="auto"/>
                <w:kern w:val="0"/>
                <w:szCs w:val="21"/>
                <w:highlight w:val="none"/>
              </w:rPr>
              <w:t>（除项目负责人和专职安全员外）</w:t>
            </w:r>
            <w:r>
              <w:rPr>
                <w:rFonts w:hint="eastAsia" w:ascii="宋体" w:hAnsi="宋体" w:eastAsia="宋体" w:cs="宋体"/>
                <w:color w:val="auto"/>
                <w:kern w:val="0"/>
                <w:szCs w:val="21"/>
                <w:highlight w:val="none"/>
              </w:rPr>
              <w:t>由招标人根据项目管理需要在本表备注中明确提出，如：拟派驻施工现场的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14:paraId="2DF0DB66">
            <w:pPr>
              <w:widowControl/>
              <w:spacing w:line="380" w:lineRule="exact"/>
              <w:rPr>
                <w:rFonts w:ascii="宋体" w:hAnsi="宋体" w:eastAsia="宋体" w:cs="宋体"/>
                <w:color w:val="auto"/>
                <w:kern w:val="0"/>
                <w:szCs w:val="21"/>
                <w:highlight w:val="none"/>
              </w:rPr>
            </w:pPr>
            <w:r>
              <w:rPr>
                <w:rFonts w:ascii="宋体" w:hAnsi="宋体" w:eastAsia="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5BC83AB">
            <w:pPr>
              <w:widowControl/>
              <w:spacing w:line="380" w:lineRule="exact"/>
              <w:rPr>
                <w:rFonts w:ascii="宋体" w:hAnsi="宋体" w:eastAsia="宋体" w:cs="宋体"/>
                <w:color w:val="auto"/>
                <w:kern w:val="0"/>
                <w:szCs w:val="21"/>
                <w:highlight w:val="none"/>
              </w:rPr>
            </w:pPr>
            <w:r>
              <w:rPr>
                <w:rFonts w:ascii="宋体" w:hAnsi="宋体" w:eastAsia="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156A9392">
      <w:pPr>
        <w:topLinePunct/>
        <w:adjustRightInd w:val="0"/>
        <w:snapToGrid w:val="0"/>
        <w:spacing w:line="360" w:lineRule="auto"/>
        <w:rPr>
          <w:rFonts w:ascii="宋体" w:hAnsi="宋体" w:eastAsia="宋体" w:cs="宋体"/>
          <w:color w:val="auto"/>
          <w:spacing w:val="4"/>
          <w:kern w:val="0"/>
          <w:sz w:val="22"/>
          <w:highlight w:val="none"/>
        </w:rPr>
      </w:pPr>
      <w:r>
        <w:rPr>
          <w:rFonts w:hint="eastAsia" w:ascii="宋体" w:hAnsi="宋体" w:eastAsia="宋体" w:cs="宋体"/>
          <w:color w:val="auto"/>
          <w:spacing w:val="4"/>
          <w:kern w:val="0"/>
          <w:sz w:val="22"/>
          <w:highlight w:val="none"/>
        </w:rPr>
        <w:t>注：</w:t>
      </w:r>
    </w:p>
    <w:p w14:paraId="226C59EE">
      <w:pPr>
        <w:topLinePunct/>
        <w:adjustRightInd w:val="0"/>
        <w:snapToGrid w:val="0"/>
        <w:spacing w:line="360" w:lineRule="auto"/>
        <w:rPr>
          <w:rFonts w:ascii="宋体" w:hAnsi="宋体" w:eastAsia="宋体" w:cs="宋体"/>
          <w:color w:val="auto"/>
          <w:spacing w:val="4"/>
          <w:kern w:val="0"/>
          <w:sz w:val="22"/>
          <w:highlight w:val="none"/>
        </w:rPr>
      </w:pPr>
      <w:r>
        <w:rPr>
          <w:rFonts w:ascii="宋体" w:hAnsi="宋体" w:eastAsia="宋体" w:cs="宋体"/>
          <w:color w:val="auto"/>
          <w:spacing w:val="4"/>
          <w:kern w:val="0"/>
          <w:sz w:val="22"/>
          <w:highlight w:val="none"/>
        </w:rPr>
        <w:t>1.本表投标人视本工程具体情况结合招标人对本工程的具体要求自行配备。</w:t>
      </w:r>
    </w:p>
    <w:p w14:paraId="0A1FF28B">
      <w:pPr>
        <w:topLinePunct/>
        <w:adjustRightInd w:val="0"/>
        <w:snapToGrid w:val="0"/>
        <w:spacing w:line="360" w:lineRule="auto"/>
        <w:rPr>
          <w:rFonts w:ascii="宋体" w:hAnsi="宋体" w:eastAsia="宋体" w:cs="宋体"/>
          <w:color w:val="auto"/>
          <w:spacing w:val="4"/>
          <w:kern w:val="0"/>
          <w:sz w:val="22"/>
          <w:highlight w:val="none"/>
        </w:rPr>
      </w:pPr>
      <w:r>
        <w:rPr>
          <w:rFonts w:ascii="宋体" w:hAnsi="宋体" w:eastAsia="宋体" w:cs="宋体"/>
          <w:color w:val="auto"/>
          <w:spacing w:val="4"/>
          <w:kern w:val="0"/>
          <w:sz w:val="22"/>
          <w:highlight w:val="none"/>
        </w:rPr>
        <w:t>2.上述人员须为投标单位人员，并须提供</w:t>
      </w:r>
      <w:r>
        <w:rPr>
          <w:rFonts w:hint="eastAsia" w:ascii="宋体" w:hAnsi="宋体" w:eastAsia="宋体" w:cs="宋体"/>
          <w:color w:val="auto"/>
          <w:spacing w:val="4"/>
          <w:kern w:val="0"/>
          <w:sz w:val="22"/>
          <w:highlight w:val="none"/>
          <w:lang w:eastAsia="zh-CN"/>
        </w:rPr>
        <w:t>2025年8月或7月</w:t>
      </w:r>
      <w:r>
        <w:rPr>
          <w:rFonts w:hint="eastAsia" w:ascii="宋体" w:hAnsi="宋体" w:eastAsia="宋体" w:cs="宋体"/>
          <w:color w:val="auto"/>
          <w:spacing w:val="4"/>
          <w:kern w:val="0"/>
          <w:sz w:val="22"/>
          <w:highlight w:val="none"/>
        </w:rPr>
        <w:t>在本公司缴纳社保的有效社保证明。</w:t>
      </w:r>
    </w:p>
    <w:p w14:paraId="2BAECBF9">
      <w:pPr>
        <w:topLinePunct/>
        <w:adjustRightInd w:val="0"/>
        <w:snapToGrid w:val="0"/>
        <w:spacing w:line="360" w:lineRule="auto"/>
        <w:rPr>
          <w:rFonts w:ascii="宋体" w:hAnsi="宋体" w:eastAsia="宋体" w:cs="宋体"/>
          <w:color w:val="auto"/>
          <w:spacing w:val="4"/>
          <w:kern w:val="0"/>
          <w:sz w:val="22"/>
          <w:highlight w:val="none"/>
        </w:rPr>
      </w:pPr>
      <w:r>
        <w:rPr>
          <w:rFonts w:ascii="宋体" w:hAnsi="宋体" w:eastAsia="宋体" w:cs="宋体"/>
          <w:color w:val="auto"/>
          <w:spacing w:val="4"/>
          <w:kern w:val="0"/>
          <w:sz w:val="22"/>
          <w:highlight w:val="none"/>
        </w:rPr>
        <w:t>3.上述人员须按招标公告相应要求提供相关证明资料。</w:t>
      </w:r>
    </w:p>
    <w:p w14:paraId="3C46B827">
      <w:pPr>
        <w:topLinePunct/>
        <w:adjustRightInd w:val="0"/>
        <w:snapToGrid w:val="0"/>
        <w:spacing w:line="360" w:lineRule="auto"/>
        <w:rPr>
          <w:rFonts w:ascii="宋体" w:hAnsi="宋体" w:eastAsia="宋体" w:cs="宋体"/>
          <w:color w:val="auto"/>
          <w:spacing w:val="4"/>
          <w:kern w:val="0"/>
          <w:sz w:val="22"/>
          <w:highlight w:val="none"/>
        </w:rPr>
      </w:pPr>
      <w:r>
        <w:rPr>
          <w:rFonts w:ascii="宋体" w:hAnsi="宋体" w:eastAsia="宋体" w:cs="宋体"/>
          <w:color w:val="auto"/>
          <w:spacing w:val="4"/>
          <w:kern w:val="0"/>
          <w:sz w:val="22"/>
          <w:highlight w:val="none"/>
        </w:rPr>
        <w:t>4.本表中填报的所有人员均需接《主要人员简历表》格式要求提交《主要人员简历表》。</w:t>
      </w:r>
    </w:p>
    <w:p w14:paraId="624C3A79">
      <w:pPr>
        <w:topLinePunct/>
        <w:adjustRightInd w:val="0"/>
        <w:snapToGrid w:val="0"/>
        <w:spacing w:line="360" w:lineRule="auto"/>
        <w:ind w:firstLine="3596" w:firstLineChars="1450"/>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投标人（盖章）：</w:t>
      </w:r>
    </w:p>
    <w:p w14:paraId="7B4D118F">
      <w:pPr>
        <w:topLinePunct/>
        <w:adjustRightInd w:val="0"/>
        <w:snapToGrid w:val="0"/>
        <w:spacing w:line="360" w:lineRule="auto"/>
        <w:ind w:firstLine="3596" w:firstLineChars="1450"/>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日期：</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年</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月</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日</w:t>
      </w:r>
    </w:p>
    <w:p w14:paraId="4C0AD7D9">
      <w:pPr>
        <w:pStyle w:val="46"/>
        <w:snapToGrid w:val="0"/>
        <w:spacing w:line="360" w:lineRule="auto"/>
        <w:rPr>
          <w:rFonts w:hAnsi="宋体" w:eastAsia="宋体" w:cs="宋体"/>
          <w:color w:val="auto"/>
          <w:sz w:val="24"/>
          <w:highlight w:val="none"/>
        </w:rPr>
      </w:pPr>
      <w:r>
        <w:rPr>
          <w:rFonts w:hint="eastAsia" w:hAnsi="宋体" w:eastAsia="宋体" w:cs="宋体"/>
          <w:color w:val="auto"/>
          <w:sz w:val="24"/>
          <w:highlight w:val="none"/>
        </w:rPr>
        <w:t>技术标</w:t>
      </w:r>
      <w:r>
        <w:rPr>
          <w:rFonts w:hint="eastAsia" w:hAnsi="宋体" w:eastAsia="宋体" w:cs="宋体"/>
          <w:bCs/>
          <w:color w:val="auto"/>
          <w:sz w:val="24"/>
          <w:highlight w:val="none"/>
        </w:rPr>
        <w:t>格式七</w:t>
      </w:r>
    </w:p>
    <w:p w14:paraId="3F2E8093">
      <w:pPr>
        <w:topLinePunct/>
        <w:adjustRightInd w:val="0"/>
        <w:snapToGrid w:val="0"/>
        <w:spacing w:line="360" w:lineRule="auto"/>
        <w:jc w:val="center"/>
        <w:rPr>
          <w:rFonts w:ascii="宋体" w:hAnsi="宋体" w:eastAsia="宋体" w:cs="宋体"/>
          <w:bCs/>
          <w:color w:val="auto"/>
          <w:spacing w:val="4"/>
          <w:kern w:val="0"/>
          <w:sz w:val="24"/>
          <w:highlight w:val="none"/>
        </w:rPr>
      </w:pPr>
    </w:p>
    <w:p w14:paraId="005D87F3">
      <w:pPr>
        <w:topLinePunct/>
        <w:adjustRightInd w:val="0"/>
        <w:snapToGrid w:val="0"/>
        <w:spacing w:line="360" w:lineRule="auto"/>
        <w:jc w:val="center"/>
        <w:rPr>
          <w:rFonts w:ascii="宋体" w:hAnsi="宋体"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rPr>
        <w:t>主要人员简历表</w:t>
      </w:r>
    </w:p>
    <w:p w14:paraId="4C9C2FAD">
      <w:pPr>
        <w:topLinePunct/>
        <w:adjustRightInd w:val="0"/>
        <w:snapToGrid w:val="0"/>
        <w:spacing w:line="360" w:lineRule="auto"/>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工程名称：</w:t>
      </w:r>
    </w:p>
    <w:tbl>
      <w:tblPr>
        <w:tblStyle w:val="88"/>
        <w:tblW w:w="5000"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60" w:type="dxa"/>
          <w:bottom w:w="60" w:type="dxa"/>
          <w:right w:w="60" w:type="dxa"/>
        </w:tblCellMar>
      </w:tblPr>
      <w:tblGrid>
        <w:gridCol w:w="1100"/>
        <w:gridCol w:w="1351"/>
        <w:gridCol w:w="927"/>
        <w:gridCol w:w="518"/>
        <w:gridCol w:w="196"/>
        <w:gridCol w:w="1384"/>
        <w:gridCol w:w="1009"/>
        <w:gridCol w:w="1291"/>
        <w:gridCol w:w="1390"/>
      </w:tblGrid>
      <w:tr w14:paraId="4C1A2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20" w:hRule="atLeast"/>
          <w:tblCellSpacing w:w="0" w:type="dxa"/>
          <w:jc w:val="center"/>
        </w:trPr>
        <w:tc>
          <w:tcPr>
            <w:tcW w:w="599" w:type="pct"/>
            <w:tcBorders>
              <w:tl2br w:val="nil"/>
              <w:tr2bl w:val="nil"/>
            </w:tcBorders>
            <w:noWrap/>
            <w:vAlign w:val="center"/>
          </w:tcPr>
          <w:p w14:paraId="5E374E02">
            <w:pPr>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737" w:type="pct"/>
            <w:tcBorders>
              <w:tl2br w:val="nil"/>
              <w:tr2bl w:val="nil"/>
            </w:tcBorders>
            <w:noWrap/>
            <w:vAlign w:val="center"/>
          </w:tcPr>
          <w:p w14:paraId="420FE44F">
            <w:pPr>
              <w:snapToGrid w:val="0"/>
              <w:spacing w:line="360" w:lineRule="auto"/>
              <w:jc w:val="left"/>
              <w:rPr>
                <w:rFonts w:ascii="宋体" w:hAnsi="宋体" w:eastAsia="宋体" w:cs="宋体"/>
                <w:color w:val="auto"/>
                <w:sz w:val="24"/>
                <w:highlight w:val="none"/>
              </w:rPr>
            </w:pPr>
          </w:p>
        </w:tc>
        <w:tc>
          <w:tcPr>
            <w:tcW w:w="506" w:type="pct"/>
            <w:tcBorders>
              <w:tl2br w:val="nil"/>
              <w:tr2bl w:val="nil"/>
            </w:tcBorders>
            <w:noWrap/>
            <w:vAlign w:val="center"/>
          </w:tcPr>
          <w:p w14:paraId="122060A3">
            <w:pPr>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144" w:type="pct"/>
            <w:gridSpan w:val="3"/>
            <w:tcBorders>
              <w:tl2br w:val="nil"/>
              <w:tr2bl w:val="nil"/>
            </w:tcBorders>
            <w:noWrap/>
            <w:vAlign w:val="center"/>
          </w:tcPr>
          <w:p w14:paraId="39C9793A">
            <w:pPr>
              <w:snapToGrid w:val="0"/>
              <w:spacing w:line="360" w:lineRule="auto"/>
              <w:jc w:val="left"/>
              <w:rPr>
                <w:rFonts w:ascii="宋体" w:hAnsi="宋体" w:eastAsia="宋体" w:cs="宋体"/>
                <w:color w:val="auto"/>
                <w:sz w:val="24"/>
                <w:highlight w:val="none"/>
              </w:rPr>
            </w:pPr>
          </w:p>
        </w:tc>
        <w:tc>
          <w:tcPr>
            <w:tcW w:w="1254" w:type="pct"/>
            <w:gridSpan w:val="2"/>
            <w:tcBorders>
              <w:tl2br w:val="nil"/>
              <w:tr2bl w:val="nil"/>
            </w:tcBorders>
            <w:noWrap/>
            <w:vAlign w:val="center"/>
          </w:tcPr>
          <w:p w14:paraId="736140F5">
            <w:pPr>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757" w:type="pct"/>
            <w:tcBorders>
              <w:tl2br w:val="nil"/>
              <w:tr2bl w:val="nil"/>
            </w:tcBorders>
            <w:noWrap/>
            <w:vAlign w:val="center"/>
          </w:tcPr>
          <w:p w14:paraId="77E71D8F">
            <w:pPr>
              <w:snapToGrid w:val="0"/>
              <w:spacing w:line="360" w:lineRule="auto"/>
              <w:jc w:val="left"/>
              <w:rPr>
                <w:rFonts w:ascii="宋体" w:hAnsi="宋体" w:eastAsia="宋体" w:cs="宋体"/>
                <w:color w:val="auto"/>
                <w:sz w:val="24"/>
                <w:highlight w:val="none"/>
              </w:rPr>
            </w:pPr>
          </w:p>
        </w:tc>
      </w:tr>
      <w:tr w14:paraId="056AC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0391604A">
            <w:pPr>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737" w:type="pct"/>
            <w:tcBorders>
              <w:tl2br w:val="nil"/>
              <w:tr2bl w:val="nil"/>
            </w:tcBorders>
            <w:noWrap/>
            <w:vAlign w:val="center"/>
          </w:tcPr>
          <w:p w14:paraId="5F710B6E">
            <w:pPr>
              <w:snapToGrid w:val="0"/>
              <w:spacing w:line="360" w:lineRule="auto"/>
              <w:jc w:val="left"/>
              <w:rPr>
                <w:rFonts w:ascii="宋体" w:hAnsi="宋体" w:eastAsia="宋体" w:cs="宋体"/>
                <w:color w:val="auto"/>
                <w:sz w:val="24"/>
                <w:highlight w:val="none"/>
              </w:rPr>
            </w:pPr>
          </w:p>
        </w:tc>
        <w:tc>
          <w:tcPr>
            <w:tcW w:w="506" w:type="pct"/>
            <w:tcBorders>
              <w:tl2br w:val="nil"/>
              <w:tr2bl w:val="nil"/>
            </w:tcBorders>
            <w:noWrap/>
            <w:vAlign w:val="center"/>
          </w:tcPr>
          <w:p w14:paraId="0123BF3D">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144" w:type="pct"/>
            <w:gridSpan w:val="3"/>
            <w:tcBorders>
              <w:tl2br w:val="nil"/>
              <w:tr2bl w:val="nil"/>
            </w:tcBorders>
            <w:noWrap/>
            <w:vAlign w:val="center"/>
          </w:tcPr>
          <w:p w14:paraId="21030C28">
            <w:pPr>
              <w:snapToGrid w:val="0"/>
              <w:spacing w:line="360" w:lineRule="auto"/>
              <w:jc w:val="left"/>
              <w:rPr>
                <w:rFonts w:ascii="宋体" w:hAnsi="宋体" w:eastAsia="宋体" w:cs="宋体"/>
                <w:color w:val="auto"/>
                <w:sz w:val="24"/>
                <w:highlight w:val="none"/>
              </w:rPr>
            </w:pPr>
          </w:p>
        </w:tc>
        <w:tc>
          <w:tcPr>
            <w:tcW w:w="1254" w:type="pct"/>
            <w:gridSpan w:val="2"/>
            <w:tcBorders>
              <w:tl2br w:val="nil"/>
              <w:tr2bl w:val="nil"/>
            </w:tcBorders>
            <w:noWrap/>
            <w:vAlign w:val="center"/>
          </w:tcPr>
          <w:p w14:paraId="7FA3A2DB">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757" w:type="pct"/>
            <w:tcBorders>
              <w:tl2br w:val="nil"/>
              <w:tr2bl w:val="nil"/>
            </w:tcBorders>
            <w:noWrap/>
            <w:vAlign w:val="center"/>
          </w:tcPr>
          <w:p w14:paraId="5F0D71C7">
            <w:pPr>
              <w:snapToGrid w:val="0"/>
              <w:spacing w:line="360" w:lineRule="auto"/>
              <w:jc w:val="left"/>
              <w:rPr>
                <w:rFonts w:ascii="宋体" w:hAnsi="宋体" w:eastAsia="宋体" w:cs="宋体"/>
                <w:color w:val="auto"/>
                <w:sz w:val="24"/>
                <w:highlight w:val="none"/>
              </w:rPr>
            </w:pPr>
          </w:p>
        </w:tc>
      </w:tr>
      <w:tr w14:paraId="7DEE8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1C6B80BB">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896" w:type="pct"/>
            <w:gridSpan w:val="3"/>
            <w:tcBorders>
              <w:tl2br w:val="nil"/>
              <w:tr2bl w:val="nil"/>
            </w:tcBorders>
            <w:noWrap/>
            <w:vAlign w:val="center"/>
          </w:tcPr>
          <w:p w14:paraId="3000AB37">
            <w:pPr>
              <w:snapToGrid w:val="0"/>
              <w:spacing w:line="360" w:lineRule="auto"/>
              <w:jc w:val="left"/>
              <w:rPr>
                <w:rFonts w:ascii="宋体" w:hAnsi="宋体" w:eastAsia="宋体" w:cs="宋体"/>
                <w:color w:val="auto"/>
                <w:sz w:val="24"/>
                <w:highlight w:val="none"/>
              </w:rPr>
            </w:pPr>
          </w:p>
        </w:tc>
        <w:tc>
          <w:tcPr>
            <w:tcW w:w="1304" w:type="pct"/>
            <w:gridSpan w:val="2"/>
            <w:tcBorders>
              <w:tl2br w:val="nil"/>
              <w:tr2bl w:val="nil"/>
            </w:tcBorders>
            <w:noWrap/>
            <w:vAlign w:val="center"/>
          </w:tcPr>
          <w:p w14:paraId="7E87E86D">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担任相应职务年限</w:t>
            </w:r>
          </w:p>
        </w:tc>
        <w:tc>
          <w:tcPr>
            <w:tcW w:w="1462" w:type="pct"/>
            <w:gridSpan w:val="2"/>
            <w:tcBorders>
              <w:tl2br w:val="nil"/>
              <w:tr2bl w:val="nil"/>
            </w:tcBorders>
            <w:noWrap/>
            <w:vAlign w:val="center"/>
          </w:tcPr>
          <w:p w14:paraId="06CAB1AD">
            <w:pPr>
              <w:snapToGrid w:val="0"/>
              <w:spacing w:line="360" w:lineRule="auto"/>
              <w:jc w:val="left"/>
              <w:rPr>
                <w:rFonts w:ascii="宋体" w:hAnsi="宋体" w:eastAsia="宋体" w:cs="宋体"/>
                <w:color w:val="auto"/>
                <w:sz w:val="24"/>
                <w:highlight w:val="none"/>
              </w:rPr>
            </w:pPr>
          </w:p>
        </w:tc>
      </w:tr>
      <w:tr w14:paraId="388CC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6F42A730">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3662" w:type="pct"/>
            <w:gridSpan w:val="7"/>
            <w:tcBorders>
              <w:tl2br w:val="nil"/>
              <w:tr2bl w:val="nil"/>
            </w:tcBorders>
            <w:noWrap/>
            <w:vAlign w:val="center"/>
          </w:tcPr>
          <w:p w14:paraId="537E509D">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年月毕业于学校系，学制年</w:t>
            </w:r>
          </w:p>
        </w:tc>
      </w:tr>
      <w:tr w14:paraId="34093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3811AEDC">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资格证书号</w:t>
            </w:r>
          </w:p>
        </w:tc>
        <w:tc>
          <w:tcPr>
            <w:tcW w:w="3662" w:type="pct"/>
            <w:gridSpan w:val="7"/>
            <w:tcBorders>
              <w:tl2br w:val="nil"/>
              <w:tr2bl w:val="nil"/>
            </w:tcBorders>
            <w:noWrap/>
            <w:vAlign w:val="center"/>
          </w:tcPr>
          <w:p w14:paraId="09553D8D">
            <w:pPr>
              <w:snapToGrid w:val="0"/>
              <w:spacing w:line="360" w:lineRule="auto"/>
              <w:jc w:val="left"/>
              <w:rPr>
                <w:rFonts w:ascii="宋体" w:hAnsi="宋体" w:eastAsia="宋体" w:cs="宋体"/>
                <w:color w:val="auto"/>
                <w:sz w:val="24"/>
                <w:highlight w:val="none"/>
              </w:rPr>
            </w:pPr>
          </w:p>
        </w:tc>
      </w:tr>
      <w:tr w14:paraId="30BC1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000" w:type="pct"/>
            <w:gridSpan w:val="9"/>
            <w:tcBorders>
              <w:tl2br w:val="nil"/>
              <w:tr2bl w:val="nil"/>
            </w:tcBorders>
            <w:noWrap/>
            <w:vAlign w:val="center"/>
          </w:tcPr>
          <w:p w14:paraId="67EE9A94">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业绩简介</w:t>
            </w:r>
          </w:p>
        </w:tc>
      </w:tr>
      <w:tr w14:paraId="16A1E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3154FC9B">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737" w:type="pct"/>
            <w:tcBorders>
              <w:tl2br w:val="nil"/>
              <w:tr2bl w:val="nil"/>
            </w:tcBorders>
            <w:noWrap/>
            <w:vAlign w:val="center"/>
          </w:tcPr>
          <w:p w14:paraId="205E0585">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89" w:type="pct"/>
            <w:gridSpan w:val="2"/>
            <w:tcBorders>
              <w:tl2br w:val="nil"/>
              <w:tr2bl w:val="nil"/>
            </w:tcBorders>
            <w:noWrap/>
            <w:vAlign w:val="center"/>
          </w:tcPr>
          <w:p w14:paraId="5523AFF9">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861" w:type="pct"/>
            <w:gridSpan w:val="2"/>
            <w:tcBorders>
              <w:tl2br w:val="nil"/>
              <w:tr2bl w:val="nil"/>
            </w:tcBorders>
            <w:noWrap/>
            <w:vAlign w:val="center"/>
          </w:tcPr>
          <w:p w14:paraId="4A068DFF">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254" w:type="pct"/>
            <w:gridSpan w:val="2"/>
            <w:tcBorders>
              <w:tl2br w:val="nil"/>
              <w:tr2bl w:val="nil"/>
            </w:tcBorders>
            <w:noWrap/>
            <w:vAlign w:val="center"/>
          </w:tcPr>
          <w:p w14:paraId="72554B70">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在建或已完工程质量</w:t>
            </w:r>
          </w:p>
        </w:tc>
        <w:tc>
          <w:tcPr>
            <w:tcW w:w="757" w:type="pct"/>
            <w:tcBorders>
              <w:tl2br w:val="nil"/>
              <w:tr2bl w:val="nil"/>
            </w:tcBorders>
            <w:noWrap/>
            <w:vAlign w:val="center"/>
          </w:tcPr>
          <w:p w14:paraId="0CDD3494">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担任职务</w:t>
            </w:r>
          </w:p>
        </w:tc>
      </w:tr>
      <w:tr w14:paraId="70A89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5D849F9B">
            <w:pPr>
              <w:snapToGrid w:val="0"/>
              <w:spacing w:line="360" w:lineRule="auto"/>
              <w:jc w:val="left"/>
              <w:rPr>
                <w:rFonts w:ascii="宋体" w:hAnsi="宋体" w:eastAsia="宋体" w:cs="宋体"/>
                <w:color w:val="auto"/>
                <w:sz w:val="24"/>
                <w:highlight w:val="none"/>
              </w:rPr>
            </w:pPr>
          </w:p>
        </w:tc>
        <w:tc>
          <w:tcPr>
            <w:tcW w:w="737" w:type="pct"/>
            <w:tcBorders>
              <w:tl2br w:val="nil"/>
              <w:tr2bl w:val="nil"/>
            </w:tcBorders>
            <w:noWrap/>
            <w:vAlign w:val="center"/>
          </w:tcPr>
          <w:p w14:paraId="2B67665E">
            <w:pPr>
              <w:snapToGrid w:val="0"/>
              <w:spacing w:line="360" w:lineRule="auto"/>
              <w:jc w:val="left"/>
              <w:rPr>
                <w:rFonts w:ascii="宋体" w:hAnsi="宋体" w:eastAsia="宋体" w:cs="宋体"/>
                <w:color w:val="auto"/>
                <w:sz w:val="24"/>
                <w:highlight w:val="none"/>
              </w:rPr>
            </w:pPr>
          </w:p>
        </w:tc>
        <w:tc>
          <w:tcPr>
            <w:tcW w:w="789" w:type="pct"/>
            <w:gridSpan w:val="2"/>
            <w:tcBorders>
              <w:tl2br w:val="nil"/>
              <w:tr2bl w:val="nil"/>
            </w:tcBorders>
            <w:noWrap/>
            <w:vAlign w:val="center"/>
          </w:tcPr>
          <w:p w14:paraId="20730F9D">
            <w:pPr>
              <w:snapToGrid w:val="0"/>
              <w:spacing w:line="360" w:lineRule="auto"/>
              <w:jc w:val="left"/>
              <w:rPr>
                <w:rFonts w:ascii="宋体" w:hAnsi="宋体" w:eastAsia="宋体" w:cs="宋体"/>
                <w:color w:val="auto"/>
                <w:sz w:val="24"/>
                <w:highlight w:val="none"/>
              </w:rPr>
            </w:pPr>
          </w:p>
        </w:tc>
        <w:tc>
          <w:tcPr>
            <w:tcW w:w="861" w:type="pct"/>
            <w:gridSpan w:val="2"/>
            <w:tcBorders>
              <w:tl2br w:val="nil"/>
              <w:tr2bl w:val="nil"/>
            </w:tcBorders>
            <w:noWrap/>
            <w:vAlign w:val="center"/>
          </w:tcPr>
          <w:p w14:paraId="3AADF7FD">
            <w:pPr>
              <w:snapToGrid w:val="0"/>
              <w:spacing w:line="360" w:lineRule="auto"/>
              <w:jc w:val="left"/>
              <w:rPr>
                <w:rFonts w:ascii="宋体" w:hAnsi="宋体" w:eastAsia="宋体" w:cs="宋体"/>
                <w:color w:val="auto"/>
                <w:sz w:val="24"/>
                <w:highlight w:val="none"/>
              </w:rPr>
            </w:pPr>
          </w:p>
        </w:tc>
        <w:tc>
          <w:tcPr>
            <w:tcW w:w="1254" w:type="pct"/>
            <w:gridSpan w:val="2"/>
            <w:tcBorders>
              <w:tl2br w:val="nil"/>
              <w:tr2bl w:val="nil"/>
            </w:tcBorders>
            <w:noWrap/>
            <w:vAlign w:val="center"/>
          </w:tcPr>
          <w:p w14:paraId="780B2821">
            <w:pPr>
              <w:snapToGrid w:val="0"/>
              <w:spacing w:line="360" w:lineRule="auto"/>
              <w:jc w:val="left"/>
              <w:rPr>
                <w:rFonts w:ascii="宋体" w:hAnsi="宋体" w:eastAsia="宋体" w:cs="宋体"/>
                <w:color w:val="auto"/>
                <w:sz w:val="24"/>
                <w:highlight w:val="none"/>
              </w:rPr>
            </w:pPr>
          </w:p>
        </w:tc>
        <w:tc>
          <w:tcPr>
            <w:tcW w:w="757" w:type="pct"/>
            <w:tcBorders>
              <w:tl2br w:val="nil"/>
              <w:tr2bl w:val="nil"/>
            </w:tcBorders>
            <w:noWrap/>
            <w:vAlign w:val="center"/>
          </w:tcPr>
          <w:p w14:paraId="4058851A">
            <w:pPr>
              <w:snapToGrid w:val="0"/>
              <w:spacing w:line="360" w:lineRule="auto"/>
              <w:jc w:val="left"/>
              <w:rPr>
                <w:rFonts w:ascii="宋体" w:hAnsi="宋体" w:eastAsia="宋体" w:cs="宋体"/>
                <w:color w:val="auto"/>
                <w:sz w:val="24"/>
                <w:highlight w:val="none"/>
              </w:rPr>
            </w:pPr>
          </w:p>
        </w:tc>
      </w:tr>
      <w:tr w14:paraId="43ED9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09098C7E">
            <w:pPr>
              <w:snapToGrid w:val="0"/>
              <w:spacing w:line="360" w:lineRule="auto"/>
              <w:jc w:val="left"/>
              <w:rPr>
                <w:rFonts w:ascii="宋体" w:hAnsi="宋体" w:eastAsia="宋体" w:cs="宋体"/>
                <w:color w:val="auto"/>
                <w:sz w:val="24"/>
                <w:highlight w:val="none"/>
              </w:rPr>
            </w:pPr>
          </w:p>
        </w:tc>
        <w:tc>
          <w:tcPr>
            <w:tcW w:w="737" w:type="pct"/>
            <w:tcBorders>
              <w:tl2br w:val="nil"/>
              <w:tr2bl w:val="nil"/>
            </w:tcBorders>
            <w:noWrap/>
            <w:vAlign w:val="center"/>
          </w:tcPr>
          <w:p w14:paraId="22EC40CB">
            <w:pPr>
              <w:snapToGrid w:val="0"/>
              <w:spacing w:line="360" w:lineRule="auto"/>
              <w:jc w:val="left"/>
              <w:rPr>
                <w:rFonts w:ascii="宋体" w:hAnsi="宋体" w:eastAsia="宋体" w:cs="宋体"/>
                <w:color w:val="auto"/>
                <w:sz w:val="24"/>
                <w:highlight w:val="none"/>
              </w:rPr>
            </w:pPr>
          </w:p>
        </w:tc>
        <w:tc>
          <w:tcPr>
            <w:tcW w:w="789" w:type="pct"/>
            <w:gridSpan w:val="2"/>
            <w:tcBorders>
              <w:tl2br w:val="nil"/>
              <w:tr2bl w:val="nil"/>
            </w:tcBorders>
            <w:noWrap/>
            <w:vAlign w:val="center"/>
          </w:tcPr>
          <w:p w14:paraId="60F031EE">
            <w:pPr>
              <w:snapToGrid w:val="0"/>
              <w:spacing w:line="360" w:lineRule="auto"/>
              <w:jc w:val="left"/>
              <w:rPr>
                <w:rFonts w:ascii="宋体" w:hAnsi="宋体" w:eastAsia="宋体" w:cs="宋体"/>
                <w:color w:val="auto"/>
                <w:sz w:val="24"/>
                <w:highlight w:val="none"/>
              </w:rPr>
            </w:pPr>
          </w:p>
        </w:tc>
        <w:tc>
          <w:tcPr>
            <w:tcW w:w="861" w:type="pct"/>
            <w:gridSpan w:val="2"/>
            <w:tcBorders>
              <w:tl2br w:val="nil"/>
              <w:tr2bl w:val="nil"/>
            </w:tcBorders>
            <w:noWrap/>
            <w:vAlign w:val="center"/>
          </w:tcPr>
          <w:p w14:paraId="594CC239">
            <w:pPr>
              <w:snapToGrid w:val="0"/>
              <w:spacing w:line="360" w:lineRule="auto"/>
              <w:jc w:val="left"/>
              <w:rPr>
                <w:rFonts w:ascii="宋体" w:hAnsi="宋体" w:eastAsia="宋体" w:cs="宋体"/>
                <w:color w:val="auto"/>
                <w:sz w:val="24"/>
                <w:highlight w:val="none"/>
              </w:rPr>
            </w:pPr>
          </w:p>
        </w:tc>
        <w:tc>
          <w:tcPr>
            <w:tcW w:w="1254" w:type="pct"/>
            <w:gridSpan w:val="2"/>
            <w:tcBorders>
              <w:tl2br w:val="nil"/>
              <w:tr2bl w:val="nil"/>
            </w:tcBorders>
            <w:noWrap/>
            <w:vAlign w:val="center"/>
          </w:tcPr>
          <w:p w14:paraId="4E8719F7">
            <w:pPr>
              <w:snapToGrid w:val="0"/>
              <w:spacing w:line="360" w:lineRule="auto"/>
              <w:jc w:val="left"/>
              <w:rPr>
                <w:rFonts w:ascii="宋体" w:hAnsi="宋体" w:eastAsia="宋体" w:cs="宋体"/>
                <w:color w:val="auto"/>
                <w:sz w:val="24"/>
                <w:highlight w:val="none"/>
              </w:rPr>
            </w:pPr>
          </w:p>
        </w:tc>
        <w:tc>
          <w:tcPr>
            <w:tcW w:w="757" w:type="pct"/>
            <w:tcBorders>
              <w:tl2br w:val="nil"/>
              <w:tr2bl w:val="nil"/>
            </w:tcBorders>
            <w:noWrap/>
            <w:vAlign w:val="center"/>
          </w:tcPr>
          <w:p w14:paraId="5D067C5C">
            <w:pPr>
              <w:snapToGrid w:val="0"/>
              <w:spacing w:line="360" w:lineRule="auto"/>
              <w:jc w:val="left"/>
              <w:rPr>
                <w:rFonts w:ascii="宋体" w:hAnsi="宋体" w:eastAsia="宋体" w:cs="宋体"/>
                <w:color w:val="auto"/>
                <w:sz w:val="24"/>
                <w:highlight w:val="none"/>
              </w:rPr>
            </w:pPr>
          </w:p>
        </w:tc>
      </w:tr>
      <w:tr w14:paraId="7C465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5EAB0AED">
            <w:pPr>
              <w:snapToGrid w:val="0"/>
              <w:spacing w:line="360" w:lineRule="auto"/>
              <w:jc w:val="left"/>
              <w:rPr>
                <w:rFonts w:ascii="宋体" w:hAnsi="宋体" w:eastAsia="宋体" w:cs="宋体"/>
                <w:color w:val="auto"/>
                <w:sz w:val="24"/>
                <w:highlight w:val="none"/>
              </w:rPr>
            </w:pPr>
          </w:p>
        </w:tc>
        <w:tc>
          <w:tcPr>
            <w:tcW w:w="737" w:type="pct"/>
            <w:tcBorders>
              <w:tl2br w:val="nil"/>
              <w:tr2bl w:val="nil"/>
            </w:tcBorders>
            <w:noWrap/>
            <w:vAlign w:val="center"/>
          </w:tcPr>
          <w:p w14:paraId="5AF166BE">
            <w:pPr>
              <w:snapToGrid w:val="0"/>
              <w:spacing w:line="360" w:lineRule="auto"/>
              <w:jc w:val="left"/>
              <w:rPr>
                <w:rFonts w:ascii="宋体" w:hAnsi="宋体" w:eastAsia="宋体" w:cs="宋体"/>
                <w:color w:val="auto"/>
                <w:sz w:val="24"/>
                <w:highlight w:val="none"/>
              </w:rPr>
            </w:pPr>
          </w:p>
        </w:tc>
        <w:tc>
          <w:tcPr>
            <w:tcW w:w="789" w:type="pct"/>
            <w:gridSpan w:val="2"/>
            <w:tcBorders>
              <w:tl2br w:val="nil"/>
              <w:tr2bl w:val="nil"/>
            </w:tcBorders>
            <w:noWrap/>
            <w:vAlign w:val="center"/>
          </w:tcPr>
          <w:p w14:paraId="2B3BFF72">
            <w:pPr>
              <w:snapToGrid w:val="0"/>
              <w:spacing w:line="360" w:lineRule="auto"/>
              <w:jc w:val="left"/>
              <w:rPr>
                <w:rFonts w:ascii="宋体" w:hAnsi="宋体" w:eastAsia="宋体" w:cs="宋体"/>
                <w:color w:val="auto"/>
                <w:sz w:val="24"/>
                <w:highlight w:val="none"/>
              </w:rPr>
            </w:pPr>
          </w:p>
        </w:tc>
        <w:tc>
          <w:tcPr>
            <w:tcW w:w="861" w:type="pct"/>
            <w:gridSpan w:val="2"/>
            <w:tcBorders>
              <w:tl2br w:val="nil"/>
              <w:tr2bl w:val="nil"/>
            </w:tcBorders>
            <w:noWrap/>
            <w:vAlign w:val="center"/>
          </w:tcPr>
          <w:p w14:paraId="4A21AD17">
            <w:pPr>
              <w:snapToGrid w:val="0"/>
              <w:spacing w:line="360" w:lineRule="auto"/>
              <w:jc w:val="left"/>
              <w:rPr>
                <w:rFonts w:ascii="宋体" w:hAnsi="宋体" w:eastAsia="宋体" w:cs="宋体"/>
                <w:color w:val="auto"/>
                <w:sz w:val="24"/>
                <w:highlight w:val="none"/>
              </w:rPr>
            </w:pPr>
          </w:p>
        </w:tc>
        <w:tc>
          <w:tcPr>
            <w:tcW w:w="1254" w:type="pct"/>
            <w:gridSpan w:val="2"/>
            <w:tcBorders>
              <w:tl2br w:val="nil"/>
              <w:tr2bl w:val="nil"/>
            </w:tcBorders>
            <w:noWrap/>
            <w:vAlign w:val="center"/>
          </w:tcPr>
          <w:p w14:paraId="3C9A681E">
            <w:pPr>
              <w:snapToGrid w:val="0"/>
              <w:spacing w:line="360" w:lineRule="auto"/>
              <w:jc w:val="left"/>
              <w:rPr>
                <w:rFonts w:ascii="宋体" w:hAnsi="宋体" w:eastAsia="宋体" w:cs="宋体"/>
                <w:color w:val="auto"/>
                <w:sz w:val="24"/>
                <w:highlight w:val="none"/>
              </w:rPr>
            </w:pPr>
          </w:p>
        </w:tc>
        <w:tc>
          <w:tcPr>
            <w:tcW w:w="757" w:type="pct"/>
            <w:tcBorders>
              <w:tl2br w:val="nil"/>
              <w:tr2bl w:val="nil"/>
            </w:tcBorders>
            <w:noWrap/>
            <w:vAlign w:val="center"/>
          </w:tcPr>
          <w:p w14:paraId="081F2691">
            <w:pPr>
              <w:snapToGrid w:val="0"/>
              <w:spacing w:line="360" w:lineRule="auto"/>
              <w:jc w:val="left"/>
              <w:rPr>
                <w:rFonts w:ascii="宋体" w:hAnsi="宋体" w:eastAsia="宋体" w:cs="宋体"/>
                <w:color w:val="auto"/>
                <w:sz w:val="24"/>
                <w:highlight w:val="none"/>
              </w:rPr>
            </w:pPr>
          </w:p>
        </w:tc>
      </w:tr>
    </w:tbl>
    <w:p w14:paraId="7F80197B">
      <w:pPr>
        <w:topLinePunct/>
        <w:adjustRightInd w:val="0"/>
        <w:snapToGrid w:val="0"/>
        <w:spacing w:line="360" w:lineRule="auto"/>
        <w:ind w:firstLine="496" w:firstLineChars="200"/>
        <w:rPr>
          <w:rFonts w:ascii="宋体" w:hAnsi="宋体" w:eastAsia="宋体" w:cs="宋体"/>
          <w:color w:val="auto"/>
          <w:spacing w:val="4"/>
          <w:kern w:val="0"/>
          <w:sz w:val="24"/>
          <w:highlight w:val="none"/>
        </w:rPr>
      </w:pPr>
    </w:p>
    <w:p w14:paraId="0E423328">
      <w:pPr>
        <w:topLinePunct/>
        <w:adjustRightInd w:val="0"/>
        <w:snapToGrid w:val="0"/>
        <w:spacing w:line="360" w:lineRule="auto"/>
        <w:ind w:firstLine="4092" w:firstLineChars="1650"/>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投标人（盖章）：</w:t>
      </w:r>
    </w:p>
    <w:p w14:paraId="3622CD28">
      <w:pPr>
        <w:topLinePunct/>
        <w:adjustRightInd w:val="0"/>
        <w:snapToGrid w:val="0"/>
        <w:spacing w:line="360" w:lineRule="auto"/>
        <w:ind w:firstLine="4092" w:firstLineChars="1650"/>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日期：</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年</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月</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日</w:t>
      </w:r>
    </w:p>
    <w:p w14:paraId="3482EC42">
      <w:pPr>
        <w:snapToGrid w:val="0"/>
        <w:spacing w:line="360" w:lineRule="auto"/>
        <w:rPr>
          <w:rFonts w:ascii="宋体" w:hAnsi="宋体" w:eastAsia="宋体" w:cs="宋体"/>
          <w:color w:val="auto"/>
          <w:highlight w:val="none"/>
        </w:rPr>
      </w:pPr>
    </w:p>
    <w:p w14:paraId="43FE8185">
      <w:pPr>
        <w:widowControl/>
        <w:snapToGrid w:val="0"/>
        <w:spacing w:line="360" w:lineRule="auto"/>
        <w:ind w:right="102"/>
        <w:jc w:val="left"/>
        <w:rPr>
          <w:rFonts w:ascii="宋体" w:hAnsi="宋体" w:eastAsia="宋体" w:cs="宋体"/>
          <w:color w:val="auto"/>
          <w:sz w:val="24"/>
          <w:highlight w:val="none"/>
        </w:rPr>
      </w:pPr>
      <w:r>
        <w:rPr>
          <w:rFonts w:ascii="宋体" w:hAnsi="宋体" w:eastAsia="宋体" w:cs="宋体"/>
          <w:bCs/>
          <w:color w:val="auto"/>
          <w:sz w:val="24"/>
          <w:highlight w:val="none"/>
        </w:rPr>
        <w:br w:type="page"/>
      </w:r>
      <w:r>
        <w:rPr>
          <w:rFonts w:hint="eastAsia" w:ascii="宋体" w:hAnsi="宋体" w:eastAsia="宋体" w:cs="宋体"/>
          <w:color w:val="auto"/>
          <w:sz w:val="24"/>
          <w:highlight w:val="none"/>
        </w:rPr>
        <w:t>技术标格式八</w:t>
      </w:r>
    </w:p>
    <w:p w14:paraId="036A4659">
      <w:pPr>
        <w:snapToGrid w:val="0"/>
        <w:spacing w:line="360" w:lineRule="auto"/>
        <w:jc w:val="center"/>
        <w:rPr>
          <w:rFonts w:ascii="宋体" w:hAnsi="宋体" w:eastAsia="宋体" w:cs="宋体"/>
          <w:b/>
          <w:color w:val="auto"/>
          <w:sz w:val="36"/>
          <w:szCs w:val="36"/>
          <w:highlight w:val="none"/>
        </w:rPr>
      </w:pPr>
    </w:p>
    <w:p w14:paraId="638E601C">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响应招标文件所附施工组织设计要点</w:t>
      </w:r>
      <w:r>
        <w:rPr>
          <w:rFonts w:hint="eastAsia" w:ascii="宋体" w:hAnsi="宋体" w:eastAsia="宋体" w:cs="宋体"/>
          <w:b/>
          <w:color w:val="auto"/>
          <w:sz w:val="36"/>
          <w:szCs w:val="36"/>
          <w:highlight w:val="none"/>
          <w:lang w:val="en-US" w:eastAsia="zh-CN"/>
        </w:rPr>
        <w:t>的</w:t>
      </w:r>
      <w:r>
        <w:rPr>
          <w:rFonts w:hint="eastAsia" w:ascii="宋体" w:hAnsi="宋体" w:eastAsia="宋体" w:cs="宋体"/>
          <w:b/>
          <w:color w:val="auto"/>
          <w:sz w:val="36"/>
          <w:szCs w:val="36"/>
          <w:highlight w:val="none"/>
        </w:rPr>
        <w:t>承诺书</w:t>
      </w:r>
    </w:p>
    <w:p w14:paraId="642A8BC2">
      <w:pPr>
        <w:snapToGrid w:val="0"/>
        <w:spacing w:line="360" w:lineRule="auto"/>
        <w:rPr>
          <w:rFonts w:ascii="宋体" w:hAnsi="宋体" w:eastAsia="宋体" w:cs="宋体"/>
          <w:color w:val="auto"/>
          <w:highlight w:val="none"/>
        </w:rPr>
      </w:pPr>
    </w:p>
    <w:p w14:paraId="3E66F453">
      <w:pPr>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广州开发区财政投资建设项目管理中心</w:t>
      </w:r>
      <w:r>
        <w:rPr>
          <w:rFonts w:hint="eastAsia" w:ascii="宋体" w:hAnsi="宋体" w:eastAsia="宋体" w:cs="宋体"/>
          <w:color w:val="auto"/>
          <w:sz w:val="24"/>
          <w:highlight w:val="none"/>
        </w:rPr>
        <w:t>：</w:t>
      </w:r>
    </w:p>
    <w:p w14:paraId="3C68BC84">
      <w:pPr>
        <w:snapToGrid w:val="0"/>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我方承诺，如中标承建</w:t>
      </w:r>
      <w:r>
        <w:rPr>
          <w:rFonts w:hint="eastAsia" w:ascii="宋体" w:hAnsi="宋体" w:eastAsia="宋体" w:cs="宋体"/>
          <w:color w:val="auto"/>
          <w:sz w:val="24"/>
          <w:highlight w:val="none"/>
          <w:u w:val="single"/>
        </w:rPr>
        <w:t>广州科学城质子治疗中心新建项目施工总承包</w:t>
      </w:r>
      <w:r>
        <w:rPr>
          <w:rFonts w:hint="eastAsia" w:ascii="宋体" w:hAnsi="宋体" w:eastAsia="宋体" w:cs="宋体"/>
          <w:color w:val="auto"/>
          <w:sz w:val="24"/>
          <w:highlight w:val="none"/>
        </w:rPr>
        <w:t>，将按招标文件所附的本工程</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进行响应的基础上自行组织施工。并承诺在中标后按招标文件所附的</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并报经监理单位和建设单位审批后实施。</w:t>
      </w:r>
    </w:p>
    <w:p w14:paraId="5DC68649">
      <w:pPr>
        <w:snapToGrid w:val="0"/>
        <w:spacing w:line="360" w:lineRule="auto"/>
        <w:ind w:firstLine="435"/>
        <w:rPr>
          <w:rFonts w:ascii="宋体" w:hAnsi="宋体" w:eastAsia="宋体" w:cs="宋体"/>
          <w:color w:val="auto"/>
          <w:sz w:val="24"/>
          <w:szCs w:val="20"/>
          <w:highlight w:val="none"/>
        </w:rPr>
      </w:pPr>
    </w:p>
    <w:p w14:paraId="4070F190">
      <w:pPr>
        <w:snapToGrid w:val="0"/>
        <w:spacing w:line="360" w:lineRule="auto"/>
        <w:ind w:firstLine="435"/>
        <w:rPr>
          <w:rFonts w:ascii="宋体" w:hAnsi="宋体" w:eastAsia="宋体" w:cs="宋体"/>
          <w:color w:val="auto"/>
          <w:sz w:val="24"/>
          <w:szCs w:val="20"/>
          <w:highlight w:val="none"/>
        </w:rPr>
      </w:pPr>
    </w:p>
    <w:p w14:paraId="5EAE42AB">
      <w:pPr>
        <w:snapToGrid w:val="0"/>
        <w:spacing w:line="360" w:lineRule="auto"/>
        <w:ind w:firstLine="435"/>
        <w:rPr>
          <w:rFonts w:ascii="宋体" w:hAnsi="宋体" w:eastAsia="宋体" w:cs="宋体"/>
          <w:color w:val="auto"/>
          <w:sz w:val="24"/>
          <w:szCs w:val="20"/>
          <w:highlight w:val="none"/>
        </w:rPr>
      </w:pPr>
    </w:p>
    <w:p w14:paraId="4B549CDA">
      <w:pPr>
        <w:snapToGrid w:val="0"/>
        <w:spacing w:line="360" w:lineRule="auto"/>
        <w:ind w:firstLine="3000" w:firstLineChars="125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投标人（盖章）：</w:t>
      </w:r>
    </w:p>
    <w:p w14:paraId="7A94835D">
      <w:pPr>
        <w:snapToGrid w:val="0"/>
        <w:spacing w:line="360" w:lineRule="auto"/>
        <w:ind w:firstLine="3000" w:firstLineChars="1250"/>
        <w:rPr>
          <w:rFonts w:ascii="宋体" w:hAnsi="宋体" w:eastAsia="宋体" w:cs="宋体"/>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年</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月</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日</w:t>
      </w:r>
    </w:p>
    <w:p w14:paraId="3E9BF9E7">
      <w:pPr>
        <w:snapToGrid w:val="0"/>
        <w:spacing w:line="360" w:lineRule="auto"/>
        <w:ind w:left="420" w:leftChars="200"/>
        <w:jc w:val="left"/>
        <w:rPr>
          <w:rFonts w:ascii="宋体" w:hAnsi="宋体" w:eastAsia="宋体" w:cs="宋体"/>
          <w:color w:val="auto"/>
          <w:sz w:val="24"/>
          <w:highlight w:val="none"/>
          <w:u w:val="single"/>
        </w:rPr>
      </w:pPr>
    </w:p>
    <w:p w14:paraId="06349F90">
      <w:pPr>
        <w:snapToGrid w:val="0"/>
        <w:spacing w:line="360" w:lineRule="auto"/>
        <w:ind w:left="420" w:leftChars="200"/>
        <w:jc w:val="left"/>
        <w:rPr>
          <w:rFonts w:ascii="宋体" w:hAnsi="宋体" w:eastAsia="宋体" w:cs="宋体"/>
          <w:color w:val="auto"/>
          <w:sz w:val="24"/>
          <w:highlight w:val="none"/>
          <w:u w:val="single"/>
        </w:rPr>
      </w:pPr>
    </w:p>
    <w:p w14:paraId="1FF9F1B5">
      <w:pPr>
        <w:snapToGrid w:val="0"/>
        <w:spacing w:line="360" w:lineRule="auto"/>
        <w:ind w:firstLine="3514" w:firstLineChars="1250"/>
        <w:rPr>
          <w:rFonts w:ascii="宋体" w:hAnsi="宋体" w:eastAsia="宋体" w:cs="宋体"/>
          <w:color w:val="auto"/>
          <w:sz w:val="24"/>
          <w:highlight w:val="none"/>
        </w:rPr>
      </w:pPr>
      <w:r>
        <w:rPr>
          <w:rFonts w:ascii="宋体" w:hAnsi="宋体" w:eastAsia="宋体" w:cs="宋体"/>
          <w:b/>
          <w:color w:val="auto"/>
          <w:sz w:val="28"/>
          <w:szCs w:val="28"/>
          <w:highlight w:val="none"/>
        </w:rPr>
        <w:br w:type="page"/>
      </w:r>
    </w:p>
    <w:p w14:paraId="4D6A8C13">
      <w:pPr>
        <w:pStyle w:val="248"/>
        <w:ind w:firstLine="0" w:firstLineChars="0"/>
        <w:rPr>
          <w:rFonts w:eastAsia="宋体" w:cs="宋体"/>
          <w:color w:val="auto"/>
          <w:highlight w:val="none"/>
        </w:rPr>
      </w:pPr>
      <w:r>
        <w:rPr>
          <w:rFonts w:hint="eastAsia" w:ascii="宋体" w:hAnsi="宋体" w:eastAsia="宋体" w:cs="宋体"/>
          <w:color w:val="auto"/>
          <w:spacing w:val="4"/>
          <w:sz w:val="24"/>
          <w:highlight w:val="none"/>
        </w:rPr>
        <w:t>技术标</w:t>
      </w:r>
      <w:r>
        <w:rPr>
          <w:rFonts w:hint="eastAsia" w:ascii="宋体" w:hAnsi="宋体" w:eastAsia="宋体" w:cs="宋体"/>
          <w:bCs/>
          <w:color w:val="auto"/>
          <w:spacing w:val="4"/>
          <w:kern w:val="0"/>
          <w:sz w:val="24"/>
          <w:highlight w:val="none"/>
        </w:rPr>
        <w:t>格式</w:t>
      </w:r>
      <w:r>
        <w:rPr>
          <w:rFonts w:hint="eastAsia" w:ascii="宋体" w:hAnsi="宋体" w:eastAsia="宋体" w:cs="宋体"/>
          <w:color w:val="auto"/>
          <w:spacing w:val="4"/>
          <w:sz w:val="24"/>
          <w:highlight w:val="none"/>
        </w:rPr>
        <w:t>九</w:t>
      </w:r>
    </w:p>
    <w:p w14:paraId="04DA91D8">
      <w:pPr>
        <w:snapToGrid w:val="0"/>
        <w:spacing w:line="360" w:lineRule="auto"/>
        <w:jc w:val="center"/>
        <w:rPr>
          <w:rFonts w:ascii="宋体" w:hAnsi="宋体" w:eastAsia="宋体" w:cs="宋体"/>
          <w:bCs/>
          <w:color w:val="auto"/>
          <w:sz w:val="36"/>
          <w:szCs w:val="36"/>
          <w:highlight w:val="none"/>
        </w:rPr>
      </w:pPr>
    </w:p>
    <w:p w14:paraId="410EFA0C">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拟投入本工程施工的主要机械设备配备表</w:t>
      </w:r>
    </w:p>
    <w:tbl>
      <w:tblPr>
        <w:tblStyle w:val="8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2"/>
        <w:gridCol w:w="3123"/>
        <w:gridCol w:w="1841"/>
        <w:gridCol w:w="2059"/>
        <w:gridCol w:w="1228"/>
      </w:tblGrid>
      <w:tr w14:paraId="4C5E4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1102A760">
            <w:pPr>
              <w:snapToGri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23" w:type="dxa"/>
            <w:tcBorders>
              <w:top w:val="single" w:color="auto" w:sz="4" w:space="0"/>
              <w:left w:val="single" w:color="auto" w:sz="4" w:space="0"/>
              <w:bottom w:val="single" w:color="auto" w:sz="4" w:space="0"/>
              <w:right w:val="single" w:color="auto" w:sz="4" w:space="0"/>
            </w:tcBorders>
            <w:noWrap/>
            <w:vAlign w:val="center"/>
          </w:tcPr>
          <w:p w14:paraId="554D19CD">
            <w:pPr>
              <w:snapToGri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1841" w:type="dxa"/>
            <w:tcBorders>
              <w:top w:val="single" w:color="auto" w:sz="4" w:space="0"/>
              <w:left w:val="single" w:color="auto" w:sz="4" w:space="0"/>
              <w:bottom w:val="single" w:color="auto" w:sz="4" w:space="0"/>
              <w:right w:val="single" w:color="auto" w:sz="4" w:space="0"/>
            </w:tcBorders>
            <w:noWrap/>
            <w:vAlign w:val="center"/>
          </w:tcPr>
          <w:p w14:paraId="5708B6FA">
            <w:pPr>
              <w:snapToGri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投入总数量</w:t>
            </w:r>
          </w:p>
        </w:tc>
        <w:tc>
          <w:tcPr>
            <w:tcW w:w="2059" w:type="dxa"/>
            <w:tcBorders>
              <w:top w:val="single" w:color="auto" w:sz="4" w:space="0"/>
              <w:left w:val="single" w:color="auto" w:sz="4" w:space="0"/>
              <w:bottom w:val="single" w:color="auto" w:sz="4" w:space="0"/>
              <w:right w:val="single" w:color="auto" w:sz="4" w:space="0"/>
            </w:tcBorders>
            <w:noWrap/>
            <w:vAlign w:val="center"/>
          </w:tcPr>
          <w:p w14:paraId="1924FDB3">
            <w:pPr>
              <w:snapToGri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来源</w:t>
            </w:r>
            <w:r>
              <w:rPr>
                <w:rFonts w:ascii="宋体" w:hAnsi="宋体" w:eastAsia="宋体" w:cs="宋体"/>
                <w:color w:val="auto"/>
                <w:szCs w:val="21"/>
                <w:highlight w:val="none"/>
              </w:rPr>
              <w:t>(自有/租赁)</w:t>
            </w:r>
          </w:p>
        </w:tc>
        <w:tc>
          <w:tcPr>
            <w:tcW w:w="1228" w:type="dxa"/>
            <w:tcBorders>
              <w:top w:val="single" w:color="auto" w:sz="4" w:space="0"/>
              <w:left w:val="single" w:color="auto" w:sz="4" w:space="0"/>
              <w:bottom w:val="single" w:color="auto" w:sz="4" w:space="0"/>
              <w:right w:val="single" w:color="auto" w:sz="4" w:space="0"/>
            </w:tcBorders>
            <w:noWrap/>
            <w:vAlign w:val="center"/>
          </w:tcPr>
          <w:p w14:paraId="7A9938B1">
            <w:pPr>
              <w:snapToGri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F5D8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3D390878">
            <w:pPr>
              <w:snapToGrid w:val="0"/>
              <w:spacing w:line="360" w:lineRule="auto"/>
              <w:jc w:val="center"/>
              <w:textAlignment w:val="center"/>
              <w:rPr>
                <w:rFonts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0F288105">
            <w:pPr>
              <w:snapToGrid w:val="0"/>
              <w:spacing w:line="360" w:lineRule="auto"/>
              <w:jc w:val="center"/>
              <w:textAlignment w:val="center"/>
              <w:rPr>
                <w:rFonts w:ascii="宋体" w:hAnsi="宋体" w:eastAsia="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5FBD7B21">
            <w:pPr>
              <w:snapToGrid w:val="0"/>
              <w:spacing w:line="360" w:lineRule="auto"/>
              <w:jc w:val="center"/>
              <w:textAlignment w:val="center"/>
              <w:rPr>
                <w:rFonts w:ascii="宋体" w:hAnsi="宋体" w:eastAsia="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07C746F2">
            <w:pPr>
              <w:snapToGrid w:val="0"/>
              <w:spacing w:line="360" w:lineRule="auto"/>
              <w:jc w:val="center"/>
              <w:textAlignment w:val="center"/>
              <w:rPr>
                <w:rFonts w:ascii="宋体" w:hAnsi="宋体" w:eastAsia="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276FB8B2">
            <w:pPr>
              <w:snapToGrid w:val="0"/>
              <w:spacing w:line="360" w:lineRule="auto"/>
              <w:jc w:val="center"/>
              <w:textAlignment w:val="center"/>
              <w:rPr>
                <w:rFonts w:ascii="宋体" w:hAnsi="宋体" w:eastAsia="宋体" w:cs="宋体"/>
                <w:color w:val="auto"/>
                <w:szCs w:val="21"/>
                <w:highlight w:val="none"/>
              </w:rPr>
            </w:pPr>
          </w:p>
        </w:tc>
      </w:tr>
      <w:tr w14:paraId="317C2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441E9FBA">
            <w:pPr>
              <w:snapToGrid w:val="0"/>
              <w:spacing w:line="360" w:lineRule="auto"/>
              <w:jc w:val="center"/>
              <w:textAlignment w:val="center"/>
              <w:rPr>
                <w:rFonts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35744EC5">
            <w:pPr>
              <w:snapToGrid w:val="0"/>
              <w:spacing w:line="360" w:lineRule="auto"/>
              <w:jc w:val="center"/>
              <w:textAlignment w:val="center"/>
              <w:rPr>
                <w:rFonts w:ascii="宋体" w:hAnsi="宋体" w:eastAsia="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441F4FA6">
            <w:pPr>
              <w:snapToGrid w:val="0"/>
              <w:spacing w:line="360" w:lineRule="auto"/>
              <w:jc w:val="center"/>
              <w:textAlignment w:val="center"/>
              <w:rPr>
                <w:rFonts w:ascii="宋体" w:hAnsi="宋体" w:eastAsia="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75E71249">
            <w:pPr>
              <w:snapToGrid w:val="0"/>
              <w:spacing w:line="360" w:lineRule="auto"/>
              <w:jc w:val="center"/>
              <w:textAlignment w:val="center"/>
              <w:rPr>
                <w:rFonts w:ascii="宋体" w:hAnsi="宋体" w:eastAsia="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7C8B1442">
            <w:pPr>
              <w:snapToGrid w:val="0"/>
              <w:spacing w:line="360" w:lineRule="auto"/>
              <w:jc w:val="center"/>
              <w:textAlignment w:val="center"/>
              <w:rPr>
                <w:rFonts w:ascii="宋体" w:hAnsi="宋体" w:eastAsia="宋体" w:cs="宋体"/>
                <w:color w:val="auto"/>
                <w:szCs w:val="21"/>
                <w:highlight w:val="none"/>
              </w:rPr>
            </w:pPr>
          </w:p>
        </w:tc>
      </w:tr>
      <w:tr w14:paraId="5064A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468D2F70">
            <w:pPr>
              <w:snapToGrid w:val="0"/>
              <w:spacing w:line="360" w:lineRule="auto"/>
              <w:jc w:val="center"/>
              <w:textAlignment w:val="center"/>
              <w:rPr>
                <w:rFonts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6E9A0698">
            <w:pPr>
              <w:snapToGrid w:val="0"/>
              <w:spacing w:line="360" w:lineRule="auto"/>
              <w:jc w:val="center"/>
              <w:textAlignment w:val="center"/>
              <w:rPr>
                <w:rFonts w:ascii="宋体" w:hAnsi="宋体" w:eastAsia="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707731A1">
            <w:pPr>
              <w:snapToGrid w:val="0"/>
              <w:spacing w:line="360" w:lineRule="auto"/>
              <w:jc w:val="center"/>
              <w:textAlignment w:val="center"/>
              <w:rPr>
                <w:rFonts w:ascii="宋体" w:hAnsi="宋体" w:eastAsia="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4B5254D1">
            <w:pPr>
              <w:snapToGrid w:val="0"/>
              <w:spacing w:line="360" w:lineRule="auto"/>
              <w:jc w:val="center"/>
              <w:textAlignment w:val="center"/>
              <w:rPr>
                <w:rFonts w:ascii="宋体" w:hAnsi="宋体" w:eastAsia="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7E4FF23A">
            <w:pPr>
              <w:snapToGrid w:val="0"/>
              <w:spacing w:line="360" w:lineRule="auto"/>
              <w:jc w:val="center"/>
              <w:textAlignment w:val="center"/>
              <w:rPr>
                <w:rFonts w:ascii="宋体" w:hAnsi="宋体" w:eastAsia="宋体" w:cs="宋体"/>
                <w:color w:val="auto"/>
                <w:szCs w:val="21"/>
                <w:highlight w:val="none"/>
              </w:rPr>
            </w:pPr>
          </w:p>
        </w:tc>
      </w:tr>
      <w:tr w14:paraId="48402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1FF0F482">
            <w:pPr>
              <w:snapToGrid w:val="0"/>
              <w:spacing w:line="360" w:lineRule="auto"/>
              <w:jc w:val="center"/>
              <w:textAlignment w:val="center"/>
              <w:rPr>
                <w:rFonts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2852AFE2">
            <w:pPr>
              <w:snapToGrid w:val="0"/>
              <w:spacing w:line="360" w:lineRule="auto"/>
              <w:jc w:val="center"/>
              <w:textAlignment w:val="center"/>
              <w:rPr>
                <w:rFonts w:ascii="宋体" w:hAnsi="宋体" w:eastAsia="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2686722E">
            <w:pPr>
              <w:snapToGrid w:val="0"/>
              <w:spacing w:line="360" w:lineRule="auto"/>
              <w:jc w:val="center"/>
              <w:textAlignment w:val="center"/>
              <w:rPr>
                <w:rFonts w:ascii="宋体" w:hAnsi="宋体" w:eastAsia="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31D78EE5">
            <w:pPr>
              <w:snapToGrid w:val="0"/>
              <w:spacing w:line="360" w:lineRule="auto"/>
              <w:jc w:val="center"/>
              <w:textAlignment w:val="center"/>
              <w:rPr>
                <w:rFonts w:ascii="宋体" w:hAnsi="宋体" w:eastAsia="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4A60D687">
            <w:pPr>
              <w:snapToGrid w:val="0"/>
              <w:spacing w:line="360" w:lineRule="auto"/>
              <w:jc w:val="center"/>
              <w:textAlignment w:val="center"/>
              <w:rPr>
                <w:rFonts w:ascii="宋体" w:hAnsi="宋体" w:eastAsia="宋体" w:cs="宋体"/>
                <w:color w:val="auto"/>
                <w:szCs w:val="21"/>
                <w:highlight w:val="none"/>
              </w:rPr>
            </w:pPr>
          </w:p>
        </w:tc>
      </w:tr>
      <w:tr w14:paraId="08B1F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2C695F0B">
            <w:pPr>
              <w:snapToGrid w:val="0"/>
              <w:spacing w:line="360" w:lineRule="auto"/>
              <w:jc w:val="center"/>
              <w:textAlignment w:val="center"/>
              <w:rPr>
                <w:rFonts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77D28564">
            <w:pPr>
              <w:snapToGrid w:val="0"/>
              <w:spacing w:line="360" w:lineRule="auto"/>
              <w:jc w:val="center"/>
              <w:textAlignment w:val="center"/>
              <w:rPr>
                <w:rFonts w:ascii="宋体" w:hAnsi="宋体" w:eastAsia="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5E1C6355">
            <w:pPr>
              <w:snapToGrid w:val="0"/>
              <w:spacing w:line="360" w:lineRule="auto"/>
              <w:jc w:val="center"/>
              <w:textAlignment w:val="center"/>
              <w:rPr>
                <w:rFonts w:ascii="宋体" w:hAnsi="宋体" w:eastAsia="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2C3C42E1">
            <w:pPr>
              <w:snapToGrid w:val="0"/>
              <w:spacing w:line="360" w:lineRule="auto"/>
              <w:jc w:val="center"/>
              <w:textAlignment w:val="center"/>
              <w:rPr>
                <w:rFonts w:ascii="宋体" w:hAnsi="宋体" w:eastAsia="宋体" w:cs="宋体"/>
                <w:color w:val="auto"/>
                <w:szCs w:val="21"/>
                <w:highlight w:val="none"/>
              </w:rPr>
            </w:pPr>
          </w:p>
        </w:tc>
        <w:tc>
          <w:tcPr>
            <w:tcW w:w="1228" w:type="dxa"/>
            <w:tcBorders>
              <w:top w:val="single" w:color="auto" w:sz="4" w:space="0"/>
              <w:left w:val="single" w:color="auto" w:sz="4" w:space="0"/>
              <w:right w:val="single" w:color="auto" w:sz="4" w:space="0"/>
            </w:tcBorders>
            <w:noWrap/>
            <w:vAlign w:val="center"/>
          </w:tcPr>
          <w:p w14:paraId="66206685">
            <w:pPr>
              <w:snapToGrid w:val="0"/>
              <w:spacing w:line="360" w:lineRule="auto"/>
              <w:jc w:val="center"/>
              <w:textAlignment w:val="center"/>
              <w:rPr>
                <w:rFonts w:ascii="宋体" w:hAnsi="宋体" w:eastAsia="宋体" w:cs="宋体"/>
                <w:color w:val="auto"/>
                <w:szCs w:val="21"/>
                <w:highlight w:val="none"/>
              </w:rPr>
            </w:pPr>
          </w:p>
        </w:tc>
      </w:tr>
    </w:tbl>
    <w:p w14:paraId="10DAB117">
      <w:pPr>
        <w:numPr>
          <w:ilvl w:val="255"/>
          <w:numId w:val="0"/>
        </w:numPr>
        <w:tabs>
          <w:tab w:val="left" w:pos="720"/>
        </w:tabs>
        <w:snapToGrid w:val="0"/>
        <w:spacing w:line="360" w:lineRule="auto"/>
        <w:rPr>
          <w:rFonts w:ascii="宋体" w:hAnsi="宋体" w:eastAsia="宋体" w:cs="宋体"/>
          <w:color w:val="auto"/>
          <w:highlight w:val="none"/>
        </w:rPr>
      </w:pPr>
      <w:r>
        <w:rPr>
          <w:rFonts w:hint="eastAsia" w:ascii="宋体" w:hAnsi="宋体" w:eastAsia="宋体" w:cs="宋体"/>
          <w:color w:val="auto"/>
          <w:highlight w:val="none"/>
        </w:rPr>
        <w:t>注：</w:t>
      </w:r>
      <w:r>
        <w:rPr>
          <w:rFonts w:ascii="宋体" w:hAnsi="宋体" w:eastAsia="宋体" w:cs="宋体"/>
          <w:color w:val="auto"/>
          <w:highlight w:val="none"/>
        </w:rPr>
        <w:t>1、设备名称及要求数量由投标人视本工程具体情况结合招标人对本工程的具体要求自行配备。2、为贯彻绿色发展理念，本项目应积极使用燃料电池汽车等新能源工程车，要求投标人投入的新能源工程车占投入的建筑垃圾自卸车（渣土车）总数比例不低于40%。一旦中标，必须全部到位，否则按合同违约处理</w:t>
      </w:r>
      <w:r>
        <w:rPr>
          <w:rFonts w:hint="eastAsia" w:ascii="宋体" w:hAnsi="宋体" w:eastAsia="宋体" w:cs="宋体"/>
          <w:color w:val="auto"/>
          <w:sz w:val="24"/>
          <w:highlight w:val="none"/>
        </w:rPr>
        <w:t>。</w:t>
      </w:r>
    </w:p>
    <w:p w14:paraId="3E366756">
      <w:pPr>
        <w:snapToGrid w:val="0"/>
        <w:spacing w:line="360" w:lineRule="auto"/>
        <w:ind w:right="-130" w:rightChars="-62"/>
        <w:rPr>
          <w:rFonts w:ascii="宋体" w:hAnsi="宋体" w:eastAsia="宋体" w:cs="宋体"/>
          <w:color w:val="auto"/>
          <w:highlight w:val="none"/>
        </w:rPr>
      </w:pPr>
    </w:p>
    <w:p w14:paraId="1B91742B">
      <w:pPr>
        <w:topLinePunct/>
        <w:adjustRightInd w:val="0"/>
        <w:snapToGrid w:val="0"/>
        <w:spacing w:line="360" w:lineRule="auto"/>
        <w:ind w:firstLine="3161" w:firstLineChars="1450"/>
        <w:rPr>
          <w:rFonts w:ascii="宋体" w:hAnsi="宋体" w:eastAsia="宋体" w:cs="宋体"/>
          <w:snapToGrid w:val="0"/>
          <w:color w:val="auto"/>
          <w:spacing w:val="4"/>
          <w:kern w:val="0"/>
          <w:szCs w:val="21"/>
          <w:highlight w:val="none"/>
        </w:rPr>
      </w:pPr>
    </w:p>
    <w:p w14:paraId="5A5745CD">
      <w:pPr>
        <w:topLinePunct/>
        <w:adjustRightInd w:val="0"/>
        <w:snapToGrid w:val="0"/>
        <w:spacing w:line="360" w:lineRule="auto"/>
        <w:ind w:firstLine="3161" w:firstLineChars="1450"/>
        <w:rPr>
          <w:rFonts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rPr>
        <w:t>投标人（盖章）：</w:t>
      </w:r>
    </w:p>
    <w:p w14:paraId="6646A732">
      <w:pPr>
        <w:topLinePunct/>
        <w:adjustRightInd w:val="0"/>
        <w:snapToGrid w:val="0"/>
        <w:spacing w:line="360" w:lineRule="auto"/>
        <w:ind w:firstLine="3161" w:firstLineChars="1450"/>
        <w:rPr>
          <w:rFonts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rPr>
        <w:t>日期：</w:t>
      </w:r>
      <w:r>
        <w:rPr>
          <w:rFonts w:ascii="宋体" w:hAnsi="宋体" w:eastAsia="宋体" w:cs="宋体"/>
          <w:snapToGrid w:val="0"/>
          <w:color w:val="auto"/>
          <w:spacing w:val="4"/>
          <w:kern w:val="0"/>
          <w:szCs w:val="21"/>
          <w:highlight w:val="none"/>
        </w:rPr>
        <w:t xml:space="preserve">     </w:t>
      </w:r>
      <w:r>
        <w:rPr>
          <w:rFonts w:hint="eastAsia" w:ascii="宋体" w:hAnsi="宋体" w:eastAsia="宋体" w:cs="宋体"/>
          <w:snapToGrid w:val="0"/>
          <w:color w:val="auto"/>
          <w:spacing w:val="4"/>
          <w:kern w:val="0"/>
          <w:szCs w:val="21"/>
          <w:highlight w:val="none"/>
        </w:rPr>
        <w:t>年</w:t>
      </w:r>
      <w:r>
        <w:rPr>
          <w:rFonts w:ascii="宋体" w:hAnsi="宋体" w:eastAsia="宋体" w:cs="宋体"/>
          <w:snapToGrid w:val="0"/>
          <w:color w:val="auto"/>
          <w:spacing w:val="4"/>
          <w:kern w:val="0"/>
          <w:szCs w:val="21"/>
          <w:highlight w:val="none"/>
        </w:rPr>
        <w:t xml:space="preserve">   </w:t>
      </w:r>
      <w:r>
        <w:rPr>
          <w:rFonts w:hint="eastAsia" w:ascii="宋体" w:hAnsi="宋体" w:eastAsia="宋体" w:cs="宋体"/>
          <w:snapToGrid w:val="0"/>
          <w:color w:val="auto"/>
          <w:spacing w:val="4"/>
          <w:kern w:val="0"/>
          <w:szCs w:val="21"/>
          <w:highlight w:val="none"/>
        </w:rPr>
        <w:t>月</w:t>
      </w:r>
      <w:r>
        <w:rPr>
          <w:rFonts w:ascii="宋体" w:hAnsi="宋体" w:eastAsia="宋体" w:cs="宋体"/>
          <w:snapToGrid w:val="0"/>
          <w:color w:val="auto"/>
          <w:spacing w:val="4"/>
          <w:kern w:val="0"/>
          <w:szCs w:val="21"/>
          <w:highlight w:val="none"/>
        </w:rPr>
        <w:t xml:space="preserve">   </w:t>
      </w:r>
      <w:r>
        <w:rPr>
          <w:rFonts w:hint="eastAsia" w:ascii="宋体" w:hAnsi="宋体" w:eastAsia="宋体" w:cs="宋体"/>
          <w:snapToGrid w:val="0"/>
          <w:color w:val="auto"/>
          <w:spacing w:val="4"/>
          <w:kern w:val="0"/>
          <w:szCs w:val="21"/>
          <w:highlight w:val="none"/>
        </w:rPr>
        <w:t>日</w:t>
      </w:r>
    </w:p>
    <w:p w14:paraId="0B3F4C9A">
      <w:pPr>
        <w:snapToGrid w:val="0"/>
        <w:spacing w:line="360" w:lineRule="auto"/>
        <w:ind w:right="-130" w:rightChars="-62"/>
        <w:rPr>
          <w:rFonts w:ascii="宋体" w:hAnsi="宋体" w:eastAsia="宋体" w:cs="宋体"/>
          <w:color w:val="auto"/>
          <w:highlight w:val="none"/>
        </w:rPr>
      </w:pPr>
    </w:p>
    <w:p w14:paraId="01AFA0C6">
      <w:pPr>
        <w:snapToGrid w:val="0"/>
        <w:spacing w:line="360" w:lineRule="auto"/>
        <w:ind w:right="-130" w:rightChars="-62"/>
        <w:rPr>
          <w:rFonts w:ascii="宋体" w:hAnsi="宋体" w:eastAsia="宋体" w:cs="宋体"/>
          <w:color w:val="auto"/>
          <w:highlight w:val="none"/>
        </w:rPr>
      </w:pPr>
    </w:p>
    <w:p w14:paraId="322C600B">
      <w:pPr>
        <w:rPr>
          <w:rFonts w:ascii="宋体" w:hAnsi="宋体" w:eastAsia="宋体" w:cs="宋体"/>
          <w:bCs/>
          <w:color w:val="auto"/>
          <w:kern w:val="0"/>
          <w:highlight w:val="none"/>
        </w:rPr>
      </w:pPr>
      <w:bookmarkStart w:id="44" w:name="_Toc22483"/>
      <w:r>
        <w:rPr>
          <w:rFonts w:ascii="宋体" w:hAnsi="宋体" w:eastAsia="宋体" w:cs="宋体"/>
          <w:bCs/>
          <w:color w:val="auto"/>
          <w:kern w:val="0"/>
          <w:highlight w:val="none"/>
        </w:rPr>
        <w:br w:type="page"/>
      </w:r>
    </w:p>
    <w:p w14:paraId="53B445B9">
      <w:pPr>
        <w:pStyle w:val="248"/>
        <w:ind w:firstLine="0" w:firstLineChars="0"/>
        <w:rPr>
          <w:rFonts w:eastAsia="宋体" w:cs="宋体"/>
          <w:b/>
          <w:color w:val="auto"/>
          <w:sz w:val="36"/>
          <w:szCs w:val="36"/>
          <w:highlight w:val="none"/>
        </w:rPr>
      </w:pPr>
      <w:r>
        <w:rPr>
          <w:rFonts w:hint="eastAsia" w:ascii="宋体" w:hAnsi="宋体" w:eastAsia="宋体" w:cs="宋体"/>
          <w:bCs/>
          <w:color w:val="auto"/>
          <w:spacing w:val="4"/>
          <w:kern w:val="0"/>
          <w:sz w:val="24"/>
          <w:highlight w:val="none"/>
        </w:rPr>
        <w:t>技术标格式十</w:t>
      </w:r>
    </w:p>
    <w:p w14:paraId="42A7E15A">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危险性较大的分部分项工程安全管理措施</w:t>
      </w:r>
      <w:bookmarkEnd w:id="44"/>
    </w:p>
    <w:p w14:paraId="4DFE75E6">
      <w:pPr>
        <w:widowControl/>
        <w:numPr>
          <w:ilvl w:val="0"/>
          <w:numId w:val="21"/>
        </w:numPr>
        <w:autoSpaceDE w:val="0"/>
        <w:autoSpaceDN w:val="0"/>
        <w:adjustRightInd w:val="0"/>
        <w:snapToGrid w:val="0"/>
        <w:spacing w:line="360" w:lineRule="auto"/>
        <w:jc w:val="left"/>
        <w:rPr>
          <w:rFonts w:ascii="宋体" w:hAnsi="宋体" w:eastAsia="宋体" w:cs="宋体"/>
          <w:snapToGrid w:val="0"/>
          <w:color w:val="auto"/>
          <w:spacing w:val="4"/>
          <w:kern w:val="0"/>
          <w:sz w:val="22"/>
          <w:highlight w:val="none"/>
        </w:rPr>
      </w:pPr>
      <w:r>
        <w:rPr>
          <w:rFonts w:hint="eastAsia" w:ascii="宋体" w:hAnsi="宋体" w:eastAsia="宋体" w:cs="宋体"/>
          <w:color w:val="auto"/>
          <w:kern w:val="0"/>
          <w:sz w:val="22"/>
          <w:highlight w:val="none"/>
        </w:rPr>
        <w:t>根据中华人民共和国住房和城乡建设部令第</w:t>
      </w:r>
      <w:r>
        <w:rPr>
          <w:rFonts w:ascii="宋体" w:hAnsi="宋体" w:eastAsia="宋体" w:cs="宋体"/>
          <w:color w:val="auto"/>
          <w:kern w:val="0"/>
          <w:sz w:val="22"/>
          <w:highlight w:val="none"/>
        </w:rPr>
        <w:t>37号《危险性较大的分部分项工程安全管理规定》（以下简称“37号文”），投标人在投标时须补充完善危大工程清单并</w:t>
      </w:r>
      <w:r>
        <w:rPr>
          <w:rFonts w:hint="eastAsia" w:ascii="宋体" w:hAnsi="宋体" w:eastAsia="宋体" w:cs="宋体"/>
          <w:snapToGrid w:val="0"/>
          <w:color w:val="auto"/>
          <w:spacing w:val="4"/>
          <w:kern w:val="0"/>
          <w:sz w:val="22"/>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350D7747">
      <w:pPr>
        <w:widowControl/>
        <w:numPr>
          <w:ilvl w:val="0"/>
          <w:numId w:val="21"/>
        </w:numPr>
        <w:autoSpaceDE w:val="0"/>
        <w:autoSpaceDN w:val="0"/>
        <w:adjustRightInd w:val="0"/>
        <w:snapToGrid w:val="0"/>
        <w:spacing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招标人根据设计文件的要求及</w:t>
      </w:r>
      <w:r>
        <w:rPr>
          <w:rFonts w:ascii="宋体" w:hAnsi="宋体" w:eastAsia="宋体" w:cs="宋体"/>
          <w:color w:val="auto"/>
          <w:kern w:val="0"/>
          <w:sz w:val="22"/>
          <w:highlight w:val="none"/>
        </w:rPr>
        <w:t>37号文的规定列出“危险性较大的分部分项工程清单及超过一定规模的危险性较大的分部分项工程清单”中与本招标项目相关的清单项，具体详第5点“打</w:t>
      </w:r>
      <w:r>
        <w:rPr>
          <w:rFonts w:hint="eastAsia" w:ascii="宋体" w:hAnsi="宋体" w:eastAsia="宋体" w:cs="宋体"/>
          <w:color w:val="auto"/>
          <w:kern w:val="0"/>
          <w:sz w:val="22"/>
          <w:szCs w:val="32"/>
          <w:highlight w:val="none"/>
        </w:rPr>
        <w:t>√”标识。</w:t>
      </w:r>
    </w:p>
    <w:p w14:paraId="2E851998">
      <w:pPr>
        <w:widowControl/>
        <w:numPr>
          <w:ilvl w:val="0"/>
          <w:numId w:val="22"/>
        </w:numPr>
        <w:autoSpaceDE w:val="0"/>
        <w:autoSpaceDN w:val="0"/>
        <w:adjustRightInd w:val="0"/>
        <w:snapToGrid w:val="0"/>
        <w:spacing w:line="360" w:lineRule="auto"/>
        <w:jc w:val="left"/>
        <w:rPr>
          <w:rFonts w:ascii="宋体" w:hAnsi="宋体" w:eastAsia="宋体" w:cs="宋体"/>
          <w:color w:val="auto"/>
          <w:kern w:val="0"/>
          <w:sz w:val="22"/>
          <w:szCs w:val="32"/>
          <w:highlight w:val="none"/>
        </w:rPr>
      </w:pPr>
      <w:r>
        <w:rPr>
          <w:rFonts w:hint="eastAsia" w:ascii="宋体" w:hAnsi="宋体" w:eastAsia="宋体" w:cs="宋体"/>
          <w:color w:val="auto"/>
          <w:kern w:val="0"/>
          <w:sz w:val="22"/>
          <w:highlight w:val="none"/>
        </w:rPr>
        <w:t>投标单位同意建设单位在清单中标识的该项请在对应项打“</w:t>
      </w:r>
      <w:r>
        <w:rPr>
          <w:rFonts w:hint="eastAsia" w:ascii="宋体" w:hAnsi="宋体" w:eastAsia="宋体" w:cs="宋体"/>
          <w:color w:val="auto"/>
          <w:kern w:val="0"/>
          <w:sz w:val="22"/>
          <w:szCs w:val="32"/>
          <w:highlight w:val="none"/>
        </w:rPr>
        <w:t>√”标识，并在投标文件中提供相应的安全管理措施。</w:t>
      </w:r>
    </w:p>
    <w:p w14:paraId="1BEE6173">
      <w:pPr>
        <w:widowControl/>
        <w:numPr>
          <w:ilvl w:val="0"/>
          <w:numId w:val="22"/>
        </w:numPr>
        <w:autoSpaceDE w:val="0"/>
        <w:autoSpaceDN w:val="0"/>
        <w:adjustRightInd w:val="0"/>
        <w:snapToGrid w:val="0"/>
        <w:spacing w:line="360" w:lineRule="auto"/>
        <w:jc w:val="left"/>
        <w:rPr>
          <w:rFonts w:ascii="宋体" w:hAnsi="宋体" w:eastAsia="宋体" w:cs="宋体"/>
          <w:color w:val="auto"/>
          <w:kern w:val="0"/>
          <w:sz w:val="22"/>
          <w:szCs w:val="32"/>
          <w:highlight w:val="none"/>
        </w:rPr>
      </w:pPr>
      <w:r>
        <w:rPr>
          <w:rFonts w:hint="eastAsia" w:ascii="宋体" w:hAnsi="宋体" w:eastAsia="宋体" w:cs="宋体"/>
          <w:color w:val="auto"/>
          <w:kern w:val="0"/>
          <w:sz w:val="22"/>
          <w:highlight w:val="none"/>
        </w:rPr>
        <w:t>投标单位对清单中认为需要补充的该项请在对应项打“</w:t>
      </w:r>
      <w:r>
        <w:rPr>
          <w:rFonts w:hint="eastAsia" w:ascii="宋体" w:hAnsi="宋体" w:eastAsia="宋体" w:cs="宋体"/>
          <w:color w:val="auto"/>
          <w:kern w:val="0"/>
          <w:sz w:val="22"/>
          <w:szCs w:val="32"/>
          <w:highlight w:val="none"/>
        </w:rPr>
        <w:t>√”标识，并在投标文件中提供相应的安全管理措施。</w:t>
      </w:r>
    </w:p>
    <w:p w14:paraId="5B6202D5">
      <w:pPr>
        <w:widowControl/>
        <w:numPr>
          <w:ilvl w:val="0"/>
          <w:numId w:val="22"/>
        </w:numPr>
        <w:autoSpaceDE w:val="0"/>
        <w:autoSpaceDN w:val="0"/>
        <w:adjustRightInd w:val="0"/>
        <w:snapToGrid w:val="0"/>
        <w:spacing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szCs w:val="32"/>
          <w:highlight w:val="none"/>
        </w:rPr>
        <w:t>投标单位不同意建设单位</w:t>
      </w:r>
      <w:r>
        <w:rPr>
          <w:rFonts w:hint="eastAsia" w:ascii="宋体" w:hAnsi="宋体" w:eastAsia="宋体" w:cs="宋体"/>
          <w:color w:val="auto"/>
          <w:kern w:val="0"/>
          <w:sz w:val="22"/>
          <w:highlight w:val="none"/>
        </w:rPr>
        <w:t>在清单中标识的该项</w:t>
      </w:r>
      <w:r>
        <w:rPr>
          <w:rFonts w:hint="eastAsia" w:ascii="宋体" w:hAnsi="宋体" w:eastAsia="宋体" w:cs="宋体"/>
          <w:color w:val="auto"/>
          <w:kern w:val="0"/>
          <w:sz w:val="22"/>
          <w:szCs w:val="32"/>
          <w:highlight w:val="none"/>
        </w:rPr>
        <w:t>请在对应项打“×”标识，并在备注栏填上相关说明。</w:t>
      </w:r>
    </w:p>
    <w:p w14:paraId="4433C6C3">
      <w:pPr>
        <w:widowControl/>
        <w:numPr>
          <w:ilvl w:val="0"/>
          <w:numId w:val="21"/>
        </w:numPr>
        <w:autoSpaceDE w:val="0"/>
        <w:autoSpaceDN w:val="0"/>
        <w:adjustRightInd w:val="0"/>
        <w:snapToGrid w:val="0"/>
        <w:spacing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投标单位应当在投标时根据招标人提供的下述第</w:t>
      </w:r>
      <w:r>
        <w:rPr>
          <w:rFonts w:ascii="宋体" w:hAnsi="宋体" w:eastAsia="宋体" w:cs="宋体"/>
          <w:color w:val="auto"/>
          <w:kern w:val="0"/>
          <w:sz w:val="22"/>
          <w:highlight w:val="none"/>
        </w:rPr>
        <w:t>5点清单，在投标文件中编制专项施工方案。</w:t>
      </w:r>
    </w:p>
    <w:p w14:paraId="44CE3FFE">
      <w:pPr>
        <w:widowControl/>
        <w:numPr>
          <w:ilvl w:val="0"/>
          <w:numId w:val="21"/>
        </w:numPr>
        <w:autoSpaceDE w:val="0"/>
        <w:autoSpaceDN w:val="0"/>
        <w:adjustRightInd w:val="0"/>
        <w:snapToGrid w:val="0"/>
        <w:spacing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51F2901">
      <w:pPr>
        <w:numPr>
          <w:ilvl w:val="255"/>
          <w:numId w:val="0"/>
        </w:numPr>
        <w:autoSpaceDE w:val="0"/>
        <w:autoSpaceDN w:val="0"/>
        <w:adjustRightInd w:val="0"/>
        <w:snapToGrid w:val="0"/>
        <w:spacing w:line="360" w:lineRule="auto"/>
        <w:jc w:val="left"/>
        <w:rPr>
          <w:rFonts w:ascii="宋体" w:hAnsi="宋体" w:eastAsia="宋体" w:cs="宋体"/>
          <w:color w:val="auto"/>
          <w:sz w:val="24"/>
          <w:szCs w:val="28"/>
          <w:highlight w:val="none"/>
        </w:rPr>
      </w:pPr>
      <w:r>
        <w:rPr>
          <w:rFonts w:ascii="宋体" w:hAnsi="宋体" w:eastAsia="宋体" w:cs="宋体"/>
          <w:color w:val="auto"/>
          <w:kern w:val="0"/>
          <w:sz w:val="22"/>
          <w:highlight w:val="none"/>
        </w:rPr>
        <w:t>5、危险性较大的分部分项工程清单及超过一定规模的危险性较大的分部分项工程清单</w:t>
      </w:r>
    </w:p>
    <w:tbl>
      <w:tblPr>
        <w:tblStyle w:val="8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0"/>
        <w:gridCol w:w="1222"/>
        <w:gridCol w:w="1361"/>
        <w:gridCol w:w="797"/>
      </w:tblGrid>
      <w:tr w14:paraId="3B72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shd w:val="clear" w:color="auto" w:fill="D9D9D9"/>
            <w:vAlign w:val="center"/>
          </w:tcPr>
          <w:p w14:paraId="6F69766E">
            <w:pPr>
              <w:jc w:val="center"/>
              <w:rPr>
                <w:rFonts w:ascii="宋体" w:hAnsi="宋体" w:eastAsia="宋体" w:cs="宋体"/>
                <w:b/>
                <w:color w:val="auto"/>
                <w:highlight w:val="none"/>
              </w:rPr>
            </w:pPr>
            <w:r>
              <w:rPr>
                <w:rFonts w:hint="eastAsia" w:ascii="宋体" w:hAnsi="宋体" w:eastAsia="宋体" w:cs="宋体"/>
                <w:b/>
                <w:color w:val="auto"/>
                <w:highlight w:val="none"/>
              </w:rPr>
              <w:t>危险性较大的分部分项工程清单</w:t>
            </w:r>
          </w:p>
        </w:tc>
        <w:tc>
          <w:tcPr>
            <w:tcW w:w="1222" w:type="dxa"/>
            <w:tcBorders>
              <w:top w:val="single" w:color="auto" w:sz="4" w:space="0"/>
              <w:left w:val="nil"/>
              <w:bottom w:val="single" w:color="auto" w:sz="4" w:space="0"/>
              <w:right w:val="single" w:color="auto" w:sz="4" w:space="0"/>
            </w:tcBorders>
            <w:shd w:val="clear" w:color="auto" w:fill="D9D9D9"/>
            <w:vAlign w:val="center"/>
          </w:tcPr>
          <w:p w14:paraId="7673E950">
            <w:pPr>
              <w:jc w:val="center"/>
              <w:rPr>
                <w:rFonts w:ascii="宋体" w:hAnsi="宋体" w:eastAsia="宋体" w:cs="宋体"/>
                <w:b/>
                <w:color w:val="auto"/>
                <w:highlight w:val="none"/>
              </w:rPr>
            </w:pPr>
            <w:r>
              <w:rPr>
                <w:rFonts w:hint="eastAsia" w:ascii="宋体" w:hAnsi="宋体" w:eastAsia="宋体" w:cs="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vAlign w:val="center"/>
          </w:tcPr>
          <w:p w14:paraId="2BDCF399">
            <w:pPr>
              <w:jc w:val="center"/>
              <w:rPr>
                <w:rFonts w:ascii="宋体" w:hAnsi="宋体" w:eastAsia="宋体" w:cs="宋体"/>
                <w:b/>
                <w:color w:val="auto"/>
                <w:highlight w:val="none"/>
              </w:rPr>
            </w:pPr>
            <w:r>
              <w:rPr>
                <w:rFonts w:hint="eastAsia" w:ascii="宋体" w:hAnsi="宋体" w:eastAsia="宋体" w:cs="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vAlign w:val="center"/>
          </w:tcPr>
          <w:p w14:paraId="1C8DF99F">
            <w:pPr>
              <w:jc w:val="center"/>
              <w:rPr>
                <w:rFonts w:ascii="宋体" w:hAnsi="宋体" w:eastAsia="宋体" w:cs="宋体"/>
                <w:b/>
                <w:color w:val="auto"/>
                <w:highlight w:val="none"/>
              </w:rPr>
            </w:pPr>
            <w:r>
              <w:rPr>
                <w:rFonts w:hint="eastAsia" w:ascii="宋体" w:hAnsi="宋体" w:eastAsia="宋体" w:cs="宋体"/>
                <w:b/>
                <w:color w:val="auto"/>
                <w:highlight w:val="none"/>
              </w:rPr>
              <w:t>备注</w:t>
            </w:r>
          </w:p>
        </w:tc>
      </w:tr>
      <w:tr w14:paraId="420A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188F5019">
            <w:pPr>
              <w:rPr>
                <w:rFonts w:ascii="宋体" w:hAnsi="宋体" w:eastAsia="宋体" w:cs="宋体"/>
                <w:b/>
                <w:color w:val="auto"/>
                <w:highlight w:val="none"/>
              </w:rPr>
            </w:pPr>
            <w:r>
              <w:rPr>
                <w:rFonts w:hint="eastAsia" w:ascii="宋体" w:hAnsi="宋体" w:eastAsia="宋体" w:cs="宋体"/>
                <w:b/>
                <w:color w:val="auto"/>
                <w:highlight w:val="none"/>
              </w:rPr>
              <w:t>一、基坑支护</w:t>
            </w:r>
          </w:p>
        </w:tc>
      </w:tr>
      <w:tr w14:paraId="1ED7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F4971ED">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（一）开挖深度超过</w:t>
            </w:r>
            <w:r>
              <w:rPr>
                <w:rFonts w:ascii="宋体" w:hAnsi="宋体" w:eastAsia="宋体" w:cs="宋体"/>
                <w:color w:val="auto"/>
                <w:highlight w:val="none"/>
              </w:rPr>
              <w:t>3m（含3m）的基坑（槽）的土方开挖、支护、降水工程。</w:t>
            </w:r>
          </w:p>
        </w:tc>
        <w:tc>
          <w:tcPr>
            <w:tcW w:w="1222" w:type="dxa"/>
            <w:tcBorders>
              <w:top w:val="single" w:color="auto" w:sz="4" w:space="0"/>
              <w:left w:val="nil"/>
              <w:bottom w:val="single" w:color="auto" w:sz="4" w:space="0"/>
              <w:right w:val="single" w:color="auto" w:sz="4" w:space="0"/>
            </w:tcBorders>
            <w:vAlign w:val="center"/>
          </w:tcPr>
          <w:p w14:paraId="5BADC5D5">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xml:space="preserve">( </w:t>
            </w:r>
            <w:r>
              <w:rPr>
                <w:rFonts w:hint="eastAsia" w:ascii="宋体" w:hAnsi="宋体" w:eastAsia="宋体" w:cs="宋体"/>
                <w:color w:val="auto"/>
                <w:kern w:val="0"/>
                <w:sz w:val="22"/>
                <w:szCs w:val="32"/>
                <w:highlight w:val="none"/>
              </w:rPr>
              <w:t>√</w:t>
            </w:r>
            <w:r>
              <w:rPr>
                <w:rFonts w:ascii="宋体" w:hAnsi="宋体" w:eastAsia="宋体" w:cs="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14:paraId="497AB2E7">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483EE7D">
            <w:pPr>
              <w:jc w:val="center"/>
              <w:rPr>
                <w:rFonts w:ascii="宋体" w:hAnsi="宋体" w:eastAsia="宋体" w:cs="宋体"/>
                <w:color w:val="auto"/>
                <w:highlight w:val="none"/>
              </w:rPr>
            </w:pPr>
          </w:p>
        </w:tc>
      </w:tr>
      <w:tr w14:paraId="5DEB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498D9979">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（二）开挖深度虽未超过</w:t>
            </w:r>
            <w:r>
              <w:rPr>
                <w:rFonts w:ascii="宋体" w:hAnsi="宋体" w:eastAsia="宋体" w:cs="宋体"/>
                <w:color w:val="auto"/>
                <w:highlight w:val="none"/>
              </w:rPr>
              <w:t>3m，但地质条件、周围环境和地下管线复杂，或影响毗邻建、构筑物安全的基坑（槽）的土方开挖、支护、降水工程。</w:t>
            </w:r>
          </w:p>
        </w:tc>
        <w:tc>
          <w:tcPr>
            <w:tcW w:w="1222" w:type="dxa"/>
            <w:tcBorders>
              <w:top w:val="single" w:color="auto" w:sz="4" w:space="0"/>
              <w:left w:val="nil"/>
              <w:bottom w:val="single" w:color="auto" w:sz="4" w:space="0"/>
              <w:right w:val="single" w:color="auto" w:sz="4" w:space="0"/>
            </w:tcBorders>
            <w:vAlign w:val="center"/>
          </w:tcPr>
          <w:p w14:paraId="6490F55A">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539B04D">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DBE37EE">
            <w:pPr>
              <w:jc w:val="center"/>
              <w:rPr>
                <w:rFonts w:ascii="宋体" w:hAnsi="宋体" w:eastAsia="宋体" w:cs="宋体"/>
                <w:color w:val="auto"/>
                <w:highlight w:val="none"/>
              </w:rPr>
            </w:pPr>
          </w:p>
        </w:tc>
      </w:tr>
      <w:tr w14:paraId="545E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4BE4B0EA">
            <w:pPr>
              <w:spacing w:after="0" w:line="240" w:lineRule="auto"/>
              <w:rPr>
                <w:rFonts w:ascii="宋体" w:hAnsi="宋体" w:eastAsia="宋体" w:cs="宋体"/>
                <w:color w:val="auto"/>
                <w:highlight w:val="none"/>
              </w:rPr>
            </w:pPr>
            <w:r>
              <w:rPr>
                <w:rFonts w:hint="eastAsia" w:ascii="宋体" w:hAnsi="宋体" w:eastAsia="宋体" w:cs="宋体"/>
                <w:b/>
                <w:color w:val="auto"/>
                <w:highlight w:val="none"/>
              </w:rPr>
              <w:t>二、模板工程及支撑体系</w:t>
            </w:r>
          </w:p>
        </w:tc>
      </w:tr>
      <w:tr w14:paraId="3202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0786E51E">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（一）各类工具式模板工程：包括滑模、爬模、飞模、隧道模等工程。</w:t>
            </w:r>
          </w:p>
        </w:tc>
        <w:tc>
          <w:tcPr>
            <w:tcW w:w="1222" w:type="dxa"/>
            <w:tcBorders>
              <w:top w:val="single" w:color="auto" w:sz="4" w:space="0"/>
              <w:left w:val="nil"/>
              <w:bottom w:val="single" w:color="auto" w:sz="4" w:space="0"/>
              <w:right w:val="single" w:color="auto" w:sz="4" w:space="0"/>
            </w:tcBorders>
            <w:vAlign w:val="center"/>
          </w:tcPr>
          <w:p w14:paraId="1F64CF86">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49C75B02">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67106A88">
            <w:pPr>
              <w:jc w:val="center"/>
              <w:rPr>
                <w:rFonts w:ascii="宋体" w:hAnsi="宋体" w:eastAsia="宋体" w:cs="宋体"/>
                <w:color w:val="auto"/>
                <w:highlight w:val="none"/>
              </w:rPr>
            </w:pPr>
          </w:p>
        </w:tc>
      </w:tr>
      <w:tr w14:paraId="2044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66619439">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（二）混凝土模板支撑工程：搭设高度</w:t>
            </w:r>
            <w:r>
              <w:rPr>
                <w:rFonts w:ascii="宋体" w:hAnsi="宋体" w:eastAsia="宋体" w:cs="宋体"/>
                <w:color w:val="auto"/>
                <w:highlight w:val="none"/>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22" w:type="dxa"/>
            <w:tcBorders>
              <w:top w:val="single" w:color="auto" w:sz="4" w:space="0"/>
              <w:left w:val="nil"/>
              <w:bottom w:val="single" w:color="auto" w:sz="4" w:space="0"/>
              <w:right w:val="single" w:color="auto" w:sz="4" w:space="0"/>
            </w:tcBorders>
            <w:vAlign w:val="center"/>
          </w:tcPr>
          <w:p w14:paraId="76C3B02F">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xml:space="preserve">( </w:t>
            </w:r>
            <w:r>
              <w:rPr>
                <w:rFonts w:hint="eastAsia" w:ascii="宋体" w:hAnsi="宋体" w:eastAsia="宋体" w:cs="宋体"/>
                <w:color w:val="auto"/>
                <w:kern w:val="0"/>
                <w:sz w:val="22"/>
                <w:szCs w:val="32"/>
                <w:highlight w:val="none"/>
              </w:rPr>
              <w:t>√</w:t>
            </w:r>
            <w:r>
              <w:rPr>
                <w:rFonts w:ascii="宋体" w:hAnsi="宋体" w:eastAsia="宋体" w:cs="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14:paraId="447942E3">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19C4B15">
            <w:pPr>
              <w:jc w:val="center"/>
              <w:rPr>
                <w:rFonts w:ascii="宋体" w:hAnsi="宋体" w:eastAsia="宋体" w:cs="宋体"/>
                <w:color w:val="auto"/>
                <w:highlight w:val="none"/>
              </w:rPr>
            </w:pPr>
          </w:p>
        </w:tc>
      </w:tr>
      <w:tr w14:paraId="667D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14721B0A">
            <w:pPr>
              <w:widowControl/>
              <w:spacing w:after="0" w:line="240" w:lineRule="auto"/>
              <w:rPr>
                <w:rFonts w:ascii="宋体" w:hAnsi="宋体" w:eastAsia="宋体" w:cs="宋体"/>
                <w:color w:val="auto"/>
                <w:highlight w:val="none"/>
              </w:rPr>
            </w:pPr>
            <w:r>
              <w:rPr>
                <w:rFonts w:hint="eastAsia" w:ascii="宋体" w:hAnsi="宋体" w:eastAsia="宋体" w:cs="宋体"/>
                <w:color w:val="auto"/>
                <w:highlight w:val="none"/>
              </w:rPr>
              <w:t>（三）承重支撑体系：用于钢结构安装等满堂支撑体系。</w:t>
            </w:r>
          </w:p>
        </w:tc>
        <w:tc>
          <w:tcPr>
            <w:tcW w:w="1222" w:type="dxa"/>
            <w:tcBorders>
              <w:top w:val="single" w:color="auto" w:sz="4" w:space="0"/>
              <w:left w:val="nil"/>
              <w:bottom w:val="single" w:color="auto" w:sz="4" w:space="0"/>
              <w:right w:val="single" w:color="auto" w:sz="4" w:space="0"/>
            </w:tcBorders>
            <w:vAlign w:val="center"/>
          </w:tcPr>
          <w:p w14:paraId="2B6B4241">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694EA4A7">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369A9AA">
            <w:pPr>
              <w:jc w:val="center"/>
              <w:rPr>
                <w:rFonts w:ascii="宋体" w:hAnsi="宋体" w:eastAsia="宋体" w:cs="宋体"/>
                <w:color w:val="auto"/>
                <w:highlight w:val="none"/>
              </w:rPr>
            </w:pPr>
          </w:p>
        </w:tc>
      </w:tr>
      <w:tr w14:paraId="570B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7262D939">
            <w:pPr>
              <w:spacing w:after="0" w:line="240" w:lineRule="auto"/>
              <w:rPr>
                <w:rFonts w:ascii="宋体" w:hAnsi="宋体" w:eastAsia="宋体" w:cs="宋体"/>
                <w:color w:val="auto"/>
                <w:highlight w:val="none"/>
              </w:rPr>
            </w:pPr>
            <w:r>
              <w:rPr>
                <w:rFonts w:hint="eastAsia" w:ascii="宋体" w:hAnsi="宋体" w:eastAsia="宋体" w:cs="宋体"/>
                <w:b/>
                <w:color w:val="auto"/>
                <w:highlight w:val="none"/>
              </w:rPr>
              <w:t>三、起重吊装及起重机械安装拆卸工程</w:t>
            </w:r>
          </w:p>
        </w:tc>
      </w:tr>
      <w:tr w14:paraId="19A9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3604D1A0">
            <w:pPr>
              <w:widowControl/>
              <w:spacing w:after="0" w:line="240" w:lineRule="auto"/>
              <w:rPr>
                <w:rFonts w:ascii="宋体" w:hAnsi="宋体" w:eastAsia="宋体" w:cs="宋体"/>
                <w:color w:val="auto"/>
                <w:highlight w:val="none"/>
              </w:rPr>
            </w:pPr>
            <w:r>
              <w:rPr>
                <w:rFonts w:hint="eastAsia" w:ascii="宋体" w:hAnsi="宋体" w:eastAsia="宋体" w:cs="宋体"/>
                <w:color w:val="auto"/>
                <w:highlight w:val="none"/>
              </w:rPr>
              <w:t>（一）采用非常规起重设备、方法，且单件起吊重量在</w:t>
            </w:r>
            <w:r>
              <w:rPr>
                <w:rFonts w:ascii="宋体" w:hAnsi="宋体" w:eastAsia="宋体" w:cs="宋体"/>
                <w:color w:val="auto"/>
                <w:highlight w:val="none"/>
              </w:rPr>
              <w:t>10kN及以上的起重吊装工程。</w:t>
            </w:r>
          </w:p>
        </w:tc>
        <w:tc>
          <w:tcPr>
            <w:tcW w:w="1222" w:type="dxa"/>
            <w:tcBorders>
              <w:top w:val="single" w:color="auto" w:sz="4" w:space="0"/>
              <w:left w:val="nil"/>
              <w:bottom w:val="single" w:color="auto" w:sz="4" w:space="0"/>
              <w:right w:val="single" w:color="auto" w:sz="4" w:space="0"/>
            </w:tcBorders>
            <w:vAlign w:val="center"/>
          </w:tcPr>
          <w:p w14:paraId="1E0606BF">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73B9269">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654894E">
            <w:pPr>
              <w:jc w:val="center"/>
              <w:rPr>
                <w:rFonts w:ascii="宋体" w:hAnsi="宋体" w:eastAsia="宋体" w:cs="宋体"/>
                <w:color w:val="auto"/>
                <w:highlight w:val="none"/>
              </w:rPr>
            </w:pPr>
          </w:p>
        </w:tc>
      </w:tr>
      <w:tr w14:paraId="7506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991E4AC">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（二）采用起重机械进行安装的工程。</w:t>
            </w:r>
          </w:p>
        </w:tc>
        <w:tc>
          <w:tcPr>
            <w:tcW w:w="1222" w:type="dxa"/>
            <w:tcBorders>
              <w:top w:val="single" w:color="auto" w:sz="4" w:space="0"/>
              <w:left w:val="nil"/>
              <w:bottom w:val="single" w:color="auto" w:sz="4" w:space="0"/>
              <w:right w:val="single" w:color="auto" w:sz="4" w:space="0"/>
            </w:tcBorders>
            <w:vAlign w:val="center"/>
          </w:tcPr>
          <w:p w14:paraId="04B0A025">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5979D8C0">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03A7ACA7">
            <w:pPr>
              <w:jc w:val="center"/>
              <w:rPr>
                <w:rFonts w:ascii="宋体" w:hAnsi="宋体" w:eastAsia="宋体" w:cs="宋体"/>
                <w:color w:val="auto"/>
                <w:highlight w:val="none"/>
              </w:rPr>
            </w:pPr>
          </w:p>
        </w:tc>
      </w:tr>
      <w:tr w14:paraId="14B2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31289F73">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（三）起重机械安装和拆卸工程。</w:t>
            </w:r>
          </w:p>
        </w:tc>
        <w:tc>
          <w:tcPr>
            <w:tcW w:w="1222" w:type="dxa"/>
            <w:tcBorders>
              <w:top w:val="single" w:color="auto" w:sz="4" w:space="0"/>
              <w:left w:val="nil"/>
              <w:bottom w:val="single" w:color="auto" w:sz="4" w:space="0"/>
              <w:right w:val="single" w:color="auto" w:sz="4" w:space="0"/>
            </w:tcBorders>
            <w:vAlign w:val="center"/>
          </w:tcPr>
          <w:p w14:paraId="2363F42D">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73E6BF7">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5E7B137">
            <w:pPr>
              <w:jc w:val="center"/>
              <w:rPr>
                <w:rFonts w:ascii="宋体" w:hAnsi="宋体" w:eastAsia="宋体" w:cs="宋体"/>
                <w:color w:val="auto"/>
                <w:highlight w:val="none"/>
              </w:rPr>
            </w:pPr>
          </w:p>
        </w:tc>
      </w:tr>
      <w:tr w14:paraId="764E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25FBBC8B">
            <w:pPr>
              <w:spacing w:after="0" w:line="240" w:lineRule="auto"/>
              <w:rPr>
                <w:rFonts w:ascii="宋体" w:hAnsi="宋体" w:eastAsia="宋体" w:cs="宋体"/>
                <w:color w:val="auto"/>
                <w:highlight w:val="none"/>
              </w:rPr>
            </w:pPr>
            <w:r>
              <w:rPr>
                <w:rFonts w:hint="eastAsia" w:ascii="宋体" w:hAnsi="宋体" w:eastAsia="宋体" w:cs="宋体"/>
                <w:b/>
                <w:color w:val="auto"/>
                <w:highlight w:val="none"/>
              </w:rPr>
              <w:t>四、脚手架工程</w:t>
            </w:r>
          </w:p>
        </w:tc>
      </w:tr>
      <w:tr w14:paraId="567A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216EFAB">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（一）搭设高度</w:t>
            </w:r>
            <w:r>
              <w:rPr>
                <w:rFonts w:ascii="宋体" w:hAnsi="宋体" w:eastAsia="宋体" w:cs="宋体"/>
                <w:color w:val="auto"/>
                <w:highlight w:val="none"/>
              </w:rPr>
              <w:t>24m及以上的落地式钢管脚手架工程（包括采光井、电梯井脚手架）。</w:t>
            </w:r>
          </w:p>
        </w:tc>
        <w:tc>
          <w:tcPr>
            <w:tcW w:w="1222" w:type="dxa"/>
            <w:tcBorders>
              <w:top w:val="single" w:color="auto" w:sz="4" w:space="0"/>
              <w:left w:val="nil"/>
              <w:bottom w:val="single" w:color="auto" w:sz="4" w:space="0"/>
              <w:right w:val="single" w:color="auto" w:sz="4" w:space="0"/>
            </w:tcBorders>
            <w:vAlign w:val="center"/>
          </w:tcPr>
          <w:p w14:paraId="04944550">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0A4D66F3">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A8B9002">
            <w:pPr>
              <w:jc w:val="center"/>
              <w:rPr>
                <w:rFonts w:ascii="宋体" w:hAnsi="宋体" w:eastAsia="宋体" w:cs="宋体"/>
                <w:color w:val="auto"/>
                <w:highlight w:val="none"/>
              </w:rPr>
            </w:pPr>
          </w:p>
        </w:tc>
      </w:tr>
      <w:tr w14:paraId="4E99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493B842C">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（二）附着式升降脚手架工程。</w:t>
            </w:r>
          </w:p>
        </w:tc>
        <w:tc>
          <w:tcPr>
            <w:tcW w:w="1222" w:type="dxa"/>
            <w:tcBorders>
              <w:top w:val="single" w:color="auto" w:sz="4" w:space="0"/>
              <w:left w:val="nil"/>
              <w:bottom w:val="single" w:color="auto" w:sz="4" w:space="0"/>
              <w:right w:val="single" w:color="auto" w:sz="4" w:space="0"/>
            </w:tcBorders>
            <w:vAlign w:val="center"/>
          </w:tcPr>
          <w:p w14:paraId="396C06CE">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0879B06D">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38BF237E">
            <w:pPr>
              <w:jc w:val="center"/>
              <w:rPr>
                <w:rFonts w:ascii="宋体" w:hAnsi="宋体" w:eastAsia="宋体" w:cs="宋体"/>
                <w:color w:val="auto"/>
                <w:highlight w:val="none"/>
              </w:rPr>
            </w:pPr>
          </w:p>
        </w:tc>
      </w:tr>
      <w:tr w14:paraId="698E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A69D6D3">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（三）悬挑式脚手架工程。</w:t>
            </w:r>
          </w:p>
        </w:tc>
        <w:tc>
          <w:tcPr>
            <w:tcW w:w="1222" w:type="dxa"/>
            <w:tcBorders>
              <w:top w:val="single" w:color="auto" w:sz="4" w:space="0"/>
              <w:left w:val="nil"/>
              <w:bottom w:val="single" w:color="auto" w:sz="4" w:space="0"/>
              <w:right w:val="single" w:color="auto" w:sz="4" w:space="0"/>
            </w:tcBorders>
            <w:vAlign w:val="center"/>
          </w:tcPr>
          <w:p w14:paraId="3F0A75CA">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xml:space="preserve">( </w:t>
            </w:r>
            <w:r>
              <w:rPr>
                <w:rFonts w:hint="eastAsia" w:ascii="宋体" w:hAnsi="宋体" w:eastAsia="宋体" w:cs="宋体"/>
                <w:color w:val="auto"/>
                <w:kern w:val="0"/>
                <w:sz w:val="22"/>
                <w:szCs w:val="32"/>
                <w:highlight w:val="none"/>
              </w:rPr>
              <w:t>√</w:t>
            </w:r>
            <w:r>
              <w:rPr>
                <w:rFonts w:ascii="宋体" w:hAnsi="宋体" w:eastAsia="宋体" w:cs="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14:paraId="4FEEF07D">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CCB77AD">
            <w:pPr>
              <w:jc w:val="center"/>
              <w:rPr>
                <w:rFonts w:ascii="宋体" w:hAnsi="宋体" w:eastAsia="宋体" w:cs="宋体"/>
                <w:color w:val="auto"/>
                <w:highlight w:val="none"/>
              </w:rPr>
            </w:pPr>
          </w:p>
        </w:tc>
      </w:tr>
      <w:tr w14:paraId="175A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1B2F3DD">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（四）高处作业吊篮。</w:t>
            </w:r>
          </w:p>
        </w:tc>
        <w:tc>
          <w:tcPr>
            <w:tcW w:w="1222" w:type="dxa"/>
            <w:tcBorders>
              <w:top w:val="single" w:color="auto" w:sz="4" w:space="0"/>
              <w:left w:val="nil"/>
              <w:bottom w:val="single" w:color="auto" w:sz="4" w:space="0"/>
              <w:right w:val="single" w:color="auto" w:sz="4" w:space="0"/>
            </w:tcBorders>
          </w:tcPr>
          <w:p w14:paraId="7FAA40E7">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14:paraId="0FD6F7C4">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D441241">
            <w:pPr>
              <w:jc w:val="center"/>
              <w:rPr>
                <w:rFonts w:ascii="宋体" w:hAnsi="宋体" w:eastAsia="宋体" w:cs="宋体"/>
                <w:color w:val="auto"/>
                <w:highlight w:val="none"/>
              </w:rPr>
            </w:pPr>
          </w:p>
        </w:tc>
      </w:tr>
      <w:tr w14:paraId="458E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12D33D33">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（五）卸料平台、操作平台工程。</w:t>
            </w:r>
          </w:p>
        </w:tc>
        <w:tc>
          <w:tcPr>
            <w:tcW w:w="1222" w:type="dxa"/>
            <w:tcBorders>
              <w:top w:val="single" w:color="auto" w:sz="4" w:space="0"/>
              <w:left w:val="nil"/>
              <w:bottom w:val="single" w:color="auto" w:sz="4" w:space="0"/>
              <w:right w:val="single" w:color="auto" w:sz="4" w:space="0"/>
            </w:tcBorders>
          </w:tcPr>
          <w:p w14:paraId="6F512FB5">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14:paraId="458CD14B">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960060B">
            <w:pPr>
              <w:jc w:val="center"/>
              <w:rPr>
                <w:rFonts w:ascii="宋体" w:hAnsi="宋体" w:eastAsia="宋体" w:cs="宋体"/>
                <w:color w:val="auto"/>
                <w:highlight w:val="none"/>
              </w:rPr>
            </w:pPr>
          </w:p>
        </w:tc>
      </w:tr>
      <w:tr w14:paraId="4EE2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122B3635">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（六）异型脚手架工程。</w:t>
            </w:r>
          </w:p>
        </w:tc>
        <w:tc>
          <w:tcPr>
            <w:tcW w:w="1222" w:type="dxa"/>
            <w:tcBorders>
              <w:top w:val="single" w:color="auto" w:sz="4" w:space="0"/>
              <w:left w:val="nil"/>
              <w:bottom w:val="single" w:color="auto" w:sz="4" w:space="0"/>
              <w:right w:val="single" w:color="auto" w:sz="4" w:space="0"/>
            </w:tcBorders>
          </w:tcPr>
          <w:p w14:paraId="0A05D0BB">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14:paraId="56A478EA">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21D674C6">
            <w:pPr>
              <w:jc w:val="center"/>
              <w:rPr>
                <w:rFonts w:ascii="宋体" w:hAnsi="宋体" w:eastAsia="宋体" w:cs="宋体"/>
                <w:color w:val="auto"/>
                <w:highlight w:val="none"/>
              </w:rPr>
            </w:pPr>
          </w:p>
        </w:tc>
      </w:tr>
      <w:tr w14:paraId="458E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1C705C39">
            <w:pPr>
              <w:spacing w:after="0" w:line="240" w:lineRule="auto"/>
              <w:rPr>
                <w:rFonts w:ascii="宋体" w:hAnsi="宋体" w:eastAsia="宋体" w:cs="宋体"/>
                <w:color w:val="auto"/>
                <w:highlight w:val="none"/>
              </w:rPr>
            </w:pPr>
            <w:r>
              <w:rPr>
                <w:rFonts w:hint="eastAsia" w:ascii="宋体" w:hAnsi="宋体" w:eastAsia="宋体" w:cs="宋体"/>
                <w:b/>
                <w:color w:val="auto"/>
                <w:highlight w:val="none"/>
              </w:rPr>
              <w:t>五、拆除工程</w:t>
            </w:r>
          </w:p>
        </w:tc>
      </w:tr>
      <w:tr w14:paraId="6638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30870EF">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可能影响行人、交通、电力设施、通讯设施或其它建、构筑物安全的拆除工程。</w:t>
            </w:r>
          </w:p>
        </w:tc>
        <w:tc>
          <w:tcPr>
            <w:tcW w:w="1222" w:type="dxa"/>
            <w:tcBorders>
              <w:top w:val="single" w:color="auto" w:sz="4" w:space="0"/>
              <w:left w:val="nil"/>
              <w:bottom w:val="single" w:color="auto" w:sz="4" w:space="0"/>
              <w:right w:val="single" w:color="auto" w:sz="4" w:space="0"/>
            </w:tcBorders>
            <w:vAlign w:val="center"/>
          </w:tcPr>
          <w:p w14:paraId="5D2B56EB">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39E1C658">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6601D80">
            <w:pPr>
              <w:jc w:val="center"/>
              <w:rPr>
                <w:rFonts w:ascii="宋体" w:hAnsi="宋体" w:eastAsia="宋体" w:cs="宋体"/>
                <w:color w:val="auto"/>
                <w:highlight w:val="none"/>
              </w:rPr>
            </w:pPr>
          </w:p>
        </w:tc>
      </w:tr>
      <w:tr w14:paraId="2576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5973AA05">
            <w:pPr>
              <w:spacing w:after="0" w:line="240" w:lineRule="auto"/>
              <w:rPr>
                <w:rFonts w:ascii="宋体" w:hAnsi="宋体" w:eastAsia="宋体" w:cs="宋体"/>
                <w:color w:val="auto"/>
                <w:highlight w:val="none"/>
              </w:rPr>
            </w:pPr>
            <w:r>
              <w:rPr>
                <w:rFonts w:hint="eastAsia" w:ascii="宋体" w:hAnsi="宋体" w:eastAsia="宋体" w:cs="宋体"/>
                <w:b/>
                <w:color w:val="auto"/>
                <w:highlight w:val="none"/>
              </w:rPr>
              <w:t>六、暗挖工程</w:t>
            </w:r>
          </w:p>
        </w:tc>
      </w:tr>
      <w:tr w14:paraId="362C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87F255E">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采用矿山法、盾构法、顶管法施工的隧道、洞室工程。</w:t>
            </w:r>
          </w:p>
        </w:tc>
        <w:tc>
          <w:tcPr>
            <w:tcW w:w="1222" w:type="dxa"/>
            <w:tcBorders>
              <w:top w:val="single" w:color="auto" w:sz="4" w:space="0"/>
              <w:left w:val="nil"/>
              <w:bottom w:val="single" w:color="auto" w:sz="4" w:space="0"/>
              <w:right w:val="single" w:color="auto" w:sz="4" w:space="0"/>
            </w:tcBorders>
            <w:vAlign w:val="center"/>
          </w:tcPr>
          <w:p w14:paraId="594E847D">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640C091">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57B3E1D">
            <w:pPr>
              <w:jc w:val="center"/>
              <w:rPr>
                <w:rFonts w:ascii="宋体" w:hAnsi="宋体" w:eastAsia="宋体" w:cs="宋体"/>
                <w:color w:val="auto"/>
                <w:highlight w:val="none"/>
              </w:rPr>
            </w:pPr>
          </w:p>
        </w:tc>
      </w:tr>
      <w:tr w14:paraId="5F13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541AEF04">
            <w:pPr>
              <w:spacing w:after="0" w:line="240" w:lineRule="auto"/>
              <w:rPr>
                <w:rFonts w:ascii="宋体" w:hAnsi="宋体" w:eastAsia="宋体" w:cs="宋体"/>
                <w:color w:val="auto"/>
                <w:highlight w:val="none"/>
              </w:rPr>
            </w:pPr>
            <w:r>
              <w:rPr>
                <w:rFonts w:hint="eastAsia" w:ascii="宋体" w:hAnsi="宋体" w:eastAsia="宋体" w:cs="宋体"/>
                <w:b/>
                <w:color w:val="auto"/>
                <w:highlight w:val="none"/>
              </w:rPr>
              <w:t>七、其它</w:t>
            </w:r>
          </w:p>
        </w:tc>
      </w:tr>
      <w:tr w14:paraId="758C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7C179E5">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（一）建筑幕墙安装工程。</w:t>
            </w:r>
          </w:p>
        </w:tc>
        <w:tc>
          <w:tcPr>
            <w:tcW w:w="1222" w:type="dxa"/>
            <w:tcBorders>
              <w:top w:val="single" w:color="auto" w:sz="4" w:space="0"/>
              <w:left w:val="nil"/>
              <w:bottom w:val="single" w:color="auto" w:sz="4" w:space="0"/>
              <w:right w:val="single" w:color="auto" w:sz="4" w:space="0"/>
            </w:tcBorders>
          </w:tcPr>
          <w:p w14:paraId="78C91A12">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xml:space="preserve">( </w:t>
            </w:r>
            <w:r>
              <w:rPr>
                <w:rFonts w:hint="eastAsia" w:ascii="宋体" w:hAnsi="宋体" w:eastAsia="宋体" w:cs="宋体"/>
                <w:color w:val="auto"/>
                <w:kern w:val="0"/>
                <w:sz w:val="22"/>
                <w:szCs w:val="32"/>
                <w:highlight w:val="none"/>
              </w:rPr>
              <w:t>√</w:t>
            </w:r>
            <w:r>
              <w:rPr>
                <w:rFonts w:ascii="宋体" w:hAnsi="宋体" w:eastAsia="宋体" w:cs="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14:paraId="27C227BD">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078F0E18">
            <w:pPr>
              <w:jc w:val="center"/>
              <w:rPr>
                <w:rFonts w:ascii="宋体" w:hAnsi="宋体" w:eastAsia="宋体" w:cs="宋体"/>
                <w:color w:val="auto"/>
                <w:highlight w:val="none"/>
              </w:rPr>
            </w:pPr>
          </w:p>
        </w:tc>
      </w:tr>
      <w:tr w14:paraId="5EE3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362D8314">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（二）钢结构、网架和索膜结构安装工程。</w:t>
            </w:r>
          </w:p>
        </w:tc>
        <w:tc>
          <w:tcPr>
            <w:tcW w:w="1222" w:type="dxa"/>
            <w:tcBorders>
              <w:top w:val="single" w:color="auto" w:sz="4" w:space="0"/>
              <w:left w:val="nil"/>
              <w:bottom w:val="single" w:color="auto" w:sz="4" w:space="0"/>
              <w:right w:val="single" w:color="auto" w:sz="4" w:space="0"/>
            </w:tcBorders>
          </w:tcPr>
          <w:p w14:paraId="7127903A">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14:paraId="058D6B17">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607A972C">
            <w:pPr>
              <w:jc w:val="center"/>
              <w:rPr>
                <w:rFonts w:ascii="宋体" w:hAnsi="宋体" w:eastAsia="宋体" w:cs="宋体"/>
                <w:color w:val="auto"/>
                <w:highlight w:val="none"/>
              </w:rPr>
            </w:pPr>
          </w:p>
        </w:tc>
      </w:tr>
      <w:tr w14:paraId="3B68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2531109">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（三）人工挖孔桩工程。</w:t>
            </w:r>
          </w:p>
        </w:tc>
        <w:tc>
          <w:tcPr>
            <w:tcW w:w="1222" w:type="dxa"/>
            <w:tcBorders>
              <w:top w:val="single" w:color="auto" w:sz="4" w:space="0"/>
              <w:left w:val="nil"/>
              <w:bottom w:val="single" w:color="auto" w:sz="4" w:space="0"/>
              <w:right w:val="single" w:color="auto" w:sz="4" w:space="0"/>
            </w:tcBorders>
            <w:vAlign w:val="center"/>
          </w:tcPr>
          <w:p w14:paraId="30CECF2E">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71F34AA0">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4BE7CFCE">
            <w:pPr>
              <w:jc w:val="center"/>
              <w:rPr>
                <w:rFonts w:ascii="宋体" w:hAnsi="宋体" w:eastAsia="宋体" w:cs="宋体"/>
                <w:color w:val="auto"/>
                <w:highlight w:val="none"/>
              </w:rPr>
            </w:pPr>
          </w:p>
        </w:tc>
      </w:tr>
      <w:tr w14:paraId="54D4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1D9426C">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（四）水下作业工程。</w:t>
            </w:r>
          </w:p>
        </w:tc>
        <w:tc>
          <w:tcPr>
            <w:tcW w:w="1222" w:type="dxa"/>
            <w:tcBorders>
              <w:top w:val="single" w:color="auto" w:sz="4" w:space="0"/>
              <w:left w:val="nil"/>
              <w:bottom w:val="single" w:color="auto" w:sz="4" w:space="0"/>
              <w:right w:val="single" w:color="auto" w:sz="4" w:space="0"/>
            </w:tcBorders>
            <w:vAlign w:val="center"/>
          </w:tcPr>
          <w:p w14:paraId="51F6B5F1">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430C0958">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32271D57">
            <w:pPr>
              <w:jc w:val="center"/>
              <w:rPr>
                <w:rFonts w:ascii="宋体" w:hAnsi="宋体" w:eastAsia="宋体" w:cs="宋体"/>
                <w:color w:val="auto"/>
                <w:highlight w:val="none"/>
              </w:rPr>
            </w:pPr>
          </w:p>
        </w:tc>
      </w:tr>
      <w:tr w14:paraId="1FCC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31F6855">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（五）装配式建筑混凝土预制构件安装工程。</w:t>
            </w:r>
          </w:p>
        </w:tc>
        <w:tc>
          <w:tcPr>
            <w:tcW w:w="1222" w:type="dxa"/>
            <w:tcBorders>
              <w:top w:val="single" w:color="auto" w:sz="4" w:space="0"/>
              <w:left w:val="nil"/>
              <w:bottom w:val="single" w:color="auto" w:sz="4" w:space="0"/>
              <w:right w:val="single" w:color="auto" w:sz="4" w:space="0"/>
            </w:tcBorders>
            <w:vAlign w:val="center"/>
          </w:tcPr>
          <w:p w14:paraId="7626F476">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73C57132">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A14589C">
            <w:pPr>
              <w:jc w:val="center"/>
              <w:rPr>
                <w:rFonts w:ascii="宋体" w:hAnsi="宋体" w:eastAsia="宋体" w:cs="宋体"/>
                <w:color w:val="auto"/>
                <w:highlight w:val="none"/>
              </w:rPr>
            </w:pPr>
          </w:p>
        </w:tc>
      </w:tr>
      <w:tr w14:paraId="601D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DACE36B">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（六）采用新技术、新工艺、新材料、新设备可能影响工程施工安全，尚无国家、行业及地方技术标准的分部分项工程。</w:t>
            </w:r>
          </w:p>
        </w:tc>
        <w:tc>
          <w:tcPr>
            <w:tcW w:w="1222" w:type="dxa"/>
            <w:tcBorders>
              <w:top w:val="single" w:color="auto" w:sz="4" w:space="0"/>
              <w:left w:val="nil"/>
              <w:bottom w:val="single" w:color="auto" w:sz="4" w:space="0"/>
              <w:right w:val="single" w:color="auto" w:sz="4" w:space="0"/>
            </w:tcBorders>
            <w:vAlign w:val="center"/>
          </w:tcPr>
          <w:p w14:paraId="2395B894">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3E4AA31F">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498C44C3">
            <w:pPr>
              <w:jc w:val="center"/>
              <w:rPr>
                <w:rFonts w:ascii="宋体" w:hAnsi="宋体" w:eastAsia="宋体" w:cs="宋体"/>
                <w:color w:val="auto"/>
                <w:highlight w:val="none"/>
              </w:rPr>
            </w:pPr>
          </w:p>
        </w:tc>
      </w:tr>
      <w:tr w14:paraId="604D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shd w:val="clear" w:color="auto" w:fill="D9D9D9"/>
            <w:vAlign w:val="center"/>
          </w:tcPr>
          <w:p w14:paraId="080FF598">
            <w:pPr>
              <w:spacing w:after="0" w:line="240" w:lineRule="auto"/>
              <w:jc w:val="center"/>
              <w:rPr>
                <w:rFonts w:ascii="宋体" w:hAnsi="宋体" w:eastAsia="宋体" w:cs="宋体"/>
                <w:b/>
                <w:color w:val="auto"/>
                <w:highlight w:val="none"/>
              </w:rPr>
            </w:pPr>
            <w:r>
              <w:rPr>
                <w:rFonts w:hint="eastAsia" w:ascii="宋体" w:hAnsi="宋体" w:eastAsia="宋体" w:cs="宋体"/>
                <w:b/>
                <w:color w:val="auto"/>
                <w:highlight w:val="none"/>
              </w:rPr>
              <w:t>超过一定规模的危险性较大的分部分项工程清单</w:t>
            </w:r>
          </w:p>
        </w:tc>
        <w:tc>
          <w:tcPr>
            <w:tcW w:w="1222" w:type="dxa"/>
            <w:tcBorders>
              <w:top w:val="single" w:color="auto" w:sz="4" w:space="0"/>
              <w:left w:val="nil"/>
              <w:bottom w:val="single" w:color="auto" w:sz="4" w:space="0"/>
              <w:right w:val="single" w:color="auto" w:sz="4" w:space="0"/>
            </w:tcBorders>
            <w:shd w:val="clear" w:color="auto" w:fill="D9D9D9"/>
            <w:vAlign w:val="center"/>
          </w:tcPr>
          <w:p w14:paraId="3E9408B8">
            <w:pPr>
              <w:spacing w:after="0" w:line="240" w:lineRule="auto"/>
              <w:jc w:val="center"/>
              <w:rPr>
                <w:rFonts w:ascii="宋体" w:hAnsi="宋体" w:eastAsia="宋体" w:cs="宋体"/>
                <w:b/>
                <w:color w:val="auto"/>
                <w:highlight w:val="none"/>
              </w:rPr>
            </w:pPr>
            <w:r>
              <w:rPr>
                <w:rFonts w:hint="eastAsia" w:ascii="宋体" w:hAnsi="宋体" w:eastAsia="宋体" w:cs="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vAlign w:val="center"/>
          </w:tcPr>
          <w:p w14:paraId="47471817">
            <w:pPr>
              <w:spacing w:after="0" w:line="240" w:lineRule="auto"/>
              <w:jc w:val="center"/>
              <w:rPr>
                <w:rFonts w:ascii="宋体" w:hAnsi="宋体" w:eastAsia="宋体" w:cs="宋体"/>
                <w:b/>
                <w:color w:val="auto"/>
                <w:highlight w:val="none"/>
              </w:rPr>
            </w:pPr>
            <w:r>
              <w:rPr>
                <w:rFonts w:hint="eastAsia" w:ascii="宋体" w:hAnsi="宋体" w:eastAsia="宋体" w:cs="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vAlign w:val="center"/>
          </w:tcPr>
          <w:p w14:paraId="29E78694">
            <w:pPr>
              <w:spacing w:after="0" w:line="240" w:lineRule="auto"/>
              <w:jc w:val="center"/>
              <w:rPr>
                <w:rFonts w:ascii="宋体" w:hAnsi="宋体" w:eastAsia="宋体" w:cs="宋体"/>
                <w:b/>
                <w:color w:val="auto"/>
                <w:highlight w:val="none"/>
              </w:rPr>
            </w:pPr>
            <w:r>
              <w:rPr>
                <w:rFonts w:hint="eastAsia" w:ascii="宋体" w:hAnsi="宋体" w:eastAsia="宋体" w:cs="宋体"/>
                <w:b/>
                <w:color w:val="auto"/>
                <w:highlight w:val="none"/>
              </w:rPr>
              <w:t>备注</w:t>
            </w:r>
          </w:p>
        </w:tc>
      </w:tr>
      <w:tr w14:paraId="0097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1EA0F00A">
            <w:pPr>
              <w:spacing w:after="0" w:line="240" w:lineRule="auto"/>
              <w:rPr>
                <w:rFonts w:ascii="宋体" w:hAnsi="宋体" w:eastAsia="宋体" w:cs="宋体"/>
                <w:b/>
                <w:color w:val="auto"/>
                <w:highlight w:val="none"/>
              </w:rPr>
            </w:pPr>
            <w:r>
              <w:rPr>
                <w:rFonts w:hint="eastAsia" w:ascii="宋体" w:hAnsi="宋体" w:eastAsia="宋体" w:cs="宋体"/>
                <w:b/>
                <w:color w:val="auto"/>
                <w:highlight w:val="none"/>
              </w:rPr>
              <w:t>一、深基坑工程</w:t>
            </w:r>
          </w:p>
        </w:tc>
      </w:tr>
      <w:tr w14:paraId="4CED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489690B9">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开挖深度超过</w:t>
            </w:r>
            <w:r>
              <w:rPr>
                <w:rFonts w:ascii="宋体" w:hAnsi="宋体" w:eastAsia="宋体" w:cs="宋体"/>
                <w:color w:val="auto"/>
                <w:highlight w:val="none"/>
              </w:rPr>
              <w:t>5m（含5m）的基坑（槽）的土方开挖、支护、降水工程。</w:t>
            </w:r>
          </w:p>
        </w:tc>
        <w:tc>
          <w:tcPr>
            <w:tcW w:w="1222" w:type="dxa"/>
            <w:tcBorders>
              <w:top w:val="single" w:color="auto" w:sz="4" w:space="0"/>
              <w:left w:val="nil"/>
              <w:bottom w:val="single" w:color="auto" w:sz="4" w:space="0"/>
              <w:right w:val="single" w:color="auto" w:sz="4" w:space="0"/>
            </w:tcBorders>
            <w:vAlign w:val="center"/>
          </w:tcPr>
          <w:p w14:paraId="710FE91C">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03FD7764">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602779AD">
            <w:pPr>
              <w:jc w:val="center"/>
              <w:rPr>
                <w:rFonts w:ascii="宋体" w:hAnsi="宋体" w:eastAsia="宋体" w:cs="宋体"/>
                <w:color w:val="auto"/>
                <w:highlight w:val="none"/>
              </w:rPr>
            </w:pPr>
          </w:p>
        </w:tc>
      </w:tr>
      <w:tr w14:paraId="4044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49D457F3">
            <w:pPr>
              <w:spacing w:after="0" w:line="240" w:lineRule="auto"/>
              <w:rPr>
                <w:rFonts w:ascii="宋体" w:hAnsi="宋体" w:eastAsia="宋体" w:cs="宋体"/>
                <w:color w:val="auto"/>
                <w:highlight w:val="none"/>
              </w:rPr>
            </w:pPr>
            <w:r>
              <w:rPr>
                <w:rFonts w:hint="eastAsia" w:ascii="宋体" w:hAnsi="宋体" w:eastAsia="宋体" w:cs="宋体"/>
                <w:b/>
                <w:color w:val="auto"/>
                <w:highlight w:val="none"/>
              </w:rPr>
              <w:t>二、模板工程及支撑体系</w:t>
            </w:r>
          </w:p>
        </w:tc>
      </w:tr>
      <w:tr w14:paraId="79A9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030D2CF0">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（一）各类工具式模板工程：包括滑模、爬模、飞模、隧道模等工程。</w:t>
            </w:r>
          </w:p>
        </w:tc>
        <w:tc>
          <w:tcPr>
            <w:tcW w:w="1222" w:type="dxa"/>
            <w:tcBorders>
              <w:top w:val="single" w:color="auto" w:sz="4" w:space="0"/>
              <w:left w:val="nil"/>
              <w:bottom w:val="single" w:color="auto" w:sz="4" w:space="0"/>
              <w:right w:val="single" w:color="auto" w:sz="4" w:space="0"/>
            </w:tcBorders>
            <w:vAlign w:val="center"/>
          </w:tcPr>
          <w:p w14:paraId="6CADF9AF">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0882B3EE">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203D501">
            <w:pPr>
              <w:jc w:val="center"/>
              <w:rPr>
                <w:rFonts w:ascii="宋体" w:hAnsi="宋体" w:eastAsia="宋体" w:cs="宋体"/>
                <w:color w:val="auto"/>
                <w:highlight w:val="none"/>
              </w:rPr>
            </w:pPr>
          </w:p>
        </w:tc>
      </w:tr>
      <w:tr w14:paraId="5464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0C6F8A92">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（二）混凝土模板支撑工程：搭设高度</w:t>
            </w:r>
            <w:r>
              <w:rPr>
                <w:rFonts w:ascii="宋体" w:hAnsi="宋体" w:eastAsia="宋体" w:cs="宋体"/>
                <w:color w:val="auto"/>
                <w:highlight w:val="none"/>
              </w:rPr>
              <w:t>8m及以上，或搭设跨度18m及以上，或施工总荷载（设计值）15kN/m2及以上，或集中线荷载（设计值）20kN/m及以上。</w:t>
            </w:r>
          </w:p>
        </w:tc>
        <w:tc>
          <w:tcPr>
            <w:tcW w:w="1222" w:type="dxa"/>
            <w:tcBorders>
              <w:top w:val="single" w:color="auto" w:sz="4" w:space="0"/>
              <w:left w:val="nil"/>
              <w:bottom w:val="single" w:color="auto" w:sz="4" w:space="0"/>
              <w:right w:val="single" w:color="auto" w:sz="4" w:space="0"/>
            </w:tcBorders>
            <w:vAlign w:val="center"/>
          </w:tcPr>
          <w:p w14:paraId="3E7BD635">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79B0B23D">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01EA37D9">
            <w:pPr>
              <w:jc w:val="center"/>
              <w:rPr>
                <w:rFonts w:ascii="宋体" w:hAnsi="宋体" w:eastAsia="宋体" w:cs="宋体"/>
                <w:color w:val="auto"/>
                <w:highlight w:val="none"/>
              </w:rPr>
            </w:pPr>
          </w:p>
        </w:tc>
      </w:tr>
      <w:tr w14:paraId="3E8B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E56B544">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（三）承重支撑体系：用于钢结构安装等满堂支撑体系，承受单点集中荷载</w:t>
            </w:r>
            <w:r>
              <w:rPr>
                <w:rFonts w:ascii="宋体" w:hAnsi="宋体" w:eastAsia="宋体" w:cs="宋体"/>
                <w:color w:val="auto"/>
                <w:highlight w:val="none"/>
              </w:rPr>
              <w:t>7kN及以上。</w:t>
            </w:r>
          </w:p>
        </w:tc>
        <w:tc>
          <w:tcPr>
            <w:tcW w:w="1222" w:type="dxa"/>
            <w:tcBorders>
              <w:top w:val="single" w:color="auto" w:sz="4" w:space="0"/>
              <w:left w:val="nil"/>
              <w:bottom w:val="single" w:color="auto" w:sz="4" w:space="0"/>
              <w:right w:val="single" w:color="auto" w:sz="4" w:space="0"/>
            </w:tcBorders>
            <w:vAlign w:val="center"/>
          </w:tcPr>
          <w:p w14:paraId="62031F82">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689965E7">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0D48D9E7">
            <w:pPr>
              <w:jc w:val="center"/>
              <w:rPr>
                <w:rFonts w:ascii="宋体" w:hAnsi="宋体" w:eastAsia="宋体" w:cs="宋体"/>
                <w:color w:val="auto"/>
                <w:highlight w:val="none"/>
              </w:rPr>
            </w:pPr>
          </w:p>
        </w:tc>
      </w:tr>
      <w:tr w14:paraId="425C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0DB48256">
            <w:pPr>
              <w:spacing w:after="0" w:line="240" w:lineRule="auto"/>
              <w:rPr>
                <w:rFonts w:ascii="宋体" w:hAnsi="宋体" w:eastAsia="宋体" w:cs="宋体"/>
                <w:color w:val="auto"/>
                <w:highlight w:val="none"/>
              </w:rPr>
            </w:pPr>
            <w:r>
              <w:rPr>
                <w:rFonts w:hint="eastAsia" w:ascii="宋体" w:hAnsi="宋体" w:eastAsia="宋体" w:cs="宋体"/>
                <w:b/>
                <w:color w:val="auto"/>
                <w:highlight w:val="none"/>
              </w:rPr>
              <w:t>三、起重吊装及起重机械安装拆卸工程</w:t>
            </w:r>
          </w:p>
        </w:tc>
      </w:tr>
      <w:tr w14:paraId="3849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06A76824">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（一）采用非常规起重设备、方法，且单件起吊重量在</w:t>
            </w:r>
            <w:r>
              <w:rPr>
                <w:rFonts w:ascii="宋体" w:hAnsi="宋体" w:eastAsia="宋体" w:cs="宋体"/>
                <w:color w:val="auto"/>
                <w:highlight w:val="none"/>
              </w:rPr>
              <w:t>100kN及以上的起重吊装工程。</w:t>
            </w:r>
          </w:p>
        </w:tc>
        <w:tc>
          <w:tcPr>
            <w:tcW w:w="1222" w:type="dxa"/>
            <w:tcBorders>
              <w:top w:val="single" w:color="auto" w:sz="4" w:space="0"/>
              <w:left w:val="nil"/>
              <w:bottom w:val="single" w:color="auto" w:sz="4" w:space="0"/>
              <w:right w:val="single" w:color="auto" w:sz="4" w:space="0"/>
            </w:tcBorders>
            <w:vAlign w:val="center"/>
          </w:tcPr>
          <w:p w14:paraId="1DFEA86D">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0FFBE97B">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9D5BEEE">
            <w:pPr>
              <w:jc w:val="center"/>
              <w:rPr>
                <w:rFonts w:ascii="宋体" w:hAnsi="宋体" w:eastAsia="宋体" w:cs="宋体"/>
                <w:color w:val="auto"/>
                <w:highlight w:val="none"/>
              </w:rPr>
            </w:pPr>
          </w:p>
        </w:tc>
      </w:tr>
      <w:tr w14:paraId="7E13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6735FEE9">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（二）起重量</w:t>
            </w:r>
            <w:r>
              <w:rPr>
                <w:rFonts w:ascii="宋体" w:hAnsi="宋体" w:eastAsia="宋体" w:cs="宋体"/>
                <w:color w:val="auto"/>
                <w:highlight w:val="none"/>
              </w:rPr>
              <w:t>300kN及以上，或搭设总高度200m及以上，或搭设基础标高在200m及以上的起重机械安装和拆卸工程。</w:t>
            </w:r>
          </w:p>
        </w:tc>
        <w:tc>
          <w:tcPr>
            <w:tcW w:w="1222" w:type="dxa"/>
            <w:tcBorders>
              <w:top w:val="single" w:color="auto" w:sz="4" w:space="0"/>
              <w:left w:val="nil"/>
              <w:bottom w:val="single" w:color="auto" w:sz="4" w:space="0"/>
              <w:right w:val="single" w:color="auto" w:sz="4" w:space="0"/>
            </w:tcBorders>
            <w:vAlign w:val="center"/>
          </w:tcPr>
          <w:p w14:paraId="4AFADCC6">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09E277C4">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33BC20D9">
            <w:pPr>
              <w:jc w:val="center"/>
              <w:rPr>
                <w:rFonts w:ascii="宋体" w:hAnsi="宋体" w:eastAsia="宋体" w:cs="宋体"/>
                <w:color w:val="auto"/>
                <w:highlight w:val="none"/>
              </w:rPr>
            </w:pPr>
          </w:p>
        </w:tc>
      </w:tr>
      <w:tr w14:paraId="630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68CB90E5">
            <w:pPr>
              <w:spacing w:after="0" w:line="240" w:lineRule="auto"/>
              <w:rPr>
                <w:rFonts w:ascii="宋体" w:hAnsi="宋体" w:eastAsia="宋体" w:cs="宋体"/>
                <w:b/>
                <w:color w:val="auto"/>
                <w:highlight w:val="none"/>
              </w:rPr>
            </w:pPr>
            <w:r>
              <w:rPr>
                <w:rFonts w:hint="eastAsia" w:ascii="宋体" w:hAnsi="宋体" w:eastAsia="宋体" w:cs="宋体"/>
                <w:b/>
                <w:color w:val="auto"/>
                <w:highlight w:val="none"/>
              </w:rPr>
              <w:t>四、脚手架工程</w:t>
            </w:r>
          </w:p>
        </w:tc>
      </w:tr>
      <w:tr w14:paraId="0529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0A35BBD8">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（一）搭设高度</w:t>
            </w:r>
            <w:r>
              <w:rPr>
                <w:rFonts w:ascii="宋体" w:hAnsi="宋体" w:eastAsia="宋体" w:cs="宋体"/>
                <w:color w:val="auto"/>
                <w:highlight w:val="none"/>
              </w:rPr>
              <w:t>50m及以上的落地式钢管脚手架工程。</w:t>
            </w:r>
          </w:p>
        </w:tc>
        <w:tc>
          <w:tcPr>
            <w:tcW w:w="1222" w:type="dxa"/>
            <w:tcBorders>
              <w:top w:val="single" w:color="auto" w:sz="4" w:space="0"/>
              <w:left w:val="nil"/>
              <w:bottom w:val="single" w:color="auto" w:sz="4" w:space="0"/>
              <w:right w:val="single" w:color="auto" w:sz="4" w:space="0"/>
            </w:tcBorders>
            <w:vAlign w:val="center"/>
          </w:tcPr>
          <w:p w14:paraId="70C67FB3">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4688CF3A">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603B2A33">
            <w:pPr>
              <w:jc w:val="center"/>
              <w:rPr>
                <w:rFonts w:ascii="宋体" w:hAnsi="宋体" w:eastAsia="宋体" w:cs="宋体"/>
                <w:color w:val="auto"/>
                <w:highlight w:val="none"/>
              </w:rPr>
            </w:pPr>
          </w:p>
        </w:tc>
      </w:tr>
      <w:tr w14:paraId="2C86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06A76286">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（二）提升高度在</w:t>
            </w:r>
            <w:r>
              <w:rPr>
                <w:rFonts w:ascii="宋体" w:hAnsi="宋体" w:eastAsia="宋体" w:cs="宋体"/>
                <w:color w:val="auto"/>
                <w:highlight w:val="none"/>
              </w:rPr>
              <w:t>150m及以上的附着式升降脚手架工程或附着式升降操作平台工程。</w:t>
            </w:r>
          </w:p>
        </w:tc>
        <w:tc>
          <w:tcPr>
            <w:tcW w:w="1222" w:type="dxa"/>
            <w:tcBorders>
              <w:top w:val="single" w:color="auto" w:sz="4" w:space="0"/>
              <w:left w:val="nil"/>
              <w:bottom w:val="single" w:color="auto" w:sz="4" w:space="0"/>
              <w:right w:val="single" w:color="auto" w:sz="4" w:space="0"/>
            </w:tcBorders>
            <w:vAlign w:val="center"/>
          </w:tcPr>
          <w:p w14:paraId="6B5AD6B8">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640E2F35">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611485E">
            <w:pPr>
              <w:jc w:val="center"/>
              <w:rPr>
                <w:rFonts w:ascii="宋体" w:hAnsi="宋体" w:eastAsia="宋体" w:cs="宋体"/>
                <w:color w:val="auto"/>
                <w:highlight w:val="none"/>
              </w:rPr>
            </w:pPr>
          </w:p>
        </w:tc>
      </w:tr>
      <w:tr w14:paraId="2855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F98F223">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（三）分段架体搭设高度</w:t>
            </w:r>
            <w:r>
              <w:rPr>
                <w:rFonts w:ascii="宋体" w:hAnsi="宋体" w:eastAsia="宋体" w:cs="宋体"/>
                <w:color w:val="auto"/>
                <w:highlight w:val="none"/>
              </w:rPr>
              <w:t>20m及以上的悬挑式脚手架工程。</w:t>
            </w:r>
          </w:p>
        </w:tc>
        <w:tc>
          <w:tcPr>
            <w:tcW w:w="1222" w:type="dxa"/>
            <w:tcBorders>
              <w:top w:val="single" w:color="auto" w:sz="4" w:space="0"/>
              <w:left w:val="nil"/>
              <w:bottom w:val="single" w:color="auto" w:sz="4" w:space="0"/>
              <w:right w:val="single" w:color="auto" w:sz="4" w:space="0"/>
            </w:tcBorders>
            <w:vAlign w:val="center"/>
          </w:tcPr>
          <w:p w14:paraId="75861E00">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01271879">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85A9BAF">
            <w:pPr>
              <w:jc w:val="center"/>
              <w:rPr>
                <w:rFonts w:ascii="宋体" w:hAnsi="宋体" w:eastAsia="宋体" w:cs="宋体"/>
                <w:color w:val="auto"/>
                <w:highlight w:val="none"/>
              </w:rPr>
            </w:pPr>
          </w:p>
        </w:tc>
      </w:tr>
      <w:tr w14:paraId="3E97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7CDE1608">
            <w:pPr>
              <w:spacing w:after="0" w:line="240" w:lineRule="auto"/>
              <w:rPr>
                <w:rFonts w:ascii="宋体" w:hAnsi="宋体" w:eastAsia="宋体" w:cs="宋体"/>
                <w:b/>
                <w:color w:val="auto"/>
                <w:highlight w:val="none"/>
              </w:rPr>
            </w:pPr>
            <w:r>
              <w:rPr>
                <w:rFonts w:hint="eastAsia" w:ascii="宋体" w:hAnsi="宋体" w:eastAsia="宋体" w:cs="宋体"/>
                <w:b/>
                <w:color w:val="auto"/>
                <w:highlight w:val="none"/>
              </w:rPr>
              <w:t>五、拆除工程</w:t>
            </w:r>
          </w:p>
        </w:tc>
      </w:tr>
      <w:tr w14:paraId="6AA3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60BA4D12">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（一）码头、桥梁、高架、烟囱、水塔或拆除中容易引起有毒有害气（液）体或粉尘扩散、易燃易爆事故发生的特殊建、构筑物的拆除工程。</w:t>
            </w:r>
          </w:p>
        </w:tc>
        <w:tc>
          <w:tcPr>
            <w:tcW w:w="1222" w:type="dxa"/>
            <w:tcBorders>
              <w:top w:val="single" w:color="auto" w:sz="4" w:space="0"/>
              <w:left w:val="nil"/>
              <w:bottom w:val="single" w:color="auto" w:sz="4" w:space="0"/>
              <w:right w:val="single" w:color="auto" w:sz="4" w:space="0"/>
            </w:tcBorders>
            <w:vAlign w:val="center"/>
          </w:tcPr>
          <w:p w14:paraId="43C662A2">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6020EE61">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CCCBFCA">
            <w:pPr>
              <w:jc w:val="center"/>
              <w:rPr>
                <w:rFonts w:ascii="宋体" w:hAnsi="宋体" w:eastAsia="宋体" w:cs="宋体"/>
                <w:color w:val="auto"/>
                <w:highlight w:val="none"/>
              </w:rPr>
            </w:pPr>
          </w:p>
        </w:tc>
      </w:tr>
      <w:tr w14:paraId="7084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A0944DF">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（二）文物保护建筑、优秀历史建筑或历史文化风貌区影响范围内的拆除工程。</w:t>
            </w:r>
          </w:p>
        </w:tc>
        <w:tc>
          <w:tcPr>
            <w:tcW w:w="1222" w:type="dxa"/>
            <w:tcBorders>
              <w:top w:val="single" w:color="auto" w:sz="4" w:space="0"/>
              <w:left w:val="nil"/>
              <w:bottom w:val="single" w:color="auto" w:sz="4" w:space="0"/>
              <w:right w:val="single" w:color="auto" w:sz="4" w:space="0"/>
            </w:tcBorders>
            <w:vAlign w:val="center"/>
          </w:tcPr>
          <w:p w14:paraId="47C738A4">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63E7067E">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63DAE01">
            <w:pPr>
              <w:jc w:val="center"/>
              <w:rPr>
                <w:rFonts w:ascii="宋体" w:hAnsi="宋体" w:eastAsia="宋体" w:cs="宋体"/>
                <w:color w:val="auto"/>
                <w:highlight w:val="none"/>
              </w:rPr>
            </w:pPr>
          </w:p>
        </w:tc>
      </w:tr>
      <w:tr w14:paraId="2AF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789EBA04">
            <w:pPr>
              <w:spacing w:after="0" w:line="240" w:lineRule="auto"/>
              <w:rPr>
                <w:rFonts w:ascii="宋体" w:hAnsi="宋体" w:eastAsia="宋体" w:cs="宋体"/>
                <w:b/>
                <w:color w:val="auto"/>
                <w:highlight w:val="none"/>
              </w:rPr>
            </w:pPr>
            <w:r>
              <w:rPr>
                <w:rFonts w:hint="eastAsia" w:ascii="宋体" w:hAnsi="宋体" w:eastAsia="宋体" w:cs="宋体"/>
                <w:b/>
                <w:color w:val="auto"/>
                <w:highlight w:val="none"/>
              </w:rPr>
              <w:t>六、暗挖工程</w:t>
            </w:r>
          </w:p>
        </w:tc>
      </w:tr>
      <w:tr w14:paraId="10F3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1628843E">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采用矿山法、盾构法、顶管法施工的隧道、洞室工程。</w:t>
            </w:r>
          </w:p>
        </w:tc>
        <w:tc>
          <w:tcPr>
            <w:tcW w:w="1222" w:type="dxa"/>
            <w:tcBorders>
              <w:top w:val="single" w:color="auto" w:sz="4" w:space="0"/>
              <w:left w:val="nil"/>
              <w:bottom w:val="single" w:color="auto" w:sz="4" w:space="0"/>
              <w:right w:val="single" w:color="auto" w:sz="4" w:space="0"/>
            </w:tcBorders>
            <w:vAlign w:val="center"/>
          </w:tcPr>
          <w:p w14:paraId="54A2D72F">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2E748F58">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2D7FD0DB">
            <w:pPr>
              <w:jc w:val="center"/>
              <w:rPr>
                <w:rFonts w:ascii="宋体" w:hAnsi="宋体" w:eastAsia="宋体" w:cs="宋体"/>
                <w:color w:val="auto"/>
                <w:highlight w:val="none"/>
              </w:rPr>
            </w:pPr>
          </w:p>
        </w:tc>
      </w:tr>
      <w:tr w14:paraId="3B4C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3A740655">
            <w:pPr>
              <w:spacing w:after="0" w:line="240" w:lineRule="auto"/>
              <w:rPr>
                <w:rFonts w:ascii="宋体" w:hAnsi="宋体" w:eastAsia="宋体" w:cs="宋体"/>
                <w:b/>
                <w:color w:val="auto"/>
                <w:highlight w:val="none"/>
              </w:rPr>
            </w:pPr>
            <w:r>
              <w:rPr>
                <w:rFonts w:hint="eastAsia" w:ascii="宋体" w:hAnsi="宋体" w:eastAsia="宋体" w:cs="宋体"/>
                <w:b/>
                <w:color w:val="auto"/>
                <w:highlight w:val="none"/>
              </w:rPr>
              <w:t>七、其它</w:t>
            </w:r>
          </w:p>
        </w:tc>
      </w:tr>
      <w:tr w14:paraId="7A64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AD5CE4B">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（一）施工高度</w:t>
            </w:r>
            <w:r>
              <w:rPr>
                <w:rFonts w:ascii="宋体" w:hAnsi="宋体" w:eastAsia="宋体" w:cs="宋体"/>
                <w:color w:val="auto"/>
                <w:highlight w:val="none"/>
              </w:rPr>
              <w:t>50m及以上的建筑幕墙安装工程。</w:t>
            </w:r>
          </w:p>
        </w:tc>
        <w:tc>
          <w:tcPr>
            <w:tcW w:w="1222" w:type="dxa"/>
            <w:tcBorders>
              <w:top w:val="single" w:color="auto" w:sz="4" w:space="0"/>
              <w:left w:val="nil"/>
              <w:bottom w:val="single" w:color="auto" w:sz="4" w:space="0"/>
              <w:right w:val="single" w:color="auto" w:sz="4" w:space="0"/>
            </w:tcBorders>
            <w:vAlign w:val="center"/>
          </w:tcPr>
          <w:p w14:paraId="075E1FE2">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40FB8535">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04667456">
            <w:pPr>
              <w:jc w:val="center"/>
              <w:rPr>
                <w:rFonts w:ascii="宋体" w:hAnsi="宋体" w:eastAsia="宋体" w:cs="宋体"/>
                <w:color w:val="auto"/>
                <w:highlight w:val="none"/>
              </w:rPr>
            </w:pPr>
          </w:p>
        </w:tc>
      </w:tr>
      <w:tr w14:paraId="6A11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68C87ABD">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（二）跨度</w:t>
            </w:r>
            <w:r>
              <w:rPr>
                <w:rFonts w:ascii="宋体" w:hAnsi="宋体" w:eastAsia="宋体" w:cs="宋体"/>
                <w:color w:val="auto"/>
                <w:highlight w:val="none"/>
              </w:rPr>
              <w:t>36m及以上的钢结构安装工程，或跨度60m及以上的网架和索膜结构安装工程。</w:t>
            </w:r>
          </w:p>
        </w:tc>
        <w:tc>
          <w:tcPr>
            <w:tcW w:w="1222" w:type="dxa"/>
            <w:tcBorders>
              <w:top w:val="single" w:color="auto" w:sz="4" w:space="0"/>
              <w:left w:val="nil"/>
              <w:bottom w:val="single" w:color="auto" w:sz="4" w:space="0"/>
              <w:right w:val="single" w:color="auto" w:sz="4" w:space="0"/>
            </w:tcBorders>
            <w:vAlign w:val="center"/>
          </w:tcPr>
          <w:p w14:paraId="66EC41B3">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71C99276">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33397AD4">
            <w:pPr>
              <w:jc w:val="center"/>
              <w:rPr>
                <w:rFonts w:ascii="宋体" w:hAnsi="宋体" w:eastAsia="宋体" w:cs="宋体"/>
                <w:color w:val="auto"/>
                <w:highlight w:val="none"/>
              </w:rPr>
            </w:pPr>
          </w:p>
        </w:tc>
      </w:tr>
      <w:tr w14:paraId="5E8C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C62822B">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（三）开挖深度</w:t>
            </w:r>
            <w:r>
              <w:rPr>
                <w:rFonts w:ascii="宋体" w:hAnsi="宋体" w:eastAsia="宋体" w:cs="宋体"/>
                <w:color w:val="auto"/>
                <w:highlight w:val="none"/>
              </w:rPr>
              <w:t>16m及以上的人工挖孔桩工程。</w:t>
            </w:r>
          </w:p>
        </w:tc>
        <w:tc>
          <w:tcPr>
            <w:tcW w:w="1222" w:type="dxa"/>
            <w:tcBorders>
              <w:top w:val="single" w:color="auto" w:sz="4" w:space="0"/>
              <w:left w:val="nil"/>
              <w:bottom w:val="single" w:color="auto" w:sz="4" w:space="0"/>
              <w:right w:val="single" w:color="auto" w:sz="4" w:space="0"/>
            </w:tcBorders>
            <w:vAlign w:val="center"/>
          </w:tcPr>
          <w:p w14:paraId="538D64C7">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77ACA72C">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3D5F749">
            <w:pPr>
              <w:jc w:val="center"/>
              <w:rPr>
                <w:rFonts w:ascii="宋体" w:hAnsi="宋体" w:eastAsia="宋体" w:cs="宋体"/>
                <w:color w:val="auto"/>
                <w:highlight w:val="none"/>
              </w:rPr>
            </w:pPr>
          </w:p>
        </w:tc>
      </w:tr>
      <w:tr w14:paraId="4965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EF36B83">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（四）水下作业工程。</w:t>
            </w:r>
          </w:p>
        </w:tc>
        <w:tc>
          <w:tcPr>
            <w:tcW w:w="1222" w:type="dxa"/>
            <w:tcBorders>
              <w:top w:val="single" w:color="auto" w:sz="4" w:space="0"/>
              <w:left w:val="nil"/>
              <w:bottom w:val="single" w:color="auto" w:sz="4" w:space="0"/>
              <w:right w:val="single" w:color="auto" w:sz="4" w:space="0"/>
            </w:tcBorders>
            <w:vAlign w:val="center"/>
          </w:tcPr>
          <w:p w14:paraId="25023EA5">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521AB5FF">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36849750">
            <w:pPr>
              <w:jc w:val="center"/>
              <w:rPr>
                <w:rFonts w:ascii="宋体" w:hAnsi="宋体" w:eastAsia="宋体" w:cs="宋体"/>
                <w:color w:val="auto"/>
                <w:highlight w:val="none"/>
              </w:rPr>
            </w:pPr>
          </w:p>
        </w:tc>
      </w:tr>
      <w:tr w14:paraId="4417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39BE0123">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（五）重量</w:t>
            </w:r>
            <w:r>
              <w:rPr>
                <w:rFonts w:ascii="宋体" w:hAnsi="宋体" w:eastAsia="宋体" w:cs="宋体"/>
                <w:color w:val="auto"/>
                <w:highlight w:val="none"/>
              </w:rPr>
              <w:t>1000kN及以上的大型结构整体顶升、平移、转体等施工工艺。</w:t>
            </w:r>
          </w:p>
        </w:tc>
        <w:tc>
          <w:tcPr>
            <w:tcW w:w="1222" w:type="dxa"/>
            <w:tcBorders>
              <w:top w:val="single" w:color="auto" w:sz="4" w:space="0"/>
              <w:left w:val="nil"/>
              <w:bottom w:val="single" w:color="auto" w:sz="4" w:space="0"/>
              <w:right w:val="single" w:color="auto" w:sz="4" w:space="0"/>
            </w:tcBorders>
            <w:vAlign w:val="center"/>
          </w:tcPr>
          <w:p w14:paraId="401BA16F">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2ECFEAD7">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2488F780">
            <w:pPr>
              <w:jc w:val="center"/>
              <w:rPr>
                <w:rFonts w:ascii="宋体" w:hAnsi="宋体" w:eastAsia="宋体" w:cs="宋体"/>
                <w:color w:val="auto"/>
                <w:highlight w:val="none"/>
              </w:rPr>
            </w:pPr>
          </w:p>
        </w:tc>
      </w:tr>
      <w:tr w14:paraId="68DB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4CE1C436">
            <w:pPr>
              <w:spacing w:after="0" w:line="240" w:lineRule="auto"/>
              <w:rPr>
                <w:rFonts w:ascii="宋体" w:hAnsi="宋体" w:eastAsia="宋体" w:cs="宋体"/>
                <w:color w:val="auto"/>
                <w:highlight w:val="none"/>
              </w:rPr>
            </w:pPr>
            <w:r>
              <w:rPr>
                <w:rFonts w:hint="eastAsia" w:ascii="宋体" w:hAnsi="宋体" w:eastAsia="宋体" w:cs="宋体"/>
                <w:color w:val="auto"/>
                <w:highlight w:val="none"/>
              </w:rPr>
              <w:t>（六）采用新技术、新工艺、新材料、新设备可能影响工程施工安全，尚无国家、行业及地方技术标准的分部分项工程。</w:t>
            </w:r>
          </w:p>
        </w:tc>
        <w:tc>
          <w:tcPr>
            <w:tcW w:w="1222" w:type="dxa"/>
            <w:tcBorders>
              <w:top w:val="single" w:color="auto" w:sz="4" w:space="0"/>
              <w:left w:val="nil"/>
              <w:bottom w:val="single" w:color="auto" w:sz="4" w:space="0"/>
              <w:right w:val="single" w:color="auto" w:sz="4" w:space="0"/>
            </w:tcBorders>
            <w:vAlign w:val="center"/>
          </w:tcPr>
          <w:p w14:paraId="4E6677B8">
            <w:pPr>
              <w:widowControl/>
              <w:spacing w:after="0" w:line="24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31A52319">
            <w:pPr>
              <w:widowControl/>
              <w:spacing w:after="0" w:line="24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0EE1D1F3">
            <w:pPr>
              <w:jc w:val="center"/>
              <w:rPr>
                <w:rFonts w:ascii="宋体" w:hAnsi="宋体" w:eastAsia="宋体" w:cs="宋体"/>
                <w:color w:val="auto"/>
                <w:highlight w:val="none"/>
              </w:rPr>
            </w:pPr>
          </w:p>
        </w:tc>
      </w:tr>
    </w:tbl>
    <w:p w14:paraId="71121D22">
      <w:pPr>
        <w:topLinePunct/>
        <w:adjustRightInd w:val="0"/>
        <w:snapToGrid w:val="0"/>
        <w:spacing w:line="360" w:lineRule="auto"/>
        <w:ind w:firstLine="436" w:firstLineChars="200"/>
        <w:rPr>
          <w:rFonts w:hint="eastAsia" w:ascii="宋体" w:hAnsi="宋体" w:eastAsia="宋体" w:cs="宋体"/>
          <w:color w:val="auto"/>
          <w:spacing w:val="4"/>
          <w:kern w:val="0"/>
          <w:szCs w:val="21"/>
          <w:highlight w:val="none"/>
        </w:rPr>
      </w:pPr>
    </w:p>
    <w:p w14:paraId="30276134">
      <w:pPr>
        <w:topLinePunct/>
        <w:adjustRightInd w:val="0"/>
        <w:snapToGrid w:val="0"/>
        <w:spacing w:line="360" w:lineRule="auto"/>
        <w:ind w:firstLine="436"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注：（1）投标人同意招标人在“危险性较大的分部分项工程清单”中打“√”标识的，须在该项的“投标单位”列对应项打“√”标识并在投标文件中提供相应的安全管理措施，否则视作未按规定的格式填写，并作无效标处理。</w:t>
      </w:r>
    </w:p>
    <w:p w14:paraId="595D3D77">
      <w:pPr>
        <w:topLinePunct/>
        <w:adjustRightInd w:val="0"/>
        <w:snapToGrid w:val="0"/>
        <w:spacing w:line="360" w:lineRule="auto"/>
        <w:ind w:firstLine="436"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2）“危险性较大的分部分项工程清单”中“招标人”列为空白而投标人认为需要补充打“√”标识的，须在该项的“投标单位”列对应项打“√”标识并在投标文件中提供相应的安全管理措施，否则视作未按规定的格式填写，并作无效标处理。</w:t>
      </w:r>
    </w:p>
    <w:p w14:paraId="66771C4E">
      <w:pPr>
        <w:topLinePunct/>
        <w:adjustRightInd w:val="0"/>
        <w:snapToGrid w:val="0"/>
        <w:spacing w:line="360" w:lineRule="auto"/>
        <w:ind w:firstLine="436"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（3）投标人不同意招标人在“危险性较大的分部分项工程清单”中打“√”标识的，须在该项的“投标单位”对应项打“×”标识并在备注栏填上相关说明，否则视作未按规定的格式填写，并作无效标处理。</w:t>
      </w:r>
    </w:p>
    <w:p w14:paraId="0A8EC689">
      <w:pPr>
        <w:topLinePunct/>
        <w:adjustRightInd w:val="0"/>
        <w:snapToGrid w:val="0"/>
        <w:spacing w:line="360" w:lineRule="auto"/>
        <w:ind w:firstLine="436"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（4）“招标人”及“投标单位”均为空白的“危险性较大的分部分项工程清单”项，但投标单位提供了相应的安全管理措施，视作未按规定的格式填写，并作无效标处理。</w:t>
      </w:r>
    </w:p>
    <w:p w14:paraId="017CE508">
      <w:pPr>
        <w:topLinePunct/>
        <w:adjustRightInd w:val="0"/>
        <w:snapToGrid w:val="0"/>
        <w:spacing w:line="360" w:lineRule="auto"/>
        <w:ind w:firstLine="436" w:firstLineChars="20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（5）“招标人”及“投标单位”均为空白的“危险性较大的分部分项工程清单”项且投标人未提供相应的安全管理措施，不作无效标处理。</w:t>
      </w:r>
    </w:p>
    <w:p w14:paraId="49F6D76C">
      <w:pPr>
        <w:snapToGrid w:val="0"/>
        <w:spacing w:line="360" w:lineRule="auto"/>
        <w:ind w:firstLine="4320" w:firstLineChars="18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投标人名称（盖法人公章）：</w:t>
      </w:r>
    </w:p>
    <w:p w14:paraId="635286AC">
      <w:pPr>
        <w:snapToGrid w:val="0"/>
        <w:spacing w:line="360" w:lineRule="auto"/>
        <w:ind w:firstLine="4320" w:firstLineChars="18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日期：</w:t>
      </w:r>
      <w:r>
        <w:rPr>
          <w:rFonts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rPr>
        <w:t>年</w:t>
      </w:r>
      <w:r>
        <w:rPr>
          <w:rFonts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rPr>
        <w:t>月</w:t>
      </w:r>
      <w:r>
        <w:rPr>
          <w:rFonts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rPr>
        <w:t>日</w:t>
      </w:r>
    </w:p>
    <w:p w14:paraId="7EDB4264">
      <w:pPr>
        <w:rPr>
          <w:rFonts w:ascii="宋体" w:hAnsi="宋体" w:eastAsia="宋体" w:cs="宋体"/>
          <w:color w:val="auto"/>
          <w:sz w:val="32"/>
          <w:szCs w:val="32"/>
          <w:highlight w:val="none"/>
        </w:rPr>
      </w:pPr>
      <w:bookmarkStart w:id="45" w:name="_Toc26315"/>
      <w:r>
        <w:rPr>
          <w:rFonts w:ascii="宋体" w:hAnsi="宋体" w:eastAsia="宋体" w:cs="宋体"/>
          <w:color w:val="auto"/>
          <w:sz w:val="32"/>
          <w:szCs w:val="32"/>
          <w:highlight w:val="none"/>
        </w:rPr>
        <w:br w:type="page"/>
      </w:r>
    </w:p>
    <w:p w14:paraId="5D9C34CA">
      <w:pPr>
        <w:snapToGrid w:val="0"/>
        <w:spacing w:line="360" w:lineRule="auto"/>
        <w:rPr>
          <w:rFonts w:ascii="宋体" w:hAnsi="宋体" w:eastAsia="宋体" w:cs="宋体"/>
          <w:bCs/>
          <w:color w:val="auto"/>
          <w:sz w:val="24"/>
          <w:highlight w:val="none"/>
        </w:rPr>
      </w:pPr>
      <w:r>
        <w:rPr>
          <w:rFonts w:hint="eastAsia" w:ascii="宋体" w:hAnsi="宋体" w:eastAsia="宋体" w:cs="宋体"/>
          <w:bCs/>
          <w:color w:val="auto"/>
          <w:kern w:val="0"/>
          <w:sz w:val="24"/>
          <w:highlight w:val="none"/>
        </w:rPr>
        <w:t>技术标格式十一</w:t>
      </w:r>
    </w:p>
    <w:p w14:paraId="0DFEC400">
      <w:pPr>
        <w:snapToGrid w:val="0"/>
        <w:spacing w:line="360" w:lineRule="auto"/>
        <w:jc w:val="center"/>
        <w:rPr>
          <w:rFonts w:ascii="宋体" w:hAnsi="宋体" w:eastAsia="宋体" w:cs="宋体"/>
          <w:bCs/>
          <w:color w:val="auto"/>
          <w:sz w:val="24"/>
          <w:highlight w:val="none"/>
        </w:rPr>
      </w:pPr>
    </w:p>
    <w:p w14:paraId="33BA2A18">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参与编制技术标投标文件人员名单</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14:paraId="528F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ign w:val="center"/>
          </w:tcPr>
          <w:p w14:paraId="04CEC7B1">
            <w:pPr>
              <w:tabs>
                <w:tab w:val="left" w:pos="720"/>
              </w:tabs>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投标单位名称</w:t>
            </w:r>
          </w:p>
        </w:tc>
      </w:tr>
      <w:tr w14:paraId="4938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8A438E5">
            <w:pPr>
              <w:tabs>
                <w:tab w:val="left" w:pos="720"/>
              </w:tabs>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ign w:val="center"/>
          </w:tcPr>
          <w:p w14:paraId="089F56E4">
            <w:pPr>
              <w:tabs>
                <w:tab w:val="left" w:pos="720"/>
              </w:tabs>
              <w:snapToGrid w:val="0"/>
              <w:spacing w:after="12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ign w:val="center"/>
          </w:tcPr>
          <w:p w14:paraId="527A25CB">
            <w:pPr>
              <w:tabs>
                <w:tab w:val="left" w:pos="720"/>
              </w:tabs>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ign w:val="center"/>
          </w:tcPr>
          <w:p w14:paraId="272DD5F1">
            <w:pPr>
              <w:tabs>
                <w:tab w:val="left" w:pos="720"/>
              </w:tabs>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ign w:val="center"/>
          </w:tcPr>
          <w:p w14:paraId="60FA463A">
            <w:pPr>
              <w:tabs>
                <w:tab w:val="left" w:pos="720"/>
              </w:tabs>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14:paraId="390C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4A18CD97">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D8724E7">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744F56E">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5BEF6E4B">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36D5341D">
            <w:pPr>
              <w:tabs>
                <w:tab w:val="left" w:pos="720"/>
              </w:tabs>
              <w:snapToGrid w:val="0"/>
              <w:spacing w:line="360" w:lineRule="auto"/>
              <w:jc w:val="center"/>
              <w:rPr>
                <w:rFonts w:ascii="宋体" w:hAnsi="宋体" w:eastAsia="宋体" w:cs="宋体"/>
                <w:color w:val="auto"/>
                <w:szCs w:val="21"/>
                <w:highlight w:val="none"/>
              </w:rPr>
            </w:pPr>
          </w:p>
        </w:tc>
      </w:tr>
      <w:tr w14:paraId="57EC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A2EE96E">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1E1DF503">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28688219">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70AFE5B5">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1CE8C62">
            <w:pPr>
              <w:tabs>
                <w:tab w:val="left" w:pos="720"/>
              </w:tabs>
              <w:snapToGrid w:val="0"/>
              <w:spacing w:line="360" w:lineRule="auto"/>
              <w:jc w:val="center"/>
              <w:rPr>
                <w:rFonts w:ascii="宋体" w:hAnsi="宋体" w:eastAsia="宋体" w:cs="宋体"/>
                <w:color w:val="auto"/>
                <w:szCs w:val="21"/>
                <w:highlight w:val="none"/>
              </w:rPr>
            </w:pPr>
          </w:p>
        </w:tc>
      </w:tr>
      <w:tr w14:paraId="4A86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236B41D8">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65A60EAD">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45DDDD61">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103F48B1">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A58994F">
            <w:pPr>
              <w:tabs>
                <w:tab w:val="left" w:pos="720"/>
              </w:tabs>
              <w:snapToGrid w:val="0"/>
              <w:spacing w:line="360" w:lineRule="auto"/>
              <w:jc w:val="center"/>
              <w:rPr>
                <w:rFonts w:ascii="宋体" w:hAnsi="宋体" w:eastAsia="宋体" w:cs="宋体"/>
                <w:color w:val="auto"/>
                <w:szCs w:val="21"/>
                <w:highlight w:val="none"/>
              </w:rPr>
            </w:pPr>
          </w:p>
        </w:tc>
      </w:tr>
      <w:tr w14:paraId="2313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ACD581A">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2B945B90">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1FD151F1">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3EE8962A">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1637574D">
            <w:pPr>
              <w:tabs>
                <w:tab w:val="left" w:pos="720"/>
              </w:tabs>
              <w:snapToGrid w:val="0"/>
              <w:spacing w:line="360" w:lineRule="auto"/>
              <w:jc w:val="center"/>
              <w:rPr>
                <w:rFonts w:ascii="宋体" w:hAnsi="宋体" w:eastAsia="宋体" w:cs="宋体"/>
                <w:color w:val="auto"/>
                <w:szCs w:val="21"/>
                <w:highlight w:val="none"/>
              </w:rPr>
            </w:pPr>
          </w:p>
        </w:tc>
      </w:tr>
      <w:tr w14:paraId="33B0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20A8455">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582F3743">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7D6DC7BE">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20B45D3A">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1AB90E96">
            <w:pPr>
              <w:tabs>
                <w:tab w:val="left" w:pos="720"/>
              </w:tabs>
              <w:snapToGrid w:val="0"/>
              <w:spacing w:line="360" w:lineRule="auto"/>
              <w:jc w:val="center"/>
              <w:rPr>
                <w:rFonts w:ascii="宋体" w:hAnsi="宋体" w:eastAsia="宋体" w:cs="宋体"/>
                <w:color w:val="auto"/>
                <w:szCs w:val="21"/>
                <w:highlight w:val="none"/>
              </w:rPr>
            </w:pPr>
          </w:p>
        </w:tc>
      </w:tr>
      <w:tr w14:paraId="7DB0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4744E8E">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6873630">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C1E9AD2">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107AFD25">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2A0CCD9D">
            <w:pPr>
              <w:tabs>
                <w:tab w:val="left" w:pos="720"/>
              </w:tabs>
              <w:snapToGrid w:val="0"/>
              <w:spacing w:line="360" w:lineRule="auto"/>
              <w:jc w:val="center"/>
              <w:rPr>
                <w:rFonts w:ascii="宋体" w:hAnsi="宋体" w:eastAsia="宋体" w:cs="宋体"/>
                <w:color w:val="auto"/>
                <w:szCs w:val="21"/>
                <w:highlight w:val="none"/>
              </w:rPr>
            </w:pPr>
          </w:p>
        </w:tc>
      </w:tr>
      <w:tr w14:paraId="453A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743FF25">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57FBFCE5">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48467F49">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7B3C78CC">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2DFC6AA">
            <w:pPr>
              <w:tabs>
                <w:tab w:val="left" w:pos="720"/>
              </w:tabs>
              <w:snapToGrid w:val="0"/>
              <w:spacing w:line="360" w:lineRule="auto"/>
              <w:jc w:val="center"/>
              <w:rPr>
                <w:rFonts w:ascii="宋体" w:hAnsi="宋体" w:eastAsia="宋体" w:cs="宋体"/>
                <w:color w:val="auto"/>
                <w:szCs w:val="21"/>
                <w:highlight w:val="none"/>
              </w:rPr>
            </w:pPr>
          </w:p>
        </w:tc>
      </w:tr>
      <w:tr w14:paraId="0CB7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2D1AE403">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2E9F32C7">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0F178EAE">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77E89062">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796BE62">
            <w:pPr>
              <w:tabs>
                <w:tab w:val="left" w:pos="720"/>
              </w:tabs>
              <w:snapToGrid w:val="0"/>
              <w:spacing w:line="360" w:lineRule="auto"/>
              <w:jc w:val="center"/>
              <w:rPr>
                <w:rFonts w:ascii="宋体" w:hAnsi="宋体" w:eastAsia="宋体" w:cs="宋体"/>
                <w:color w:val="auto"/>
                <w:szCs w:val="21"/>
                <w:highlight w:val="none"/>
              </w:rPr>
            </w:pPr>
          </w:p>
        </w:tc>
      </w:tr>
    </w:tbl>
    <w:p w14:paraId="65F864DB">
      <w:pPr>
        <w:autoSpaceDE w:val="0"/>
        <w:autoSpaceDN w:val="0"/>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注：</w:t>
      </w:r>
      <w:r>
        <w:rPr>
          <w:rFonts w:ascii="宋体" w:hAnsi="宋体" w:eastAsia="宋体" w:cs="宋体"/>
          <w:color w:val="auto"/>
          <w:sz w:val="24"/>
          <w:highlight w:val="none"/>
        </w:rPr>
        <w:t>1.</w:t>
      </w:r>
      <w:r>
        <w:rPr>
          <w:rFonts w:hint="eastAsia" w:ascii="宋体" w:hAnsi="宋体" w:eastAsia="宋体" w:cs="宋体"/>
          <w:color w:val="auto"/>
          <w:sz w:val="24"/>
          <w:highlight w:val="none"/>
        </w:rPr>
        <w:t>参与编制技术标书所有人员名单应包括如编制技术投标方案、负责清样校对、负责打印及复印等所有人员在内的人员名单。</w:t>
      </w:r>
    </w:p>
    <w:p w14:paraId="3298D801">
      <w:pPr>
        <w:autoSpaceDE w:val="0"/>
        <w:autoSpaceDN w:val="0"/>
        <w:adjustRightInd w:val="0"/>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2.上述人员</w:t>
      </w:r>
      <w:r>
        <w:rPr>
          <w:rFonts w:hint="eastAsia" w:ascii="宋体" w:hAnsi="宋体" w:eastAsia="宋体" w:cs="宋体"/>
          <w:color w:val="auto"/>
          <w:sz w:val="24"/>
          <w:highlight w:val="none"/>
        </w:rPr>
        <w:t>须提供</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lang w:eastAsia="zh-CN"/>
        </w:rPr>
        <w:t>2025年8月或7月</w:t>
      </w:r>
      <w:r>
        <w:rPr>
          <w:rFonts w:hint="eastAsia" w:ascii="宋体" w:hAnsi="宋体" w:eastAsia="宋体" w:cs="宋体"/>
          <w:color w:val="auto"/>
          <w:sz w:val="24"/>
          <w:highlight w:val="none"/>
        </w:rPr>
        <w:t>的有效社保证明。</w:t>
      </w:r>
    </w:p>
    <w:p w14:paraId="5C1D1F6B">
      <w:pPr>
        <w:pStyle w:val="2"/>
        <w:tabs>
          <w:tab w:val="right" w:leader="dot" w:pos="9060"/>
        </w:tabs>
        <w:rPr>
          <w:rFonts w:ascii="宋体" w:hAnsi="宋体" w:eastAsia="宋体" w:cs="宋体"/>
          <w:color w:val="auto"/>
          <w:highlight w:val="none"/>
        </w:rPr>
      </w:pPr>
    </w:p>
    <w:p w14:paraId="7D684CA7">
      <w:pPr>
        <w:rPr>
          <w:rFonts w:ascii="宋体" w:hAnsi="宋体" w:eastAsia="宋体" w:cs="宋体"/>
          <w:color w:val="auto"/>
          <w:sz w:val="24"/>
          <w:highlight w:val="none"/>
        </w:rPr>
        <w:sectPr>
          <w:headerReference r:id="rId17" w:type="default"/>
          <w:footerReference r:id="rId18" w:type="default"/>
          <w:pgSz w:w="11906" w:h="16838"/>
          <w:pgMar w:top="1440" w:right="1440" w:bottom="1440" w:left="1440" w:header="851" w:footer="992" w:gutter="0"/>
          <w:pgNumType w:fmt="decimal"/>
          <w:cols w:space="0" w:num="1"/>
          <w:docGrid w:type="lines" w:linePitch="322" w:charSpace="0"/>
        </w:sectPr>
      </w:pPr>
    </w:p>
    <w:p w14:paraId="336E3F4A">
      <w:pPr>
        <w:autoSpaceDE w:val="0"/>
        <w:autoSpaceDN w:val="0"/>
        <w:adjustRightInd w:val="0"/>
        <w:snapToGrid w:val="0"/>
        <w:spacing w:line="360" w:lineRule="auto"/>
        <w:jc w:val="center"/>
        <w:rPr>
          <w:rFonts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rPr>
        <w:t>二、经济标投标文件格式</w:t>
      </w:r>
      <w:bookmarkEnd w:id="45"/>
    </w:p>
    <w:p w14:paraId="592DA3CE">
      <w:pPr>
        <w:widowControl/>
        <w:snapToGrid w:val="0"/>
        <w:spacing w:line="360" w:lineRule="auto"/>
        <w:jc w:val="left"/>
        <w:outlineLvl w:val="2"/>
        <w:rPr>
          <w:rFonts w:ascii="宋体" w:hAnsi="宋体" w:eastAsia="宋体" w:cs="宋体"/>
          <w:bCs/>
          <w:color w:val="auto"/>
          <w:spacing w:val="4"/>
          <w:sz w:val="24"/>
          <w:highlight w:val="none"/>
        </w:rPr>
      </w:pPr>
      <w:bookmarkStart w:id="46" w:name="_Toc16171"/>
    </w:p>
    <w:p w14:paraId="4865E404">
      <w:pPr>
        <w:widowControl/>
        <w:snapToGrid w:val="0"/>
        <w:spacing w:line="360" w:lineRule="auto"/>
        <w:jc w:val="left"/>
        <w:outlineLvl w:val="2"/>
        <w:rPr>
          <w:rFonts w:ascii="宋体" w:hAnsi="宋体" w:eastAsia="宋体" w:cs="宋体"/>
          <w:b/>
          <w:bCs/>
          <w:color w:val="auto"/>
          <w:kern w:val="0"/>
          <w:sz w:val="44"/>
          <w:szCs w:val="44"/>
          <w:highlight w:val="none"/>
          <w:lang w:val="zh-CN"/>
        </w:rPr>
      </w:pPr>
      <w:r>
        <w:rPr>
          <w:rFonts w:hint="eastAsia" w:ascii="宋体" w:hAnsi="宋体" w:eastAsia="宋体" w:cs="宋体"/>
          <w:bCs/>
          <w:color w:val="auto"/>
          <w:spacing w:val="4"/>
          <w:sz w:val="24"/>
          <w:highlight w:val="none"/>
        </w:rPr>
        <w:t>经济标格式一</w:t>
      </w:r>
      <w:bookmarkEnd w:id="46"/>
    </w:p>
    <w:p w14:paraId="3159C1B8">
      <w:pPr>
        <w:widowControl/>
        <w:topLinePunct/>
        <w:adjustRightInd w:val="0"/>
        <w:snapToGrid w:val="0"/>
        <w:spacing w:line="360" w:lineRule="auto"/>
        <w:jc w:val="center"/>
        <w:outlineLvl w:val="1"/>
        <w:rPr>
          <w:rFonts w:ascii="宋体" w:hAnsi="宋体" w:eastAsia="宋体" w:cs="宋体"/>
          <w:b/>
          <w:bCs/>
          <w:color w:val="auto"/>
          <w:spacing w:val="4"/>
          <w:kern w:val="0"/>
          <w:sz w:val="36"/>
          <w:szCs w:val="36"/>
          <w:highlight w:val="none"/>
        </w:rPr>
      </w:pPr>
      <w:bookmarkStart w:id="47" w:name="_Toc21286"/>
    </w:p>
    <w:p w14:paraId="1C56A545">
      <w:pPr>
        <w:widowControl/>
        <w:topLinePunct/>
        <w:adjustRightInd w:val="0"/>
        <w:snapToGrid w:val="0"/>
        <w:spacing w:line="360" w:lineRule="auto"/>
        <w:jc w:val="center"/>
        <w:outlineLvl w:val="1"/>
        <w:rPr>
          <w:rFonts w:ascii="宋体" w:hAnsi="宋体" w:eastAsia="宋体" w:cs="宋体"/>
          <w:b/>
          <w:bCs/>
          <w:color w:val="auto"/>
          <w:spacing w:val="4"/>
          <w:kern w:val="0"/>
          <w:sz w:val="36"/>
          <w:szCs w:val="36"/>
          <w:highlight w:val="none"/>
        </w:rPr>
      </w:pPr>
      <w:r>
        <w:rPr>
          <w:rFonts w:hint="eastAsia" w:ascii="宋体" w:hAnsi="宋体" w:eastAsia="宋体" w:cs="宋体"/>
          <w:b/>
          <w:bCs/>
          <w:color w:val="auto"/>
          <w:spacing w:val="4"/>
          <w:kern w:val="0"/>
          <w:sz w:val="36"/>
          <w:szCs w:val="36"/>
          <w:highlight w:val="none"/>
        </w:rPr>
        <w:t>广州建设工程施工招标投标书（经济标）</w:t>
      </w:r>
      <w:bookmarkEnd w:id="47"/>
    </w:p>
    <w:tbl>
      <w:tblPr>
        <w:tblStyle w:val="88"/>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858"/>
      </w:tblGrid>
      <w:tr w14:paraId="3F18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noWrap/>
            <w:vAlign w:val="center"/>
          </w:tcPr>
          <w:p w14:paraId="76D39AE6">
            <w:pPr>
              <w:autoSpaceDE w:val="0"/>
              <w:autoSpaceDN w:val="0"/>
              <w:adjustRightInd w:val="0"/>
              <w:snapToGrid w:val="0"/>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工程名称</w:t>
            </w:r>
          </w:p>
        </w:tc>
        <w:tc>
          <w:tcPr>
            <w:tcW w:w="5858" w:type="dxa"/>
            <w:tcBorders>
              <w:top w:val="single" w:color="auto" w:sz="4" w:space="0"/>
              <w:left w:val="single" w:color="auto" w:sz="4" w:space="0"/>
              <w:bottom w:val="single" w:color="auto" w:sz="4" w:space="0"/>
              <w:right w:val="single" w:color="auto" w:sz="4" w:space="0"/>
            </w:tcBorders>
            <w:noWrap/>
            <w:vAlign w:val="center"/>
          </w:tcPr>
          <w:p w14:paraId="32F7B611">
            <w:pPr>
              <w:autoSpaceDE w:val="0"/>
              <w:autoSpaceDN w:val="0"/>
              <w:adjustRightInd w:val="0"/>
              <w:snapToGrid w:val="0"/>
              <w:rPr>
                <w:rFonts w:ascii="宋体" w:hAnsi="宋体" w:eastAsia="宋体" w:cs="宋体"/>
                <w:bCs/>
                <w:color w:val="auto"/>
                <w:sz w:val="24"/>
                <w:highlight w:val="none"/>
                <w:lang w:val="zh-CN"/>
              </w:rPr>
            </w:pPr>
          </w:p>
        </w:tc>
      </w:tr>
      <w:tr w14:paraId="683E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3B11E12B">
            <w:pPr>
              <w:autoSpaceDE w:val="0"/>
              <w:autoSpaceDN w:val="0"/>
              <w:adjustRightInd w:val="0"/>
              <w:snapToGrid w:val="0"/>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投标总报价（元）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4004639D">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大写：</w:t>
            </w:r>
          </w:p>
        </w:tc>
      </w:tr>
      <w:tr w14:paraId="670C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7AED9813">
            <w:pPr>
              <w:widowControl/>
              <w:snapToGrid w:val="0"/>
              <w:jc w:val="center"/>
              <w:rPr>
                <w:rFonts w:ascii="宋体" w:hAnsi="宋体" w:eastAsia="宋体" w:cs="宋体"/>
                <w:bCs/>
                <w:color w:val="auto"/>
                <w:sz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164CF1AE">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小写：</w:t>
            </w:r>
          </w:p>
        </w:tc>
      </w:tr>
      <w:tr w14:paraId="2E62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2F536B10">
            <w:pPr>
              <w:autoSpaceDE w:val="0"/>
              <w:autoSpaceDN w:val="0"/>
              <w:adjustRightInd w:val="0"/>
              <w:snapToGrid w:val="0"/>
              <w:spacing w:after="120" w:line="480" w:lineRule="auto"/>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其中：</w:t>
            </w:r>
            <w:r>
              <w:rPr>
                <w:rFonts w:hint="eastAsia" w:ascii="宋体" w:hAnsi="宋体" w:eastAsia="宋体" w:cs="宋体"/>
                <w:bCs/>
                <w:color w:val="auto"/>
                <w:sz w:val="24"/>
                <w:highlight w:val="none"/>
                <w:lang w:val="zh-CN"/>
              </w:rPr>
              <w:t>人工费</w:t>
            </w:r>
            <w:r>
              <w:rPr>
                <w:rFonts w:hint="eastAsia" w:ascii="宋体" w:hAnsi="宋体" w:eastAsia="宋体" w:cs="宋体"/>
                <w:color w:val="auto"/>
                <w:sz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405E7A3A">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大写：</w:t>
            </w:r>
          </w:p>
        </w:tc>
      </w:tr>
      <w:tr w14:paraId="78DD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582E787D">
            <w:pPr>
              <w:widowControl/>
              <w:snapToGrid w:val="0"/>
              <w:jc w:val="center"/>
              <w:rPr>
                <w:rFonts w:ascii="宋体" w:hAnsi="宋体" w:eastAsia="宋体" w:cs="宋体"/>
                <w:bCs/>
                <w:color w:val="auto"/>
                <w:sz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6777FF13">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小写：</w:t>
            </w:r>
          </w:p>
        </w:tc>
      </w:tr>
      <w:tr w14:paraId="6055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noWrap/>
            <w:vAlign w:val="center"/>
          </w:tcPr>
          <w:p w14:paraId="48084781">
            <w:pPr>
              <w:widowControl/>
              <w:snapToGrid w:val="0"/>
              <w:spacing w:after="120" w:line="480" w:lineRule="auto"/>
              <w:jc w:val="left"/>
              <w:rPr>
                <w:rFonts w:ascii="宋体" w:hAnsi="宋体" w:eastAsia="宋体" w:cs="宋体"/>
                <w:b/>
                <w:color w:val="auto"/>
                <w:sz w:val="24"/>
                <w:highlight w:val="none"/>
                <w:lang w:val="zh-CN"/>
              </w:rPr>
            </w:pPr>
            <w:r>
              <w:rPr>
                <w:rFonts w:hint="eastAsia" w:ascii="宋体" w:hAnsi="宋体" w:eastAsia="宋体" w:cs="宋体"/>
                <w:bCs/>
                <w:color w:val="auto"/>
                <w:sz w:val="24"/>
                <w:highlight w:val="none"/>
                <w:lang w:val="zh-CN"/>
              </w:rPr>
              <w:t>其中：</w:t>
            </w:r>
            <w:r>
              <w:rPr>
                <w:rFonts w:hint="eastAsia" w:ascii="宋体" w:hAnsi="宋体" w:eastAsia="宋体" w:cs="宋体"/>
                <w:color w:val="auto"/>
                <w:sz w:val="24"/>
                <w:highlight w:val="none"/>
                <w:lang w:val="zh-CN"/>
              </w:rPr>
              <w:t>绿色施工安全防护措施费（元）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1255B2A4">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大写：</w:t>
            </w:r>
          </w:p>
        </w:tc>
      </w:tr>
      <w:tr w14:paraId="4F72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noWrap/>
            <w:vAlign w:val="center"/>
          </w:tcPr>
          <w:p w14:paraId="6E840BEE">
            <w:pPr>
              <w:widowControl/>
              <w:snapToGrid w:val="0"/>
              <w:jc w:val="left"/>
              <w:rPr>
                <w:rFonts w:ascii="宋体" w:hAnsi="宋体" w:eastAsia="宋体" w:cs="宋体"/>
                <w:bCs/>
                <w:color w:val="auto"/>
                <w:sz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60B81101">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小写：</w:t>
            </w:r>
          </w:p>
        </w:tc>
      </w:tr>
      <w:tr w14:paraId="44D2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22E4049C">
            <w:pPr>
              <w:widowControl/>
              <w:snapToGrid w:val="0"/>
              <w:spacing w:after="120" w:line="480" w:lineRule="auto"/>
              <w:jc w:val="left"/>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其中：暂列金额</w:t>
            </w:r>
            <w:r>
              <w:rPr>
                <w:rFonts w:hint="eastAsia" w:ascii="宋体" w:hAnsi="宋体" w:eastAsia="宋体" w:cs="宋体"/>
                <w:color w:val="auto"/>
                <w:sz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319764F4">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大写：</w:t>
            </w:r>
          </w:p>
        </w:tc>
      </w:tr>
      <w:tr w14:paraId="21A7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0A03E3A6">
            <w:pPr>
              <w:widowControl/>
              <w:snapToGrid w:val="0"/>
              <w:spacing w:line="360" w:lineRule="auto"/>
              <w:jc w:val="left"/>
              <w:rPr>
                <w:rFonts w:ascii="宋体" w:hAnsi="宋体" w:eastAsia="宋体" w:cs="宋体"/>
                <w:bCs/>
                <w:color w:val="auto"/>
                <w:sz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02189DA7">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小写：</w:t>
            </w:r>
          </w:p>
        </w:tc>
      </w:tr>
      <w:tr w14:paraId="13B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3760BCE6">
            <w:pPr>
              <w:widowControl/>
              <w:snapToGrid w:val="0"/>
              <w:spacing w:after="120" w:line="480" w:lineRule="auto"/>
              <w:jc w:val="left"/>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其中：暂估价</w:t>
            </w:r>
            <w:r>
              <w:rPr>
                <w:rFonts w:hint="eastAsia" w:ascii="宋体" w:hAnsi="宋体" w:eastAsia="宋体" w:cs="宋体"/>
                <w:color w:val="auto"/>
                <w:sz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0B937A0E">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大写：</w:t>
            </w:r>
          </w:p>
        </w:tc>
      </w:tr>
      <w:tr w14:paraId="3C4C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76991316">
            <w:pPr>
              <w:widowControl/>
              <w:snapToGrid w:val="0"/>
              <w:spacing w:line="360" w:lineRule="auto"/>
              <w:jc w:val="left"/>
              <w:rPr>
                <w:rFonts w:ascii="宋体" w:hAnsi="宋体" w:eastAsia="宋体" w:cs="宋体"/>
                <w:bCs/>
                <w:color w:val="auto"/>
                <w:sz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239B507C">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小写：</w:t>
            </w:r>
          </w:p>
        </w:tc>
      </w:tr>
    </w:tbl>
    <w:p w14:paraId="05C98E82">
      <w:pPr>
        <w:widowControl/>
        <w:snapToGrid w:val="0"/>
        <w:spacing w:line="360" w:lineRule="auto"/>
        <w:jc w:val="left"/>
        <w:outlineLvl w:val="2"/>
        <w:rPr>
          <w:rFonts w:ascii="宋体" w:hAnsi="宋体" w:eastAsia="宋体" w:cs="宋体"/>
          <w:color w:val="auto"/>
          <w:kern w:val="0"/>
          <w:sz w:val="24"/>
          <w:highlight w:val="none"/>
        </w:rPr>
      </w:pPr>
    </w:p>
    <w:p w14:paraId="075C1739">
      <w:pPr>
        <w:widowControl/>
        <w:snapToGrid w:val="0"/>
        <w:spacing w:line="360" w:lineRule="auto"/>
        <w:jc w:val="left"/>
        <w:outlineLvl w:val="2"/>
        <w:rPr>
          <w:rFonts w:ascii="宋体" w:hAnsi="宋体" w:eastAsia="宋体" w:cs="宋体"/>
          <w:bCs/>
          <w:color w:val="auto"/>
          <w:kern w:val="0"/>
          <w:sz w:val="24"/>
          <w:highlight w:val="none"/>
        </w:rPr>
      </w:pPr>
      <w:r>
        <w:rPr>
          <w:rFonts w:ascii="宋体" w:hAnsi="宋体" w:eastAsia="宋体" w:cs="宋体"/>
          <w:color w:val="auto"/>
          <w:kern w:val="0"/>
          <w:sz w:val="24"/>
          <w:highlight w:val="none"/>
        </w:rPr>
        <w:br w:type="page"/>
      </w:r>
      <w:bookmarkStart w:id="48" w:name="_Toc30992"/>
      <w:r>
        <w:rPr>
          <w:rFonts w:hint="eastAsia" w:ascii="宋体" w:hAnsi="宋体" w:eastAsia="宋体" w:cs="宋体"/>
          <w:bCs/>
          <w:color w:val="auto"/>
          <w:spacing w:val="4"/>
          <w:sz w:val="24"/>
          <w:highlight w:val="none"/>
        </w:rPr>
        <w:t>经济标格式二</w:t>
      </w:r>
      <w:bookmarkEnd w:id="48"/>
    </w:p>
    <w:p w14:paraId="0B004039">
      <w:pPr>
        <w:widowControl/>
        <w:topLinePunct/>
        <w:adjustRightInd w:val="0"/>
        <w:snapToGrid w:val="0"/>
        <w:spacing w:line="360" w:lineRule="auto"/>
        <w:jc w:val="center"/>
        <w:outlineLvl w:val="1"/>
        <w:rPr>
          <w:rFonts w:ascii="宋体" w:hAnsi="宋体" w:eastAsia="宋体" w:cs="宋体"/>
          <w:b/>
          <w:bCs/>
          <w:color w:val="auto"/>
          <w:spacing w:val="4"/>
          <w:kern w:val="0"/>
          <w:sz w:val="36"/>
          <w:szCs w:val="36"/>
          <w:highlight w:val="none"/>
        </w:rPr>
      </w:pPr>
      <w:bookmarkStart w:id="49" w:name="_Toc30258"/>
      <w:r>
        <w:rPr>
          <w:rFonts w:hint="eastAsia" w:ascii="宋体" w:hAnsi="宋体" w:eastAsia="宋体" w:cs="宋体"/>
          <w:b/>
          <w:bCs/>
          <w:color w:val="auto"/>
          <w:spacing w:val="4"/>
          <w:kern w:val="0"/>
          <w:sz w:val="36"/>
          <w:szCs w:val="36"/>
          <w:highlight w:val="none"/>
        </w:rPr>
        <w:t>参与编制经济标投标文件人员名单</w:t>
      </w:r>
      <w:bookmarkEnd w:id="49"/>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14:paraId="2F16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9" w:type="dxa"/>
            <w:gridSpan w:val="5"/>
            <w:noWrap/>
            <w:vAlign w:val="center"/>
          </w:tcPr>
          <w:p w14:paraId="4878612E">
            <w:pPr>
              <w:tabs>
                <w:tab w:val="left" w:pos="720"/>
              </w:tabs>
              <w:snapToGrid w:val="0"/>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投标单位名称</w:t>
            </w:r>
          </w:p>
        </w:tc>
      </w:tr>
      <w:tr w14:paraId="6B1E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48026873">
            <w:pPr>
              <w:tabs>
                <w:tab w:val="left" w:pos="720"/>
              </w:tabs>
              <w:snapToGrid w:val="0"/>
              <w:jc w:val="center"/>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441" w:type="dxa"/>
            <w:noWrap/>
            <w:vAlign w:val="center"/>
          </w:tcPr>
          <w:p w14:paraId="1B2D7793">
            <w:pPr>
              <w:tabs>
                <w:tab w:val="left" w:pos="720"/>
              </w:tabs>
              <w:snapToGrid w:val="0"/>
              <w:spacing w:after="120" w:line="48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461" w:type="dxa"/>
            <w:noWrap/>
            <w:vAlign w:val="center"/>
          </w:tcPr>
          <w:p w14:paraId="3683EF73">
            <w:pPr>
              <w:tabs>
                <w:tab w:val="left" w:pos="720"/>
              </w:tabs>
              <w:snapToGrid w:val="0"/>
              <w:jc w:val="center"/>
              <w:rPr>
                <w:rFonts w:ascii="宋体" w:hAnsi="宋体" w:eastAsia="宋体" w:cs="宋体"/>
                <w:color w:val="auto"/>
                <w:sz w:val="24"/>
                <w:highlight w:val="none"/>
              </w:rPr>
            </w:pPr>
            <w:r>
              <w:rPr>
                <w:rFonts w:hint="eastAsia" w:ascii="宋体" w:hAnsi="宋体" w:eastAsia="宋体" w:cs="宋体"/>
                <w:color w:val="auto"/>
                <w:sz w:val="24"/>
                <w:highlight w:val="none"/>
              </w:rPr>
              <w:t>所承担工作</w:t>
            </w:r>
          </w:p>
        </w:tc>
        <w:tc>
          <w:tcPr>
            <w:tcW w:w="2359" w:type="dxa"/>
            <w:noWrap/>
            <w:vAlign w:val="center"/>
          </w:tcPr>
          <w:p w14:paraId="1B4FA34B">
            <w:pPr>
              <w:tabs>
                <w:tab w:val="left" w:pos="720"/>
              </w:tabs>
              <w:snapToGrid w:val="0"/>
              <w:jc w:val="center"/>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419" w:type="dxa"/>
            <w:noWrap/>
            <w:vAlign w:val="center"/>
          </w:tcPr>
          <w:p w14:paraId="04B25B1F">
            <w:pPr>
              <w:tabs>
                <w:tab w:val="left" w:pos="720"/>
              </w:tabs>
              <w:snapToGrid w:val="0"/>
              <w:jc w:val="center"/>
              <w:rPr>
                <w:rFonts w:ascii="宋体" w:hAnsi="宋体" w:eastAsia="宋体" w:cs="宋体"/>
                <w:color w:val="auto"/>
                <w:sz w:val="24"/>
                <w:highlight w:val="none"/>
              </w:rPr>
            </w:pPr>
            <w:r>
              <w:rPr>
                <w:rFonts w:hint="eastAsia" w:ascii="宋体" w:hAnsi="宋体" w:eastAsia="宋体" w:cs="宋体"/>
                <w:color w:val="auto"/>
                <w:sz w:val="24"/>
                <w:highlight w:val="none"/>
              </w:rPr>
              <w:t>本人签名栏</w:t>
            </w:r>
          </w:p>
        </w:tc>
      </w:tr>
      <w:tr w14:paraId="06A1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7121E927">
            <w:pPr>
              <w:tabs>
                <w:tab w:val="left" w:pos="720"/>
              </w:tabs>
              <w:snapToGrid w:val="0"/>
              <w:jc w:val="center"/>
              <w:rPr>
                <w:rFonts w:ascii="宋体" w:hAnsi="宋体" w:eastAsia="宋体" w:cs="宋体"/>
                <w:color w:val="auto"/>
                <w:sz w:val="24"/>
                <w:highlight w:val="none"/>
              </w:rPr>
            </w:pPr>
          </w:p>
        </w:tc>
        <w:tc>
          <w:tcPr>
            <w:tcW w:w="1441" w:type="dxa"/>
            <w:noWrap/>
            <w:vAlign w:val="center"/>
          </w:tcPr>
          <w:p w14:paraId="4EA3BBBD">
            <w:pPr>
              <w:tabs>
                <w:tab w:val="left" w:pos="720"/>
              </w:tabs>
              <w:snapToGrid w:val="0"/>
              <w:jc w:val="center"/>
              <w:rPr>
                <w:rFonts w:ascii="宋体" w:hAnsi="宋体" w:eastAsia="宋体" w:cs="宋体"/>
                <w:color w:val="auto"/>
                <w:sz w:val="24"/>
                <w:highlight w:val="none"/>
              </w:rPr>
            </w:pPr>
          </w:p>
        </w:tc>
        <w:tc>
          <w:tcPr>
            <w:tcW w:w="2461" w:type="dxa"/>
            <w:noWrap/>
            <w:vAlign w:val="center"/>
          </w:tcPr>
          <w:p w14:paraId="733F78BB">
            <w:pPr>
              <w:tabs>
                <w:tab w:val="left" w:pos="720"/>
              </w:tabs>
              <w:snapToGrid w:val="0"/>
              <w:jc w:val="center"/>
              <w:rPr>
                <w:rFonts w:ascii="宋体" w:hAnsi="宋体" w:eastAsia="宋体" w:cs="宋体"/>
                <w:color w:val="auto"/>
                <w:sz w:val="24"/>
                <w:highlight w:val="none"/>
              </w:rPr>
            </w:pPr>
          </w:p>
        </w:tc>
        <w:tc>
          <w:tcPr>
            <w:tcW w:w="2359" w:type="dxa"/>
            <w:noWrap/>
            <w:vAlign w:val="center"/>
          </w:tcPr>
          <w:p w14:paraId="54B0F1E9">
            <w:pPr>
              <w:tabs>
                <w:tab w:val="left" w:pos="720"/>
              </w:tabs>
              <w:snapToGrid w:val="0"/>
              <w:jc w:val="center"/>
              <w:rPr>
                <w:rFonts w:ascii="宋体" w:hAnsi="宋体" w:eastAsia="宋体" w:cs="宋体"/>
                <w:color w:val="auto"/>
                <w:sz w:val="24"/>
                <w:highlight w:val="none"/>
              </w:rPr>
            </w:pPr>
          </w:p>
        </w:tc>
        <w:tc>
          <w:tcPr>
            <w:tcW w:w="1419" w:type="dxa"/>
            <w:noWrap/>
            <w:vAlign w:val="center"/>
          </w:tcPr>
          <w:p w14:paraId="15D5C173">
            <w:pPr>
              <w:tabs>
                <w:tab w:val="left" w:pos="720"/>
              </w:tabs>
              <w:snapToGrid w:val="0"/>
              <w:jc w:val="center"/>
              <w:rPr>
                <w:rFonts w:ascii="宋体" w:hAnsi="宋体" w:eastAsia="宋体" w:cs="宋体"/>
                <w:color w:val="auto"/>
                <w:sz w:val="24"/>
                <w:highlight w:val="none"/>
              </w:rPr>
            </w:pPr>
          </w:p>
        </w:tc>
      </w:tr>
      <w:tr w14:paraId="6366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38E3BCB6">
            <w:pPr>
              <w:tabs>
                <w:tab w:val="left" w:pos="720"/>
              </w:tabs>
              <w:snapToGrid w:val="0"/>
              <w:jc w:val="center"/>
              <w:rPr>
                <w:rFonts w:ascii="宋体" w:hAnsi="宋体" w:eastAsia="宋体" w:cs="宋体"/>
                <w:color w:val="auto"/>
                <w:sz w:val="24"/>
                <w:highlight w:val="none"/>
              </w:rPr>
            </w:pPr>
          </w:p>
        </w:tc>
        <w:tc>
          <w:tcPr>
            <w:tcW w:w="1441" w:type="dxa"/>
            <w:noWrap/>
            <w:vAlign w:val="center"/>
          </w:tcPr>
          <w:p w14:paraId="292E0BCF">
            <w:pPr>
              <w:tabs>
                <w:tab w:val="left" w:pos="720"/>
              </w:tabs>
              <w:snapToGrid w:val="0"/>
              <w:jc w:val="center"/>
              <w:rPr>
                <w:rFonts w:ascii="宋体" w:hAnsi="宋体" w:eastAsia="宋体" w:cs="宋体"/>
                <w:color w:val="auto"/>
                <w:sz w:val="24"/>
                <w:highlight w:val="none"/>
              </w:rPr>
            </w:pPr>
          </w:p>
        </w:tc>
        <w:tc>
          <w:tcPr>
            <w:tcW w:w="2461" w:type="dxa"/>
            <w:noWrap/>
            <w:vAlign w:val="center"/>
          </w:tcPr>
          <w:p w14:paraId="1856FD99">
            <w:pPr>
              <w:tabs>
                <w:tab w:val="left" w:pos="720"/>
              </w:tabs>
              <w:snapToGrid w:val="0"/>
              <w:jc w:val="center"/>
              <w:rPr>
                <w:rFonts w:ascii="宋体" w:hAnsi="宋体" w:eastAsia="宋体" w:cs="宋体"/>
                <w:color w:val="auto"/>
                <w:sz w:val="24"/>
                <w:highlight w:val="none"/>
              </w:rPr>
            </w:pPr>
          </w:p>
        </w:tc>
        <w:tc>
          <w:tcPr>
            <w:tcW w:w="2359" w:type="dxa"/>
            <w:noWrap/>
            <w:vAlign w:val="center"/>
          </w:tcPr>
          <w:p w14:paraId="6CB696BE">
            <w:pPr>
              <w:tabs>
                <w:tab w:val="left" w:pos="720"/>
              </w:tabs>
              <w:snapToGrid w:val="0"/>
              <w:jc w:val="center"/>
              <w:rPr>
                <w:rFonts w:ascii="宋体" w:hAnsi="宋体" w:eastAsia="宋体" w:cs="宋体"/>
                <w:color w:val="auto"/>
                <w:sz w:val="24"/>
                <w:highlight w:val="none"/>
              </w:rPr>
            </w:pPr>
          </w:p>
        </w:tc>
        <w:tc>
          <w:tcPr>
            <w:tcW w:w="1419" w:type="dxa"/>
            <w:noWrap/>
            <w:vAlign w:val="center"/>
          </w:tcPr>
          <w:p w14:paraId="7E2822AE">
            <w:pPr>
              <w:tabs>
                <w:tab w:val="left" w:pos="720"/>
              </w:tabs>
              <w:snapToGrid w:val="0"/>
              <w:jc w:val="center"/>
              <w:rPr>
                <w:rFonts w:ascii="宋体" w:hAnsi="宋体" w:eastAsia="宋体" w:cs="宋体"/>
                <w:color w:val="auto"/>
                <w:sz w:val="24"/>
                <w:highlight w:val="none"/>
              </w:rPr>
            </w:pPr>
          </w:p>
        </w:tc>
      </w:tr>
      <w:tr w14:paraId="4366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4239AC17">
            <w:pPr>
              <w:tabs>
                <w:tab w:val="left" w:pos="720"/>
              </w:tabs>
              <w:snapToGrid w:val="0"/>
              <w:jc w:val="center"/>
              <w:rPr>
                <w:rFonts w:ascii="宋体" w:hAnsi="宋体" w:eastAsia="宋体" w:cs="宋体"/>
                <w:color w:val="auto"/>
                <w:sz w:val="24"/>
                <w:highlight w:val="none"/>
              </w:rPr>
            </w:pPr>
          </w:p>
        </w:tc>
        <w:tc>
          <w:tcPr>
            <w:tcW w:w="1441" w:type="dxa"/>
            <w:noWrap/>
            <w:vAlign w:val="center"/>
          </w:tcPr>
          <w:p w14:paraId="4462B2BA">
            <w:pPr>
              <w:tabs>
                <w:tab w:val="left" w:pos="720"/>
              </w:tabs>
              <w:snapToGrid w:val="0"/>
              <w:jc w:val="center"/>
              <w:rPr>
                <w:rFonts w:ascii="宋体" w:hAnsi="宋体" w:eastAsia="宋体" w:cs="宋体"/>
                <w:color w:val="auto"/>
                <w:sz w:val="24"/>
                <w:highlight w:val="none"/>
              </w:rPr>
            </w:pPr>
          </w:p>
        </w:tc>
        <w:tc>
          <w:tcPr>
            <w:tcW w:w="2461" w:type="dxa"/>
            <w:noWrap/>
            <w:vAlign w:val="center"/>
          </w:tcPr>
          <w:p w14:paraId="44A7A04F">
            <w:pPr>
              <w:tabs>
                <w:tab w:val="left" w:pos="720"/>
              </w:tabs>
              <w:snapToGrid w:val="0"/>
              <w:jc w:val="center"/>
              <w:rPr>
                <w:rFonts w:ascii="宋体" w:hAnsi="宋体" w:eastAsia="宋体" w:cs="宋体"/>
                <w:color w:val="auto"/>
                <w:sz w:val="24"/>
                <w:highlight w:val="none"/>
              </w:rPr>
            </w:pPr>
          </w:p>
        </w:tc>
        <w:tc>
          <w:tcPr>
            <w:tcW w:w="2359" w:type="dxa"/>
            <w:noWrap/>
            <w:vAlign w:val="center"/>
          </w:tcPr>
          <w:p w14:paraId="19786BBB">
            <w:pPr>
              <w:tabs>
                <w:tab w:val="left" w:pos="720"/>
              </w:tabs>
              <w:snapToGrid w:val="0"/>
              <w:jc w:val="center"/>
              <w:rPr>
                <w:rFonts w:ascii="宋体" w:hAnsi="宋体" w:eastAsia="宋体" w:cs="宋体"/>
                <w:color w:val="auto"/>
                <w:sz w:val="24"/>
                <w:highlight w:val="none"/>
              </w:rPr>
            </w:pPr>
          </w:p>
        </w:tc>
        <w:tc>
          <w:tcPr>
            <w:tcW w:w="1419" w:type="dxa"/>
            <w:noWrap/>
            <w:vAlign w:val="center"/>
          </w:tcPr>
          <w:p w14:paraId="0819024E">
            <w:pPr>
              <w:tabs>
                <w:tab w:val="left" w:pos="720"/>
              </w:tabs>
              <w:snapToGrid w:val="0"/>
              <w:jc w:val="center"/>
              <w:rPr>
                <w:rFonts w:ascii="宋体" w:hAnsi="宋体" w:eastAsia="宋体" w:cs="宋体"/>
                <w:color w:val="auto"/>
                <w:sz w:val="24"/>
                <w:highlight w:val="none"/>
              </w:rPr>
            </w:pPr>
          </w:p>
        </w:tc>
      </w:tr>
      <w:tr w14:paraId="3F16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72D6F225">
            <w:pPr>
              <w:tabs>
                <w:tab w:val="left" w:pos="720"/>
              </w:tabs>
              <w:snapToGrid w:val="0"/>
              <w:jc w:val="center"/>
              <w:rPr>
                <w:rFonts w:ascii="宋体" w:hAnsi="宋体" w:eastAsia="宋体" w:cs="宋体"/>
                <w:color w:val="auto"/>
                <w:sz w:val="24"/>
                <w:highlight w:val="none"/>
              </w:rPr>
            </w:pPr>
          </w:p>
        </w:tc>
        <w:tc>
          <w:tcPr>
            <w:tcW w:w="1441" w:type="dxa"/>
            <w:noWrap/>
            <w:vAlign w:val="center"/>
          </w:tcPr>
          <w:p w14:paraId="2A3CB0F3">
            <w:pPr>
              <w:tabs>
                <w:tab w:val="left" w:pos="720"/>
              </w:tabs>
              <w:snapToGrid w:val="0"/>
              <w:jc w:val="center"/>
              <w:rPr>
                <w:rFonts w:ascii="宋体" w:hAnsi="宋体" w:eastAsia="宋体" w:cs="宋体"/>
                <w:color w:val="auto"/>
                <w:sz w:val="24"/>
                <w:highlight w:val="none"/>
              </w:rPr>
            </w:pPr>
          </w:p>
        </w:tc>
        <w:tc>
          <w:tcPr>
            <w:tcW w:w="2461" w:type="dxa"/>
            <w:noWrap/>
            <w:vAlign w:val="center"/>
          </w:tcPr>
          <w:p w14:paraId="269CD179">
            <w:pPr>
              <w:tabs>
                <w:tab w:val="left" w:pos="720"/>
              </w:tabs>
              <w:snapToGrid w:val="0"/>
              <w:jc w:val="center"/>
              <w:rPr>
                <w:rFonts w:ascii="宋体" w:hAnsi="宋体" w:eastAsia="宋体" w:cs="宋体"/>
                <w:color w:val="auto"/>
                <w:sz w:val="24"/>
                <w:highlight w:val="none"/>
              </w:rPr>
            </w:pPr>
          </w:p>
        </w:tc>
        <w:tc>
          <w:tcPr>
            <w:tcW w:w="2359" w:type="dxa"/>
            <w:noWrap/>
            <w:vAlign w:val="center"/>
          </w:tcPr>
          <w:p w14:paraId="7A46A9F0">
            <w:pPr>
              <w:tabs>
                <w:tab w:val="left" w:pos="720"/>
              </w:tabs>
              <w:snapToGrid w:val="0"/>
              <w:jc w:val="center"/>
              <w:rPr>
                <w:rFonts w:ascii="宋体" w:hAnsi="宋体" w:eastAsia="宋体" w:cs="宋体"/>
                <w:color w:val="auto"/>
                <w:sz w:val="24"/>
                <w:highlight w:val="none"/>
              </w:rPr>
            </w:pPr>
          </w:p>
        </w:tc>
        <w:tc>
          <w:tcPr>
            <w:tcW w:w="1419" w:type="dxa"/>
            <w:noWrap/>
            <w:vAlign w:val="center"/>
          </w:tcPr>
          <w:p w14:paraId="5EC7273D">
            <w:pPr>
              <w:tabs>
                <w:tab w:val="left" w:pos="720"/>
              </w:tabs>
              <w:snapToGrid w:val="0"/>
              <w:jc w:val="center"/>
              <w:rPr>
                <w:rFonts w:ascii="宋体" w:hAnsi="宋体" w:eastAsia="宋体" w:cs="宋体"/>
                <w:color w:val="auto"/>
                <w:sz w:val="24"/>
                <w:highlight w:val="none"/>
              </w:rPr>
            </w:pPr>
          </w:p>
        </w:tc>
      </w:tr>
      <w:tr w14:paraId="1421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F718C2E">
            <w:pPr>
              <w:tabs>
                <w:tab w:val="left" w:pos="720"/>
              </w:tabs>
              <w:snapToGrid w:val="0"/>
              <w:jc w:val="center"/>
              <w:rPr>
                <w:rFonts w:ascii="宋体" w:hAnsi="宋体" w:eastAsia="宋体" w:cs="宋体"/>
                <w:color w:val="auto"/>
                <w:sz w:val="24"/>
                <w:highlight w:val="none"/>
              </w:rPr>
            </w:pPr>
          </w:p>
        </w:tc>
        <w:tc>
          <w:tcPr>
            <w:tcW w:w="1441" w:type="dxa"/>
            <w:noWrap/>
            <w:vAlign w:val="center"/>
          </w:tcPr>
          <w:p w14:paraId="11195EC5">
            <w:pPr>
              <w:tabs>
                <w:tab w:val="left" w:pos="720"/>
              </w:tabs>
              <w:snapToGrid w:val="0"/>
              <w:jc w:val="center"/>
              <w:rPr>
                <w:rFonts w:ascii="宋体" w:hAnsi="宋体" w:eastAsia="宋体" w:cs="宋体"/>
                <w:color w:val="auto"/>
                <w:sz w:val="24"/>
                <w:highlight w:val="none"/>
              </w:rPr>
            </w:pPr>
          </w:p>
        </w:tc>
        <w:tc>
          <w:tcPr>
            <w:tcW w:w="2461" w:type="dxa"/>
            <w:noWrap/>
            <w:vAlign w:val="center"/>
          </w:tcPr>
          <w:p w14:paraId="2A77292C">
            <w:pPr>
              <w:tabs>
                <w:tab w:val="left" w:pos="720"/>
              </w:tabs>
              <w:snapToGrid w:val="0"/>
              <w:jc w:val="center"/>
              <w:rPr>
                <w:rFonts w:ascii="宋体" w:hAnsi="宋体" w:eastAsia="宋体" w:cs="宋体"/>
                <w:color w:val="auto"/>
                <w:sz w:val="24"/>
                <w:highlight w:val="none"/>
              </w:rPr>
            </w:pPr>
          </w:p>
        </w:tc>
        <w:tc>
          <w:tcPr>
            <w:tcW w:w="2359" w:type="dxa"/>
            <w:noWrap/>
            <w:vAlign w:val="center"/>
          </w:tcPr>
          <w:p w14:paraId="1F4F31C5">
            <w:pPr>
              <w:tabs>
                <w:tab w:val="left" w:pos="720"/>
              </w:tabs>
              <w:snapToGrid w:val="0"/>
              <w:jc w:val="center"/>
              <w:rPr>
                <w:rFonts w:ascii="宋体" w:hAnsi="宋体" w:eastAsia="宋体" w:cs="宋体"/>
                <w:color w:val="auto"/>
                <w:sz w:val="24"/>
                <w:highlight w:val="none"/>
              </w:rPr>
            </w:pPr>
          </w:p>
        </w:tc>
        <w:tc>
          <w:tcPr>
            <w:tcW w:w="1419" w:type="dxa"/>
            <w:noWrap/>
            <w:vAlign w:val="center"/>
          </w:tcPr>
          <w:p w14:paraId="456982F6">
            <w:pPr>
              <w:tabs>
                <w:tab w:val="left" w:pos="720"/>
              </w:tabs>
              <w:snapToGrid w:val="0"/>
              <w:jc w:val="center"/>
              <w:rPr>
                <w:rFonts w:ascii="宋体" w:hAnsi="宋体" w:eastAsia="宋体" w:cs="宋体"/>
                <w:color w:val="auto"/>
                <w:sz w:val="24"/>
                <w:highlight w:val="none"/>
              </w:rPr>
            </w:pPr>
          </w:p>
        </w:tc>
      </w:tr>
      <w:tr w14:paraId="6B13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25FC898">
            <w:pPr>
              <w:tabs>
                <w:tab w:val="left" w:pos="720"/>
              </w:tabs>
              <w:snapToGrid w:val="0"/>
              <w:jc w:val="center"/>
              <w:rPr>
                <w:rFonts w:ascii="宋体" w:hAnsi="宋体" w:eastAsia="宋体" w:cs="宋体"/>
                <w:color w:val="auto"/>
                <w:sz w:val="24"/>
                <w:highlight w:val="none"/>
              </w:rPr>
            </w:pPr>
          </w:p>
        </w:tc>
        <w:tc>
          <w:tcPr>
            <w:tcW w:w="1441" w:type="dxa"/>
            <w:noWrap/>
            <w:vAlign w:val="center"/>
          </w:tcPr>
          <w:p w14:paraId="645A2C01">
            <w:pPr>
              <w:tabs>
                <w:tab w:val="left" w:pos="720"/>
              </w:tabs>
              <w:snapToGrid w:val="0"/>
              <w:jc w:val="center"/>
              <w:rPr>
                <w:rFonts w:ascii="宋体" w:hAnsi="宋体" w:eastAsia="宋体" w:cs="宋体"/>
                <w:color w:val="auto"/>
                <w:sz w:val="24"/>
                <w:highlight w:val="none"/>
              </w:rPr>
            </w:pPr>
          </w:p>
        </w:tc>
        <w:tc>
          <w:tcPr>
            <w:tcW w:w="2461" w:type="dxa"/>
            <w:noWrap/>
            <w:vAlign w:val="center"/>
          </w:tcPr>
          <w:p w14:paraId="4E995B40">
            <w:pPr>
              <w:tabs>
                <w:tab w:val="left" w:pos="720"/>
              </w:tabs>
              <w:snapToGrid w:val="0"/>
              <w:jc w:val="center"/>
              <w:rPr>
                <w:rFonts w:ascii="宋体" w:hAnsi="宋体" w:eastAsia="宋体" w:cs="宋体"/>
                <w:color w:val="auto"/>
                <w:sz w:val="24"/>
                <w:highlight w:val="none"/>
              </w:rPr>
            </w:pPr>
          </w:p>
        </w:tc>
        <w:tc>
          <w:tcPr>
            <w:tcW w:w="2359" w:type="dxa"/>
            <w:noWrap/>
            <w:vAlign w:val="center"/>
          </w:tcPr>
          <w:p w14:paraId="3AD70531">
            <w:pPr>
              <w:tabs>
                <w:tab w:val="left" w:pos="720"/>
              </w:tabs>
              <w:snapToGrid w:val="0"/>
              <w:jc w:val="center"/>
              <w:rPr>
                <w:rFonts w:ascii="宋体" w:hAnsi="宋体" w:eastAsia="宋体" w:cs="宋体"/>
                <w:color w:val="auto"/>
                <w:sz w:val="24"/>
                <w:highlight w:val="none"/>
              </w:rPr>
            </w:pPr>
          </w:p>
        </w:tc>
        <w:tc>
          <w:tcPr>
            <w:tcW w:w="1419" w:type="dxa"/>
            <w:noWrap/>
            <w:vAlign w:val="center"/>
          </w:tcPr>
          <w:p w14:paraId="25E555DF">
            <w:pPr>
              <w:tabs>
                <w:tab w:val="left" w:pos="720"/>
              </w:tabs>
              <w:snapToGrid w:val="0"/>
              <w:jc w:val="center"/>
              <w:rPr>
                <w:rFonts w:ascii="宋体" w:hAnsi="宋体" w:eastAsia="宋体" w:cs="宋体"/>
                <w:color w:val="auto"/>
                <w:sz w:val="24"/>
                <w:highlight w:val="none"/>
              </w:rPr>
            </w:pPr>
          </w:p>
        </w:tc>
      </w:tr>
      <w:tr w14:paraId="62A9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020C901D">
            <w:pPr>
              <w:tabs>
                <w:tab w:val="left" w:pos="720"/>
              </w:tabs>
              <w:snapToGrid w:val="0"/>
              <w:jc w:val="center"/>
              <w:rPr>
                <w:rFonts w:ascii="宋体" w:hAnsi="宋体" w:eastAsia="宋体" w:cs="宋体"/>
                <w:color w:val="auto"/>
                <w:sz w:val="24"/>
                <w:highlight w:val="none"/>
              </w:rPr>
            </w:pPr>
          </w:p>
        </w:tc>
        <w:tc>
          <w:tcPr>
            <w:tcW w:w="1441" w:type="dxa"/>
            <w:noWrap/>
            <w:vAlign w:val="center"/>
          </w:tcPr>
          <w:p w14:paraId="00DD0E81">
            <w:pPr>
              <w:tabs>
                <w:tab w:val="left" w:pos="720"/>
              </w:tabs>
              <w:snapToGrid w:val="0"/>
              <w:jc w:val="center"/>
              <w:rPr>
                <w:rFonts w:ascii="宋体" w:hAnsi="宋体" w:eastAsia="宋体" w:cs="宋体"/>
                <w:color w:val="auto"/>
                <w:sz w:val="24"/>
                <w:highlight w:val="none"/>
              </w:rPr>
            </w:pPr>
          </w:p>
        </w:tc>
        <w:tc>
          <w:tcPr>
            <w:tcW w:w="2461" w:type="dxa"/>
            <w:noWrap/>
            <w:vAlign w:val="center"/>
          </w:tcPr>
          <w:p w14:paraId="63EC6D3D">
            <w:pPr>
              <w:tabs>
                <w:tab w:val="left" w:pos="720"/>
              </w:tabs>
              <w:snapToGrid w:val="0"/>
              <w:jc w:val="center"/>
              <w:rPr>
                <w:rFonts w:ascii="宋体" w:hAnsi="宋体" w:eastAsia="宋体" w:cs="宋体"/>
                <w:color w:val="auto"/>
                <w:sz w:val="24"/>
                <w:highlight w:val="none"/>
              </w:rPr>
            </w:pPr>
          </w:p>
        </w:tc>
        <w:tc>
          <w:tcPr>
            <w:tcW w:w="2359" w:type="dxa"/>
            <w:noWrap/>
            <w:vAlign w:val="center"/>
          </w:tcPr>
          <w:p w14:paraId="0E6ED249">
            <w:pPr>
              <w:tabs>
                <w:tab w:val="left" w:pos="720"/>
              </w:tabs>
              <w:snapToGrid w:val="0"/>
              <w:jc w:val="center"/>
              <w:rPr>
                <w:rFonts w:ascii="宋体" w:hAnsi="宋体" w:eastAsia="宋体" w:cs="宋体"/>
                <w:color w:val="auto"/>
                <w:sz w:val="24"/>
                <w:highlight w:val="none"/>
              </w:rPr>
            </w:pPr>
          </w:p>
        </w:tc>
        <w:tc>
          <w:tcPr>
            <w:tcW w:w="1419" w:type="dxa"/>
            <w:noWrap/>
            <w:vAlign w:val="center"/>
          </w:tcPr>
          <w:p w14:paraId="1B17972B">
            <w:pPr>
              <w:tabs>
                <w:tab w:val="left" w:pos="720"/>
              </w:tabs>
              <w:snapToGrid w:val="0"/>
              <w:jc w:val="center"/>
              <w:rPr>
                <w:rFonts w:ascii="宋体" w:hAnsi="宋体" w:eastAsia="宋体" w:cs="宋体"/>
                <w:color w:val="auto"/>
                <w:sz w:val="24"/>
                <w:highlight w:val="none"/>
              </w:rPr>
            </w:pPr>
          </w:p>
        </w:tc>
      </w:tr>
      <w:tr w14:paraId="4FFC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959C3CD">
            <w:pPr>
              <w:tabs>
                <w:tab w:val="left" w:pos="720"/>
              </w:tabs>
              <w:snapToGrid w:val="0"/>
              <w:jc w:val="center"/>
              <w:rPr>
                <w:rFonts w:ascii="宋体" w:hAnsi="宋体" w:eastAsia="宋体" w:cs="宋体"/>
                <w:color w:val="auto"/>
                <w:sz w:val="24"/>
                <w:highlight w:val="none"/>
              </w:rPr>
            </w:pPr>
          </w:p>
        </w:tc>
        <w:tc>
          <w:tcPr>
            <w:tcW w:w="1441" w:type="dxa"/>
            <w:noWrap/>
            <w:vAlign w:val="center"/>
          </w:tcPr>
          <w:p w14:paraId="511ABA0B">
            <w:pPr>
              <w:tabs>
                <w:tab w:val="left" w:pos="720"/>
              </w:tabs>
              <w:snapToGrid w:val="0"/>
              <w:jc w:val="center"/>
              <w:rPr>
                <w:rFonts w:ascii="宋体" w:hAnsi="宋体" w:eastAsia="宋体" w:cs="宋体"/>
                <w:color w:val="auto"/>
                <w:sz w:val="24"/>
                <w:highlight w:val="none"/>
              </w:rPr>
            </w:pPr>
          </w:p>
        </w:tc>
        <w:tc>
          <w:tcPr>
            <w:tcW w:w="2461" w:type="dxa"/>
            <w:noWrap/>
            <w:vAlign w:val="center"/>
          </w:tcPr>
          <w:p w14:paraId="5EECD296">
            <w:pPr>
              <w:tabs>
                <w:tab w:val="left" w:pos="720"/>
              </w:tabs>
              <w:snapToGrid w:val="0"/>
              <w:jc w:val="center"/>
              <w:rPr>
                <w:rFonts w:ascii="宋体" w:hAnsi="宋体" w:eastAsia="宋体" w:cs="宋体"/>
                <w:color w:val="auto"/>
                <w:sz w:val="24"/>
                <w:highlight w:val="none"/>
              </w:rPr>
            </w:pPr>
          </w:p>
        </w:tc>
        <w:tc>
          <w:tcPr>
            <w:tcW w:w="2359" w:type="dxa"/>
            <w:noWrap/>
            <w:vAlign w:val="center"/>
          </w:tcPr>
          <w:p w14:paraId="1910B168">
            <w:pPr>
              <w:tabs>
                <w:tab w:val="left" w:pos="720"/>
              </w:tabs>
              <w:snapToGrid w:val="0"/>
              <w:jc w:val="center"/>
              <w:rPr>
                <w:rFonts w:ascii="宋体" w:hAnsi="宋体" w:eastAsia="宋体" w:cs="宋体"/>
                <w:color w:val="auto"/>
                <w:sz w:val="24"/>
                <w:highlight w:val="none"/>
              </w:rPr>
            </w:pPr>
          </w:p>
        </w:tc>
        <w:tc>
          <w:tcPr>
            <w:tcW w:w="1419" w:type="dxa"/>
            <w:noWrap/>
            <w:vAlign w:val="center"/>
          </w:tcPr>
          <w:p w14:paraId="3A0112F4">
            <w:pPr>
              <w:tabs>
                <w:tab w:val="left" w:pos="720"/>
              </w:tabs>
              <w:snapToGrid w:val="0"/>
              <w:jc w:val="center"/>
              <w:rPr>
                <w:rFonts w:ascii="宋体" w:hAnsi="宋体" w:eastAsia="宋体" w:cs="宋体"/>
                <w:color w:val="auto"/>
                <w:sz w:val="24"/>
                <w:highlight w:val="none"/>
              </w:rPr>
            </w:pPr>
          </w:p>
        </w:tc>
      </w:tr>
    </w:tbl>
    <w:p w14:paraId="1DF10E8F">
      <w:pPr>
        <w:tabs>
          <w:tab w:val="left" w:pos="720"/>
        </w:tabs>
        <w:snapToGrid w:val="0"/>
        <w:spacing w:line="360" w:lineRule="auto"/>
        <w:rPr>
          <w:rFonts w:ascii="宋体" w:hAnsi="宋体" w:eastAsia="宋体" w:cs="宋体"/>
          <w:color w:val="auto"/>
          <w:sz w:val="24"/>
          <w:highlight w:val="none"/>
        </w:rPr>
      </w:pPr>
    </w:p>
    <w:p w14:paraId="2B68DFBF">
      <w:pPr>
        <w:topLinePunct/>
        <w:adjustRightInd w:val="0"/>
        <w:snapToGrid w:val="0"/>
        <w:spacing w:line="360" w:lineRule="auto"/>
        <w:ind w:firstLine="496" w:firstLineChars="200"/>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注：</w:t>
      </w:r>
      <w:r>
        <w:rPr>
          <w:rFonts w:ascii="宋体" w:hAnsi="宋体" w:eastAsia="宋体" w:cs="宋体"/>
          <w:color w:val="auto"/>
          <w:spacing w:val="4"/>
          <w:kern w:val="0"/>
          <w:sz w:val="24"/>
          <w:highlight w:val="none"/>
        </w:rPr>
        <w:t>1.</w:t>
      </w:r>
      <w:r>
        <w:rPr>
          <w:rFonts w:hint="eastAsia" w:ascii="宋体" w:hAnsi="宋体" w:eastAsia="宋体" w:cs="宋体"/>
          <w:color w:val="auto"/>
          <w:spacing w:val="4"/>
          <w:kern w:val="0"/>
          <w:sz w:val="24"/>
          <w:highlight w:val="none"/>
        </w:rPr>
        <w:t>参与编制经济标书所有人员名单应包括如编制各种专业工程量清单投标报价、负责清样校对、负责打印及复印等所有人员在内的人员名单。</w:t>
      </w:r>
    </w:p>
    <w:p w14:paraId="48B06DF7">
      <w:pPr>
        <w:topLinePunct/>
        <w:adjustRightInd w:val="0"/>
        <w:snapToGrid w:val="0"/>
        <w:spacing w:line="360" w:lineRule="auto"/>
        <w:ind w:firstLine="496" w:firstLineChars="200"/>
        <w:rPr>
          <w:rFonts w:ascii="宋体" w:hAnsi="宋体" w:eastAsia="宋体" w:cs="宋体"/>
          <w:color w:val="auto"/>
          <w:spacing w:val="4"/>
          <w:kern w:val="0"/>
          <w:sz w:val="24"/>
          <w:highlight w:val="none"/>
        </w:rPr>
      </w:pPr>
      <w:r>
        <w:rPr>
          <w:rFonts w:ascii="宋体" w:hAnsi="宋体" w:eastAsia="宋体" w:cs="宋体"/>
          <w:color w:val="auto"/>
          <w:spacing w:val="4"/>
          <w:kern w:val="0"/>
          <w:sz w:val="24"/>
          <w:highlight w:val="none"/>
        </w:rPr>
        <w:t>2.上述人员</w:t>
      </w:r>
      <w:r>
        <w:rPr>
          <w:rFonts w:hint="eastAsia" w:ascii="宋体" w:hAnsi="宋体" w:eastAsia="宋体" w:cs="宋体"/>
          <w:color w:val="auto"/>
          <w:spacing w:val="4"/>
          <w:kern w:val="0"/>
          <w:sz w:val="24"/>
          <w:highlight w:val="none"/>
        </w:rPr>
        <w:t>须提供在</w:t>
      </w:r>
      <w:r>
        <w:rPr>
          <w:rFonts w:hint="eastAsia" w:ascii="宋体" w:hAnsi="宋体" w:eastAsia="宋体" w:cs="宋体"/>
          <w:color w:val="auto"/>
          <w:spacing w:val="4"/>
          <w:kern w:val="0"/>
          <w:sz w:val="24"/>
          <w:highlight w:val="none"/>
          <w:lang w:eastAsia="zh-CN"/>
        </w:rPr>
        <w:t>2025年8月或7月</w:t>
      </w:r>
      <w:r>
        <w:rPr>
          <w:rFonts w:hint="eastAsia" w:ascii="宋体" w:hAnsi="宋体" w:eastAsia="宋体" w:cs="宋体"/>
          <w:color w:val="auto"/>
          <w:spacing w:val="4"/>
          <w:kern w:val="0"/>
          <w:sz w:val="24"/>
          <w:highlight w:val="none"/>
        </w:rPr>
        <w:t>的有效社保证明。</w:t>
      </w:r>
    </w:p>
    <w:p w14:paraId="336A2253">
      <w:pPr>
        <w:snapToGrid w:val="0"/>
        <w:spacing w:line="360" w:lineRule="auto"/>
        <w:rPr>
          <w:rFonts w:ascii="宋体" w:hAnsi="宋体" w:eastAsia="宋体" w:cs="宋体"/>
          <w:color w:val="auto"/>
          <w:szCs w:val="21"/>
          <w:highlight w:val="none"/>
        </w:rPr>
      </w:pPr>
    </w:p>
    <w:p w14:paraId="5DE6875D">
      <w:pPr>
        <w:rPr>
          <w:rFonts w:ascii="宋体" w:hAnsi="宋体" w:eastAsia="宋体" w:cs="宋体"/>
          <w:bCs/>
          <w:color w:val="auto"/>
          <w:spacing w:val="4"/>
          <w:sz w:val="24"/>
          <w:highlight w:val="none"/>
        </w:rPr>
      </w:pPr>
      <w:r>
        <w:rPr>
          <w:rFonts w:ascii="宋体" w:hAnsi="宋体" w:eastAsia="宋体" w:cs="宋体"/>
          <w:bCs/>
          <w:color w:val="auto"/>
          <w:spacing w:val="4"/>
          <w:sz w:val="24"/>
          <w:highlight w:val="none"/>
        </w:rPr>
        <w:br w:type="page"/>
      </w:r>
    </w:p>
    <w:p w14:paraId="4AC19CC6">
      <w:pPr>
        <w:topLinePunct/>
        <w:adjustRightInd w:val="0"/>
        <w:snapToGrid w:val="0"/>
        <w:spacing w:line="360" w:lineRule="auto"/>
        <w:rPr>
          <w:rFonts w:ascii="宋体" w:hAnsi="宋体" w:eastAsia="宋体" w:cs="宋体"/>
          <w:color w:val="auto"/>
          <w:spacing w:val="4"/>
          <w:kern w:val="0"/>
          <w:sz w:val="24"/>
          <w:highlight w:val="none"/>
        </w:rPr>
      </w:pPr>
      <w:r>
        <w:rPr>
          <w:rFonts w:hint="eastAsia" w:ascii="宋体" w:hAnsi="宋体" w:eastAsia="宋体" w:cs="宋体"/>
          <w:bCs/>
          <w:color w:val="auto"/>
          <w:spacing w:val="4"/>
          <w:sz w:val="24"/>
          <w:highlight w:val="none"/>
        </w:rPr>
        <w:t>经济标格式三</w:t>
      </w:r>
    </w:p>
    <w:p w14:paraId="451773BA">
      <w:pPr>
        <w:widowControl/>
        <w:topLinePunct/>
        <w:adjustRightInd w:val="0"/>
        <w:snapToGrid w:val="0"/>
        <w:spacing w:line="360" w:lineRule="auto"/>
        <w:jc w:val="center"/>
        <w:outlineLvl w:val="1"/>
        <w:rPr>
          <w:rFonts w:ascii="宋体" w:hAnsi="宋体" w:eastAsia="宋体" w:cs="宋体"/>
          <w:b/>
          <w:bCs/>
          <w:color w:val="auto"/>
          <w:spacing w:val="4"/>
          <w:kern w:val="0"/>
          <w:sz w:val="36"/>
          <w:szCs w:val="36"/>
          <w:highlight w:val="none"/>
        </w:rPr>
      </w:pPr>
      <w:bookmarkStart w:id="50" w:name="_Toc13531"/>
      <w:r>
        <w:rPr>
          <w:rFonts w:hint="eastAsia" w:ascii="宋体" w:hAnsi="宋体" w:eastAsia="宋体" w:cs="宋体"/>
          <w:b/>
          <w:bCs/>
          <w:color w:val="auto"/>
          <w:spacing w:val="4"/>
          <w:kern w:val="0"/>
          <w:sz w:val="36"/>
          <w:szCs w:val="36"/>
          <w:highlight w:val="none"/>
        </w:rPr>
        <w:t>对投标文件编制的承诺</w:t>
      </w:r>
      <w:bookmarkEnd w:id="50"/>
    </w:p>
    <w:p w14:paraId="0ABE2FED">
      <w:pPr>
        <w:snapToGrid w:val="0"/>
        <w:spacing w:line="360" w:lineRule="auto"/>
        <w:ind w:left="-2" w:leftChars="-1" w:firstLine="540" w:firstLineChars="225"/>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本公司授权</w:t>
      </w:r>
      <w:r>
        <w:rPr>
          <w:rFonts w:ascii="宋体" w:hAnsi="宋体" w:eastAsia="宋体" w:cs="宋体"/>
          <w:i/>
          <w:iCs/>
          <w:color w:val="auto"/>
          <w:kern w:val="0"/>
          <w:sz w:val="24"/>
          <w:highlight w:val="none"/>
          <w:u w:val="single"/>
        </w:rPr>
        <w:t xml:space="preserve">        </w:t>
      </w:r>
      <w:r>
        <w:rPr>
          <w:rFonts w:hint="eastAsia" w:ascii="宋体" w:hAnsi="宋体" w:eastAsia="宋体" w:cs="宋体"/>
          <w:color w:val="auto"/>
          <w:kern w:val="0"/>
          <w:sz w:val="24"/>
          <w:highlight w:val="none"/>
          <w:u w:val="single"/>
        </w:rPr>
        <w:t>（身份证号：</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负责对投标文件的编制及内容进行解释、说明，并承诺以下事项：</w:t>
      </w:r>
    </w:p>
    <w:p w14:paraId="1629A3A6">
      <w:pPr>
        <w:snapToGrid w:val="0"/>
        <w:spacing w:line="360" w:lineRule="auto"/>
        <w:ind w:left="-2" w:leftChars="-1" w:firstLine="540" w:firstLineChars="225"/>
        <w:rPr>
          <w:rFonts w:ascii="宋体" w:hAnsi="宋体" w:eastAsia="宋体" w:cs="宋体"/>
          <w:color w:val="auto"/>
          <w:kern w:val="0"/>
          <w:sz w:val="24"/>
          <w:highlight w:val="none"/>
        </w:rPr>
      </w:pPr>
      <w:r>
        <w:rPr>
          <w:rFonts w:ascii="宋体" w:hAnsi="宋体" w:eastAsia="宋体" w:cs="宋体"/>
          <w:color w:val="auto"/>
          <w:kern w:val="0"/>
          <w:sz w:val="24"/>
          <w:highlight w:val="none"/>
        </w:rPr>
        <w:t>1.被授权人清楚投标文件编制的具体情况，包括技术方案文件、工程量清单、以及投标文件的加密打包的理解；</w:t>
      </w:r>
    </w:p>
    <w:p w14:paraId="677DB9F0">
      <w:pPr>
        <w:snapToGrid w:val="0"/>
        <w:spacing w:line="360" w:lineRule="auto"/>
        <w:ind w:left="-2" w:leftChars="-1" w:firstLine="540" w:firstLineChars="225"/>
        <w:rPr>
          <w:rFonts w:ascii="宋体" w:hAnsi="宋体" w:eastAsia="宋体" w:cs="宋体"/>
          <w:color w:val="auto"/>
          <w:kern w:val="0"/>
          <w:sz w:val="24"/>
          <w:highlight w:val="none"/>
        </w:rPr>
      </w:pPr>
      <w:r>
        <w:rPr>
          <w:rFonts w:ascii="宋体" w:hAnsi="宋体" w:eastAsia="宋体" w:cs="宋体"/>
          <w:color w:val="auto"/>
          <w:kern w:val="0"/>
          <w:sz w:val="24"/>
          <w:highlight w:val="none"/>
        </w:rPr>
        <w:t>2.在本项目开标至评标结束前，努力确保被授权人在项目评标所在地附近；</w:t>
      </w:r>
    </w:p>
    <w:p w14:paraId="11480A9D">
      <w:pPr>
        <w:snapToGrid w:val="0"/>
        <w:spacing w:line="360" w:lineRule="auto"/>
        <w:ind w:left="-2" w:leftChars="-1" w:firstLine="540" w:firstLineChars="225"/>
        <w:rPr>
          <w:rFonts w:ascii="宋体" w:hAnsi="宋体" w:eastAsia="宋体" w:cs="宋体"/>
          <w:color w:val="auto"/>
          <w:kern w:val="0"/>
          <w:sz w:val="24"/>
          <w:highlight w:val="none"/>
        </w:rPr>
      </w:pPr>
      <w:r>
        <w:rPr>
          <w:rFonts w:ascii="宋体" w:hAnsi="宋体" w:eastAsia="宋体" w:cs="宋体"/>
          <w:color w:val="auto"/>
          <w:kern w:val="0"/>
          <w:sz w:val="24"/>
          <w:highlight w:val="none"/>
        </w:rPr>
        <w:t>3.从评标委员会要求澄清起二小时内，被授权人应如实地书面澄清。</w:t>
      </w:r>
    </w:p>
    <w:p w14:paraId="4D455C80">
      <w:pPr>
        <w:snapToGrid w:val="0"/>
        <w:spacing w:line="360" w:lineRule="auto"/>
        <w:ind w:left="-2" w:leftChars="-1" w:firstLine="540" w:firstLineChars="225"/>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如由于未遵守上述承诺内容之一导致无法进行澄清的，我公司认可和接受评标委员会作出的评审结论。</w:t>
      </w:r>
    </w:p>
    <w:p w14:paraId="4AAB65CD">
      <w:pPr>
        <w:snapToGrid w:val="0"/>
        <w:spacing w:line="360" w:lineRule="auto"/>
        <w:ind w:firstLine="360" w:firstLineChars="150"/>
        <w:rPr>
          <w:rFonts w:ascii="宋体" w:hAnsi="宋体" w:eastAsia="宋体" w:cs="宋体"/>
          <w:color w:val="auto"/>
          <w:kern w:val="0"/>
          <w:sz w:val="24"/>
          <w:highlight w:val="none"/>
        </w:rPr>
      </w:pPr>
    </w:p>
    <w:p w14:paraId="4AC7D526">
      <w:pP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附件：《投标文件编制情况》</w:t>
      </w:r>
    </w:p>
    <w:p w14:paraId="1A614C47">
      <w:pPr>
        <w:snapToGrid w:val="0"/>
        <w:spacing w:line="360" w:lineRule="auto"/>
        <w:ind w:right="90" w:firstLine="3240" w:firstLineChars="1350"/>
        <w:rPr>
          <w:rFonts w:ascii="宋体" w:hAnsi="宋体" w:eastAsia="宋体" w:cs="宋体"/>
          <w:color w:val="auto"/>
          <w:sz w:val="24"/>
          <w:highlight w:val="none"/>
        </w:rPr>
      </w:pPr>
    </w:p>
    <w:p w14:paraId="72393BA5">
      <w:pPr>
        <w:snapToGrid w:val="0"/>
        <w:spacing w:line="360" w:lineRule="auto"/>
        <w:ind w:right="90" w:firstLine="3960" w:firstLineChars="165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投标人名称（盖法人公章）：</w:t>
      </w:r>
    </w:p>
    <w:p w14:paraId="50146F46">
      <w:pPr>
        <w:snapToGrid w:val="0"/>
        <w:spacing w:line="360" w:lineRule="auto"/>
        <w:ind w:firstLine="4080" w:firstLineChars="1700"/>
        <w:outlineLvl w:val="1"/>
        <w:rPr>
          <w:rFonts w:ascii="宋体" w:hAnsi="宋体" w:eastAsia="宋体" w:cs="宋体"/>
          <w:color w:val="auto"/>
          <w:sz w:val="24"/>
          <w:highlight w:val="none"/>
        </w:rPr>
      </w:pPr>
      <w:bookmarkStart w:id="51" w:name="_Toc3751"/>
      <w:r>
        <w:rPr>
          <w:rFonts w:hint="eastAsia" w:ascii="宋体" w:hAnsi="宋体" w:eastAsia="宋体" w:cs="宋体"/>
          <w:color w:val="auto"/>
          <w:sz w:val="24"/>
          <w:highlight w:val="none"/>
        </w:rPr>
        <w:t>日期：</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年</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月</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日</w:t>
      </w:r>
      <w:bookmarkEnd w:id="51"/>
    </w:p>
    <w:p w14:paraId="2E511EB7">
      <w:pPr>
        <w:rPr>
          <w:rFonts w:ascii="宋体" w:hAnsi="宋体" w:eastAsia="宋体" w:cs="宋体"/>
          <w:color w:val="auto"/>
          <w:szCs w:val="21"/>
          <w:highlight w:val="none"/>
        </w:rPr>
      </w:pPr>
    </w:p>
    <w:p w14:paraId="37D0A3FA">
      <w:pPr>
        <w:widowControl/>
        <w:topLinePunct/>
        <w:adjustRightInd w:val="0"/>
        <w:snapToGrid w:val="0"/>
        <w:spacing w:line="360" w:lineRule="auto"/>
        <w:jc w:val="center"/>
        <w:outlineLvl w:val="1"/>
        <w:rPr>
          <w:rFonts w:ascii="宋体" w:hAnsi="宋体" w:eastAsia="宋体" w:cs="宋体"/>
          <w:b/>
          <w:bCs/>
          <w:color w:val="auto"/>
          <w:spacing w:val="4"/>
          <w:kern w:val="0"/>
          <w:sz w:val="36"/>
          <w:szCs w:val="36"/>
          <w:highlight w:val="none"/>
        </w:rPr>
      </w:pPr>
      <w:bookmarkStart w:id="52" w:name="_Toc22554"/>
      <w:r>
        <w:rPr>
          <w:rFonts w:hint="eastAsia" w:ascii="宋体" w:hAnsi="宋体" w:eastAsia="宋体" w:cs="宋体"/>
          <w:b/>
          <w:bCs/>
          <w:color w:val="auto"/>
          <w:spacing w:val="4"/>
          <w:kern w:val="0"/>
          <w:sz w:val="36"/>
          <w:szCs w:val="36"/>
          <w:highlight w:val="none"/>
        </w:rPr>
        <w:t>投标文件编制情况</w:t>
      </w:r>
      <w:bookmarkEnd w:id="52"/>
    </w:p>
    <w:p w14:paraId="355009C8">
      <w:pPr>
        <w:snapToGrid w:val="0"/>
        <w:spacing w:line="360" w:lineRule="auto"/>
        <w:ind w:firstLine="480" w:firstLineChars="200"/>
        <w:rPr>
          <w:rFonts w:ascii="宋体" w:hAnsi="宋体" w:eastAsia="宋体" w:cs="宋体"/>
          <w:color w:val="auto"/>
          <w:kern w:val="0"/>
          <w:sz w:val="24"/>
          <w:highlight w:val="none"/>
          <w:u w:val="single"/>
        </w:rPr>
      </w:pPr>
      <w:r>
        <w:rPr>
          <w:rFonts w:ascii="宋体" w:hAnsi="宋体" w:eastAsia="宋体" w:cs="宋体"/>
          <w:color w:val="auto"/>
          <w:kern w:val="0"/>
          <w:sz w:val="24"/>
          <w:highlight w:val="none"/>
        </w:rPr>
        <w:t>1.投标文件报价编制方式</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 xml:space="preserve"> □自行编制的，编制的负责人：</w:t>
      </w:r>
      <w:r>
        <w:rPr>
          <w:rFonts w:hint="eastAsia" w:ascii="宋体" w:hAnsi="宋体" w:eastAsia="宋体" w:cs="宋体"/>
          <w:color w:val="auto"/>
          <w:kern w:val="0"/>
          <w:sz w:val="24"/>
          <w:highlight w:val="none"/>
          <w:u w:val="single"/>
        </w:rPr>
        <w:t>（盖造价工程师执业专用章，执业单位应与投标人一致）</w:t>
      </w:r>
      <w:r>
        <w:rPr>
          <w:rFonts w:hint="eastAsia" w:ascii="宋体" w:hAnsi="宋体" w:eastAsia="宋体" w:cs="宋体"/>
          <w:color w:val="auto"/>
          <w:kern w:val="0"/>
          <w:sz w:val="24"/>
          <w:highlight w:val="none"/>
        </w:rPr>
        <w:t>。□委托编制的，受委托单位</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，编制的负责人：</w:t>
      </w:r>
      <w:r>
        <w:rPr>
          <w:rFonts w:hint="eastAsia" w:ascii="宋体" w:hAnsi="宋体" w:eastAsia="宋体" w:cs="宋体"/>
          <w:color w:val="auto"/>
          <w:kern w:val="0"/>
          <w:sz w:val="24"/>
          <w:highlight w:val="none"/>
          <w:u w:val="single"/>
        </w:rPr>
        <w:t>（盖造价工程师执业专用章，执业单位应与受委托单位一致）</w:t>
      </w:r>
      <w:r>
        <w:rPr>
          <w:rFonts w:hint="eastAsia" w:ascii="宋体" w:hAnsi="宋体" w:eastAsia="宋体" w:cs="宋体"/>
          <w:color w:val="auto"/>
          <w:kern w:val="0"/>
          <w:sz w:val="24"/>
          <w:highlight w:val="none"/>
        </w:rPr>
        <w:t>。</w:t>
      </w:r>
    </w:p>
    <w:p w14:paraId="5AFD26BA">
      <w:pPr>
        <w:snapToGrid w:val="0"/>
        <w:spacing w:line="360" w:lineRule="auto"/>
        <w:ind w:firstLine="480" w:firstLineChars="200"/>
        <w:rPr>
          <w:rFonts w:ascii="宋体" w:hAnsi="宋体" w:eastAsia="宋体" w:cs="宋体"/>
          <w:color w:val="auto"/>
          <w:kern w:val="0"/>
          <w:sz w:val="24"/>
          <w:highlight w:val="none"/>
        </w:rPr>
      </w:pPr>
      <w:r>
        <w:rPr>
          <w:rFonts w:ascii="宋体" w:hAnsi="宋体" w:eastAsia="宋体" w:cs="宋体"/>
          <w:color w:val="auto"/>
          <w:kern w:val="0"/>
          <w:sz w:val="24"/>
          <w:highlight w:val="none"/>
        </w:rPr>
        <w:t>2.投标文件加密打包的电脑情况</w:t>
      </w:r>
    </w:p>
    <w:tbl>
      <w:tblPr>
        <w:tblStyle w:val="88"/>
        <w:tblW w:w="0" w:type="auto"/>
        <w:tblInd w:w="0" w:type="dxa"/>
        <w:tblLayout w:type="fixed"/>
        <w:tblCellMar>
          <w:top w:w="0" w:type="dxa"/>
          <w:left w:w="108" w:type="dxa"/>
          <w:bottom w:w="0" w:type="dxa"/>
          <w:right w:w="108" w:type="dxa"/>
        </w:tblCellMar>
      </w:tblPr>
      <w:tblGrid>
        <w:gridCol w:w="9234"/>
      </w:tblGrid>
      <w:tr w14:paraId="049CFA8C">
        <w:tblPrEx>
          <w:tblCellMar>
            <w:top w:w="0" w:type="dxa"/>
            <w:left w:w="108" w:type="dxa"/>
            <w:bottom w:w="0" w:type="dxa"/>
            <w:right w:w="108" w:type="dxa"/>
          </w:tblCellMar>
        </w:tblPrEx>
        <w:trPr>
          <w:trHeight w:val="2185" w:hRule="atLeast"/>
        </w:trPr>
        <w:tc>
          <w:tcPr>
            <w:tcW w:w="9234" w:type="dxa"/>
            <w:noWrap/>
          </w:tcPr>
          <w:p w14:paraId="63F2A34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投标文件加密打包的电脑自有□外包□其他□</w:t>
            </w:r>
          </w:p>
          <w:p w14:paraId="1BD95C1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电脑类型</w:t>
            </w:r>
          </w:p>
          <w:p w14:paraId="7FB67964">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电脑所属单位</w:t>
            </w:r>
          </w:p>
          <w:p w14:paraId="60BDA86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电脑所在地址（如××市××区</w:t>
            </w:r>
            <w:r>
              <w:rPr>
                <w:rFonts w:ascii="宋体" w:hAnsi="宋体" w:eastAsia="宋体" w:cs="宋体"/>
                <w:color w:val="auto"/>
                <w:sz w:val="24"/>
                <w:highlight w:val="none"/>
              </w:rPr>
              <w:t xml:space="preserve">(县) </w:t>
            </w:r>
            <w:r>
              <w:rPr>
                <w:rFonts w:hint="eastAsia" w:ascii="宋体" w:hAnsi="宋体" w:eastAsia="宋体" w:cs="宋体"/>
                <w:color w:val="auto"/>
                <w:sz w:val="24"/>
                <w:highlight w:val="none"/>
              </w:rPr>
              <w:t>××街（路）××号××大厦××房）</w:t>
            </w:r>
          </w:p>
        </w:tc>
      </w:tr>
    </w:tbl>
    <w:p w14:paraId="28F94C71">
      <w:pPr>
        <w:snapToGrid w:val="0"/>
        <w:rPr>
          <w:rFonts w:ascii="宋体" w:hAnsi="宋体" w:eastAsia="宋体" w:cs="宋体"/>
          <w:color w:val="auto"/>
          <w:szCs w:val="21"/>
          <w:highlight w:val="none"/>
        </w:rPr>
      </w:pPr>
    </w:p>
    <w:p w14:paraId="408CE8E8">
      <w:pPr>
        <w:pStyle w:val="22"/>
        <w:ind w:firstLine="0" w:firstLineChars="0"/>
        <w:rPr>
          <w:rFonts w:ascii="宋体" w:hAnsi="宋体" w:eastAsia="宋体" w:cs="宋体"/>
          <w:color w:val="auto"/>
          <w:szCs w:val="21"/>
          <w:highlight w:val="none"/>
        </w:rPr>
      </w:pPr>
    </w:p>
    <w:p w14:paraId="2B049DA1">
      <w:pPr>
        <w:rPr>
          <w:rFonts w:ascii="宋体" w:hAnsi="宋体" w:eastAsia="宋体" w:cs="宋体"/>
          <w:color w:val="auto"/>
          <w:highlight w:val="none"/>
        </w:rPr>
        <w:sectPr>
          <w:pgSz w:w="11906" w:h="16838"/>
          <w:pgMar w:top="1440" w:right="1440" w:bottom="1440" w:left="1440" w:header="851" w:footer="992" w:gutter="0"/>
          <w:pgNumType w:fmt="decimal"/>
          <w:cols w:space="0" w:num="1"/>
          <w:docGrid w:type="lines" w:linePitch="322" w:charSpace="0"/>
        </w:sectPr>
      </w:pPr>
    </w:p>
    <w:p w14:paraId="5C0027E7">
      <w:pPr>
        <w:pStyle w:val="22"/>
        <w:ind w:firstLine="0" w:firstLineChars="0"/>
        <w:rPr>
          <w:rFonts w:ascii="宋体" w:hAnsi="宋体" w:eastAsia="宋体" w:cs="宋体"/>
          <w:color w:val="auto"/>
          <w:highlight w:val="none"/>
        </w:rPr>
      </w:pPr>
    </w:p>
    <w:p w14:paraId="570CA410">
      <w:pPr>
        <w:tabs>
          <w:tab w:val="left" w:pos="720"/>
        </w:tabs>
        <w:snapToGrid w:val="0"/>
        <w:spacing w:line="360" w:lineRule="auto"/>
        <w:jc w:val="center"/>
        <w:rPr>
          <w:rStyle w:val="250"/>
          <w:rFonts w:ascii="宋体" w:hAnsi="宋体" w:eastAsia="宋体" w:cs="宋体"/>
          <w:color w:val="auto"/>
          <w:sz w:val="32"/>
          <w:szCs w:val="32"/>
          <w:highlight w:val="none"/>
        </w:rPr>
      </w:pPr>
      <w:bookmarkStart w:id="53" w:name="_Toc2272568"/>
      <w:bookmarkStart w:id="54" w:name="_Toc9312"/>
      <w:bookmarkStart w:id="55" w:name="_Toc2272569"/>
      <w:r>
        <w:rPr>
          <w:rStyle w:val="250"/>
          <w:rFonts w:hint="eastAsia" w:ascii="宋体" w:hAnsi="宋体" w:eastAsia="宋体" w:cs="宋体"/>
          <w:color w:val="auto"/>
          <w:sz w:val="32"/>
          <w:szCs w:val="32"/>
          <w:highlight w:val="none"/>
        </w:rPr>
        <w:t>第五章</w:t>
      </w:r>
      <w:r>
        <w:rPr>
          <w:rStyle w:val="250"/>
          <w:rFonts w:ascii="宋体" w:hAnsi="宋体" w:eastAsia="宋体" w:cs="宋体"/>
          <w:color w:val="auto"/>
          <w:sz w:val="32"/>
          <w:szCs w:val="32"/>
          <w:highlight w:val="none"/>
        </w:rPr>
        <w:t xml:space="preserve">  </w:t>
      </w:r>
      <w:r>
        <w:rPr>
          <w:rStyle w:val="250"/>
          <w:rFonts w:hint="eastAsia" w:ascii="宋体" w:hAnsi="宋体" w:eastAsia="宋体" w:cs="宋体"/>
          <w:color w:val="auto"/>
          <w:sz w:val="32"/>
          <w:szCs w:val="32"/>
          <w:highlight w:val="none"/>
        </w:rPr>
        <w:t>技术条件（工程建设标准）</w:t>
      </w:r>
      <w:bookmarkEnd w:id="53"/>
    </w:p>
    <w:bookmarkEnd w:id="54"/>
    <w:p w14:paraId="7339C8BD">
      <w:pPr>
        <w:snapToGrid w:val="0"/>
        <w:rPr>
          <w:rFonts w:ascii="宋体" w:hAnsi="宋体" w:eastAsia="宋体" w:cs="宋体"/>
          <w:b/>
          <w:color w:val="auto"/>
          <w:sz w:val="24"/>
          <w:highlight w:val="none"/>
        </w:rPr>
      </w:pPr>
    </w:p>
    <w:p w14:paraId="05CE8E16">
      <w:pPr>
        <w:snapToGri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一、标准</w:t>
      </w:r>
    </w:p>
    <w:p w14:paraId="0817BE9D">
      <w:pPr>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以现行的中华人民共和国及有关部委颁布的标准、规范、和规程。若施工时期建设主管部门颁布新的规范、标准，则按照新的规范、标准执行。</w:t>
      </w:r>
    </w:p>
    <w:p w14:paraId="2AC38D58">
      <w:pPr>
        <w:snapToGrid w:val="0"/>
        <w:spacing w:line="440" w:lineRule="exact"/>
        <w:rPr>
          <w:rFonts w:ascii="宋体" w:hAnsi="宋体" w:eastAsia="宋体" w:cs="宋体"/>
          <w:b/>
          <w:color w:val="auto"/>
          <w:sz w:val="24"/>
          <w:highlight w:val="none"/>
        </w:rPr>
      </w:pPr>
    </w:p>
    <w:p w14:paraId="512DD217">
      <w:pPr>
        <w:snapToGri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二、施工组织设计要点</w:t>
      </w:r>
    </w:p>
    <w:p w14:paraId="40E9B03E">
      <w:pPr>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14:paraId="71132D95">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（一）工程概况及特点</w:t>
      </w:r>
    </w:p>
    <w:p w14:paraId="7C1181E4">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1.1 </w:t>
      </w:r>
      <w:r>
        <w:rPr>
          <w:rFonts w:hint="eastAsia" w:ascii="宋体" w:hAnsi="宋体" w:eastAsia="宋体" w:cs="宋体"/>
          <w:color w:val="auto"/>
          <w:sz w:val="24"/>
          <w:highlight w:val="none"/>
        </w:rPr>
        <w:t>工程概况</w:t>
      </w:r>
    </w:p>
    <w:p w14:paraId="2B087F55">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工程简述，工程规模，工程承包范围，地质及地貌状况，自然环境，交通情况等。</w:t>
      </w:r>
    </w:p>
    <w:p w14:paraId="5AE53524">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1.2 </w:t>
      </w:r>
      <w:r>
        <w:rPr>
          <w:rFonts w:hint="eastAsia" w:ascii="宋体" w:hAnsi="宋体" w:eastAsia="宋体" w:cs="宋体"/>
          <w:color w:val="auto"/>
          <w:sz w:val="24"/>
          <w:highlight w:val="none"/>
        </w:rPr>
        <w:t>工程特点</w:t>
      </w:r>
    </w:p>
    <w:p w14:paraId="2B52A5FF">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设计特点、工程特点、影响施工的主要和特殊环节分析等。</w:t>
      </w:r>
    </w:p>
    <w:p w14:paraId="2FA7F175">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（二）施工现场组织机构</w:t>
      </w:r>
    </w:p>
    <w:p w14:paraId="4A5CA6F8">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2.1 </w:t>
      </w:r>
      <w:r>
        <w:rPr>
          <w:rFonts w:hint="eastAsia" w:ascii="宋体" w:hAnsi="宋体" w:eastAsia="宋体" w:cs="宋体"/>
          <w:color w:val="auto"/>
          <w:sz w:val="24"/>
          <w:highlight w:val="none"/>
        </w:rPr>
        <w:t>组织机构关系图</w:t>
      </w:r>
    </w:p>
    <w:p w14:paraId="10D915D5">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2.2 </w:t>
      </w:r>
      <w:r>
        <w:rPr>
          <w:rFonts w:hint="eastAsia" w:ascii="宋体" w:hAnsi="宋体" w:eastAsia="宋体" w:cs="宋体"/>
          <w:color w:val="auto"/>
          <w:sz w:val="24"/>
          <w:highlight w:val="none"/>
        </w:rPr>
        <w:t>工程主要负责人简介。</w:t>
      </w:r>
    </w:p>
    <w:p w14:paraId="5C75CCB4">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（三）施工现场总平面布置图</w:t>
      </w:r>
    </w:p>
    <w:p w14:paraId="0AB2C96D">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3.1 </w:t>
      </w:r>
      <w:r>
        <w:rPr>
          <w:rFonts w:hint="eastAsia" w:ascii="宋体" w:hAnsi="宋体" w:eastAsia="宋体" w:cs="宋体"/>
          <w:color w:val="auto"/>
          <w:sz w:val="24"/>
          <w:highlight w:val="none"/>
        </w:rPr>
        <w:t>施工现场平面布置图</w:t>
      </w:r>
    </w:p>
    <w:p w14:paraId="70065F22">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w:t>
      </w:r>
      <w:r>
        <w:rPr>
          <w:rFonts w:ascii="宋体" w:hAnsi="宋体" w:eastAsia="宋体" w:cs="宋体"/>
          <w:color w:val="auto"/>
          <w:sz w:val="24"/>
          <w:highlight w:val="none"/>
        </w:rPr>
        <w:t>A3纸，图面要求线条清晰、标志明确。</w:t>
      </w:r>
    </w:p>
    <w:p w14:paraId="7E9445CF">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（四）施工方案</w:t>
      </w:r>
    </w:p>
    <w:p w14:paraId="73D31591">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4.1 </w:t>
      </w:r>
      <w:r>
        <w:rPr>
          <w:rFonts w:hint="eastAsia" w:ascii="宋体" w:hAnsi="宋体" w:eastAsia="宋体" w:cs="宋体"/>
          <w:color w:val="auto"/>
          <w:sz w:val="24"/>
          <w:highlight w:val="none"/>
        </w:rPr>
        <w:t>施工准备</w:t>
      </w:r>
    </w:p>
    <w:p w14:paraId="7DE22404">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简要叙述施工技术资料、材料、通讯、施工场地的准备，施工机械、施工力量的配置，以及生活设施等的准备情况。主要施工机械设备表。</w:t>
      </w:r>
    </w:p>
    <w:p w14:paraId="5AD5A317">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4.2 </w:t>
      </w:r>
      <w:r>
        <w:rPr>
          <w:rFonts w:hint="eastAsia" w:ascii="宋体" w:hAnsi="宋体" w:eastAsia="宋体" w:cs="宋体"/>
          <w:color w:val="auto"/>
          <w:sz w:val="24"/>
          <w:highlight w:val="none"/>
        </w:rPr>
        <w:t>施工工序总体安排</w:t>
      </w:r>
    </w:p>
    <w:p w14:paraId="2DEF02B7">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4.3 </w:t>
      </w:r>
      <w:r>
        <w:rPr>
          <w:rFonts w:hint="eastAsia" w:ascii="宋体" w:hAnsi="宋体" w:eastAsia="宋体" w:cs="宋体"/>
          <w:color w:val="auto"/>
          <w:sz w:val="24"/>
          <w:highlight w:val="none"/>
        </w:rPr>
        <w:t>主要工序和特殊工序的施工方法和施工效率估计，潜在问题的分析。</w:t>
      </w:r>
    </w:p>
    <w:p w14:paraId="65C14BDE">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4.4 </w:t>
      </w:r>
      <w:r>
        <w:rPr>
          <w:rFonts w:hint="eastAsia" w:ascii="宋体" w:hAnsi="宋体" w:eastAsia="宋体" w:cs="宋体"/>
          <w:color w:val="auto"/>
          <w:sz w:val="24"/>
          <w:highlight w:val="none"/>
        </w:rPr>
        <w:t>工程成本的控制措施为控制成本，提高效益，拟采取的措施。</w:t>
      </w:r>
    </w:p>
    <w:p w14:paraId="5FACA7D7">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（五）工期及施工进度计划</w:t>
      </w:r>
    </w:p>
    <w:p w14:paraId="79704983">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5.1 </w:t>
      </w:r>
      <w:r>
        <w:rPr>
          <w:rFonts w:hint="eastAsia" w:ascii="宋体" w:hAnsi="宋体" w:eastAsia="宋体" w:cs="宋体"/>
          <w:color w:val="auto"/>
          <w:sz w:val="24"/>
          <w:highlight w:val="none"/>
        </w:rPr>
        <w:t>工期规划及要求</w:t>
      </w:r>
    </w:p>
    <w:p w14:paraId="20328FD0">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用横道图反映各主要施工过程的计划进度，深度达到全面、准确、清楚的描述工程实施过程，从中可衍生出各种施工资源计划及其过程管理信息。</w:t>
      </w:r>
    </w:p>
    <w:p w14:paraId="6E637C32">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5.2 </w:t>
      </w:r>
      <w:r>
        <w:rPr>
          <w:rFonts w:hint="eastAsia" w:ascii="宋体" w:hAnsi="宋体" w:eastAsia="宋体" w:cs="宋体"/>
          <w:color w:val="auto"/>
          <w:sz w:val="24"/>
          <w:highlight w:val="none"/>
        </w:rPr>
        <w:t>施工进度计划网络图</w:t>
      </w:r>
    </w:p>
    <w:p w14:paraId="21B2240B">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施工网络图应明确工程开工、竣工日期，工程施工的关键路线，并针对关键工序，提出确保工期拟采取的措施。</w:t>
      </w:r>
    </w:p>
    <w:p w14:paraId="278B2E3B">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5.3 </w:t>
      </w:r>
      <w:r>
        <w:rPr>
          <w:rFonts w:hint="eastAsia" w:ascii="宋体" w:hAnsi="宋体" w:eastAsia="宋体" w:cs="宋体"/>
          <w:color w:val="auto"/>
          <w:sz w:val="24"/>
          <w:highlight w:val="none"/>
        </w:rPr>
        <w:t>施工资源（人力、材料、机具、场地及进场道路、公共关系）计划</w:t>
      </w:r>
    </w:p>
    <w:p w14:paraId="4580133D">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5.4 </w:t>
      </w:r>
      <w:r>
        <w:rPr>
          <w:rFonts w:hint="eastAsia" w:ascii="宋体" w:hAnsi="宋体" w:eastAsia="宋体" w:cs="宋体"/>
          <w:color w:val="auto"/>
          <w:sz w:val="24"/>
          <w:highlight w:val="none"/>
        </w:rPr>
        <w:t>施工进度计划分析</w:t>
      </w:r>
    </w:p>
    <w:p w14:paraId="19FE2086">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计划潜在问题，计划中的潜力及其开发途径等。</w:t>
      </w:r>
    </w:p>
    <w:p w14:paraId="2AE85D53">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5.5 </w:t>
      </w:r>
      <w:r>
        <w:rPr>
          <w:rFonts w:hint="eastAsia" w:ascii="宋体" w:hAnsi="宋体" w:eastAsia="宋体" w:cs="宋体"/>
          <w:color w:val="auto"/>
          <w:sz w:val="24"/>
          <w:highlight w:val="none"/>
        </w:rPr>
        <w:t>计划控制</w:t>
      </w:r>
    </w:p>
    <w:p w14:paraId="3E48F47B">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程序、方法及制度等。</w:t>
      </w:r>
    </w:p>
    <w:p w14:paraId="6039124D">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（六）质量目标、质量保证体系及技术组织措施</w:t>
      </w:r>
    </w:p>
    <w:p w14:paraId="064FBFE1">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6.1 </w:t>
      </w:r>
      <w:r>
        <w:rPr>
          <w:rFonts w:hint="eastAsia" w:ascii="宋体" w:hAnsi="宋体" w:eastAsia="宋体" w:cs="宋体"/>
          <w:color w:val="auto"/>
          <w:sz w:val="24"/>
          <w:highlight w:val="none"/>
        </w:rPr>
        <w:t>质量目标</w:t>
      </w:r>
    </w:p>
    <w:p w14:paraId="4331DAC2">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本工程要求的质量目标：工程质量达到国家或行业质量检验评定的合格标准。</w:t>
      </w:r>
    </w:p>
    <w:p w14:paraId="1A527F36">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用单位工程和分项工程合格率、优良品率表示，欲达到的工程质量等级。</w:t>
      </w:r>
    </w:p>
    <w:p w14:paraId="4DC8A9EB">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6.2 </w:t>
      </w:r>
      <w:r>
        <w:rPr>
          <w:rFonts w:hint="eastAsia" w:ascii="宋体" w:hAnsi="宋体" w:eastAsia="宋体" w:cs="宋体"/>
          <w:color w:val="auto"/>
          <w:sz w:val="24"/>
          <w:highlight w:val="none"/>
        </w:rPr>
        <w:t>质量管理组织机构及主要职责</w:t>
      </w:r>
    </w:p>
    <w:p w14:paraId="68688505">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用框图表示质量管理组织机构，并简要叙述各质量管理部门的主要职责。</w:t>
      </w:r>
    </w:p>
    <w:p w14:paraId="63D056F0">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6.3 </w:t>
      </w:r>
      <w:r>
        <w:rPr>
          <w:rFonts w:hint="eastAsia" w:ascii="宋体" w:hAnsi="宋体" w:eastAsia="宋体" w:cs="宋体"/>
          <w:color w:val="auto"/>
          <w:sz w:val="24"/>
          <w:highlight w:val="none"/>
        </w:rPr>
        <w:t>质量管理的措施</w:t>
      </w:r>
    </w:p>
    <w:p w14:paraId="2DE75B17">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简要叙述质量管理的措施和关键工序的质量控制。</w:t>
      </w:r>
    </w:p>
    <w:p w14:paraId="4E2177FB">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6.4 </w:t>
      </w:r>
      <w:r>
        <w:rPr>
          <w:rFonts w:hint="eastAsia" w:ascii="宋体" w:hAnsi="宋体" w:eastAsia="宋体" w:cs="宋体"/>
          <w:color w:val="auto"/>
          <w:sz w:val="24"/>
          <w:highlight w:val="none"/>
        </w:rPr>
        <w:t>质量管理及检验的标准</w:t>
      </w:r>
    </w:p>
    <w:p w14:paraId="77783D19">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执行的主要质量标准、规范。</w:t>
      </w:r>
    </w:p>
    <w:p w14:paraId="4FF4D744">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6.5 </w:t>
      </w:r>
      <w:r>
        <w:rPr>
          <w:rFonts w:hint="eastAsia" w:ascii="宋体" w:hAnsi="宋体" w:eastAsia="宋体" w:cs="宋体"/>
          <w:color w:val="auto"/>
          <w:sz w:val="24"/>
          <w:highlight w:val="none"/>
        </w:rPr>
        <w:t>质量保证技术措施</w:t>
      </w:r>
    </w:p>
    <w:p w14:paraId="014E78F2">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针对本工程特点，分析质量薄弱环节，拟将采取的技术措施。</w:t>
      </w:r>
    </w:p>
    <w:p w14:paraId="2BA99D08">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（七）安全目标、安全保证体系及技术组织措施</w:t>
      </w:r>
    </w:p>
    <w:p w14:paraId="6E8E8120">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7.1 </w:t>
      </w:r>
      <w:r>
        <w:rPr>
          <w:rFonts w:hint="eastAsia" w:ascii="宋体" w:hAnsi="宋体" w:eastAsia="宋体" w:cs="宋体"/>
          <w:color w:val="auto"/>
          <w:sz w:val="24"/>
          <w:highlight w:val="none"/>
        </w:rPr>
        <w:t>安全管理目标</w:t>
      </w:r>
    </w:p>
    <w:p w14:paraId="0421D8FB">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7.2 </w:t>
      </w:r>
      <w:r>
        <w:rPr>
          <w:rFonts w:hint="eastAsia" w:ascii="宋体" w:hAnsi="宋体" w:eastAsia="宋体" w:cs="宋体"/>
          <w:color w:val="auto"/>
          <w:sz w:val="24"/>
          <w:highlight w:val="none"/>
        </w:rPr>
        <w:t>安全管理组织机构及主要职责</w:t>
      </w:r>
    </w:p>
    <w:p w14:paraId="6ADE185E">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用框图表示安全管理组织机构，并简要叙述各安全管理部门及人员的主要职责。</w:t>
      </w:r>
    </w:p>
    <w:p w14:paraId="27F96689">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7.3 </w:t>
      </w:r>
      <w:r>
        <w:rPr>
          <w:rFonts w:hint="eastAsia" w:ascii="宋体" w:hAnsi="宋体" w:eastAsia="宋体" w:cs="宋体"/>
          <w:color w:val="auto"/>
          <w:sz w:val="24"/>
          <w:highlight w:val="none"/>
        </w:rPr>
        <w:t>安全管理制度及办法</w:t>
      </w:r>
    </w:p>
    <w:p w14:paraId="19344D69">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7.4 </w:t>
      </w:r>
      <w:r>
        <w:rPr>
          <w:rFonts w:hint="eastAsia" w:ascii="宋体" w:hAnsi="宋体" w:eastAsia="宋体" w:cs="宋体"/>
          <w:color w:val="auto"/>
          <w:sz w:val="24"/>
          <w:highlight w:val="none"/>
        </w:rPr>
        <w:t>安全组织技术措施</w:t>
      </w:r>
    </w:p>
    <w:p w14:paraId="37A26B8B">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针对本工程特点，分析安全薄弱环节，拟将采取的技术措施。</w:t>
      </w:r>
    </w:p>
    <w:p w14:paraId="28D152A1">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7.5 </w:t>
      </w:r>
      <w:r>
        <w:rPr>
          <w:rFonts w:hint="eastAsia" w:ascii="宋体" w:hAnsi="宋体" w:eastAsia="宋体" w:cs="宋体"/>
          <w:color w:val="auto"/>
          <w:sz w:val="24"/>
          <w:highlight w:val="none"/>
        </w:rPr>
        <w:t>重要施工方案和特殊施工工序的安全过程控制</w:t>
      </w:r>
    </w:p>
    <w:p w14:paraId="471AA4A9">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7.6 </w:t>
      </w:r>
      <w:r>
        <w:rPr>
          <w:rFonts w:hint="eastAsia" w:ascii="宋体" w:hAnsi="宋体" w:eastAsia="宋体" w:cs="宋体"/>
          <w:color w:val="auto"/>
          <w:sz w:val="24"/>
          <w:highlight w:val="none"/>
        </w:rPr>
        <w:t>严格执行《建筑施工安全检查标准》</w:t>
      </w:r>
      <w:r>
        <w:rPr>
          <w:rFonts w:ascii="宋体" w:hAnsi="宋体" w:eastAsia="宋体" w:cs="宋体"/>
          <w:color w:val="auto"/>
          <w:sz w:val="24"/>
          <w:highlight w:val="none"/>
        </w:rPr>
        <w:t>(JGJ59-2021)和省、市建设主管部门有关文明施工的规定。并按照甲方要求安排工作时间，在施工中尽量减少噪音，必要时采取有效的隔音措施，混凝土浇灌需连续不间断作业时，按有关规定申报夜间施工许可证。</w:t>
      </w:r>
    </w:p>
    <w:p w14:paraId="12FFE67B">
      <w:pPr>
        <w:snapToGrid w:val="0"/>
        <w:spacing w:line="440" w:lineRule="exact"/>
        <w:ind w:firstLine="424" w:firstLineChars="177"/>
        <w:rPr>
          <w:rFonts w:ascii="宋体" w:hAnsi="宋体" w:eastAsia="宋体" w:cs="宋体"/>
          <w:color w:val="auto"/>
          <w:sz w:val="24"/>
          <w:highlight w:val="none"/>
        </w:rPr>
      </w:pPr>
      <w:bookmarkStart w:id="56" w:name="_Hlt531956504"/>
      <w:r>
        <w:rPr>
          <w:rFonts w:hint="eastAsia" w:ascii="宋体" w:hAnsi="宋体" w:eastAsia="宋体" w:cs="宋体"/>
          <w:color w:val="auto"/>
          <w:sz w:val="24"/>
          <w:highlight w:val="none"/>
        </w:rPr>
        <w:t>安全生产目标：杜绝本项目施工人员重大伤亡事故。</w:t>
      </w:r>
      <w:bookmarkEnd w:id="56"/>
    </w:p>
    <w:p w14:paraId="1FB95B1D">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文明施工目标：标准化管理。</w:t>
      </w:r>
    </w:p>
    <w:p w14:paraId="252389AD">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（八）环境保护及文明施工</w:t>
      </w:r>
    </w:p>
    <w:p w14:paraId="689DAE5D">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8.1 </w:t>
      </w:r>
      <w:r>
        <w:rPr>
          <w:rFonts w:hint="eastAsia" w:ascii="宋体" w:hAnsi="宋体" w:eastAsia="宋体" w:cs="宋体"/>
          <w:color w:val="auto"/>
          <w:sz w:val="24"/>
          <w:highlight w:val="none"/>
        </w:rPr>
        <w:t>环境保护</w:t>
      </w:r>
    </w:p>
    <w:p w14:paraId="5F0E3B3F">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分析因施工可能引起的环境保护方面的问题。</w:t>
      </w:r>
    </w:p>
    <w:p w14:paraId="421FAC67">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8.2 </w:t>
      </w:r>
      <w:r>
        <w:rPr>
          <w:rFonts w:hint="eastAsia" w:ascii="宋体" w:hAnsi="宋体" w:eastAsia="宋体" w:cs="宋体"/>
          <w:color w:val="auto"/>
          <w:sz w:val="24"/>
          <w:highlight w:val="none"/>
        </w:rPr>
        <w:t>加强施工管理、严格保护环境</w:t>
      </w:r>
    </w:p>
    <w:p w14:paraId="40BE85CC">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提出环境保护的目标及采取的具体措施。</w:t>
      </w:r>
    </w:p>
    <w:p w14:paraId="109115A2">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8.3 </w:t>
      </w:r>
      <w:r>
        <w:rPr>
          <w:rFonts w:hint="eastAsia" w:ascii="宋体" w:hAnsi="宋体" w:eastAsia="宋体" w:cs="宋体"/>
          <w:color w:val="auto"/>
          <w:sz w:val="24"/>
          <w:highlight w:val="none"/>
        </w:rPr>
        <w:t>文明施工的目标、组织机构和实施方案</w:t>
      </w:r>
    </w:p>
    <w:p w14:paraId="73ABC508">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8.4 </w:t>
      </w:r>
      <w:r>
        <w:rPr>
          <w:rFonts w:hint="eastAsia" w:ascii="宋体" w:hAnsi="宋体" w:eastAsia="宋体" w:cs="宋体"/>
          <w:color w:val="auto"/>
          <w:sz w:val="24"/>
          <w:highlight w:val="none"/>
        </w:rPr>
        <w:t>文明施工考核、管理办法</w:t>
      </w:r>
    </w:p>
    <w:p w14:paraId="5590C636">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（九）计划、统计和信息管理</w:t>
      </w:r>
    </w:p>
    <w:p w14:paraId="49FF747B">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9.1 </w:t>
      </w:r>
      <w:r>
        <w:rPr>
          <w:rFonts w:hint="eastAsia" w:ascii="宋体" w:hAnsi="宋体" w:eastAsia="宋体" w:cs="宋体"/>
          <w:color w:val="auto"/>
          <w:sz w:val="24"/>
          <w:highlight w:val="none"/>
        </w:rPr>
        <w:t>计划、统计报表的编制与传递；</w:t>
      </w:r>
    </w:p>
    <w:p w14:paraId="61C08389">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 xml:space="preserve">9.2 </w:t>
      </w:r>
      <w:r>
        <w:rPr>
          <w:rFonts w:hint="eastAsia" w:ascii="宋体" w:hAnsi="宋体" w:eastAsia="宋体" w:cs="宋体"/>
          <w:color w:val="auto"/>
          <w:sz w:val="24"/>
          <w:highlight w:val="none"/>
        </w:rPr>
        <w:t>信息管理</w:t>
      </w:r>
    </w:p>
    <w:p w14:paraId="59E2491B">
      <w:pPr>
        <w:snapToGrid w:val="0"/>
        <w:spacing w:line="440" w:lineRule="exact"/>
        <w:ind w:firstLine="424" w:firstLineChars="177"/>
        <w:jc w:val="left"/>
        <w:rPr>
          <w:rFonts w:ascii="宋体" w:hAnsi="宋体" w:eastAsia="宋体" w:cs="宋体"/>
          <w:color w:val="auto"/>
          <w:sz w:val="24"/>
          <w:highlight w:val="none"/>
        </w:rPr>
      </w:pPr>
      <w:r>
        <w:rPr>
          <w:rFonts w:hint="eastAsia" w:ascii="宋体" w:hAnsi="宋体" w:eastAsia="宋体" w:cs="宋体"/>
          <w:color w:val="auto"/>
          <w:sz w:val="24"/>
          <w:highlight w:val="none"/>
        </w:rPr>
        <w:t>提出信息管理的目标及拟将采取的措施。</w:t>
      </w:r>
    </w:p>
    <w:p w14:paraId="32EE3EF2">
      <w:pPr>
        <w:snapToGrid w:val="0"/>
        <w:spacing w:line="440" w:lineRule="exact"/>
        <w:ind w:firstLine="424" w:firstLineChars="177"/>
        <w:jc w:val="left"/>
        <w:rPr>
          <w:rFonts w:ascii="宋体" w:hAnsi="宋体" w:eastAsia="宋体" w:cs="宋体"/>
          <w:color w:val="auto"/>
          <w:sz w:val="24"/>
          <w:highlight w:val="none"/>
        </w:rPr>
      </w:pPr>
      <w:r>
        <w:rPr>
          <w:rFonts w:hint="eastAsia" w:ascii="宋体" w:hAnsi="宋体" w:eastAsia="宋体" w:cs="宋体"/>
          <w:color w:val="auto"/>
          <w:sz w:val="24"/>
          <w:highlight w:val="none"/>
        </w:rPr>
        <w:t>（十）建筑垃圾减量及利用要求</w:t>
      </w:r>
    </w:p>
    <w:p w14:paraId="0D9CF0D2">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1C71A221">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10.2建筑垃圾处理方案应当包括下列内容：</w:t>
      </w:r>
    </w:p>
    <w:p w14:paraId="719023EA">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10.2.1工程概况和施工单位基本信息；</w:t>
      </w:r>
    </w:p>
    <w:p w14:paraId="7A0F2557">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10.2.2建筑垃圾产生量与种类；</w:t>
      </w:r>
    </w:p>
    <w:p w14:paraId="4441C5FA">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10.2.3建筑垃圾源头减量、分类收集、综合利用、污染防治的措施和目标；</w:t>
      </w:r>
    </w:p>
    <w:p w14:paraId="155C7D13">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10.2.4需要外运的建筑垃圾种类、数量与运输的时间、路线、方式和运输单位；</w:t>
      </w:r>
    </w:p>
    <w:p w14:paraId="69BC3082">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10.2.5建筑垃圾回填、消纳、综合利用场所名称；</w:t>
      </w:r>
    </w:p>
    <w:p w14:paraId="45B2F64C">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10.2.6法律、法规规定的其他内容。</w:t>
      </w:r>
    </w:p>
    <w:p w14:paraId="234FB871">
      <w:pPr>
        <w:snapToGrid w:val="0"/>
        <w:spacing w:line="440" w:lineRule="exact"/>
        <w:ind w:firstLine="424" w:firstLineChars="177"/>
        <w:jc w:val="left"/>
        <w:rPr>
          <w:rFonts w:ascii="宋体" w:hAnsi="宋体" w:eastAsia="宋体" w:cs="宋体"/>
          <w:color w:val="auto"/>
          <w:sz w:val="24"/>
          <w:highlight w:val="none"/>
        </w:rPr>
      </w:pPr>
    </w:p>
    <w:p w14:paraId="30C9F83C">
      <w:pPr>
        <w:snapToGri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三、主要材料设备推荐品牌按《参考品牌》要求（另册发出）。</w:t>
      </w:r>
    </w:p>
    <w:p w14:paraId="652963F0">
      <w:pPr>
        <w:snapToGrid w:val="0"/>
        <w:spacing w:line="360" w:lineRule="auto"/>
        <w:jc w:val="center"/>
        <w:rPr>
          <w:rFonts w:ascii="宋体" w:hAnsi="宋体" w:eastAsia="宋体" w:cs="宋体"/>
          <w:color w:val="auto"/>
          <w:sz w:val="24"/>
          <w:highlight w:val="none"/>
        </w:rPr>
      </w:pPr>
      <w:bookmarkStart w:id="57" w:name="_Toc9353"/>
      <w:r>
        <w:rPr>
          <w:rFonts w:ascii="宋体" w:hAnsi="宋体" w:eastAsia="宋体" w:cs="宋体"/>
          <w:color w:val="auto"/>
          <w:sz w:val="24"/>
          <w:highlight w:val="none"/>
        </w:rPr>
        <w:br w:type="page"/>
      </w:r>
    </w:p>
    <w:p w14:paraId="248E99F9">
      <w:pPr>
        <w:tabs>
          <w:tab w:val="left" w:pos="720"/>
        </w:tabs>
        <w:jc w:val="center"/>
        <w:rPr>
          <w:rStyle w:val="250"/>
          <w:rFonts w:ascii="宋体" w:hAnsi="宋体" w:eastAsia="宋体" w:cs="宋体"/>
          <w:color w:val="auto"/>
          <w:sz w:val="32"/>
          <w:szCs w:val="32"/>
          <w:highlight w:val="none"/>
        </w:rPr>
      </w:pPr>
      <w:r>
        <w:rPr>
          <w:rStyle w:val="250"/>
          <w:rFonts w:hint="eastAsia" w:ascii="宋体" w:hAnsi="宋体" w:eastAsia="宋体" w:cs="宋体"/>
          <w:color w:val="auto"/>
          <w:sz w:val="32"/>
          <w:szCs w:val="32"/>
          <w:highlight w:val="none"/>
        </w:rPr>
        <w:t>第六章</w:t>
      </w:r>
      <w:r>
        <w:rPr>
          <w:rStyle w:val="250"/>
          <w:rFonts w:ascii="宋体" w:hAnsi="宋体" w:eastAsia="宋体" w:cs="宋体"/>
          <w:color w:val="auto"/>
          <w:sz w:val="32"/>
          <w:szCs w:val="32"/>
          <w:highlight w:val="none"/>
        </w:rPr>
        <w:t xml:space="preserve">  </w:t>
      </w:r>
      <w:r>
        <w:rPr>
          <w:rStyle w:val="250"/>
          <w:rFonts w:hint="eastAsia" w:ascii="宋体" w:hAnsi="宋体" w:eastAsia="宋体" w:cs="宋体"/>
          <w:color w:val="auto"/>
          <w:sz w:val="32"/>
          <w:szCs w:val="32"/>
          <w:highlight w:val="none"/>
        </w:rPr>
        <w:t>图纸及勘察资料</w:t>
      </w:r>
      <w:bookmarkEnd w:id="55"/>
      <w:bookmarkEnd w:id="57"/>
    </w:p>
    <w:p w14:paraId="2E554EA0">
      <w:pPr>
        <w:snapToGrid w:val="0"/>
        <w:spacing w:line="360" w:lineRule="auto"/>
        <w:rPr>
          <w:rFonts w:ascii="宋体" w:hAnsi="宋体" w:eastAsia="宋体" w:cs="宋体"/>
          <w:color w:val="auto"/>
          <w:sz w:val="24"/>
          <w:highlight w:val="none"/>
        </w:rPr>
      </w:pPr>
    </w:p>
    <w:p w14:paraId="64733CEA">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注：本章由招标人自行制定。</w:t>
      </w:r>
    </w:p>
    <w:p w14:paraId="6B76EC61">
      <w:pPr>
        <w:snapToGrid w:val="0"/>
        <w:spacing w:line="360" w:lineRule="auto"/>
        <w:jc w:val="center"/>
        <w:rPr>
          <w:rFonts w:ascii="宋体" w:hAnsi="宋体" w:eastAsia="宋体" w:cs="宋体"/>
          <w:b/>
          <w:color w:val="auto"/>
          <w:sz w:val="24"/>
          <w:highlight w:val="none"/>
        </w:rPr>
      </w:pPr>
      <w:r>
        <w:rPr>
          <w:rFonts w:hint="eastAsia" w:ascii="宋体" w:hAnsi="宋体" w:eastAsia="宋体" w:cs="宋体"/>
          <w:color w:val="auto"/>
          <w:sz w:val="24"/>
          <w:highlight w:val="none"/>
        </w:rPr>
        <w:t>（另册）</w:t>
      </w:r>
    </w:p>
    <w:p w14:paraId="6490B995">
      <w:pPr>
        <w:snapToGrid w:val="0"/>
        <w:spacing w:line="360" w:lineRule="auto"/>
        <w:ind w:firstLine="360" w:firstLineChars="150"/>
        <w:rPr>
          <w:rFonts w:ascii="宋体" w:hAnsi="宋体" w:eastAsia="宋体" w:cs="宋体"/>
          <w:color w:val="auto"/>
          <w:kern w:val="0"/>
          <w:sz w:val="24"/>
          <w:highlight w:val="none"/>
        </w:rPr>
      </w:pPr>
    </w:p>
    <w:p w14:paraId="57A76286">
      <w:pPr>
        <w:snapToGrid w:val="0"/>
        <w:spacing w:line="360" w:lineRule="auto"/>
        <w:ind w:firstLine="360" w:firstLineChars="150"/>
        <w:rPr>
          <w:rFonts w:ascii="宋体" w:hAnsi="宋体" w:eastAsia="宋体" w:cs="宋体"/>
          <w:color w:val="auto"/>
          <w:kern w:val="0"/>
          <w:sz w:val="24"/>
          <w:highlight w:val="none"/>
        </w:rPr>
      </w:pPr>
    </w:p>
    <w:p w14:paraId="7A35E8DC">
      <w:pPr>
        <w:pStyle w:val="4"/>
        <w:tabs>
          <w:tab w:val="left" w:pos="0"/>
        </w:tabs>
        <w:snapToGrid w:val="0"/>
        <w:spacing w:before="0" w:after="0"/>
        <w:jc w:val="center"/>
        <w:rPr>
          <w:rStyle w:val="250"/>
          <w:rFonts w:ascii="宋体" w:hAnsi="宋体" w:eastAsia="宋体" w:cs="宋体"/>
          <w:b/>
          <w:bCs/>
          <w:color w:val="auto"/>
          <w:sz w:val="32"/>
          <w:szCs w:val="32"/>
          <w:highlight w:val="none"/>
        </w:rPr>
      </w:pPr>
      <w:r>
        <w:rPr>
          <w:rFonts w:ascii="宋体" w:hAnsi="宋体" w:eastAsia="宋体" w:cs="宋体"/>
          <w:color w:val="auto"/>
          <w:sz w:val="24"/>
          <w:highlight w:val="none"/>
        </w:rPr>
        <w:br w:type="page"/>
      </w:r>
      <w:bookmarkStart w:id="58" w:name="_Toc2272570"/>
      <w:bookmarkStart w:id="59" w:name="_Toc22481"/>
      <w:r>
        <w:rPr>
          <w:rStyle w:val="250"/>
          <w:rFonts w:hint="eastAsia" w:ascii="宋体" w:hAnsi="宋体" w:eastAsia="宋体" w:cs="宋体"/>
          <w:b/>
          <w:bCs/>
          <w:color w:val="auto"/>
          <w:sz w:val="32"/>
          <w:szCs w:val="32"/>
          <w:highlight w:val="none"/>
        </w:rPr>
        <w:t>第七章</w:t>
      </w:r>
      <w:r>
        <w:rPr>
          <w:rStyle w:val="250"/>
          <w:rFonts w:ascii="宋体" w:hAnsi="宋体" w:eastAsia="宋体" w:cs="宋体"/>
          <w:b/>
          <w:bCs/>
          <w:color w:val="auto"/>
          <w:sz w:val="32"/>
          <w:szCs w:val="32"/>
          <w:highlight w:val="none"/>
        </w:rPr>
        <w:t xml:space="preserve">  </w:t>
      </w:r>
      <w:r>
        <w:rPr>
          <w:rStyle w:val="250"/>
          <w:rFonts w:hint="eastAsia" w:ascii="宋体" w:hAnsi="宋体" w:eastAsia="宋体" w:cs="宋体"/>
          <w:b/>
          <w:bCs/>
          <w:color w:val="auto"/>
          <w:sz w:val="32"/>
          <w:szCs w:val="32"/>
          <w:highlight w:val="none"/>
        </w:rPr>
        <w:t>工程量清单</w:t>
      </w:r>
      <w:bookmarkEnd w:id="58"/>
      <w:bookmarkEnd w:id="59"/>
    </w:p>
    <w:p w14:paraId="5C0D8D62">
      <w:pPr>
        <w:snapToGrid w:val="0"/>
        <w:spacing w:line="360" w:lineRule="auto"/>
        <w:rPr>
          <w:rFonts w:ascii="宋体" w:hAnsi="宋体" w:eastAsia="宋体" w:cs="宋体"/>
          <w:color w:val="auto"/>
          <w:sz w:val="24"/>
          <w:highlight w:val="none"/>
        </w:rPr>
      </w:pPr>
    </w:p>
    <w:p w14:paraId="631E8918">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注：本章由招标人自行制定。</w:t>
      </w:r>
    </w:p>
    <w:p w14:paraId="1A0E8622">
      <w:pPr>
        <w:snapToGrid w:val="0"/>
        <w:spacing w:line="360" w:lineRule="auto"/>
        <w:jc w:val="center"/>
        <w:rPr>
          <w:rFonts w:ascii="宋体" w:hAnsi="宋体" w:eastAsia="宋体" w:cs="宋体"/>
          <w:b/>
          <w:color w:val="auto"/>
          <w:sz w:val="24"/>
          <w:highlight w:val="none"/>
        </w:rPr>
      </w:pPr>
      <w:r>
        <w:rPr>
          <w:rFonts w:hint="eastAsia" w:ascii="宋体" w:hAnsi="宋体" w:eastAsia="宋体" w:cs="宋体"/>
          <w:color w:val="auto"/>
          <w:sz w:val="24"/>
          <w:highlight w:val="none"/>
        </w:rPr>
        <w:t>（另册）</w:t>
      </w:r>
    </w:p>
    <w:p w14:paraId="053FFB91">
      <w:pPr>
        <w:spacing w:line="360" w:lineRule="auto"/>
        <w:jc w:val="left"/>
        <w:rPr>
          <w:rFonts w:ascii="宋体" w:hAnsi="宋体" w:eastAsia="宋体" w:cs="宋体"/>
          <w:color w:val="auto"/>
          <w:sz w:val="24"/>
          <w:szCs w:val="28"/>
          <w:highlight w:val="none"/>
        </w:rPr>
      </w:pPr>
    </w:p>
    <w:p w14:paraId="7A55E544">
      <w:pPr>
        <w:spacing w:line="360" w:lineRule="auto"/>
        <w:jc w:val="left"/>
        <w:rPr>
          <w:rFonts w:ascii="宋体" w:hAnsi="宋体" w:eastAsia="宋体" w:cs="宋体"/>
          <w:color w:val="auto"/>
          <w:sz w:val="24"/>
          <w:szCs w:val="28"/>
          <w:highlight w:val="none"/>
        </w:rPr>
      </w:pPr>
    </w:p>
    <w:p w14:paraId="7C836AF4">
      <w:pPr>
        <w:pStyle w:val="4"/>
        <w:tabs>
          <w:tab w:val="left" w:pos="0"/>
        </w:tabs>
        <w:snapToGrid w:val="0"/>
        <w:spacing w:before="0" w:after="0"/>
        <w:jc w:val="center"/>
        <w:rPr>
          <w:rFonts w:ascii="宋体" w:hAnsi="宋体" w:eastAsia="宋体" w:cs="宋体"/>
          <w:color w:val="auto"/>
          <w:sz w:val="24"/>
          <w:highlight w:val="none"/>
        </w:rPr>
      </w:pPr>
      <w:r>
        <w:rPr>
          <w:rFonts w:ascii="宋体" w:hAnsi="宋体" w:eastAsia="宋体" w:cs="宋体"/>
          <w:b/>
          <w:color w:val="auto"/>
          <w:kern w:val="44"/>
          <w:sz w:val="24"/>
          <w:highlight w:val="none"/>
        </w:rPr>
        <w:br w:type="page"/>
      </w:r>
      <w:bookmarkStart w:id="60" w:name="_Toc2272571"/>
      <w:bookmarkStart w:id="61" w:name="_Toc3710"/>
      <w:r>
        <w:rPr>
          <w:rStyle w:val="250"/>
          <w:rFonts w:hint="eastAsia" w:ascii="宋体" w:hAnsi="宋体" w:eastAsia="宋体" w:cs="宋体"/>
          <w:b/>
          <w:bCs/>
          <w:color w:val="auto"/>
          <w:sz w:val="32"/>
          <w:szCs w:val="32"/>
          <w:highlight w:val="none"/>
        </w:rPr>
        <w:t>第八章</w:t>
      </w:r>
      <w:r>
        <w:rPr>
          <w:rStyle w:val="250"/>
          <w:rFonts w:ascii="宋体" w:hAnsi="宋体" w:eastAsia="宋体" w:cs="宋体"/>
          <w:b/>
          <w:bCs/>
          <w:color w:val="auto"/>
          <w:sz w:val="32"/>
          <w:szCs w:val="32"/>
          <w:highlight w:val="none"/>
        </w:rPr>
        <w:t xml:space="preserve">  </w:t>
      </w:r>
      <w:r>
        <w:rPr>
          <w:rStyle w:val="250"/>
          <w:rFonts w:hint="eastAsia" w:ascii="宋体" w:hAnsi="宋体" w:eastAsia="宋体" w:cs="宋体"/>
          <w:b/>
          <w:bCs/>
          <w:color w:val="auto"/>
          <w:sz w:val="32"/>
          <w:szCs w:val="32"/>
          <w:highlight w:val="none"/>
        </w:rPr>
        <w:t>最高投标限价</w:t>
      </w:r>
      <w:bookmarkEnd w:id="60"/>
      <w:bookmarkEnd w:id="61"/>
    </w:p>
    <w:p w14:paraId="577113EA">
      <w:pPr>
        <w:snapToGrid w:val="0"/>
        <w:spacing w:line="360" w:lineRule="auto"/>
        <w:ind w:firstLine="480"/>
        <w:rPr>
          <w:rFonts w:ascii="宋体" w:hAnsi="宋体" w:eastAsia="宋体" w:cs="宋体"/>
          <w:color w:val="auto"/>
          <w:sz w:val="24"/>
          <w:highlight w:val="none"/>
        </w:rPr>
      </w:pPr>
    </w:p>
    <w:p w14:paraId="497CE693">
      <w:pPr>
        <w:snapToGri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327A15EE">
      <w:pPr>
        <w:snapToGrid w:val="0"/>
        <w:spacing w:line="360" w:lineRule="auto"/>
        <w:jc w:val="center"/>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（另册）</w:t>
      </w:r>
    </w:p>
    <w:p w14:paraId="192CA8DE">
      <w:pPr>
        <w:snapToGrid w:val="0"/>
        <w:spacing w:line="360" w:lineRule="auto"/>
        <w:ind w:firstLine="480"/>
        <w:rPr>
          <w:rFonts w:ascii="宋体" w:hAnsi="宋体" w:eastAsia="宋体" w:cs="宋体"/>
          <w:color w:val="auto"/>
          <w:sz w:val="24"/>
          <w:highlight w:val="none"/>
          <w:u w:val="single"/>
        </w:rPr>
      </w:pPr>
    </w:p>
    <w:p w14:paraId="2E7B2FA3">
      <w:pPr>
        <w:snapToGrid w:val="0"/>
        <w:spacing w:line="360" w:lineRule="auto"/>
        <w:rPr>
          <w:rFonts w:ascii="宋体" w:hAnsi="宋体" w:eastAsia="宋体" w:cs="宋体"/>
          <w:color w:val="auto"/>
          <w:highlight w:val="none"/>
        </w:rPr>
      </w:pPr>
    </w:p>
    <w:p w14:paraId="337D6925">
      <w:pPr>
        <w:snapToGrid w:val="0"/>
        <w:spacing w:line="360" w:lineRule="auto"/>
        <w:rPr>
          <w:rFonts w:ascii="宋体" w:hAnsi="宋体" w:eastAsia="宋体" w:cs="宋体"/>
          <w:color w:val="auto"/>
          <w:highlight w:val="none"/>
        </w:rPr>
      </w:pPr>
    </w:p>
    <w:p w14:paraId="508D9D66">
      <w:pPr>
        <w:rPr>
          <w:rFonts w:ascii="宋体" w:hAnsi="宋体" w:eastAsia="宋体" w:cs="宋体"/>
          <w:color w:val="auto"/>
          <w:highlight w:val="none"/>
        </w:rPr>
      </w:pPr>
    </w:p>
    <w:sectPr>
      <w:pgSz w:w="11906" w:h="16838"/>
      <w:pgMar w:top="1440" w:right="1440" w:bottom="1440" w:left="1440" w:header="851" w:footer="992" w:gutter="0"/>
      <w:pgNumType w:fmt="decimal"/>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汉仪正圆 55简">
    <w:panose1 w:val="00020600040101010101"/>
    <w:charset w:val="86"/>
    <w:family w:val="auto"/>
    <w:pitch w:val="default"/>
    <w:sig w:usb0="A00002BF" w:usb1="0ACF7CFA" w:usb2="00000016" w:usb3="00000000" w:csb0="0004009F" w:csb1="00000000"/>
    <w:embedRegular r:id="rId1" w:fontKey="{A9D98F93-C20B-470A-A6D5-6FE8D6FE7ABD}"/>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1ADBF">
    <w:pPr>
      <w:pStyle w:val="56"/>
      <w:ind w:firstLine="392"/>
      <w:rPr>
        <w:rStyle w:val="23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5BC7D">
    <w:pPr>
      <w:pStyle w:val="5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4DFB8">
    <w:pPr>
      <w:pStyle w:val="5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875" cy="3111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96875" cy="311150"/>
                      </a:xfrm>
                      <a:prstGeom prst="rect">
                        <a:avLst/>
                      </a:prstGeom>
                      <a:noFill/>
                      <a:ln>
                        <a:noFill/>
                      </a:ln>
                      <a:effectLst/>
                    </wps:spPr>
                    <wps:txbx>
                      <w:txbxContent>
                        <w:p w14:paraId="65A659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173</w:t>
                          </w:r>
                          <w:r>
                            <w:rPr>
                              <w:rFonts w:hint="eastAsia"/>
                              <w:sz w:val="18"/>
                            </w:rPr>
                            <w:fldChar w:fldCharType="end"/>
                          </w:r>
                        </w:p>
                      </w:txbxContent>
                    </wps:txbx>
                    <wps:bodyPr wrap="square" lIns="0" tIns="0" rIns="0" bIns="0" anchor="t" anchorCtr="0" upright="1"/>
                  </wps:wsp>
                </a:graphicData>
              </a:graphic>
            </wp:anchor>
          </w:drawing>
        </mc:Choice>
        <mc:Fallback>
          <w:pict>
            <v:shape id="文本框 1" o:spid="_x0000_s1026" o:spt="202" type="#_x0000_t202" style="position:absolute;left:0pt;margin-top:0pt;height:24.5pt;width:31.25pt;mso-position-horizontal:center;mso-position-horizontal-relative:margin;z-index:251659264;mso-width-relative:page;mso-height-relative:page;" filled="f" stroked="f" coordsize="21600,21600" o:gfxdata="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qckEHUAAAAAwEAAA8AAAAAAAAAAQAgAAAA&#10;IgAAAGRycy9kb3ducmV2LnhtbFBLAQIUABQAAAAIAIdO4kDxHJQ61gEAAKYDAAAOAAAAAAAAAAEA&#10;IAAAACMBAABkcnMvZTJvRG9jLnhtbFBLBQYAAAAABgAGAFkBAABrBQAAAAA=&#10;">
              <v:fill on="f" focussize="0,0"/>
              <v:stroke on="f"/>
              <v:imagedata o:title=""/>
              <o:lock v:ext="edit" aspectratio="f"/>
              <v:textbox inset="0mm,0mm,0mm,0mm">
                <w:txbxContent>
                  <w:p w14:paraId="65A659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A021">
    <w:pPr>
      <w:pStyle w:val="56"/>
      <w:ind w:firstLine="392"/>
      <w:rPr>
        <w:rStyle w:val="234"/>
      </w:rPr>
    </w:pPr>
    <w:r>
      <w:fldChar w:fldCharType="begin"/>
    </w:r>
    <w:r>
      <w:rPr>
        <w:rStyle w:val="234"/>
      </w:rPr>
      <w:instrText xml:space="preserve">PAGE  </w:instrText>
    </w:r>
    <w:r>
      <w:fldChar w:fldCharType="separate"/>
    </w:r>
    <w:r>
      <w:rPr>
        <w:rStyle w:val="234"/>
        <w:rFonts w:hint="eastAsia"/>
      </w:rPr>
      <w:t>一</w:t>
    </w:r>
    <w:r>
      <w:rPr>
        <w:rStyle w:val="234"/>
      </w:rPr>
      <w:t>–2</w:t>
    </w:r>
    <w:r>
      <w:fldChar w:fldCharType="end"/>
    </w:r>
  </w:p>
  <w:p w14:paraId="47519427">
    <w:pPr>
      <w:pStyle w:val="56"/>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84A0">
    <w:pPr>
      <w:pStyle w:val="56"/>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2C554">
    <w:pPr>
      <w:pStyle w:val="5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EE43">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F6EE43">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62059">
    <w:pPr>
      <w:pStyle w:val="56"/>
      <w:jc w:val="center"/>
    </w:pPr>
    <w:r>
      <w:fldChar w:fldCharType="begin"/>
    </w:r>
    <w:r>
      <w:instrText xml:space="preserve"> PAGE   \* MERGEFORMAT </w:instrText>
    </w:r>
    <w:r>
      <w:fldChar w:fldCharType="separate"/>
    </w:r>
    <w:r>
      <w:rPr>
        <w:lang w:val="zh-CN"/>
      </w:rPr>
      <w:t>51</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F1D1">
    <w:pPr>
      <w:pStyle w:val="5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2B2F2">
                          <w:pPr>
                            <w:pStyle w:val="56"/>
                            <w:jc w:val="center"/>
                          </w:pPr>
                          <w:r>
                            <w:fldChar w:fldCharType="begin"/>
                          </w:r>
                          <w:r>
                            <w:instrText xml:space="preserve"> PAGE   \* MERGEFORMAT </w:instrText>
                          </w:r>
                          <w:r>
                            <w:fldChar w:fldCharType="separate"/>
                          </w:r>
                          <w:r>
                            <w:rPr>
                              <w:lang w:val="zh-CN"/>
                            </w:rPr>
                            <w:t>60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22B2F2">
                    <w:pPr>
                      <w:pStyle w:val="56"/>
                      <w:jc w:val="center"/>
                    </w:pPr>
                    <w:r>
                      <w:fldChar w:fldCharType="begin"/>
                    </w:r>
                    <w:r>
                      <w:instrText xml:space="preserve"> PAGE   \* MERGEFORMAT </w:instrText>
                    </w:r>
                    <w:r>
                      <w:fldChar w:fldCharType="separate"/>
                    </w:r>
                    <w:r>
                      <w:rPr>
                        <w:lang w:val="zh-CN"/>
                      </w:rPr>
                      <w:t>60</w:t>
                    </w:r>
                    <w:r>
                      <w:rPr>
                        <w:lang w:val="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A41D">
    <w:pPr>
      <w:pStyle w:val="5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DA94E">
                          <w:pPr>
                            <w:pStyle w:val="56"/>
                            <w:jc w:val="center"/>
                          </w:pPr>
                          <w:r>
                            <w:fldChar w:fldCharType="begin"/>
                          </w:r>
                          <w:r>
                            <w:instrText xml:space="preserve"> PAGE   \* MERGEFORMAT </w:instrText>
                          </w:r>
                          <w:r>
                            <w:fldChar w:fldCharType="separate"/>
                          </w:r>
                          <w:r>
                            <w:rPr>
                              <w:lang w:val="zh-CN"/>
                            </w:rPr>
                            <w:t>68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6BDA94E">
                    <w:pPr>
                      <w:pStyle w:val="56"/>
                      <w:jc w:val="center"/>
                    </w:pPr>
                    <w:r>
                      <w:fldChar w:fldCharType="begin"/>
                    </w:r>
                    <w:r>
                      <w:instrText xml:space="preserve"> PAGE   \* MERGEFORMAT </w:instrText>
                    </w:r>
                    <w:r>
                      <w:fldChar w:fldCharType="separate"/>
                    </w:r>
                    <w:r>
                      <w:rPr>
                        <w:lang w:val="zh-CN"/>
                      </w:rPr>
                      <w:t>68</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64F57">
    <w:pPr>
      <w:pStyle w:val="56"/>
      <w:jc w:val="center"/>
    </w:pPr>
    <w:r>
      <w:fldChar w:fldCharType="begin"/>
    </w:r>
    <w:r>
      <w:instrText xml:space="preserve"> PAGE   \* MERGEFORMAT </w:instrText>
    </w:r>
    <w:r>
      <w:fldChar w:fldCharType="separate"/>
    </w:r>
    <w:r>
      <w:t>48</w:t>
    </w:r>
    <w:r>
      <w:fldChar w:fldCharType="end"/>
    </w:r>
  </w:p>
  <w:p w14:paraId="0056D878">
    <w:pPr>
      <w:pStyle w:val="5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288F">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30B8C">
    <w:pPr>
      <w:pStyle w:val="58"/>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0505">
    <w:pPr>
      <w:pStyle w:val="5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6728">
    <w:pPr>
      <w:pStyle w:val="5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2D21">
    <w:pPr>
      <w:pStyle w:val="5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5986">
    <w:pPr>
      <w:pStyle w:val="5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8"/>
      <w:lvlText w:val="%1."/>
      <w:lvlJc w:val="left"/>
      <w:pPr>
        <w:tabs>
          <w:tab w:val="left" w:pos="1620"/>
        </w:tabs>
        <w:ind w:left="1620" w:hanging="360"/>
      </w:pPr>
    </w:lvl>
  </w:abstractNum>
  <w:abstractNum w:abstractNumId="2">
    <w:nsid w:val="DC649B7E"/>
    <w:multiLevelType w:val="singleLevel"/>
    <w:tmpl w:val="DC649B7E"/>
    <w:lvl w:ilvl="0" w:tentative="0">
      <w:start w:val="1"/>
      <w:numFmt w:val="chineseCounting"/>
      <w:suff w:val="nothing"/>
      <w:lvlText w:val="%1、"/>
      <w:lvlJc w:val="left"/>
      <w:rPr>
        <w:rFonts w:hint="eastAsia"/>
      </w:rPr>
    </w:lvl>
  </w:abstractNum>
  <w:abstractNum w:abstractNumId="3">
    <w:nsid w:val="DC78CE72"/>
    <w:multiLevelType w:val="singleLevel"/>
    <w:tmpl w:val="DC78CE72"/>
    <w:lvl w:ilvl="0" w:tentative="0">
      <w:start w:val="1"/>
      <w:numFmt w:val="decimal"/>
      <w:pStyle w:val="455"/>
      <w:lvlText w:val="[%1]"/>
      <w:lvlJc w:val="left"/>
      <w:pPr>
        <w:tabs>
          <w:tab w:val="left" w:pos="420"/>
        </w:tabs>
        <w:ind w:left="425" w:hanging="425"/>
      </w:pPr>
      <w:rPr>
        <w:rFonts w:hint="default"/>
      </w:rPr>
    </w:lvl>
  </w:abstractNum>
  <w:abstractNum w:abstractNumId="4">
    <w:nsid w:val="EC67CF0B"/>
    <w:multiLevelType w:val="singleLevel"/>
    <w:tmpl w:val="EC67CF0B"/>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5">
    <w:nsid w:val="EF81268F"/>
    <w:multiLevelType w:val="singleLevel"/>
    <w:tmpl w:val="EF81268F"/>
    <w:lvl w:ilvl="0" w:tentative="0">
      <w:start w:val="1"/>
      <w:numFmt w:val="decimal"/>
      <w:pStyle w:val="459"/>
      <w:suff w:val="space"/>
      <w:lvlText w:val="图%1"/>
      <w:lvlJc w:val="left"/>
      <w:pPr>
        <w:ind w:left="425" w:hanging="425"/>
      </w:pPr>
      <w:rPr>
        <w:rFonts w:hint="default"/>
      </w:rPr>
    </w:lvl>
  </w:abstractNum>
  <w:abstractNum w:abstractNumId="6">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6"/>
    <w:multiLevelType w:val="singleLevel"/>
    <w:tmpl w:val="00000006"/>
    <w:lvl w:ilvl="0" w:tentative="0">
      <w:start w:val="1"/>
      <w:numFmt w:val="decimal"/>
      <w:suff w:val="nothing"/>
      <w:lvlText w:val="（%1）"/>
      <w:lvlJc w:val="left"/>
    </w:lvl>
  </w:abstractNum>
  <w:abstractNum w:abstractNumId="8">
    <w:nsid w:val="00000009"/>
    <w:multiLevelType w:val="singleLevel"/>
    <w:tmpl w:val="00000009"/>
    <w:lvl w:ilvl="0" w:tentative="0">
      <w:start w:val="1"/>
      <w:numFmt w:val="decimal"/>
      <w:suff w:val="nothing"/>
      <w:lvlText w:val="（%1）"/>
      <w:lvlJc w:val="left"/>
    </w:lvl>
  </w:abstractNum>
  <w:abstractNum w:abstractNumId="9">
    <w:nsid w:val="0000000C"/>
    <w:multiLevelType w:val="singleLevel"/>
    <w:tmpl w:val="0000000C"/>
    <w:lvl w:ilvl="0" w:tentative="0">
      <w:start w:val="1"/>
      <w:numFmt w:val="decimal"/>
      <w:suff w:val="nothing"/>
      <w:lvlText w:val="（%1）"/>
      <w:lvlJc w:val="left"/>
    </w:lvl>
  </w:abstractNum>
  <w:abstractNum w:abstractNumId="10">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1">
    <w:nsid w:val="01BB16A0"/>
    <w:multiLevelType w:val="singleLevel"/>
    <w:tmpl w:val="01BB16A0"/>
    <w:lvl w:ilvl="0" w:tentative="0">
      <w:start w:val="4"/>
      <w:numFmt w:val="chineseCounting"/>
      <w:suff w:val="space"/>
      <w:lvlText w:val="第%1部分"/>
      <w:lvlJc w:val="left"/>
      <w:rPr>
        <w:rFonts w:hint="eastAsia"/>
      </w:rPr>
    </w:lvl>
  </w:abstractNum>
  <w:abstractNum w:abstractNumId="12">
    <w:nsid w:val="0382B6CA"/>
    <w:multiLevelType w:val="singleLevel"/>
    <w:tmpl w:val="0382B6CA"/>
    <w:lvl w:ilvl="0" w:tentative="0">
      <w:start w:val="1"/>
      <w:numFmt w:val="decimal"/>
      <w:pStyle w:val="458"/>
      <w:suff w:val="space"/>
      <w:lvlText w:val="表%1"/>
      <w:lvlJc w:val="left"/>
      <w:pPr>
        <w:ind w:left="425" w:hanging="425"/>
      </w:pPr>
      <w:rPr>
        <w:rFonts w:hint="default"/>
      </w:rPr>
    </w:lvl>
  </w:abstractNum>
  <w:abstractNum w:abstractNumId="13">
    <w:nsid w:val="12D298AE"/>
    <w:multiLevelType w:val="singleLevel"/>
    <w:tmpl w:val="12D298AE"/>
    <w:lvl w:ilvl="0" w:tentative="0">
      <w:start w:val="1"/>
      <w:numFmt w:val="decimal"/>
      <w:pStyle w:val="15"/>
      <w:lvlText w:val="%1."/>
      <w:lvlJc w:val="left"/>
      <w:pPr>
        <w:tabs>
          <w:tab w:val="left" w:pos="780"/>
        </w:tabs>
        <w:ind w:left="780" w:hanging="360"/>
      </w:pPr>
    </w:lvl>
  </w:abstractNum>
  <w:abstractNum w:abstractNumId="14">
    <w:nsid w:val="14181B7E"/>
    <w:multiLevelType w:val="singleLevel"/>
    <w:tmpl w:val="14181B7E"/>
    <w:lvl w:ilvl="0" w:tentative="0">
      <w:start w:val="1"/>
      <w:numFmt w:val="decimal"/>
      <w:suff w:val="nothing"/>
      <w:lvlText w:val="%1、"/>
      <w:lvlJc w:val="left"/>
    </w:lvl>
  </w:abstractNum>
  <w:abstractNum w:abstractNumId="15">
    <w:nsid w:val="22B4D954"/>
    <w:multiLevelType w:val="singleLevel"/>
    <w:tmpl w:val="22B4D954"/>
    <w:lvl w:ilvl="0" w:tentative="0">
      <w:start w:val="1"/>
      <w:numFmt w:val="decimal"/>
      <w:pStyle w:val="21"/>
      <w:lvlText w:val="%1."/>
      <w:lvlJc w:val="left"/>
      <w:pPr>
        <w:tabs>
          <w:tab w:val="left" w:pos="360"/>
        </w:tabs>
        <w:ind w:left="360" w:hanging="360"/>
      </w:pPr>
    </w:lvl>
  </w:abstractNum>
  <w:abstractNum w:abstractNumId="16">
    <w:nsid w:val="3F3DD94F"/>
    <w:multiLevelType w:val="singleLevel"/>
    <w:tmpl w:val="3F3DD94F"/>
    <w:lvl w:ilvl="0" w:tentative="0">
      <w:start w:val="1"/>
      <w:numFmt w:val="decimal"/>
      <w:pStyle w:val="37"/>
      <w:lvlText w:val="%1."/>
      <w:lvlJc w:val="left"/>
      <w:pPr>
        <w:tabs>
          <w:tab w:val="left" w:pos="1200"/>
        </w:tabs>
        <w:ind w:left="1200" w:hanging="360"/>
      </w:pPr>
    </w:lvl>
  </w:abstractNum>
  <w:abstractNum w:abstractNumId="17">
    <w:nsid w:val="417E679F"/>
    <w:multiLevelType w:val="singleLevel"/>
    <w:tmpl w:val="417E679F"/>
    <w:lvl w:ilvl="0" w:tentative="0">
      <w:start w:val="1"/>
      <w:numFmt w:val="decimal"/>
      <w:pStyle w:val="66"/>
      <w:lvlText w:val="%1."/>
      <w:lvlJc w:val="left"/>
      <w:pPr>
        <w:tabs>
          <w:tab w:val="left" w:pos="2040"/>
        </w:tabs>
        <w:ind w:left="2040" w:hanging="360"/>
      </w:pPr>
    </w:lvl>
  </w:abstractNum>
  <w:abstractNum w:abstractNumId="18">
    <w:nsid w:val="5CADBC91"/>
    <w:multiLevelType w:val="singleLevel"/>
    <w:tmpl w:val="5CADBC91"/>
    <w:lvl w:ilvl="0" w:tentative="0">
      <w:start w:val="1"/>
      <w:numFmt w:val="decimal"/>
      <w:suff w:val="nothing"/>
      <w:lvlText w:val="（%1）"/>
      <w:lvlJc w:val="left"/>
    </w:lvl>
  </w:abstractNum>
  <w:abstractNum w:abstractNumId="19">
    <w:nsid w:val="5F4F22E9"/>
    <w:multiLevelType w:val="singleLevel"/>
    <w:tmpl w:val="5F4F22E9"/>
    <w:lvl w:ilvl="0" w:tentative="0">
      <w:start w:val="1"/>
      <w:numFmt w:val="bullet"/>
      <w:pStyle w:val="25"/>
      <w:lvlText w:val=""/>
      <w:lvlJc w:val="left"/>
      <w:pPr>
        <w:tabs>
          <w:tab w:val="left" w:pos="360"/>
        </w:tabs>
        <w:ind w:left="360" w:hanging="360"/>
      </w:pPr>
      <w:rPr>
        <w:rFonts w:hint="default" w:ascii="Wingdings" w:hAnsi="Wingdings"/>
      </w:rPr>
    </w:lvl>
  </w:abstractNum>
  <w:abstractNum w:abstractNumId="20">
    <w:nsid w:val="793FF840"/>
    <w:multiLevelType w:val="singleLevel"/>
    <w:tmpl w:val="793FF840"/>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21">
    <w:nsid w:val="7B9DAE66"/>
    <w:multiLevelType w:val="singleLevel"/>
    <w:tmpl w:val="7B9DAE66"/>
    <w:lvl w:ilvl="0" w:tentative="0">
      <w:start w:val="1"/>
      <w:numFmt w:val="bullet"/>
      <w:pStyle w:val="34"/>
      <w:lvlText w:val=""/>
      <w:lvlJc w:val="left"/>
      <w:pPr>
        <w:tabs>
          <w:tab w:val="left" w:pos="1200"/>
        </w:tabs>
        <w:ind w:left="1200" w:hanging="360"/>
      </w:pPr>
      <w:rPr>
        <w:rFonts w:hint="default" w:ascii="Wingdings" w:hAnsi="Wingdings"/>
      </w:rPr>
    </w:lvl>
  </w:abstractNum>
  <w:num w:numId="1">
    <w:abstractNumId w:val="13"/>
  </w:num>
  <w:num w:numId="2">
    <w:abstractNumId w:val="0"/>
  </w:num>
  <w:num w:numId="3">
    <w:abstractNumId w:val="15"/>
  </w:num>
  <w:num w:numId="4">
    <w:abstractNumId w:val="19"/>
  </w:num>
  <w:num w:numId="5">
    <w:abstractNumId w:val="21"/>
  </w:num>
  <w:num w:numId="6">
    <w:abstractNumId w:val="16"/>
  </w:num>
  <w:num w:numId="7">
    <w:abstractNumId w:val="20"/>
  </w:num>
  <w:num w:numId="8">
    <w:abstractNumId w:val="4"/>
  </w:num>
  <w:num w:numId="9">
    <w:abstractNumId w:val="1"/>
  </w:num>
  <w:num w:numId="10">
    <w:abstractNumId w:val="17"/>
  </w:num>
  <w:num w:numId="11">
    <w:abstractNumId w:val="3"/>
  </w:num>
  <w:num w:numId="12">
    <w:abstractNumId w:val="12"/>
  </w:num>
  <w:num w:numId="13">
    <w:abstractNumId w:val="5"/>
  </w:num>
  <w:num w:numId="14">
    <w:abstractNumId w:val="18"/>
  </w:num>
  <w:num w:numId="15">
    <w:abstractNumId w:val="9"/>
  </w:num>
  <w:num w:numId="16">
    <w:abstractNumId w:val="8"/>
  </w:num>
  <w:num w:numId="17">
    <w:abstractNumId w:val="7"/>
  </w:num>
  <w:num w:numId="18">
    <w:abstractNumId w:val="11"/>
  </w:num>
  <w:num w:numId="19">
    <w:abstractNumId w:val="14"/>
  </w:num>
  <w:num w:numId="20">
    <w:abstractNumId w:val="2"/>
  </w:num>
  <w:num w:numId="21">
    <w:abstractNumId w:val="6"/>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海燕">
    <w15:presenceInfo w15:providerId="None" w15:userId="曾海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cumentProtection w:enforcement="0"/>
  <w:defaultTabStop w:val="420"/>
  <w:drawingGridVerticalSpacing w:val="161"/>
  <w:displayVerticalDrawingGridEvery w:val="2"/>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6ECA11E3"/>
    <w:rsid w:val="00067699"/>
    <w:rsid w:val="000871E7"/>
    <w:rsid w:val="000C3AA7"/>
    <w:rsid w:val="000F540A"/>
    <w:rsid w:val="001245DC"/>
    <w:rsid w:val="00141CEF"/>
    <w:rsid w:val="001542C4"/>
    <w:rsid w:val="00161690"/>
    <w:rsid w:val="00173B81"/>
    <w:rsid w:val="00175646"/>
    <w:rsid w:val="0018560A"/>
    <w:rsid w:val="00203BB3"/>
    <w:rsid w:val="00233F06"/>
    <w:rsid w:val="0025252E"/>
    <w:rsid w:val="0029076A"/>
    <w:rsid w:val="002A3757"/>
    <w:rsid w:val="002B40C0"/>
    <w:rsid w:val="002B44AD"/>
    <w:rsid w:val="002E4C68"/>
    <w:rsid w:val="003336FF"/>
    <w:rsid w:val="00344D23"/>
    <w:rsid w:val="00363F19"/>
    <w:rsid w:val="00384C73"/>
    <w:rsid w:val="003A4132"/>
    <w:rsid w:val="003C799A"/>
    <w:rsid w:val="003D401C"/>
    <w:rsid w:val="003D5750"/>
    <w:rsid w:val="00450B5F"/>
    <w:rsid w:val="004F7BCF"/>
    <w:rsid w:val="0051206E"/>
    <w:rsid w:val="00526CE4"/>
    <w:rsid w:val="00562057"/>
    <w:rsid w:val="00564A11"/>
    <w:rsid w:val="00582E03"/>
    <w:rsid w:val="00592A19"/>
    <w:rsid w:val="005A3BEE"/>
    <w:rsid w:val="005B5E13"/>
    <w:rsid w:val="005C078C"/>
    <w:rsid w:val="005C46DA"/>
    <w:rsid w:val="005E5BD1"/>
    <w:rsid w:val="00603A57"/>
    <w:rsid w:val="006043ED"/>
    <w:rsid w:val="00607089"/>
    <w:rsid w:val="00623FEC"/>
    <w:rsid w:val="006705B8"/>
    <w:rsid w:val="00670D81"/>
    <w:rsid w:val="00683D36"/>
    <w:rsid w:val="00687853"/>
    <w:rsid w:val="006918CB"/>
    <w:rsid w:val="006975F8"/>
    <w:rsid w:val="006A67E1"/>
    <w:rsid w:val="006B369A"/>
    <w:rsid w:val="006E00AF"/>
    <w:rsid w:val="00702174"/>
    <w:rsid w:val="007045EF"/>
    <w:rsid w:val="007946F9"/>
    <w:rsid w:val="007D07F6"/>
    <w:rsid w:val="00840E97"/>
    <w:rsid w:val="0087773F"/>
    <w:rsid w:val="00884899"/>
    <w:rsid w:val="00903CEE"/>
    <w:rsid w:val="00931C40"/>
    <w:rsid w:val="00937917"/>
    <w:rsid w:val="00945D7E"/>
    <w:rsid w:val="009677FE"/>
    <w:rsid w:val="00974BE2"/>
    <w:rsid w:val="00984671"/>
    <w:rsid w:val="009870AB"/>
    <w:rsid w:val="009971DB"/>
    <w:rsid w:val="009A3A18"/>
    <w:rsid w:val="009B4D8E"/>
    <w:rsid w:val="009C587B"/>
    <w:rsid w:val="009C61A9"/>
    <w:rsid w:val="009C6215"/>
    <w:rsid w:val="00A11B2B"/>
    <w:rsid w:val="00A1716B"/>
    <w:rsid w:val="00A24B21"/>
    <w:rsid w:val="00A33DAE"/>
    <w:rsid w:val="00A57997"/>
    <w:rsid w:val="00A62687"/>
    <w:rsid w:val="00A64360"/>
    <w:rsid w:val="00A80F2E"/>
    <w:rsid w:val="00AB3CE8"/>
    <w:rsid w:val="00AC4B76"/>
    <w:rsid w:val="00B35725"/>
    <w:rsid w:val="00B46ABF"/>
    <w:rsid w:val="00BA0120"/>
    <w:rsid w:val="00BB6012"/>
    <w:rsid w:val="00BC6DE7"/>
    <w:rsid w:val="00BF0D9D"/>
    <w:rsid w:val="00C0644F"/>
    <w:rsid w:val="00C92668"/>
    <w:rsid w:val="00C96234"/>
    <w:rsid w:val="00CA197C"/>
    <w:rsid w:val="00CC4864"/>
    <w:rsid w:val="00D02356"/>
    <w:rsid w:val="00D42137"/>
    <w:rsid w:val="00D56B60"/>
    <w:rsid w:val="00D87BAB"/>
    <w:rsid w:val="00D939B5"/>
    <w:rsid w:val="00D95AE5"/>
    <w:rsid w:val="00D96823"/>
    <w:rsid w:val="00DC4FE8"/>
    <w:rsid w:val="00DD1A7B"/>
    <w:rsid w:val="00DD2BBB"/>
    <w:rsid w:val="00DE2E4F"/>
    <w:rsid w:val="00E00B5D"/>
    <w:rsid w:val="00E46FED"/>
    <w:rsid w:val="00E856FE"/>
    <w:rsid w:val="00EC73C3"/>
    <w:rsid w:val="00EE310D"/>
    <w:rsid w:val="00EF58DA"/>
    <w:rsid w:val="00F4378A"/>
    <w:rsid w:val="00F56310"/>
    <w:rsid w:val="00F60CAF"/>
    <w:rsid w:val="00FA1E91"/>
    <w:rsid w:val="00FA41A6"/>
    <w:rsid w:val="00FC0A1E"/>
    <w:rsid w:val="012B0DF9"/>
    <w:rsid w:val="016025FC"/>
    <w:rsid w:val="019D4E55"/>
    <w:rsid w:val="01A83C46"/>
    <w:rsid w:val="01B3097E"/>
    <w:rsid w:val="01B81995"/>
    <w:rsid w:val="02182ED7"/>
    <w:rsid w:val="022C5CCC"/>
    <w:rsid w:val="02823D95"/>
    <w:rsid w:val="029562D6"/>
    <w:rsid w:val="02EF1E8A"/>
    <w:rsid w:val="04352076"/>
    <w:rsid w:val="04446019"/>
    <w:rsid w:val="048B2A85"/>
    <w:rsid w:val="04F74C3F"/>
    <w:rsid w:val="04F875A0"/>
    <w:rsid w:val="05045364"/>
    <w:rsid w:val="051C0402"/>
    <w:rsid w:val="05266D05"/>
    <w:rsid w:val="05571F68"/>
    <w:rsid w:val="057B6B0A"/>
    <w:rsid w:val="06011F07"/>
    <w:rsid w:val="06351F74"/>
    <w:rsid w:val="06950CBD"/>
    <w:rsid w:val="06B900B8"/>
    <w:rsid w:val="06C27BA7"/>
    <w:rsid w:val="07146C2B"/>
    <w:rsid w:val="0782145E"/>
    <w:rsid w:val="07867FE9"/>
    <w:rsid w:val="079E5DD1"/>
    <w:rsid w:val="07DE427B"/>
    <w:rsid w:val="07F77C97"/>
    <w:rsid w:val="080D6E43"/>
    <w:rsid w:val="082A3964"/>
    <w:rsid w:val="085D113C"/>
    <w:rsid w:val="089B79AC"/>
    <w:rsid w:val="09285B97"/>
    <w:rsid w:val="099A1FD0"/>
    <w:rsid w:val="0A081EEC"/>
    <w:rsid w:val="0A1B49A5"/>
    <w:rsid w:val="0A4E2023"/>
    <w:rsid w:val="0A6014F4"/>
    <w:rsid w:val="0A6A568E"/>
    <w:rsid w:val="0A7D43AC"/>
    <w:rsid w:val="0AB00EA5"/>
    <w:rsid w:val="0B2A34D9"/>
    <w:rsid w:val="0B631E61"/>
    <w:rsid w:val="0B7B1FE3"/>
    <w:rsid w:val="0BC301D9"/>
    <w:rsid w:val="0BCB0E68"/>
    <w:rsid w:val="0C395792"/>
    <w:rsid w:val="0C5B233E"/>
    <w:rsid w:val="0C7B320A"/>
    <w:rsid w:val="0C8278CB"/>
    <w:rsid w:val="0CA77331"/>
    <w:rsid w:val="0CB96280"/>
    <w:rsid w:val="0CD4440C"/>
    <w:rsid w:val="0D15439D"/>
    <w:rsid w:val="0D1F07B3"/>
    <w:rsid w:val="0D47449D"/>
    <w:rsid w:val="0DEB5823"/>
    <w:rsid w:val="0E9508C6"/>
    <w:rsid w:val="0EAE1EA5"/>
    <w:rsid w:val="0F0C69BC"/>
    <w:rsid w:val="0F3D2FCE"/>
    <w:rsid w:val="100D0BBD"/>
    <w:rsid w:val="10537FDE"/>
    <w:rsid w:val="105F163C"/>
    <w:rsid w:val="10E02E12"/>
    <w:rsid w:val="115A7A4D"/>
    <w:rsid w:val="11647F5F"/>
    <w:rsid w:val="11BF336F"/>
    <w:rsid w:val="12255CD4"/>
    <w:rsid w:val="123B7E78"/>
    <w:rsid w:val="1283026C"/>
    <w:rsid w:val="128A7BF7"/>
    <w:rsid w:val="12C43AFC"/>
    <w:rsid w:val="134231CE"/>
    <w:rsid w:val="13494BFB"/>
    <w:rsid w:val="13B9388F"/>
    <w:rsid w:val="14166484"/>
    <w:rsid w:val="1484618D"/>
    <w:rsid w:val="14981C27"/>
    <w:rsid w:val="15472268"/>
    <w:rsid w:val="15830BD9"/>
    <w:rsid w:val="159609C1"/>
    <w:rsid w:val="15B75AF7"/>
    <w:rsid w:val="15CB46A6"/>
    <w:rsid w:val="15CC6A4F"/>
    <w:rsid w:val="164026E0"/>
    <w:rsid w:val="164D02A2"/>
    <w:rsid w:val="16815D1C"/>
    <w:rsid w:val="16EA1425"/>
    <w:rsid w:val="1728413E"/>
    <w:rsid w:val="1745083A"/>
    <w:rsid w:val="174F244F"/>
    <w:rsid w:val="177C0994"/>
    <w:rsid w:val="178A7F7B"/>
    <w:rsid w:val="17AA5713"/>
    <w:rsid w:val="17BD5C5B"/>
    <w:rsid w:val="17FF34EC"/>
    <w:rsid w:val="186A77A6"/>
    <w:rsid w:val="18A24E51"/>
    <w:rsid w:val="19AC22AE"/>
    <w:rsid w:val="19BA0760"/>
    <w:rsid w:val="19C3747C"/>
    <w:rsid w:val="19D662F2"/>
    <w:rsid w:val="1AE15146"/>
    <w:rsid w:val="1B0F20CB"/>
    <w:rsid w:val="1B394F38"/>
    <w:rsid w:val="1B8973D1"/>
    <w:rsid w:val="1B99757B"/>
    <w:rsid w:val="1C2E0CC8"/>
    <w:rsid w:val="1C5B13F8"/>
    <w:rsid w:val="1C88068E"/>
    <w:rsid w:val="1D100F23"/>
    <w:rsid w:val="1D2F1B6F"/>
    <w:rsid w:val="1D34296E"/>
    <w:rsid w:val="1D430810"/>
    <w:rsid w:val="1D554B87"/>
    <w:rsid w:val="1D8D798A"/>
    <w:rsid w:val="1DD96785"/>
    <w:rsid w:val="1DFF6B1C"/>
    <w:rsid w:val="1E263889"/>
    <w:rsid w:val="1E436F14"/>
    <w:rsid w:val="1E5B7F7C"/>
    <w:rsid w:val="1E651EA7"/>
    <w:rsid w:val="1E65704C"/>
    <w:rsid w:val="1EBD055F"/>
    <w:rsid w:val="1EE753C6"/>
    <w:rsid w:val="1EEC53C1"/>
    <w:rsid w:val="1EF614DB"/>
    <w:rsid w:val="1F037ABF"/>
    <w:rsid w:val="1F0C58DF"/>
    <w:rsid w:val="1F3E6060"/>
    <w:rsid w:val="1F8025E1"/>
    <w:rsid w:val="1FBD6F7C"/>
    <w:rsid w:val="1FD50B49"/>
    <w:rsid w:val="1FFF1208"/>
    <w:rsid w:val="201F2242"/>
    <w:rsid w:val="203D2686"/>
    <w:rsid w:val="206636BD"/>
    <w:rsid w:val="20B274B1"/>
    <w:rsid w:val="20B932A5"/>
    <w:rsid w:val="20F766A2"/>
    <w:rsid w:val="211D31AF"/>
    <w:rsid w:val="212D7572"/>
    <w:rsid w:val="213F231A"/>
    <w:rsid w:val="21470119"/>
    <w:rsid w:val="21687C5B"/>
    <w:rsid w:val="21750403"/>
    <w:rsid w:val="217911FA"/>
    <w:rsid w:val="2184175C"/>
    <w:rsid w:val="221413B9"/>
    <w:rsid w:val="22242D54"/>
    <w:rsid w:val="223D0F38"/>
    <w:rsid w:val="223F7CBE"/>
    <w:rsid w:val="22464D3A"/>
    <w:rsid w:val="225A62E9"/>
    <w:rsid w:val="22981523"/>
    <w:rsid w:val="229B6D53"/>
    <w:rsid w:val="22B3118F"/>
    <w:rsid w:val="230D3D84"/>
    <w:rsid w:val="23241235"/>
    <w:rsid w:val="233E1DDF"/>
    <w:rsid w:val="236569E5"/>
    <w:rsid w:val="23831BB7"/>
    <w:rsid w:val="23E3562A"/>
    <w:rsid w:val="243F6D24"/>
    <w:rsid w:val="24527C03"/>
    <w:rsid w:val="247C4C34"/>
    <w:rsid w:val="24AC2947"/>
    <w:rsid w:val="24FC3F2A"/>
    <w:rsid w:val="25040446"/>
    <w:rsid w:val="2546353E"/>
    <w:rsid w:val="254774AC"/>
    <w:rsid w:val="254F5042"/>
    <w:rsid w:val="255F65A3"/>
    <w:rsid w:val="258626E3"/>
    <w:rsid w:val="25EB1F7C"/>
    <w:rsid w:val="25F4564B"/>
    <w:rsid w:val="25F969F8"/>
    <w:rsid w:val="26123616"/>
    <w:rsid w:val="2628488E"/>
    <w:rsid w:val="26796F4A"/>
    <w:rsid w:val="26935D28"/>
    <w:rsid w:val="26A624FC"/>
    <w:rsid w:val="26AE0482"/>
    <w:rsid w:val="26BE3237"/>
    <w:rsid w:val="26CF1507"/>
    <w:rsid w:val="26D63BC5"/>
    <w:rsid w:val="27262C32"/>
    <w:rsid w:val="273861E8"/>
    <w:rsid w:val="273D00F1"/>
    <w:rsid w:val="276B18D7"/>
    <w:rsid w:val="27A1606E"/>
    <w:rsid w:val="27A95429"/>
    <w:rsid w:val="27BA76BA"/>
    <w:rsid w:val="28D7460F"/>
    <w:rsid w:val="29465F48"/>
    <w:rsid w:val="29496766"/>
    <w:rsid w:val="2973448D"/>
    <w:rsid w:val="29E61671"/>
    <w:rsid w:val="2A3E56F6"/>
    <w:rsid w:val="2A633263"/>
    <w:rsid w:val="2A675350"/>
    <w:rsid w:val="2B2A5829"/>
    <w:rsid w:val="2B2C7808"/>
    <w:rsid w:val="2B4A417A"/>
    <w:rsid w:val="2BDF4B0D"/>
    <w:rsid w:val="2C2C5AB4"/>
    <w:rsid w:val="2C99503A"/>
    <w:rsid w:val="2CD06DD8"/>
    <w:rsid w:val="2D102879"/>
    <w:rsid w:val="2D14731D"/>
    <w:rsid w:val="2D4A2D95"/>
    <w:rsid w:val="2D7B31C8"/>
    <w:rsid w:val="2D9E7E85"/>
    <w:rsid w:val="2DCE2518"/>
    <w:rsid w:val="2E0B749A"/>
    <w:rsid w:val="2E112C5C"/>
    <w:rsid w:val="2E340801"/>
    <w:rsid w:val="2E8203DE"/>
    <w:rsid w:val="2E9B2390"/>
    <w:rsid w:val="2EB27755"/>
    <w:rsid w:val="2EC863C7"/>
    <w:rsid w:val="2EFA19CE"/>
    <w:rsid w:val="2F2A2D4D"/>
    <w:rsid w:val="2F5E19D9"/>
    <w:rsid w:val="2F654979"/>
    <w:rsid w:val="2FB7406E"/>
    <w:rsid w:val="2FC751F2"/>
    <w:rsid w:val="2FD75B1D"/>
    <w:rsid w:val="2FDB1D24"/>
    <w:rsid w:val="2FEA6375"/>
    <w:rsid w:val="3010766D"/>
    <w:rsid w:val="3054538E"/>
    <w:rsid w:val="30753757"/>
    <w:rsid w:val="30D53BBD"/>
    <w:rsid w:val="31131091"/>
    <w:rsid w:val="311744A7"/>
    <w:rsid w:val="312476AC"/>
    <w:rsid w:val="313D7346"/>
    <w:rsid w:val="31C477D6"/>
    <w:rsid w:val="322B465C"/>
    <w:rsid w:val="32C06869"/>
    <w:rsid w:val="32ED471A"/>
    <w:rsid w:val="3331759D"/>
    <w:rsid w:val="33624015"/>
    <w:rsid w:val="33AB0F87"/>
    <w:rsid w:val="33BA52ED"/>
    <w:rsid w:val="33CB0C74"/>
    <w:rsid w:val="34244371"/>
    <w:rsid w:val="34E15963"/>
    <w:rsid w:val="34EF1615"/>
    <w:rsid w:val="35727C2D"/>
    <w:rsid w:val="359B0B00"/>
    <w:rsid w:val="35B212FA"/>
    <w:rsid w:val="35CD711E"/>
    <w:rsid w:val="35CE47D2"/>
    <w:rsid w:val="35CF536D"/>
    <w:rsid w:val="35D65462"/>
    <w:rsid w:val="3624775F"/>
    <w:rsid w:val="36933369"/>
    <w:rsid w:val="36A25157"/>
    <w:rsid w:val="36BD576F"/>
    <w:rsid w:val="36D36F20"/>
    <w:rsid w:val="36DB190F"/>
    <w:rsid w:val="36F823B4"/>
    <w:rsid w:val="3701042F"/>
    <w:rsid w:val="370138CA"/>
    <w:rsid w:val="371422F1"/>
    <w:rsid w:val="371D536D"/>
    <w:rsid w:val="37373A04"/>
    <w:rsid w:val="37682375"/>
    <w:rsid w:val="37ED0850"/>
    <w:rsid w:val="37F232A7"/>
    <w:rsid w:val="38136029"/>
    <w:rsid w:val="387E2D8D"/>
    <w:rsid w:val="389425B0"/>
    <w:rsid w:val="389E45F0"/>
    <w:rsid w:val="38C015D8"/>
    <w:rsid w:val="38C62993"/>
    <w:rsid w:val="391B523E"/>
    <w:rsid w:val="39595C88"/>
    <w:rsid w:val="39926182"/>
    <w:rsid w:val="39FA4B0D"/>
    <w:rsid w:val="3A0A5499"/>
    <w:rsid w:val="3A2F1883"/>
    <w:rsid w:val="3A815E0A"/>
    <w:rsid w:val="3AB14612"/>
    <w:rsid w:val="3AC6527A"/>
    <w:rsid w:val="3ADC4083"/>
    <w:rsid w:val="3ADF03A2"/>
    <w:rsid w:val="3B2B6D8A"/>
    <w:rsid w:val="3B615D4B"/>
    <w:rsid w:val="3B9F7E82"/>
    <w:rsid w:val="3BF45CEC"/>
    <w:rsid w:val="3C466D4E"/>
    <w:rsid w:val="3C525E6D"/>
    <w:rsid w:val="3C9B0F57"/>
    <w:rsid w:val="3CB03D04"/>
    <w:rsid w:val="3CB84BBF"/>
    <w:rsid w:val="3CEC0482"/>
    <w:rsid w:val="3D0C77D1"/>
    <w:rsid w:val="3D1D0C51"/>
    <w:rsid w:val="3DAE273F"/>
    <w:rsid w:val="3DD504CF"/>
    <w:rsid w:val="3DE84B6C"/>
    <w:rsid w:val="3E135CE6"/>
    <w:rsid w:val="3E475944"/>
    <w:rsid w:val="3E813523"/>
    <w:rsid w:val="3EC17D95"/>
    <w:rsid w:val="3EDC0ECC"/>
    <w:rsid w:val="3F386265"/>
    <w:rsid w:val="3F5F279F"/>
    <w:rsid w:val="3FEA2069"/>
    <w:rsid w:val="3FEF3F72"/>
    <w:rsid w:val="4010076F"/>
    <w:rsid w:val="40662CB8"/>
    <w:rsid w:val="4067023A"/>
    <w:rsid w:val="407960B9"/>
    <w:rsid w:val="40AB650D"/>
    <w:rsid w:val="40F26D3D"/>
    <w:rsid w:val="412A3AB2"/>
    <w:rsid w:val="413E4F19"/>
    <w:rsid w:val="415E375B"/>
    <w:rsid w:val="41E622FE"/>
    <w:rsid w:val="41E81BDE"/>
    <w:rsid w:val="42555758"/>
    <w:rsid w:val="428B04D9"/>
    <w:rsid w:val="428D6C56"/>
    <w:rsid w:val="42A5126A"/>
    <w:rsid w:val="42CE10AD"/>
    <w:rsid w:val="42D37FA3"/>
    <w:rsid w:val="42D41AA6"/>
    <w:rsid w:val="42D572D3"/>
    <w:rsid w:val="42EB101F"/>
    <w:rsid w:val="42F52F66"/>
    <w:rsid w:val="42FB288E"/>
    <w:rsid w:val="43212B30"/>
    <w:rsid w:val="434C2340"/>
    <w:rsid w:val="434D6E78"/>
    <w:rsid w:val="43566DE0"/>
    <w:rsid w:val="435C3C0F"/>
    <w:rsid w:val="43AF5C05"/>
    <w:rsid w:val="440E6793"/>
    <w:rsid w:val="4425491B"/>
    <w:rsid w:val="448B5B41"/>
    <w:rsid w:val="44BD25D7"/>
    <w:rsid w:val="450A60D4"/>
    <w:rsid w:val="4571572A"/>
    <w:rsid w:val="45773005"/>
    <w:rsid w:val="459A44BE"/>
    <w:rsid w:val="45CC1B37"/>
    <w:rsid w:val="464B166D"/>
    <w:rsid w:val="466963C3"/>
    <w:rsid w:val="467D6E06"/>
    <w:rsid w:val="468745ED"/>
    <w:rsid w:val="46CC47DE"/>
    <w:rsid w:val="46F956FF"/>
    <w:rsid w:val="4700361B"/>
    <w:rsid w:val="474210C7"/>
    <w:rsid w:val="47AB7721"/>
    <w:rsid w:val="47E72C10"/>
    <w:rsid w:val="47FE7C7B"/>
    <w:rsid w:val="483C5694"/>
    <w:rsid w:val="484F3AB2"/>
    <w:rsid w:val="48E85FE9"/>
    <w:rsid w:val="49125FFB"/>
    <w:rsid w:val="491C4628"/>
    <w:rsid w:val="492E0F85"/>
    <w:rsid w:val="49374014"/>
    <w:rsid w:val="49542533"/>
    <w:rsid w:val="497A283B"/>
    <w:rsid w:val="49FD2121"/>
    <w:rsid w:val="4A144EDF"/>
    <w:rsid w:val="4A2B42BD"/>
    <w:rsid w:val="4A3241BC"/>
    <w:rsid w:val="4A7E62C5"/>
    <w:rsid w:val="4AC24D5B"/>
    <w:rsid w:val="4B01452B"/>
    <w:rsid w:val="4B1C083A"/>
    <w:rsid w:val="4B236A53"/>
    <w:rsid w:val="4B2D45B0"/>
    <w:rsid w:val="4BDC377E"/>
    <w:rsid w:val="4C017E1B"/>
    <w:rsid w:val="4C1363D0"/>
    <w:rsid w:val="4C3479F8"/>
    <w:rsid w:val="4C4B0ACB"/>
    <w:rsid w:val="4CDB7E70"/>
    <w:rsid w:val="4CDE38DC"/>
    <w:rsid w:val="4DB56DF9"/>
    <w:rsid w:val="4DD47E42"/>
    <w:rsid w:val="4DD66399"/>
    <w:rsid w:val="4E3C24E9"/>
    <w:rsid w:val="4E824922"/>
    <w:rsid w:val="4EB50C10"/>
    <w:rsid w:val="4F0612C4"/>
    <w:rsid w:val="4F2E2832"/>
    <w:rsid w:val="4F324F36"/>
    <w:rsid w:val="4FE45773"/>
    <w:rsid w:val="4FE9510E"/>
    <w:rsid w:val="4FF02E34"/>
    <w:rsid w:val="50250266"/>
    <w:rsid w:val="50263CE3"/>
    <w:rsid w:val="50461608"/>
    <w:rsid w:val="508042D9"/>
    <w:rsid w:val="50A17CA4"/>
    <w:rsid w:val="50AD00DD"/>
    <w:rsid w:val="50BC61A9"/>
    <w:rsid w:val="50E81293"/>
    <w:rsid w:val="513E350D"/>
    <w:rsid w:val="517A41A6"/>
    <w:rsid w:val="519434E5"/>
    <w:rsid w:val="51E22D94"/>
    <w:rsid w:val="51F11680"/>
    <w:rsid w:val="522C172E"/>
    <w:rsid w:val="522F4A6C"/>
    <w:rsid w:val="524424F9"/>
    <w:rsid w:val="52532C9B"/>
    <w:rsid w:val="52AA6800"/>
    <w:rsid w:val="52BA10C9"/>
    <w:rsid w:val="52C00A54"/>
    <w:rsid w:val="52C16224"/>
    <w:rsid w:val="52DA15FD"/>
    <w:rsid w:val="52EF3383"/>
    <w:rsid w:val="5316330F"/>
    <w:rsid w:val="53525315"/>
    <w:rsid w:val="5356503E"/>
    <w:rsid w:val="53681F20"/>
    <w:rsid w:val="537072A8"/>
    <w:rsid w:val="53873BB8"/>
    <w:rsid w:val="53C07DB2"/>
    <w:rsid w:val="53E24AE6"/>
    <w:rsid w:val="54931516"/>
    <w:rsid w:val="54BB6C27"/>
    <w:rsid w:val="54F41C89"/>
    <w:rsid w:val="54F46459"/>
    <w:rsid w:val="550C072E"/>
    <w:rsid w:val="553C6CEB"/>
    <w:rsid w:val="55532F8B"/>
    <w:rsid w:val="55941547"/>
    <w:rsid w:val="559A36FF"/>
    <w:rsid w:val="55EB2205"/>
    <w:rsid w:val="567B088A"/>
    <w:rsid w:val="5689496C"/>
    <w:rsid w:val="56BD3C31"/>
    <w:rsid w:val="56E90F5B"/>
    <w:rsid w:val="56FE536D"/>
    <w:rsid w:val="57174FB2"/>
    <w:rsid w:val="571B2AA2"/>
    <w:rsid w:val="5730129E"/>
    <w:rsid w:val="573434A1"/>
    <w:rsid w:val="573C16D0"/>
    <w:rsid w:val="576215A8"/>
    <w:rsid w:val="57B35F6D"/>
    <w:rsid w:val="57B462A2"/>
    <w:rsid w:val="57E417E0"/>
    <w:rsid w:val="57E42E17"/>
    <w:rsid w:val="582C7CB7"/>
    <w:rsid w:val="58482E44"/>
    <w:rsid w:val="585D4208"/>
    <w:rsid w:val="58634CBB"/>
    <w:rsid w:val="589B3CDA"/>
    <w:rsid w:val="58FA2E94"/>
    <w:rsid w:val="591311F4"/>
    <w:rsid w:val="59727A97"/>
    <w:rsid w:val="598B6E78"/>
    <w:rsid w:val="59E3160A"/>
    <w:rsid w:val="59F36F78"/>
    <w:rsid w:val="5A222E87"/>
    <w:rsid w:val="5A246DC6"/>
    <w:rsid w:val="5A5D23AA"/>
    <w:rsid w:val="5A67064A"/>
    <w:rsid w:val="5A7125EE"/>
    <w:rsid w:val="5A9D1E29"/>
    <w:rsid w:val="5AF25EAC"/>
    <w:rsid w:val="5B622594"/>
    <w:rsid w:val="5B9938B6"/>
    <w:rsid w:val="5B9A46F8"/>
    <w:rsid w:val="5BA84668"/>
    <w:rsid w:val="5BE018CB"/>
    <w:rsid w:val="5C0E15D9"/>
    <w:rsid w:val="5C6F53A4"/>
    <w:rsid w:val="5CD94A7D"/>
    <w:rsid w:val="5D083339"/>
    <w:rsid w:val="5D465377"/>
    <w:rsid w:val="5D50269A"/>
    <w:rsid w:val="5D505083"/>
    <w:rsid w:val="5D7C7518"/>
    <w:rsid w:val="5E196F30"/>
    <w:rsid w:val="5E3552D9"/>
    <w:rsid w:val="5E793C16"/>
    <w:rsid w:val="5E814C0F"/>
    <w:rsid w:val="5EB01642"/>
    <w:rsid w:val="5EFD0600"/>
    <w:rsid w:val="5F192012"/>
    <w:rsid w:val="5F2F3AC7"/>
    <w:rsid w:val="5FDE5D3B"/>
    <w:rsid w:val="601812AE"/>
    <w:rsid w:val="604C498D"/>
    <w:rsid w:val="60C16F3B"/>
    <w:rsid w:val="60F65306"/>
    <w:rsid w:val="612A0AF8"/>
    <w:rsid w:val="61B054B5"/>
    <w:rsid w:val="61FD4BCF"/>
    <w:rsid w:val="623E513D"/>
    <w:rsid w:val="624C33EF"/>
    <w:rsid w:val="62522A10"/>
    <w:rsid w:val="631B2E02"/>
    <w:rsid w:val="636E7A2E"/>
    <w:rsid w:val="637D18D6"/>
    <w:rsid w:val="63E328D4"/>
    <w:rsid w:val="64076927"/>
    <w:rsid w:val="64106469"/>
    <w:rsid w:val="642168F6"/>
    <w:rsid w:val="643150EF"/>
    <w:rsid w:val="64943E02"/>
    <w:rsid w:val="649C269E"/>
    <w:rsid w:val="64A50DAF"/>
    <w:rsid w:val="64DD3107"/>
    <w:rsid w:val="64E97686"/>
    <w:rsid w:val="65143E8E"/>
    <w:rsid w:val="65312DB1"/>
    <w:rsid w:val="654B3E0B"/>
    <w:rsid w:val="65701DAF"/>
    <w:rsid w:val="65734A62"/>
    <w:rsid w:val="65EF6895"/>
    <w:rsid w:val="65F57186"/>
    <w:rsid w:val="66356F3C"/>
    <w:rsid w:val="668D2E4E"/>
    <w:rsid w:val="67224816"/>
    <w:rsid w:val="67235FBE"/>
    <w:rsid w:val="67420095"/>
    <w:rsid w:val="67697CCC"/>
    <w:rsid w:val="67A755AC"/>
    <w:rsid w:val="67BE6D26"/>
    <w:rsid w:val="67C044C4"/>
    <w:rsid w:val="67E857A9"/>
    <w:rsid w:val="68072700"/>
    <w:rsid w:val="68384D1D"/>
    <w:rsid w:val="684923CA"/>
    <w:rsid w:val="687E6A36"/>
    <w:rsid w:val="68DD2EC8"/>
    <w:rsid w:val="6926728F"/>
    <w:rsid w:val="69356E2B"/>
    <w:rsid w:val="69362DAC"/>
    <w:rsid w:val="696D5485"/>
    <w:rsid w:val="69910253"/>
    <w:rsid w:val="69AD2726"/>
    <w:rsid w:val="69C53915"/>
    <w:rsid w:val="69CF1EED"/>
    <w:rsid w:val="69D05529"/>
    <w:rsid w:val="69E629B4"/>
    <w:rsid w:val="69FB056C"/>
    <w:rsid w:val="6A303F94"/>
    <w:rsid w:val="6A942CE9"/>
    <w:rsid w:val="6A9C3978"/>
    <w:rsid w:val="6AF873C8"/>
    <w:rsid w:val="6B1000B4"/>
    <w:rsid w:val="6B50669B"/>
    <w:rsid w:val="6B8725DB"/>
    <w:rsid w:val="6BCD756D"/>
    <w:rsid w:val="6C127F06"/>
    <w:rsid w:val="6C6256CC"/>
    <w:rsid w:val="6CB43A23"/>
    <w:rsid w:val="6CB90C75"/>
    <w:rsid w:val="6CBE48F7"/>
    <w:rsid w:val="6D48139B"/>
    <w:rsid w:val="6DA36D8A"/>
    <w:rsid w:val="6DD51EC1"/>
    <w:rsid w:val="6E021FD1"/>
    <w:rsid w:val="6E1E0266"/>
    <w:rsid w:val="6E4F0506"/>
    <w:rsid w:val="6E8977BA"/>
    <w:rsid w:val="6E8F15D9"/>
    <w:rsid w:val="6E953C97"/>
    <w:rsid w:val="6ECA11E3"/>
    <w:rsid w:val="6F007327"/>
    <w:rsid w:val="6F077D6E"/>
    <w:rsid w:val="6F434296"/>
    <w:rsid w:val="6F464419"/>
    <w:rsid w:val="6F5361F2"/>
    <w:rsid w:val="6FBA7BE3"/>
    <w:rsid w:val="6FDE5199"/>
    <w:rsid w:val="702B4B0F"/>
    <w:rsid w:val="70995B4F"/>
    <w:rsid w:val="71167A14"/>
    <w:rsid w:val="711C37A7"/>
    <w:rsid w:val="711D0E2F"/>
    <w:rsid w:val="714F4A2B"/>
    <w:rsid w:val="715274D7"/>
    <w:rsid w:val="71CF4C44"/>
    <w:rsid w:val="71FE04BF"/>
    <w:rsid w:val="72120F22"/>
    <w:rsid w:val="7246140B"/>
    <w:rsid w:val="728F7281"/>
    <w:rsid w:val="72930C07"/>
    <w:rsid w:val="729E05F7"/>
    <w:rsid w:val="72DB4A4B"/>
    <w:rsid w:val="72FB1927"/>
    <w:rsid w:val="737230F7"/>
    <w:rsid w:val="74031E70"/>
    <w:rsid w:val="74967468"/>
    <w:rsid w:val="74A36100"/>
    <w:rsid w:val="74C35F1C"/>
    <w:rsid w:val="75087A63"/>
    <w:rsid w:val="7577493F"/>
    <w:rsid w:val="75BE4EBA"/>
    <w:rsid w:val="76252C4D"/>
    <w:rsid w:val="763F1AD3"/>
    <w:rsid w:val="76683E52"/>
    <w:rsid w:val="766A24B2"/>
    <w:rsid w:val="76A07565"/>
    <w:rsid w:val="76D811AB"/>
    <w:rsid w:val="7709603C"/>
    <w:rsid w:val="771244E7"/>
    <w:rsid w:val="771479EA"/>
    <w:rsid w:val="773B39A1"/>
    <w:rsid w:val="774C75D7"/>
    <w:rsid w:val="775B27D0"/>
    <w:rsid w:val="776C5995"/>
    <w:rsid w:val="778833A0"/>
    <w:rsid w:val="77E05E39"/>
    <w:rsid w:val="781A5362"/>
    <w:rsid w:val="782B6736"/>
    <w:rsid w:val="783F0DAF"/>
    <w:rsid w:val="7858337E"/>
    <w:rsid w:val="788A03B6"/>
    <w:rsid w:val="78BC6AA1"/>
    <w:rsid w:val="78C16034"/>
    <w:rsid w:val="793E15F9"/>
    <w:rsid w:val="79892D64"/>
    <w:rsid w:val="798D1378"/>
    <w:rsid w:val="798F00FE"/>
    <w:rsid w:val="79A33E26"/>
    <w:rsid w:val="79B00633"/>
    <w:rsid w:val="79F44419"/>
    <w:rsid w:val="7A041C7B"/>
    <w:rsid w:val="7A1748A8"/>
    <w:rsid w:val="7A2A5D7E"/>
    <w:rsid w:val="7A316896"/>
    <w:rsid w:val="7A340040"/>
    <w:rsid w:val="7A36055E"/>
    <w:rsid w:val="7A360F8A"/>
    <w:rsid w:val="7A4E5572"/>
    <w:rsid w:val="7AA159BD"/>
    <w:rsid w:val="7B095F8D"/>
    <w:rsid w:val="7B352923"/>
    <w:rsid w:val="7B46413C"/>
    <w:rsid w:val="7B9F686F"/>
    <w:rsid w:val="7BB320E2"/>
    <w:rsid w:val="7BD712BD"/>
    <w:rsid w:val="7C4C3032"/>
    <w:rsid w:val="7C9F72EF"/>
    <w:rsid w:val="7CE87DA1"/>
    <w:rsid w:val="7D175611"/>
    <w:rsid w:val="7D4E22FA"/>
    <w:rsid w:val="7DA720A4"/>
    <w:rsid w:val="7E141BF3"/>
    <w:rsid w:val="7E391383"/>
    <w:rsid w:val="7E7D7343"/>
    <w:rsid w:val="7E9E7B50"/>
    <w:rsid w:val="7EAF6879"/>
    <w:rsid w:val="7F0E027B"/>
    <w:rsid w:val="7F6776A3"/>
    <w:rsid w:val="7F8903C9"/>
    <w:rsid w:val="7FEA3E31"/>
    <w:rsid w:val="7FFD24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name="Table Theme"/>
    <w:lsdException w:qFormat="1" w:unhideWhenUsed="0" w:uiPriority="0"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50"/>
    <w:qFormat/>
    <w:uiPriority w:val="0"/>
    <w:pPr>
      <w:keepNext/>
      <w:keepLines/>
      <w:spacing w:before="340" w:after="330" w:line="576" w:lineRule="auto"/>
      <w:outlineLvl w:val="0"/>
    </w:pPr>
    <w:rPr>
      <w:b/>
      <w:kern w:val="44"/>
      <w:sz w:val="44"/>
    </w:rPr>
  </w:style>
  <w:style w:type="paragraph" w:styleId="5">
    <w:name w:val="heading 2"/>
    <w:basedOn w:val="1"/>
    <w:next w:val="1"/>
    <w:link w:val="278"/>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after="260" w:line="413" w:lineRule="auto"/>
      <w:outlineLvl w:val="2"/>
    </w:pPr>
    <w:rPr>
      <w:b/>
      <w:sz w:val="32"/>
    </w:rPr>
  </w:style>
  <w:style w:type="paragraph" w:styleId="7">
    <w:name w:val="heading 4"/>
    <w:basedOn w:val="1"/>
    <w:next w:val="1"/>
    <w:link w:val="271"/>
    <w:semiHidden/>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272"/>
    <w:semiHidden/>
    <w:unhideWhenUsed/>
    <w:qFormat/>
    <w:uiPriority w:val="0"/>
    <w:pPr>
      <w:keepNext/>
      <w:keepLines/>
      <w:spacing w:before="280" w:after="290" w:line="372" w:lineRule="auto"/>
      <w:outlineLvl w:val="4"/>
    </w:pPr>
    <w:rPr>
      <w:b/>
      <w:sz w:val="28"/>
    </w:rPr>
  </w:style>
  <w:style w:type="paragraph" w:styleId="9">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link w:val="273"/>
    <w:semiHidden/>
    <w:unhideWhenUsed/>
    <w:qFormat/>
    <w:uiPriority w:val="0"/>
    <w:pPr>
      <w:keepNext/>
      <w:keepLines/>
      <w:spacing w:before="240" w:after="64" w:line="317" w:lineRule="auto"/>
      <w:outlineLvl w:val="6"/>
    </w:pPr>
    <w:rPr>
      <w:b/>
      <w:sz w:val="24"/>
    </w:rPr>
  </w:style>
  <w:style w:type="paragraph" w:styleId="11">
    <w:name w:val="heading 8"/>
    <w:basedOn w:val="1"/>
    <w:next w:val="1"/>
    <w:link w:val="274"/>
    <w:semiHidden/>
    <w:unhideWhenUsed/>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
    <w:link w:val="275"/>
    <w:semiHidden/>
    <w:unhideWhenUsed/>
    <w:qFormat/>
    <w:uiPriority w:val="0"/>
    <w:pPr>
      <w:keepNext/>
      <w:keepLines/>
      <w:spacing w:before="240" w:after="64" w:line="317" w:lineRule="auto"/>
      <w:outlineLvl w:val="8"/>
    </w:pPr>
    <w:rPr>
      <w:rFonts w:ascii="Arial" w:hAnsi="Arial" w:eastAsia="黑体"/>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pPr>
  </w:style>
  <w:style w:type="paragraph" w:styleId="16">
    <w:name w:val="table of authorities"/>
    <w:basedOn w:val="1"/>
    <w:next w:val="1"/>
    <w:qFormat/>
    <w:uiPriority w:val="0"/>
    <w:pPr>
      <w:ind w:left="420" w:leftChars="200"/>
    </w:pPr>
  </w:style>
  <w:style w:type="paragraph" w:styleId="17">
    <w:name w:val="Note Heading"/>
    <w:basedOn w:val="1"/>
    <w:next w:val="1"/>
    <w:qFormat/>
    <w:uiPriority w:val="0"/>
    <w:pPr>
      <w:jc w:val="center"/>
    </w:pPr>
  </w:style>
  <w:style w:type="paragraph" w:styleId="18">
    <w:name w:val="List Bullet 4"/>
    <w:basedOn w:val="1"/>
    <w:qFormat/>
    <w:uiPriority w:val="0"/>
    <w:pPr>
      <w:numPr>
        <w:ilvl w:val="0"/>
        <w:numId w:val="2"/>
      </w:numPr>
    </w:pPr>
  </w:style>
  <w:style w:type="paragraph" w:styleId="19">
    <w:name w:val="index 8"/>
    <w:basedOn w:val="1"/>
    <w:next w:val="1"/>
    <w:qFormat/>
    <w:uiPriority w:val="0"/>
    <w:pPr>
      <w:ind w:left="1400" w:leftChars="1400"/>
    </w:pPr>
  </w:style>
  <w:style w:type="paragraph" w:styleId="20">
    <w:name w:val="E-mail Signature"/>
    <w:basedOn w:val="1"/>
    <w:qFormat/>
    <w:uiPriority w:val="0"/>
  </w:style>
  <w:style w:type="paragraph" w:styleId="21">
    <w:name w:val="List Number"/>
    <w:basedOn w:val="1"/>
    <w:qFormat/>
    <w:uiPriority w:val="0"/>
    <w:pPr>
      <w:numPr>
        <w:ilvl w:val="0"/>
        <w:numId w:val="3"/>
      </w:numPr>
    </w:pPr>
  </w:style>
  <w:style w:type="paragraph" w:styleId="22">
    <w:name w:val="Normal Indent"/>
    <w:basedOn w:val="1"/>
    <w:qFormat/>
    <w:uiPriority w:val="0"/>
    <w:pPr>
      <w:ind w:firstLine="420" w:firstLineChars="200"/>
    </w:pPr>
  </w:style>
  <w:style w:type="paragraph" w:styleId="23">
    <w:name w:val="caption"/>
    <w:basedOn w:val="1"/>
    <w:next w:val="1"/>
    <w:semiHidden/>
    <w:unhideWhenUsed/>
    <w:qFormat/>
    <w:uiPriority w:val="0"/>
    <w:rPr>
      <w:rFonts w:ascii="Arial" w:hAnsi="Arial" w:eastAsia="黑体"/>
      <w:sz w:val="20"/>
    </w:rPr>
  </w:style>
  <w:style w:type="paragraph" w:styleId="24">
    <w:name w:val="index 5"/>
    <w:basedOn w:val="1"/>
    <w:next w:val="1"/>
    <w:qFormat/>
    <w:uiPriority w:val="0"/>
    <w:pPr>
      <w:ind w:left="800" w:leftChars="800"/>
    </w:pPr>
  </w:style>
  <w:style w:type="paragraph" w:styleId="25">
    <w:name w:val="List Bullet"/>
    <w:basedOn w:val="1"/>
    <w:qFormat/>
    <w:uiPriority w:val="0"/>
    <w:pPr>
      <w:numPr>
        <w:ilvl w:val="0"/>
        <w:numId w:val="4"/>
      </w:numPr>
    </w:pPr>
  </w:style>
  <w:style w:type="paragraph" w:styleId="26">
    <w:name w:val="envelope address"/>
    <w:basedOn w:val="1"/>
    <w:qFormat/>
    <w:uiPriority w:val="0"/>
    <w:pPr>
      <w:snapToGrid w:val="0"/>
      <w:ind w:left="100" w:leftChars="1400"/>
    </w:pPr>
    <w:rPr>
      <w:rFonts w:ascii="Arial" w:hAnsi="Arial"/>
      <w:sz w:val="24"/>
    </w:rPr>
  </w:style>
  <w:style w:type="paragraph" w:styleId="27">
    <w:name w:val="Document Map"/>
    <w:basedOn w:val="1"/>
    <w:qFormat/>
    <w:uiPriority w:val="0"/>
    <w:pPr>
      <w:shd w:val="clear" w:color="auto" w:fill="000080"/>
    </w:pPr>
  </w:style>
  <w:style w:type="paragraph" w:styleId="28">
    <w:name w:val="toa heading"/>
    <w:basedOn w:val="1"/>
    <w:next w:val="1"/>
    <w:qFormat/>
    <w:uiPriority w:val="0"/>
    <w:pPr>
      <w:spacing w:before="120"/>
    </w:pPr>
    <w:rPr>
      <w:rFonts w:ascii="Arial" w:hAnsi="Arial"/>
      <w:sz w:val="24"/>
    </w:rPr>
  </w:style>
  <w:style w:type="paragraph" w:styleId="29">
    <w:name w:val="annotation text"/>
    <w:basedOn w:val="1"/>
    <w:link w:val="268"/>
    <w:qFormat/>
    <w:uiPriority w:val="0"/>
    <w:pPr>
      <w:jc w:val="left"/>
    </w:pPr>
  </w:style>
  <w:style w:type="paragraph" w:styleId="30">
    <w:name w:val="index 6"/>
    <w:basedOn w:val="1"/>
    <w:next w:val="1"/>
    <w:qFormat/>
    <w:uiPriority w:val="0"/>
    <w:pPr>
      <w:ind w:left="1000" w:leftChars="1000"/>
    </w:pPr>
  </w:style>
  <w:style w:type="paragraph" w:styleId="31">
    <w:name w:val="Salutation"/>
    <w:basedOn w:val="1"/>
    <w:next w:val="1"/>
    <w:qFormat/>
    <w:uiPriority w:val="0"/>
  </w:style>
  <w:style w:type="paragraph" w:styleId="32">
    <w:name w:val="Body Text 3"/>
    <w:basedOn w:val="1"/>
    <w:qFormat/>
    <w:uiPriority w:val="0"/>
    <w:pPr>
      <w:spacing w:after="120"/>
    </w:pPr>
    <w:rPr>
      <w:sz w:val="16"/>
    </w:rPr>
  </w:style>
  <w:style w:type="paragraph" w:styleId="33">
    <w:name w:val="Closing"/>
    <w:basedOn w:val="1"/>
    <w:qFormat/>
    <w:uiPriority w:val="0"/>
    <w:pPr>
      <w:ind w:left="100" w:leftChars="2100"/>
    </w:pPr>
  </w:style>
  <w:style w:type="paragraph" w:styleId="34">
    <w:name w:val="List Bullet 3"/>
    <w:basedOn w:val="1"/>
    <w:qFormat/>
    <w:uiPriority w:val="0"/>
    <w:pPr>
      <w:numPr>
        <w:ilvl w:val="0"/>
        <w:numId w:val="5"/>
      </w:numPr>
    </w:pPr>
  </w:style>
  <w:style w:type="paragraph" w:styleId="35">
    <w:name w:val="Body Text"/>
    <w:basedOn w:val="1"/>
    <w:link w:val="279"/>
    <w:qFormat/>
    <w:uiPriority w:val="0"/>
    <w:pPr>
      <w:spacing w:after="120"/>
    </w:pPr>
  </w:style>
  <w:style w:type="paragraph" w:styleId="36">
    <w:name w:val="Body Text Indent"/>
    <w:basedOn w:val="1"/>
    <w:link w:val="280"/>
    <w:qFormat/>
    <w:uiPriority w:val="0"/>
    <w:pPr>
      <w:spacing w:after="120"/>
      <w:ind w:left="420" w:leftChars="200"/>
    </w:pPr>
  </w:style>
  <w:style w:type="paragraph" w:styleId="37">
    <w:name w:val="List Number 3"/>
    <w:basedOn w:val="1"/>
    <w:qFormat/>
    <w:uiPriority w:val="0"/>
    <w:pPr>
      <w:numPr>
        <w:ilvl w:val="0"/>
        <w:numId w:val="6"/>
      </w:numPr>
    </w:p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after="120"/>
      <w:ind w:left="1440" w:leftChars="700" w:right="700" w:rightChars="700"/>
    </w:pPr>
  </w:style>
  <w:style w:type="paragraph" w:styleId="41">
    <w:name w:val="List Bullet 2"/>
    <w:basedOn w:val="1"/>
    <w:qFormat/>
    <w:uiPriority w:val="0"/>
    <w:pPr>
      <w:numPr>
        <w:ilvl w:val="0"/>
        <w:numId w:val="7"/>
      </w:numPr>
    </w:pPr>
  </w:style>
  <w:style w:type="paragraph" w:styleId="42">
    <w:name w:val="HTML Address"/>
    <w:basedOn w:val="1"/>
    <w:qFormat/>
    <w:uiPriority w:val="0"/>
    <w:rPr>
      <w:i/>
    </w:rPr>
  </w:style>
  <w:style w:type="paragraph" w:styleId="43">
    <w:name w:val="index 4"/>
    <w:basedOn w:val="1"/>
    <w:next w:val="1"/>
    <w:qFormat/>
    <w:uiPriority w:val="0"/>
    <w:pPr>
      <w:ind w:left="600" w:leftChars="600"/>
    </w:pPr>
  </w:style>
  <w:style w:type="paragraph" w:styleId="44">
    <w:name w:val="toc 5"/>
    <w:basedOn w:val="1"/>
    <w:next w:val="1"/>
    <w:qFormat/>
    <w:uiPriority w:val="0"/>
    <w:pPr>
      <w:ind w:left="1680" w:leftChars="800"/>
    </w:pPr>
  </w:style>
  <w:style w:type="paragraph" w:styleId="45">
    <w:name w:val="toc 3"/>
    <w:basedOn w:val="1"/>
    <w:next w:val="1"/>
    <w:qFormat/>
    <w:uiPriority w:val="0"/>
    <w:pPr>
      <w:ind w:left="840" w:leftChars="400"/>
    </w:pPr>
  </w:style>
  <w:style w:type="paragraph" w:styleId="46">
    <w:name w:val="Plain Text"/>
    <w:basedOn w:val="1"/>
    <w:next w:val="1"/>
    <w:link w:val="281"/>
    <w:qFormat/>
    <w:uiPriority w:val="0"/>
    <w:rPr>
      <w:rFonts w:ascii="宋体" w:hAnsi="Courier New"/>
    </w:rPr>
  </w:style>
  <w:style w:type="paragraph" w:styleId="47">
    <w:name w:val="List Bullet 5"/>
    <w:basedOn w:val="1"/>
    <w:qFormat/>
    <w:uiPriority w:val="0"/>
    <w:pPr>
      <w:numPr>
        <w:ilvl w:val="0"/>
        <w:numId w:val="8"/>
      </w:numPr>
    </w:pPr>
  </w:style>
  <w:style w:type="paragraph" w:styleId="48">
    <w:name w:val="List Number 4"/>
    <w:basedOn w:val="1"/>
    <w:qFormat/>
    <w:uiPriority w:val="0"/>
    <w:pPr>
      <w:numPr>
        <w:ilvl w:val="0"/>
        <w:numId w:val="9"/>
      </w:numPr>
    </w:pPr>
  </w:style>
  <w:style w:type="paragraph" w:styleId="49">
    <w:name w:val="toc 8"/>
    <w:basedOn w:val="1"/>
    <w:next w:val="1"/>
    <w:qFormat/>
    <w:uiPriority w:val="0"/>
    <w:pPr>
      <w:ind w:left="2940" w:leftChars="1400"/>
    </w:pPr>
  </w:style>
  <w:style w:type="paragraph" w:styleId="50">
    <w:name w:val="index 3"/>
    <w:basedOn w:val="1"/>
    <w:next w:val="1"/>
    <w:qFormat/>
    <w:uiPriority w:val="0"/>
    <w:pPr>
      <w:ind w:left="400" w:leftChars="400"/>
    </w:pPr>
  </w:style>
  <w:style w:type="paragraph" w:styleId="51">
    <w:name w:val="Date"/>
    <w:basedOn w:val="1"/>
    <w:next w:val="1"/>
    <w:qFormat/>
    <w:uiPriority w:val="0"/>
    <w:pPr>
      <w:ind w:left="100" w:leftChars="2500"/>
    </w:pPr>
  </w:style>
  <w:style w:type="paragraph" w:styleId="52">
    <w:name w:val="Body Text Indent 2"/>
    <w:basedOn w:val="1"/>
    <w:link w:val="276"/>
    <w:qFormat/>
    <w:uiPriority w:val="0"/>
    <w:pPr>
      <w:spacing w:after="120" w:line="480" w:lineRule="auto"/>
      <w:ind w:left="420" w:leftChars="200"/>
    </w:pPr>
  </w:style>
  <w:style w:type="paragraph" w:styleId="53">
    <w:name w:val="endnote text"/>
    <w:basedOn w:val="1"/>
    <w:qFormat/>
    <w:uiPriority w:val="0"/>
    <w:pPr>
      <w:snapToGrid w:val="0"/>
      <w:jc w:val="left"/>
    </w:pPr>
  </w:style>
  <w:style w:type="paragraph" w:styleId="54">
    <w:name w:val="List Continue 5"/>
    <w:basedOn w:val="1"/>
    <w:qFormat/>
    <w:uiPriority w:val="0"/>
    <w:pPr>
      <w:spacing w:after="120"/>
      <w:ind w:left="2100" w:leftChars="1000"/>
    </w:pPr>
  </w:style>
  <w:style w:type="paragraph" w:styleId="55">
    <w:name w:val="Balloon Text"/>
    <w:basedOn w:val="1"/>
    <w:link w:val="270"/>
    <w:qFormat/>
    <w:uiPriority w:val="0"/>
    <w:rPr>
      <w:sz w:val="18"/>
    </w:rPr>
  </w:style>
  <w:style w:type="paragraph" w:styleId="56">
    <w:name w:val="footer"/>
    <w:basedOn w:val="1"/>
    <w:link w:val="282"/>
    <w:qFormat/>
    <w:uiPriority w:val="0"/>
    <w:pPr>
      <w:tabs>
        <w:tab w:val="center" w:pos="4153"/>
        <w:tab w:val="right" w:pos="8306"/>
      </w:tabs>
      <w:snapToGrid w:val="0"/>
      <w:jc w:val="left"/>
    </w:pPr>
    <w:rPr>
      <w:sz w:val="18"/>
    </w:rPr>
  </w:style>
  <w:style w:type="paragraph" w:styleId="57">
    <w:name w:val="envelope return"/>
    <w:basedOn w:val="1"/>
    <w:qFormat/>
    <w:uiPriority w:val="0"/>
    <w:pPr>
      <w:snapToGrid w:val="0"/>
    </w:pPr>
    <w:rPr>
      <w:rFonts w:ascii="Arial" w:hAnsi="Arial"/>
    </w:rPr>
  </w:style>
  <w:style w:type="paragraph" w:styleId="58">
    <w:name w:val="header"/>
    <w:basedOn w:val="1"/>
    <w:link w:val="28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9">
    <w:name w:val="Signature"/>
    <w:basedOn w:val="1"/>
    <w:qFormat/>
    <w:uiPriority w:val="0"/>
    <w:pPr>
      <w:ind w:left="100" w:leftChars="2100"/>
    </w:pPr>
  </w:style>
  <w:style w:type="paragraph" w:styleId="60">
    <w:name w:val="toc 1"/>
    <w:basedOn w:val="1"/>
    <w:next w:val="1"/>
    <w:qFormat/>
    <w:uiPriority w:val="0"/>
  </w:style>
  <w:style w:type="paragraph" w:styleId="61">
    <w:name w:val="List Continue 4"/>
    <w:basedOn w:val="1"/>
    <w:qFormat/>
    <w:uiPriority w:val="0"/>
    <w:pPr>
      <w:spacing w:after="120"/>
      <w:ind w:left="1680" w:leftChars="800"/>
    </w:pPr>
  </w:style>
  <w:style w:type="paragraph" w:styleId="62">
    <w:name w:val="toc 4"/>
    <w:basedOn w:val="1"/>
    <w:next w:val="1"/>
    <w:qFormat/>
    <w:uiPriority w:val="0"/>
    <w:pPr>
      <w:ind w:left="1260" w:leftChars="600"/>
    </w:pPr>
  </w:style>
  <w:style w:type="paragraph" w:styleId="63">
    <w:name w:val="index heading"/>
    <w:basedOn w:val="1"/>
    <w:next w:val="64"/>
    <w:qFormat/>
    <w:uiPriority w:val="0"/>
    <w:rPr>
      <w:rFonts w:ascii="Arial" w:hAnsi="Arial"/>
      <w:b/>
    </w:rPr>
  </w:style>
  <w:style w:type="paragraph" w:styleId="64">
    <w:name w:val="index 1"/>
    <w:basedOn w:val="1"/>
    <w:next w:val="1"/>
    <w:qFormat/>
    <w:uiPriority w:val="0"/>
  </w:style>
  <w:style w:type="paragraph" w:styleId="65">
    <w:name w:val="Subtitle"/>
    <w:basedOn w:val="1"/>
    <w:qFormat/>
    <w:uiPriority w:val="0"/>
    <w:pPr>
      <w:spacing w:before="240" w:after="60" w:line="312" w:lineRule="auto"/>
      <w:jc w:val="center"/>
      <w:outlineLvl w:val="1"/>
    </w:pPr>
    <w:rPr>
      <w:rFonts w:ascii="Arial" w:hAnsi="Arial"/>
      <w:b/>
      <w:kern w:val="28"/>
      <w:sz w:val="32"/>
    </w:rPr>
  </w:style>
  <w:style w:type="paragraph" w:styleId="66">
    <w:name w:val="List Number 5"/>
    <w:basedOn w:val="1"/>
    <w:qFormat/>
    <w:uiPriority w:val="0"/>
    <w:pPr>
      <w:numPr>
        <w:ilvl w:val="0"/>
        <w:numId w:val="10"/>
      </w:numPr>
    </w:pPr>
  </w:style>
  <w:style w:type="paragraph" w:styleId="67">
    <w:name w:val="List"/>
    <w:basedOn w:val="1"/>
    <w:qFormat/>
    <w:uiPriority w:val="0"/>
    <w:pPr>
      <w:ind w:left="200" w:hanging="200" w:hangingChars="200"/>
    </w:pPr>
  </w:style>
  <w:style w:type="paragraph" w:styleId="68">
    <w:name w:val="footnote text"/>
    <w:basedOn w:val="1"/>
    <w:qFormat/>
    <w:uiPriority w:val="0"/>
    <w:pPr>
      <w:snapToGrid w:val="0"/>
      <w:jc w:val="left"/>
    </w:pPr>
    <w:rPr>
      <w:sz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pPr>
  </w:style>
  <w:style w:type="paragraph" w:styleId="71">
    <w:name w:val="Body Text Indent 3"/>
    <w:basedOn w:val="1"/>
    <w:link w:val="277"/>
    <w:qFormat/>
    <w:uiPriority w:val="0"/>
    <w:pPr>
      <w:spacing w:after="120"/>
      <w:ind w:left="420" w:leftChars="200"/>
    </w:pPr>
    <w:rPr>
      <w:sz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b/>
      <w:sz w:val="32"/>
    </w:rPr>
  </w:style>
  <w:style w:type="paragraph" w:styleId="85">
    <w:name w:val="annotation subject"/>
    <w:basedOn w:val="29"/>
    <w:next w:val="29"/>
    <w:link w:val="269"/>
    <w:qFormat/>
    <w:uiPriority w:val="0"/>
    <w:rPr>
      <w:b/>
    </w:rPr>
  </w:style>
  <w:style w:type="paragraph" w:styleId="86">
    <w:name w:val="Body Text First Indent"/>
    <w:basedOn w:val="35"/>
    <w:link w:val="284"/>
    <w:qFormat/>
    <w:uiPriority w:val="0"/>
    <w:pPr>
      <w:ind w:firstLine="420" w:firstLineChars="100"/>
    </w:pPr>
  </w:style>
  <w:style w:type="paragraph" w:styleId="87">
    <w:name w:val="Body Text First Indent 2"/>
    <w:basedOn w:val="36"/>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54A1" w:themeColor="accent1" w:themeShade="BF"/>
    </w:rPr>
    <w:tblPr>
      <w:tblBorders>
        <w:top w:val="single" w:color="4874CB" w:themeColor="accent1" w:sz="8" w:space="0"/>
        <w:bottom w:val="single" w:color="4874CB"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la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135">
    <w:name w:val="Light Shading Accent 2"/>
    <w:basedOn w:val="88"/>
    <w:semiHidden/>
    <w:unhideWhenUsed/>
    <w:qFormat/>
    <w:uiPriority w:val="60"/>
    <w:rPr>
      <w:color w:val="C65F10" w:themeColor="accent2" w:themeShade="BF"/>
    </w:rPr>
    <w:tblPr>
      <w:tblBorders>
        <w:top w:val="single" w:color="EE822F" w:themeColor="accent2" w:sz="8" w:space="0"/>
        <w:bottom w:val="single" w:color="EE822F"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la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left w:val="nil"/>
          <w:right w:val="nil"/>
          <w:insideH w:val="nil"/>
          <w:insideV w:val="nil"/>
        </w:tcBorders>
        <w:shd w:val="clear" w:color="auto" w:fill="FAE0CB" w:themeFill="accent2" w:themeFillTint="3F"/>
      </w:tcPr>
    </w:tblStylePr>
  </w:style>
  <w:style w:type="table" w:styleId="136">
    <w:name w:val="Light Shading Accent 3"/>
    <w:basedOn w:val="88"/>
    <w:semiHidden/>
    <w:unhideWhenUsed/>
    <w:qFormat/>
    <w:uiPriority w:val="60"/>
    <w:rPr>
      <w:color w:val="B68C02" w:themeColor="accent3" w:themeShade="BF"/>
    </w:rPr>
    <w:tblPr>
      <w:tblBorders>
        <w:top w:val="single" w:color="F2BA02" w:themeColor="accent3" w:sz="8" w:space="0"/>
        <w:bottom w:val="single" w:color="F2BA02"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la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137">
    <w:name w:val="Light Shading Accent 4"/>
    <w:basedOn w:val="88"/>
    <w:semiHidden/>
    <w:unhideWhenUsed/>
    <w:qFormat/>
    <w:uiPriority w:val="60"/>
    <w:rPr>
      <w:color w:val="588E32" w:themeColor="accent4" w:themeShade="BF"/>
    </w:rPr>
    <w:tblPr>
      <w:tblBorders>
        <w:top w:val="single" w:color="75BD42" w:themeColor="accent4" w:sz="8" w:space="0"/>
        <w:bottom w:val="single" w:color="75BD4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la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138">
    <w:name w:val="Light Shading Accent 5"/>
    <w:basedOn w:val="88"/>
    <w:semiHidden/>
    <w:unhideWhenUsed/>
    <w:qFormat/>
    <w:uiPriority w:val="60"/>
    <w:rPr>
      <w:color w:val="249087" w:themeColor="accent5" w:themeShade="BF"/>
    </w:rPr>
    <w:tblPr>
      <w:tblBorders>
        <w:top w:val="single" w:color="30C0B4" w:themeColor="accent5" w:sz="8" w:space="0"/>
        <w:bottom w:val="single" w:color="30C0B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la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139">
    <w:name w:val="Light Shading Accent 6"/>
    <w:basedOn w:val="88"/>
    <w:semiHidden/>
    <w:unhideWhenUsed/>
    <w:qFormat/>
    <w:uiPriority w:val="60"/>
    <w:rPr>
      <w:color w:val="C81D31" w:themeColor="accent6" w:themeShade="BF"/>
    </w:rPr>
    <w:tblPr>
      <w:tblBorders>
        <w:top w:val="single" w:color="E54C5E" w:themeColor="accent6" w:sz="8" w:space="0"/>
        <w:bottom w:val="single" w:color="E54C5E"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la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shd w:val="clear" w:color="auto" w:fill="4874CB" w:themeFill="accent1"/>
      </w:tcPr>
    </w:tblStylePr>
    <w:tblStylePr w:type="lastRow">
      <w:pPr>
        <w:spacing w:before="0" w:after="0" w:line="240" w:lineRule="auto"/>
      </w:pPr>
      <w:rPr>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tcBorders>
      </w:tcPr>
    </w:tblStylePr>
    <w:tblStylePr w:type="firstCol">
      <w:rPr>
        <w:b/>
        <w:bCs/>
      </w:rPr>
    </w:tblStylePr>
    <w:tblStylePr w:type="lastCol">
      <w:rPr>
        <w:b/>
        <w:bCs/>
      </w:r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style>
  <w:style w:type="table" w:styleId="142">
    <w:name w:val="Light List Accent 2"/>
    <w:basedOn w:val="88"/>
    <w:semiHidden/>
    <w:unhideWhenUsed/>
    <w:qFormat/>
    <w:uiPriority w:val="61"/>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shd w:val="clear" w:color="auto" w:fill="EE822F" w:themeFill="accent2"/>
      </w:tcPr>
    </w:tblStylePr>
    <w:tblStylePr w:type="lastRow">
      <w:pPr>
        <w:spacing w:before="0" w:after="0" w:line="240" w:lineRule="auto"/>
      </w:pPr>
      <w:rPr>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tcBorders>
      </w:tcPr>
    </w:tblStylePr>
    <w:tblStylePr w:type="firstCol">
      <w:rPr>
        <w:b/>
        <w:bCs/>
      </w:rPr>
    </w:tblStylePr>
    <w:tblStylePr w:type="lastCol">
      <w:rPr>
        <w:b/>
        <w:bCs/>
      </w:r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style>
  <w:style w:type="table" w:styleId="143">
    <w:name w:val="Light List Accent 3"/>
    <w:basedOn w:val="88"/>
    <w:semiHidden/>
    <w:unhideWhenUsed/>
    <w:qFormat/>
    <w:uiPriority w:val="61"/>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shd w:val="clear" w:color="auto" w:fill="F2BA02" w:themeFill="accent3"/>
      </w:tcPr>
    </w:tblStylePr>
    <w:tblStylePr w:type="lastRow">
      <w:pPr>
        <w:spacing w:before="0" w:after="0" w:line="240" w:lineRule="auto"/>
      </w:pPr>
      <w:rPr>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tcBorders>
      </w:tcPr>
    </w:tblStylePr>
    <w:tblStylePr w:type="firstCol">
      <w:rPr>
        <w:b/>
        <w:bCs/>
      </w:rPr>
    </w:tblStylePr>
    <w:tblStylePr w:type="lastCol">
      <w:rPr>
        <w:b/>
        <w:bCs/>
      </w:r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style>
  <w:style w:type="table" w:styleId="144">
    <w:name w:val="Light List Accent 4"/>
    <w:basedOn w:val="88"/>
    <w:semiHidden/>
    <w:unhideWhenUsed/>
    <w:qFormat/>
    <w:uiPriority w:val="61"/>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shd w:val="clear" w:color="auto" w:fill="75BD42" w:themeFill="accent4"/>
      </w:tcPr>
    </w:tblStylePr>
    <w:tblStylePr w:type="lastRow">
      <w:pPr>
        <w:spacing w:before="0" w:after="0" w:line="240" w:lineRule="auto"/>
      </w:pPr>
      <w:rPr>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tcBorders>
      </w:tcPr>
    </w:tblStylePr>
    <w:tblStylePr w:type="firstCol">
      <w:rPr>
        <w:b/>
        <w:bCs/>
      </w:rPr>
    </w:tblStylePr>
    <w:tblStylePr w:type="lastCol">
      <w:rPr>
        <w:b/>
        <w:bCs/>
      </w:r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style>
  <w:style w:type="table" w:styleId="145">
    <w:name w:val="Light List Accent 5"/>
    <w:basedOn w:val="88"/>
    <w:semiHidden/>
    <w:unhideWhenUsed/>
    <w:qFormat/>
    <w:uiPriority w:val="61"/>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shd w:val="clear" w:color="auto" w:fill="30C0B4" w:themeFill="accent5"/>
      </w:tcPr>
    </w:tblStylePr>
    <w:tblStylePr w:type="lastRow">
      <w:pPr>
        <w:spacing w:before="0" w:after="0" w:line="240" w:lineRule="auto"/>
      </w:pPr>
      <w:rPr>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tcBorders>
      </w:tcPr>
    </w:tblStylePr>
    <w:tblStylePr w:type="firstCol">
      <w:rPr>
        <w:b/>
        <w:bCs/>
      </w:rPr>
    </w:tblStylePr>
    <w:tblStylePr w:type="lastCol">
      <w:rPr>
        <w:b/>
        <w:bCs/>
      </w:r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style>
  <w:style w:type="table" w:styleId="146">
    <w:name w:val="Light List Accent 6"/>
    <w:basedOn w:val="88"/>
    <w:semiHidden/>
    <w:unhideWhenUsed/>
    <w:qFormat/>
    <w:uiPriority w:val="61"/>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shd w:val="clear" w:color="auto" w:fill="E54C5E" w:themeFill="accent6"/>
      </w:tcPr>
    </w:tblStylePr>
    <w:tblStylePr w:type="lastRow">
      <w:pPr>
        <w:spacing w:before="0" w:after="0" w:line="240" w:lineRule="auto"/>
      </w:pPr>
      <w:rPr>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tcBorders>
      </w:tcPr>
    </w:tblStylePr>
    <w:tblStylePr w:type="firstCol">
      <w:rPr>
        <w:b/>
        <w:bCs/>
      </w:rPr>
    </w:tblStylePr>
    <w:tblStylePr w:type="lastCol">
      <w:rPr>
        <w:b/>
        <w:bCs/>
      </w:r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18" w:space="0"/>
          <w:right w:val="single" w:color="4874CB"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shd w:val="clear" w:color="auto" w:fill="D1DCF2" w:themeFill="accent1" w:themeFillTint="3F"/>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shd w:val="clear" w:color="auto" w:fill="D1DCF2" w:themeFill="accent1" w:themeFillTint="3F"/>
      </w:tcPr>
    </w:tblStylePr>
    <w:tblStylePr w:type="band2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tcPr>
    </w:tblStylePr>
  </w:style>
  <w:style w:type="table" w:styleId="149">
    <w:name w:val="Light Grid Accent 2"/>
    <w:basedOn w:val="88"/>
    <w:semiHidden/>
    <w:unhideWhenUsed/>
    <w:qFormat/>
    <w:uiPriority w:val="62"/>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18" w:space="0"/>
          <w:right w:val="single" w:color="EE822F"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shd w:val="clear" w:color="auto" w:fill="FAE0CB" w:themeFill="accent2" w:themeFillTint="3F"/>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shd w:val="clear" w:color="auto" w:fill="FAE0CB" w:themeFill="accent2" w:themeFillTint="3F"/>
      </w:tcPr>
    </w:tblStylePr>
    <w:tblStylePr w:type="band2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tcPr>
    </w:tblStylePr>
  </w:style>
  <w:style w:type="table" w:styleId="150">
    <w:name w:val="Light Grid Accent 3"/>
    <w:basedOn w:val="88"/>
    <w:semiHidden/>
    <w:unhideWhenUsed/>
    <w:qFormat/>
    <w:uiPriority w:val="62"/>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18" w:space="0"/>
          <w:right w:val="single" w:color="F2BA02"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shd w:val="clear" w:color="auto" w:fill="FEEFBD" w:themeFill="accent3" w:themeFillTint="3F"/>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shd w:val="clear" w:color="auto" w:fill="FEEFBD" w:themeFill="accent3" w:themeFillTint="3F"/>
      </w:tcPr>
    </w:tblStylePr>
    <w:tblStylePr w:type="band2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tcPr>
    </w:tblStylePr>
  </w:style>
  <w:style w:type="table" w:styleId="151">
    <w:name w:val="Light Grid Accent 4"/>
    <w:basedOn w:val="88"/>
    <w:semiHidden/>
    <w:unhideWhenUsed/>
    <w:qFormat/>
    <w:uiPriority w:val="62"/>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18" w:space="0"/>
          <w:right w:val="single" w:color="75BD4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shd w:val="clear" w:color="auto" w:fill="DCEED0" w:themeFill="accent4" w:themeFillTint="3F"/>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shd w:val="clear" w:color="auto" w:fill="DCEED0" w:themeFill="accent4" w:themeFillTint="3F"/>
      </w:tcPr>
    </w:tblStylePr>
    <w:tblStylePr w:type="band2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tcPr>
    </w:tblStylePr>
  </w:style>
  <w:style w:type="table" w:styleId="152">
    <w:name w:val="Light Grid Accent 5"/>
    <w:basedOn w:val="88"/>
    <w:semiHidden/>
    <w:unhideWhenUsed/>
    <w:qFormat/>
    <w:uiPriority w:val="62"/>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18" w:space="0"/>
          <w:right w:val="single" w:color="30C0B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shd w:val="clear" w:color="auto" w:fill="C9F1EE" w:themeFill="accent5" w:themeFillTint="3F"/>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shd w:val="clear" w:color="auto" w:fill="C9F1EE" w:themeFill="accent5" w:themeFillTint="3F"/>
      </w:tcPr>
    </w:tblStylePr>
    <w:tblStylePr w:type="band2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tcPr>
    </w:tblStylePr>
  </w:style>
  <w:style w:type="table" w:styleId="153">
    <w:name w:val="Light Grid Accent 6"/>
    <w:basedOn w:val="88"/>
    <w:semiHidden/>
    <w:unhideWhenUsed/>
    <w:qFormat/>
    <w:uiPriority w:val="62"/>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18" w:space="0"/>
          <w:right w:val="single" w:color="E54C5E"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shd w:val="clear" w:color="auto" w:fill="F8D2D7" w:themeFill="accent6" w:themeFillTint="3F"/>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shd w:val="clear" w:color="auto" w:fill="F8D2D7" w:themeFill="accent6" w:themeFillTint="3F"/>
      </w:tcPr>
    </w:tblStylePr>
    <w:tblStylePr w:type="band2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shd w:val="clear" w:color="auto" w:fill="4874CB" w:themeFill="accent1"/>
      </w:tcPr>
    </w:tblStylePr>
    <w:tblStylePr w:type="lastRow">
      <w:pPr>
        <w:spacing w:before="0" w:after="0" w:line="240" w:lineRule="auto"/>
      </w:pPr>
      <w:rPr>
        <w:b/>
        <w:bCs/>
      </w:rPr>
      <w:tblPr/>
      <w:tcPr>
        <w:tcBorders>
          <w:top w:val="double" w:color="7596D8" w:themeColor="accent1" w:themeTint="BF" w:sz="6"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shd w:val="clear" w:color="auto" w:fill="EE822F" w:themeFill="accent2"/>
      </w:tcPr>
    </w:tblStylePr>
    <w:tblStylePr w:type="lastRow">
      <w:pPr>
        <w:spacing w:before="0" w:after="0" w:line="240" w:lineRule="auto"/>
      </w:pPr>
      <w:rPr>
        <w:b/>
        <w:bCs/>
      </w:rPr>
      <w:tblPr/>
      <w:tcPr>
        <w:tcBorders>
          <w:top w:val="double" w:color="F2A163" w:themeColor="accent2" w:themeTint="BF" w:sz="6"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E0CB" w:themeFill="accent2" w:themeFillTint="3F"/>
      </w:tcPr>
    </w:tblStylePr>
    <w:tblStylePr w:type="band1Horz">
      <w:tblPr/>
      <w:tcPr>
        <w:tcBorders>
          <w:insideH w:val="nil"/>
          <w:insideV w:val="nil"/>
        </w:tcBorders>
        <w:shd w:val="clear" w:color="auto" w:fill="FAE0CB"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shd w:val="clear" w:color="auto" w:fill="F2BA02" w:themeFill="accent3"/>
      </w:tcPr>
    </w:tblStylePr>
    <w:tblStylePr w:type="lastRow">
      <w:pPr>
        <w:spacing w:before="0" w:after="0" w:line="240" w:lineRule="auto"/>
      </w:pPr>
      <w:rPr>
        <w:b/>
        <w:bCs/>
      </w:rPr>
      <w:tblPr/>
      <w:tcPr>
        <w:tcBorders>
          <w:top w:val="double" w:color="FDCF39" w:themeColor="accent3" w:themeTint="BF" w:sz="6"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shd w:val="clear" w:color="auto" w:fill="75BD42" w:themeFill="accent4"/>
      </w:tcPr>
    </w:tblStylePr>
    <w:tblStylePr w:type="lastRow">
      <w:pPr>
        <w:spacing w:before="0" w:after="0" w:line="240" w:lineRule="auto"/>
      </w:pPr>
      <w:rPr>
        <w:b/>
        <w:bCs/>
      </w:rPr>
      <w:tblPr/>
      <w:tcPr>
        <w:tcBorders>
          <w:top w:val="double" w:color="97CD71" w:themeColor="accent4" w:themeTint="BF" w:sz="6"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shd w:val="clear" w:color="auto" w:fill="30C0B4" w:themeFill="accent5"/>
      </w:tcPr>
    </w:tblStylePr>
    <w:tblStylePr w:type="lastRow">
      <w:pPr>
        <w:spacing w:before="0" w:after="0" w:line="240" w:lineRule="auto"/>
      </w:pPr>
      <w:rPr>
        <w:b/>
        <w:bCs/>
      </w:rPr>
      <w:tblPr/>
      <w:tcPr>
        <w:tcBorders>
          <w:top w:val="double" w:color="5DD6CC" w:themeColor="accent5" w:themeTint="BF" w:sz="6"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shd w:val="clear" w:color="auto" w:fill="E54C5E" w:themeFill="accent6"/>
      </w:tcPr>
    </w:tblStylePr>
    <w:tblStylePr w:type="lastRow">
      <w:pPr>
        <w:spacing w:before="0" w:after="0" w:line="240" w:lineRule="auto"/>
      </w:pPr>
      <w:rPr>
        <w:b/>
        <w:bCs/>
      </w:rPr>
      <w:tblPr/>
      <w:tcPr>
        <w:tcBorders>
          <w:top w:val="double" w:color="EB7886" w:themeColor="accent6" w:themeTint="BF" w:sz="6"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CAEACE" w:themeFill="background1"/>
      </w:tcPr>
    </w:tblStylePr>
    <w:tblStylePr w:type="firstCol">
      <w:rPr>
        <w:b/>
        <w:bCs/>
        <w:color w:val="CAEACE"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CAEACE"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AD7A1" w:themeFill="background1" w:themeFillShade="D8"/>
      </w:tcPr>
    </w:tblStylePr>
    <w:tblStylePr w:type="band1Horz">
      <w:tblPr/>
      <w:tcPr>
        <w:shd w:val="clear" w:color="auto" w:fill="9AD7A1"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CAEACE" w:themeFill="background1"/>
      </w:tcPr>
    </w:tblStylePr>
    <w:tblStylePr w:type="firstCol">
      <w:rPr>
        <w:b/>
        <w:bCs/>
        <w:color w:val="CAEACE"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874CB" w:themeFill="accent1"/>
      </w:tcPr>
    </w:tblStylePr>
    <w:tblStylePr w:type="lastCol">
      <w:rPr>
        <w:b/>
        <w:bCs/>
        <w:color w:val="CAEACE" w:themeColor="background1"/>
        <w14:textFill>
          <w14:solidFill>
            <w14:schemeClr w14:val="bg1"/>
          </w14:solidFill>
        </w14:textFill>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9AD7A1" w:themeFill="background1" w:themeFillShade="D8"/>
      </w:tcPr>
    </w:tblStylePr>
    <w:tblStylePr w:type="band1Horz">
      <w:tblPr/>
      <w:tcPr>
        <w:shd w:val="clear" w:color="auto" w:fill="9AD7A1"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CAEACE" w:themeFill="background1"/>
      </w:tcPr>
    </w:tblStylePr>
    <w:tblStylePr w:type="firstCol">
      <w:rPr>
        <w:b/>
        <w:bCs/>
        <w:color w:val="CAEACE"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E822F" w:themeFill="accent2"/>
      </w:tcPr>
    </w:tblStylePr>
    <w:tblStylePr w:type="lastCol">
      <w:rPr>
        <w:b/>
        <w:bCs/>
        <w:color w:val="CAEACE" w:themeColor="background1"/>
        <w14:textFill>
          <w14:solidFill>
            <w14:schemeClr w14:val="bg1"/>
          </w14:solidFill>
        </w14:textFill>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9AD7A1" w:themeFill="background1" w:themeFillShade="D8"/>
      </w:tcPr>
    </w:tblStylePr>
    <w:tblStylePr w:type="band1Horz">
      <w:tblPr/>
      <w:tcPr>
        <w:shd w:val="clear" w:color="auto" w:fill="9AD7A1"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CAEACE" w:themeFill="background1"/>
      </w:tcPr>
    </w:tblStylePr>
    <w:tblStylePr w:type="firstCol">
      <w:rPr>
        <w:b/>
        <w:bCs/>
        <w:color w:val="CAEACE"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2BA02" w:themeFill="accent3"/>
      </w:tcPr>
    </w:tblStylePr>
    <w:tblStylePr w:type="lastCol">
      <w:rPr>
        <w:b/>
        <w:bCs/>
        <w:color w:val="CAEACE" w:themeColor="background1"/>
        <w14:textFill>
          <w14:solidFill>
            <w14:schemeClr w14:val="bg1"/>
          </w14:solidFill>
        </w14:textFill>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9AD7A1" w:themeFill="background1" w:themeFillShade="D8"/>
      </w:tcPr>
    </w:tblStylePr>
    <w:tblStylePr w:type="band1Horz">
      <w:tblPr/>
      <w:tcPr>
        <w:shd w:val="clear" w:color="auto" w:fill="9AD7A1"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CAEACE" w:themeFill="background1"/>
      </w:tcPr>
    </w:tblStylePr>
    <w:tblStylePr w:type="firstCol">
      <w:rPr>
        <w:b/>
        <w:bCs/>
        <w:color w:val="CAEACE"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5BD42" w:themeFill="accent4"/>
      </w:tcPr>
    </w:tblStylePr>
    <w:tblStylePr w:type="lastCol">
      <w:rPr>
        <w:b/>
        <w:bCs/>
        <w:color w:val="CAEACE" w:themeColor="background1"/>
        <w14:textFill>
          <w14:solidFill>
            <w14:schemeClr w14:val="bg1"/>
          </w14:solidFill>
        </w14:textFill>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9AD7A1" w:themeFill="background1" w:themeFillShade="D8"/>
      </w:tcPr>
    </w:tblStylePr>
    <w:tblStylePr w:type="band1Horz">
      <w:tblPr/>
      <w:tcPr>
        <w:shd w:val="clear" w:color="auto" w:fill="9AD7A1"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CAEACE" w:themeFill="background1"/>
      </w:tcPr>
    </w:tblStylePr>
    <w:tblStylePr w:type="firstCol">
      <w:rPr>
        <w:b/>
        <w:bCs/>
        <w:color w:val="CAEACE"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30C0B4" w:themeFill="accent5"/>
      </w:tcPr>
    </w:tblStylePr>
    <w:tblStylePr w:type="lastCol">
      <w:rPr>
        <w:b/>
        <w:bCs/>
        <w:color w:val="CAEACE" w:themeColor="background1"/>
        <w14:textFill>
          <w14:solidFill>
            <w14:schemeClr w14:val="bg1"/>
          </w14:solidFill>
        </w14:textFill>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9AD7A1" w:themeFill="background1" w:themeFillShade="D8"/>
      </w:tcPr>
    </w:tblStylePr>
    <w:tblStylePr w:type="band1Horz">
      <w:tblPr/>
      <w:tcPr>
        <w:shd w:val="clear" w:color="auto" w:fill="9AD7A1"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CAEACE" w:themeFill="background1"/>
      </w:tcPr>
    </w:tblStylePr>
    <w:tblStylePr w:type="firstCol">
      <w:rPr>
        <w:b/>
        <w:bCs/>
        <w:color w:val="CAEACE"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54C5E" w:themeFill="accent6"/>
      </w:tcPr>
    </w:tblStylePr>
    <w:tblStylePr w:type="lastCol">
      <w:rPr>
        <w:b/>
        <w:bCs/>
        <w:color w:val="CAEACE" w:themeColor="background1"/>
        <w14:textFill>
          <w14:solidFill>
            <w14:schemeClr w14:val="bg1"/>
          </w14:solidFill>
        </w14:textFill>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9AD7A1" w:themeFill="background1" w:themeFillShade="D8"/>
      </w:tcPr>
    </w:tblStylePr>
    <w:tblStylePr w:type="band1Horz">
      <w:tblPr/>
      <w:tcPr>
        <w:shd w:val="clear" w:color="auto" w:fill="9AD7A1"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CAEACE"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4874CB" w:themeColor="accent1" w:sz="8" w:space="0"/>
        <w:bottom w:val="single" w:color="4874CB"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874CB" w:themeColor="accent1" w:sz="8" w:space="0"/>
        </w:tcBorders>
      </w:tcPr>
    </w:tblStylePr>
    <w:tblStylePr w:type="lastRow">
      <w:rPr>
        <w:b/>
        <w:bCs/>
        <w:color w:val="44546A" w:themeColor="text2"/>
        <w14:textFill>
          <w14:solidFill>
            <w14:schemeClr w14:val="tx2"/>
          </w14:solidFill>
        </w14:textFill>
      </w:rPr>
      <w:tblPr/>
      <w:tcPr>
        <w:tcBorders>
          <w:top w:val="single" w:color="4874CB" w:themeColor="accent1" w:sz="8" w:space="0"/>
          <w:bottom w:val="single" w:color="4874CB" w:themeColor="accent1" w:sz="8" w:space="0"/>
        </w:tcBorders>
      </w:tcPr>
    </w:tblStylePr>
    <w:tblStylePr w:type="firstCol">
      <w:rPr>
        <w:b/>
        <w:bCs/>
      </w:rPr>
    </w:tblStylePr>
    <w:tblStylePr w:type="lastCol">
      <w:rPr>
        <w:b/>
        <w:bCs/>
      </w:rPr>
      <w:tblPr/>
      <w:tcPr>
        <w:tcBorders>
          <w:top w:val="single" w:color="4874CB" w:themeColor="accent1" w:sz="8" w:space="0"/>
          <w:bottom w:val="single" w:color="4874CB" w:themeColor="accent1" w:sz="8" w:space="0"/>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E822F" w:themeColor="accent2" w:sz="8" w:space="0"/>
        <w:bottom w:val="single" w:color="EE822F"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E822F" w:themeColor="accent2" w:sz="8" w:space="0"/>
        </w:tcBorders>
      </w:tcPr>
    </w:tblStylePr>
    <w:tblStylePr w:type="lastRow">
      <w:rPr>
        <w:b/>
        <w:bCs/>
        <w:color w:val="44546A" w:themeColor="text2"/>
        <w14:textFill>
          <w14:solidFill>
            <w14:schemeClr w14:val="tx2"/>
          </w14:solidFill>
        </w14:textFill>
      </w:rPr>
      <w:tblPr/>
      <w:tcPr>
        <w:tcBorders>
          <w:top w:val="single" w:color="EE822F" w:themeColor="accent2" w:sz="8" w:space="0"/>
          <w:bottom w:val="single" w:color="EE822F" w:themeColor="accent2" w:sz="8" w:space="0"/>
        </w:tcBorders>
      </w:tcPr>
    </w:tblStylePr>
    <w:tblStylePr w:type="firstCol">
      <w:rPr>
        <w:b/>
        <w:bCs/>
      </w:rPr>
    </w:tblStylePr>
    <w:tblStylePr w:type="lastCol">
      <w:rPr>
        <w:b/>
        <w:bCs/>
      </w:rPr>
      <w:tblPr/>
      <w:tcPr>
        <w:tcBorders>
          <w:top w:val="single" w:color="EE822F" w:themeColor="accent2" w:sz="8" w:space="0"/>
          <w:bottom w:val="single" w:color="EE822F" w:themeColor="accent2" w:sz="8" w:space="0"/>
        </w:tcBorders>
      </w:tcPr>
    </w:tblStylePr>
    <w:tblStylePr w:type="band1Vert">
      <w:tblPr/>
      <w:tcPr>
        <w:shd w:val="clear" w:color="auto" w:fill="FAE0CB" w:themeFill="accent2" w:themeFillTint="3F"/>
      </w:tcPr>
    </w:tblStylePr>
    <w:tblStylePr w:type="band1Horz">
      <w:tblPr/>
      <w:tcPr>
        <w:shd w:val="clear" w:color="auto" w:fill="FAE0CB"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F2BA02" w:themeColor="accent3" w:sz="8" w:space="0"/>
        <w:bottom w:val="single" w:color="F2BA02"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2BA02" w:themeColor="accent3" w:sz="8" w:space="0"/>
        </w:tcBorders>
      </w:tcPr>
    </w:tblStylePr>
    <w:tblStylePr w:type="lastRow">
      <w:rPr>
        <w:b/>
        <w:bCs/>
        <w:color w:val="44546A" w:themeColor="text2"/>
        <w14:textFill>
          <w14:solidFill>
            <w14:schemeClr w14:val="tx2"/>
          </w14:solidFill>
        </w14:textFill>
      </w:rPr>
      <w:tblPr/>
      <w:tcPr>
        <w:tcBorders>
          <w:top w:val="single" w:color="F2BA02" w:themeColor="accent3" w:sz="8" w:space="0"/>
          <w:bottom w:val="single" w:color="F2BA02" w:themeColor="accent3" w:sz="8" w:space="0"/>
        </w:tcBorders>
      </w:tcPr>
    </w:tblStylePr>
    <w:tblStylePr w:type="firstCol">
      <w:rPr>
        <w:b/>
        <w:bCs/>
      </w:rPr>
    </w:tblStylePr>
    <w:tblStylePr w:type="lastCol">
      <w:rPr>
        <w:b/>
        <w:bCs/>
      </w:rPr>
      <w:tblPr/>
      <w:tcPr>
        <w:tcBorders>
          <w:top w:val="single" w:color="F2BA02" w:themeColor="accent3" w:sz="8" w:space="0"/>
          <w:bottom w:val="single" w:color="F2BA02" w:themeColor="accent3" w:sz="8" w:space="0"/>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75BD42" w:themeColor="accent4" w:sz="8" w:space="0"/>
        <w:bottom w:val="single" w:color="75BD4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5BD42" w:themeColor="accent4" w:sz="8" w:space="0"/>
        </w:tcBorders>
      </w:tcPr>
    </w:tblStylePr>
    <w:tblStylePr w:type="lastRow">
      <w:rPr>
        <w:b/>
        <w:bCs/>
        <w:color w:val="44546A" w:themeColor="text2"/>
        <w14:textFill>
          <w14:solidFill>
            <w14:schemeClr w14:val="tx2"/>
          </w14:solidFill>
        </w14:textFill>
      </w:rPr>
      <w:tblPr/>
      <w:tcPr>
        <w:tcBorders>
          <w:top w:val="single" w:color="75BD42" w:themeColor="accent4" w:sz="8" w:space="0"/>
          <w:bottom w:val="single" w:color="75BD42" w:themeColor="accent4" w:sz="8" w:space="0"/>
        </w:tcBorders>
      </w:tcPr>
    </w:tblStylePr>
    <w:tblStylePr w:type="firstCol">
      <w:rPr>
        <w:b/>
        <w:bCs/>
      </w:rPr>
    </w:tblStylePr>
    <w:tblStylePr w:type="lastCol">
      <w:rPr>
        <w:b/>
        <w:bCs/>
      </w:rPr>
      <w:tblPr/>
      <w:tcPr>
        <w:tcBorders>
          <w:top w:val="single" w:color="75BD42" w:themeColor="accent4" w:sz="8" w:space="0"/>
          <w:bottom w:val="single" w:color="75BD42" w:themeColor="accent4" w:sz="8" w:space="0"/>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30C0B4" w:themeColor="accent5" w:sz="8" w:space="0"/>
        <w:bottom w:val="single" w:color="30C0B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30C0B4" w:themeColor="accent5" w:sz="8" w:space="0"/>
        </w:tcBorders>
      </w:tcPr>
    </w:tblStylePr>
    <w:tblStylePr w:type="lastRow">
      <w:rPr>
        <w:b/>
        <w:bCs/>
        <w:color w:val="44546A" w:themeColor="text2"/>
        <w14:textFill>
          <w14:solidFill>
            <w14:schemeClr w14:val="tx2"/>
          </w14:solidFill>
        </w14:textFill>
      </w:rPr>
      <w:tblPr/>
      <w:tcPr>
        <w:tcBorders>
          <w:top w:val="single" w:color="30C0B4" w:themeColor="accent5" w:sz="8" w:space="0"/>
          <w:bottom w:val="single" w:color="30C0B4" w:themeColor="accent5" w:sz="8" w:space="0"/>
        </w:tcBorders>
      </w:tcPr>
    </w:tblStylePr>
    <w:tblStylePr w:type="firstCol">
      <w:rPr>
        <w:b/>
        <w:bCs/>
      </w:rPr>
    </w:tblStylePr>
    <w:tblStylePr w:type="lastCol">
      <w:rPr>
        <w:b/>
        <w:bCs/>
      </w:rPr>
      <w:tblPr/>
      <w:tcPr>
        <w:tcBorders>
          <w:top w:val="single" w:color="30C0B4" w:themeColor="accent5" w:sz="8" w:space="0"/>
          <w:bottom w:val="single" w:color="30C0B4" w:themeColor="accent5" w:sz="8" w:space="0"/>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E54C5E" w:themeColor="accent6" w:sz="8" w:space="0"/>
        <w:bottom w:val="single" w:color="E54C5E"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54C5E" w:themeColor="accent6" w:sz="8" w:space="0"/>
        </w:tcBorders>
      </w:tcPr>
    </w:tblStylePr>
    <w:tblStylePr w:type="lastRow">
      <w:rPr>
        <w:b/>
        <w:bCs/>
        <w:color w:val="44546A" w:themeColor="text2"/>
        <w14:textFill>
          <w14:solidFill>
            <w14:schemeClr w14:val="tx2"/>
          </w14:solidFill>
        </w14:textFill>
      </w:rPr>
      <w:tblPr/>
      <w:tcPr>
        <w:tcBorders>
          <w:top w:val="single" w:color="E54C5E" w:themeColor="accent6" w:sz="8" w:space="0"/>
          <w:bottom w:val="single" w:color="E54C5E" w:themeColor="accent6" w:sz="8" w:space="0"/>
        </w:tcBorders>
      </w:tcPr>
    </w:tblStylePr>
    <w:tblStylePr w:type="firstCol">
      <w:rPr>
        <w:b/>
        <w:bCs/>
      </w:rPr>
    </w:tblStylePr>
    <w:tblStylePr w:type="lastCol">
      <w:rPr>
        <w:b/>
        <w:bCs/>
      </w:rPr>
      <w:tblPr/>
      <w:tcPr>
        <w:tcBorders>
          <w:top w:val="single" w:color="E54C5E" w:themeColor="accent6" w:sz="8" w:space="0"/>
          <w:bottom w:val="single" w:color="E54C5E" w:themeColor="accent6" w:sz="8" w:space="0"/>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175">
    <w:name w:val="Medium List 2"/>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CAEACE" w:themeFill="background1"/>
      </w:tcPr>
    </w:tblStylePr>
    <w:tblStylePr w:type="lastRow">
      <w:tblPr/>
      <w:tcPr>
        <w:tcBorders>
          <w:top w:val="single" w:color="000000" w:themeColor="text1" w:sz="8" w:space="0"/>
          <w:left w:val="nil"/>
          <w:bottom w:val="nil"/>
          <w:right w:val="nil"/>
          <w:insideH w:val="nil"/>
          <w:insideV w:val="nil"/>
        </w:tcBorders>
        <w:shd w:val="clear" w:color="auto" w:fill="CAEACE" w:themeFill="background1"/>
      </w:tcPr>
    </w:tblStylePr>
    <w:tblStylePr w:type="firstCol">
      <w:tblPr/>
      <w:tcPr>
        <w:tcBorders>
          <w:top w:val="nil"/>
          <w:left w:val="nil"/>
          <w:bottom w:val="nil"/>
          <w:right w:val="single" w:color="000000" w:themeColor="text1" w:sz="8" w:space="0"/>
          <w:insideH w:val="nil"/>
          <w:insideV w:val="nil"/>
        </w:tcBorders>
        <w:shd w:val="clear" w:color="auto" w:fill="CAEACE" w:themeFill="background1"/>
      </w:tcPr>
    </w:tblStylePr>
    <w:tblStylePr w:type="lastCol">
      <w:tblPr/>
      <w:tcPr>
        <w:tcBorders>
          <w:top w:val="nil"/>
          <w:left w:val="single" w:color="000000" w:themeColor="text1" w:sz="8" w:space="0"/>
          <w:bottom w:val="nil"/>
          <w:right w:val="nil"/>
          <w:insideH w:val="nil"/>
          <w:insideV w:val="nil"/>
        </w:tcBorders>
        <w:shd w:val="clear" w:color="auto" w:fill="CAEACE"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CAEACE"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874CB" w:themeColor="accent1" w:sz="24" w:space="0"/>
          <w:right w:val="nil"/>
          <w:insideH w:val="nil"/>
          <w:insideV w:val="nil"/>
        </w:tcBorders>
        <w:shd w:val="clear" w:color="auto" w:fill="CAEACE" w:themeFill="background1"/>
      </w:tcPr>
    </w:tblStylePr>
    <w:tblStylePr w:type="lastRow">
      <w:tblPr/>
      <w:tcPr>
        <w:tcBorders>
          <w:top w:val="single" w:color="4874CB" w:themeColor="accent1" w:sz="8" w:space="0"/>
          <w:left w:val="nil"/>
          <w:bottom w:val="nil"/>
          <w:right w:val="nil"/>
          <w:insideH w:val="nil"/>
          <w:insideV w:val="nil"/>
        </w:tcBorders>
        <w:shd w:val="clear" w:color="auto" w:fill="CAEACE" w:themeFill="background1"/>
      </w:tcPr>
    </w:tblStylePr>
    <w:tblStylePr w:type="firstCol">
      <w:tblPr/>
      <w:tcPr>
        <w:tcBorders>
          <w:top w:val="nil"/>
          <w:left w:val="nil"/>
          <w:bottom w:val="nil"/>
          <w:right w:val="single" w:color="4874CB" w:themeColor="accent1" w:sz="8" w:space="0"/>
          <w:insideH w:val="nil"/>
          <w:insideV w:val="nil"/>
        </w:tcBorders>
        <w:shd w:val="clear" w:color="auto" w:fill="CAEACE" w:themeFill="background1"/>
      </w:tcPr>
    </w:tblStylePr>
    <w:tblStylePr w:type="lastCol">
      <w:tblPr/>
      <w:tcPr>
        <w:tcBorders>
          <w:top w:val="nil"/>
          <w:left w:val="single" w:color="4874CB" w:themeColor="accent1" w:sz="8" w:space="0"/>
          <w:bottom w:val="nil"/>
          <w:right w:val="nil"/>
          <w:insideH w:val="nil"/>
          <w:insideV w:val="nil"/>
        </w:tcBorders>
        <w:shd w:val="clear" w:color="auto" w:fill="CAEACE"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CAEACE"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E822F" w:themeColor="accent2" w:sz="24" w:space="0"/>
          <w:right w:val="nil"/>
          <w:insideH w:val="nil"/>
          <w:insideV w:val="nil"/>
        </w:tcBorders>
        <w:shd w:val="clear" w:color="auto" w:fill="CAEACE" w:themeFill="background1"/>
      </w:tcPr>
    </w:tblStylePr>
    <w:tblStylePr w:type="lastRow">
      <w:tblPr/>
      <w:tcPr>
        <w:tcBorders>
          <w:top w:val="single" w:color="EE822F" w:themeColor="accent2" w:sz="8" w:space="0"/>
          <w:left w:val="nil"/>
          <w:bottom w:val="nil"/>
          <w:right w:val="nil"/>
          <w:insideH w:val="nil"/>
          <w:insideV w:val="nil"/>
        </w:tcBorders>
        <w:shd w:val="clear" w:color="auto" w:fill="CAEACE" w:themeFill="background1"/>
      </w:tcPr>
    </w:tblStylePr>
    <w:tblStylePr w:type="firstCol">
      <w:tblPr/>
      <w:tcPr>
        <w:tcBorders>
          <w:top w:val="nil"/>
          <w:left w:val="nil"/>
          <w:bottom w:val="nil"/>
          <w:right w:val="single" w:color="EE822F" w:themeColor="accent2" w:sz="8" w:space="0"/>
          <w:insideH w:val="nil"/>
          <w:insideV w:val="nil"/>
        </w:tcBorders>
        <w:shd w:val="clear" w:color="auto" w:fill="CAEACE" w:themeFill="background1"/>
      </w:tcPr>
    </w:tblStylePr>
    <w:tblStylePr w:type="lastCol">
      <w:tblPr/>
      <w:tcPr>
        <w:tcBorders>
          <w:top w:val="nil"/>
          <w:left w:val="single" w:color="EE822F" w:themeColor="accent2" w:sz="8" w:space="0"/>
          <w:bottom w:val="nil"/>
          <w:right w:val="nil"/>
          <w:insideH w:val="nil"/>
          <w:insideV w:val="nil"/>
        </w:tcBorders>
        <w:shd w:val="clear" w:color="auto" w:fill="CAEACE" w:themeFill="background1"/>
      </w:tc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top w:val="nil"/>
          <w:bottom w:val="nil"/>
          <w:insideH w:val="nil"/>
          <w:insideV w:val="nil"/>
        </w:tcBorders>
        <w:shd w:val="clear" w:color="auto" w:fill="FAE0CB" w:themeFill="accent2" w:themeFillTint="3F"/>
      </w:tcPr>
    </w:tblStylePr>
    <w:tblStylePr w:type="nwCell">
      <w:tblPr/>
      <w:tcPr>
        <w:shd w:val="clear" w:color="auto" w:fill="CAEACE"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F2BA02" w:themeColor="accent3" w:sz="24" w:space="0"/>
          <w:right w:val="nil"/>
          <w:insideH w:val="nil"/>
          <w:insideV w:val="nil"/>
        </w:tcBorders>
        <w:shd w:val="clear" w:color="auto" w:fill="CAEACE" w:themeFill="background1"/>
      </w:tcPr>
    </w:tblStylePr>
    <w:tblStylePr w:type="lastRow">
      <w:tblPr/>
      <w:tcPr>
        <w:tcBorders>
          <w:top w:val="single" w:color="F2BA02" w:themeColor="accent3" w:sz="8" w:space="0"/>
          <w:left w:val="nil"/>
          <w:bottom w:val="nil"/>
          <w:right w:val="nil"/>
          <w:insideH w:val="nil"/>
          <w:insideV w:val="nil"/>
        </w:tcBorders>
        <w:shd w:val="clear" w:color="auto" w:fill="CAEACE" w:themeFill="background1"/>
      </w:tcPr>
    </w:tblStylePr>
    <w:tblStylePr w:type="firstCol">
      <w:tblPr/>
      <w:tcPr>
        <w:tcBorders>
          <w:top w:val="nil"/>
          <w:left w:val="nil"/>
          <w:bottom w:val="nil"/>
          <w:right w:val="single" w:color="F2BA02" w:themeColor="accent3" w:sz="8" w:space="0"/>
          <w:insideH w:val="nil"/>
          <w:insideV w:val="nil"/>
        </w:tcBorders>
        <w:shd w:val="clear" w:color="auto" w:fill="CAEACE" w:themeFill="background1"/>
      </w:tcPr>
    </w:tblStylePr>
    <w:tblStylePr w:type="lastCol">
      <w:tblPr/>
      <w:tcPr>
        <w:tcBorders>
          <w:top w:val="nil"/>
          <w:left w:val="single" w:color="F2BA02" w:themeColor="accent3" w:sz="8" w:space="0"/>
          <w:bottom w:val="nil"/>
          <w:right w:val="nil"/>
          <w:insideH w:val="nil"/>
          <w:insideV w:val="nil"/>
        </w:tcBorders>
        <w:shd w:val="clear" w:color="auto" w:fill="CAEACE"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CAEACE"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75BD42" w:themeColor="accent4" w:sz="24" w:space="0"/>
          <w:right w:val="nil"/>
          <w:insideH w:val="nil"/>
          <w:insideV w:val="nil"/>
        </w:tcBorders>
        <w:shd w:val="clear" w:color="auto" w:fill="CAEACE" w:themeFill="background1"/>
      </w:tcPr>
    </w:tblStylePr>
    <w:tblStylePr w:type="lastRow">
      <w:tblPr/>
      <w:tcPr>
        <w:tcBorders>
          <w:top w:val="single" w:color="75BD42" w:themeColor="accent4" w:sz="8" w:space="0"/>
          <w:left w:val="nil"/>
          <w:bottom w:val="nil"/>
          <w:right w:val="nil"/>
          <w:insideH w:val="nil"/>
          <w:insideV w:val="nil"/>
        </w:tcBorders>
        <w:shd w:val="clear" w:color="auto" w:fill="CAEACE" w:themeFill="background1"/>
      </w:tcPr>
    </w:tblStylePr>
    <w:tblStylePr w:type="firstCol">
      <w:tblPr/>
      <w:tcPr>
        <w:tcBorders>
          <w:top w:val="nil"/>
          <w:left w:val="nil"/>
          <w:bottom w:val="nil"/>
          <w:right w:val="single" w:color="75BD42" w:themeColor="accent4" w:sz="8" w:space="0"/>
          <w:insideH w:val="nil"/>
          <w:insideV w:val="nil"/>
        </w:tcBorders>
        <w:shd w:val="clear" w:color="auto" w:fill="CAEACE" w:themeFill="background1"/>
      </w:tcPr>
    </w:tblStylePr>
    <w:tblStylePr w:type="lastCol">
      <w:tblPr/>
      <w:tcPr>
        <w:tcBorders>
          <w:top w:val="nil"/>
          <w:left w:val="single" w:color="75BD42" w:themeColor="accent4" w:sz="8" w:space="0"/>
          <w:bottom w:val="nil"/>
          <w:right w:val="nil"/>
          <w:insideH w:val="nil"/>
          <w:insideV w:val="nil"/>
        </w:tcBorders>
        <w:shd w:val="clear" w:color="auto" w:fill="CAEACE"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CAEACE"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30C0B4" w:themeColor="accent5" w:sz="24" w:space="0"/>
          <w:right w:val="nil"/>
          <w:insideH w:val="nil"/>
          <w:insideV w:val="nil"/>
        </w:tcBorders>
        <w:shd w:val="clear" w:color="auto" w:fill="CAEACE" w:themeFill="background1"/>
      </w:tcPr>
    </w:tblStylePr>
    <w:tblStylePr w:type="lastRow">
      <w:tblPr/>
      <w:tcPr>
        <w:tcBorders>
          <w:top w:val="single" w:color="30C0B4" w:themeColor="accent5" w:sz="8" w:space="0"/>
          <w:left w:val="nil"/>
          <w:bottom w:val="nil"/>
          <w:right w:val="nil"/>
          <w:insideH w:val="nil"/>
          <w:insideV w:val="nil"/>
        </w:tcBorders>
        <w:shd w:val="clear" w:color="auto" w:fill="CAEACE" w:themeFill="background1"/>
      </w:tcPr>
    </w:tblStylePr>
    <w:tblStylePr w:type="firstCol">
      <w:tblPr/>
      <w:tcPr>
        <w:tcBorders>
          <w:top w:val="nil"/>
          <w:left w:val="nil"/>
          <w:bottom w:val="nil"/>
          <w:right w:val="single" w:color="30C0B4" w:themeColor="accent5" w:sz="8" w:space="0"/>
          <w:insideH w:val="nil"/>
          <w:insideV w:val="nil"/>
        </w:tcBorders>
        <w:shd w:val="clear" w:color="auto" w:fill="CAEACE" w:themeFill="background1"/>
      </w:tcPr>
    </w:tblStylePr>
    <w:tblStylePr w:type="lastCol">
      <w:tblPr/>
      <w:tcPr>
        <w:tcBorders>
          <w:top w:val="nil"/>
          <w:left w:val="single" w:color="30C0B4" w:themeColor="accent5" w:sz="8" w:space="0"/>
          <w:bottom w:val="nil"/>
          <w:right w:val="nil"/>
          <w:insideH w:val="nil"/>
          <w:insideV w:val="nil"/>
        </w:tcBorders>
        <w:shd w:val="clear" w:color="auto" w:fill="CAEACE"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CAEACE"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E54C5E" w:themeColor="accent6" w:sz="24" w:space="0"/>
          <w:right w:val="nil"/>
          <w:insideH w:val="nil"/>
          <w:insideV w:val="nil"/>
        </w:tcBorders>
        <w:shd w:val="clear" w:color="auto" w:fill="CAEACE" w:themeFill="background1"/>
      </w:tcPr>
    </w:tblStylePr>
    <w:tblStylePr w:type="lastRow">
      <w:tblPr/>
      <w:tcPr>
        <w:tcBorders>
          <w:top w:val="single" w:color="E54C5E" w:themeColor="accent6" w:sz="8" w:space="0"/>
          <w:left w:val="nil"/>
          <w:bottom w:val="nil"/>
          <w:right w:val="nil"/>
          <w:insideH w:val="nil"/>
          <w:insideV w:val="nil"/>
        </w:tcBorders>
        <w:shd w:val="clear" w:color="auto" w:fill="CAEACE" w:themeFill="background1"/>
      </w:tcPr>
    </w:tblStylePr>
    <w:tblStylePr w:type="firstCol">
      <w:tblPr/>
      <w:tcPr>
        <w:tcBorders>
          <w:top w:val="nil"/>
          <w:left w:val="nil"/>
          <w:bottom w:val="nil"/>
          <w:right w:val="single" w:color="E54C5E" w:themeColor="accent6" w:sz="8" w:space="0"/>
          <w:insideH w:val="nil"/>
          <w:insideV w:val="nil"/>
        </w:tcBorders>
        <w:shd w:val="clear" w:color="auto" w:fill="CAEACE" w:themeFill="background1"/>
      </w:tcPr>
    </w:tblStylePr>
    <w:tblStylePr w:type="lastCol">
      <w:tblPr/>
      <w:tcPr>
        <w:tcBorders>
          <w:top w:val="nil"/>
          <w:left w:val="single" w:color="E54C5E" w:themeColor="accent6" w:sz="8" w:space="0"/>
          <w:bottom w:val="nil"/>
          <w:right w:val="nil"/>
          <w:insideH w:val="nil"/>
          <w:insideV w:val="nil"/>
        </w:tcBorders>
        <w:shd w:val="clear" w:color="auto" w:fill="CAEACE"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CAEACE"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insideV w:val="single" w:color="7596D8" w:themeColor="accent1" w:themeTint="BF" w:sz="8" w:space="0"/>
      </w:tblBorders>
      <w:tblCellMar>
        <w:top w:w="0" w:type="dxa"/>
        <w:left w:w="108" w:type="dxa"/>
        <w:bottom w:w="0" w:type="dxa"/>
        <w:right w:w="108" w:type="dxa"/>
      </w:tblCellMar>
    </w:tblPr>
    <w:tcPr>
      <w:shd w:val="clear" w:color="auto" w:fill="D1DCF2" w:themeFill="accent1" w:themeFillTint="3F"/>
    </w:tcPr>
    <w:tblStylePr w:type="firstRow">
      <w:rPr>
        <w:b/>
        <w:bCs/>
      </w:rPr>
    </w:tblStylePr>
    <w:tblStylePr w:type="lastRow">
      <w:rPr>
        <w:b/>
        <w:bCs/>
      </w:rPr>
      <w:tblPr/>
      <w:tcPr>
        <w:tcBorders>
          <w:top w:val="single" w:color="7596D8" w:themeColor="accent1" w:themeTint="BF" w:sz="18" w:space="0"/>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84">
    <w:name w:val="Medium Grid 1 Accent 2"/>
    <w:basedOn w:val="88"/>
    <w:semiHidden/>
    <w:unhideWhenUsed/>
    <w:qFormat/>
    <w:uiPriority w:val="67"/>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insideV w:val="single" w:color="F2A163" w:themeColor="accent2" w:themeTint="BF" w:sz="8" w:space="0"/>
      </w:tblBorders>
      <w:tblCellMar>
        <w:top w:w="0" w:type="dxa"/>
        <w:left w:w="108" w:type="dxa"/>
        <w:bottom w:w="0" w:type="dxa"/>
        <w:right w:w="108" w:type="dxa"/>
      </w:tblCellMar>
    </w:tblPr>
    <w:tcPr>
      <w:shd w:val="clear" w:color="auto" w:fill="FAE0CB" w:themeFill="accent2" w:themeFillTint="3F"/>
    </w:tcPr>
    <w:tblStylePr w:type="firstRow">
      <w:rPr>
        <w:b/>
        <w:bCs/>
      </w:rPr>
    </w:tblStylePr>
    <w:tblStylePr w:type="lastRow">
      <w:rPr>
        <w:b/>
        <w:bCs/>
      </w:rPr>
      <w:tblPr/>
      <w:tcPr>
        <w:tcBorders>
          <w:top w:val="single" w:color="F2A163" w:themeColor="accent2" w:themeTint="BF" w:sz="18" w:space="0"/>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85">
    <w:name w:val="Medium Grid 1 Accent 3"/>
    <w:basedOn w:val="88"/>
    <w:semiHidden/>
    <w:unhideWhenUsed/>
    <w:qFormat/>
    <w:uiPriority w:val="67"/>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insideV w:val="single" w:color="FDCF39" w:themeColor="accent3" w:themeTint="BF" w:sz="8" w:space="0"/>
      </w:tblBorders>
      <w:tblCellMar>
        <w:top w:w="0" w:type="dxa"/>
        <w:left w:w="108" w:type="dxa"/>
        <w:bottom w:w="0" w:type="dxa"/>
        <w:right w:w="108" w:type="dxa"/>
      </w:tblCellMar>
    </w:tblPr>
    <w:tcPr>
      <w:shd w:val="clear" w:color="auto" w:fill="FEEFBD" w:themeFill="accent3" w:themeFillTint="3F"/>
    </w:tcPr>
    <w:tblStylePr w:type="firstRow">
      <w:rPr>
        <w:b/>
        <w:bCs/>
      </w:rPr>
    </w:tblStylePr>
    <w:tblStylePr w:type="lastRow">
      <w:rPr>
        <w:b/>
        <w:bCs/>
      </w:rPr>
      <w:tblPr/>
      <w:tcPr>
        <w:tcBorders>
          <w:top w:val="single" w:color="FDCF39" w:themeColor="accent3" w:themeTint="BF" w:sz="18" w:space="0"/>
        </w:tcBorders>
      </w:tcPr>
    </w:tblStylePr>
    <w:tblStylePr w:type="firstCol">
      <w:rPr>
        <w:b/>
        <w:bCs/>
      </w:rPr>
    </w:tblStylePr>
    <w:tblStylePr w:type="lastCol">
      <w:rPr>
        <w:b/>
        <w:bCs/>
      </w:r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186">
    <w:name w:val="Medium Grid 1 Accent 4"/>
    <w:basedOn w:val="88"/>
    <w:semiHidden/>
    <w:unhideWhenUsed/>
    <w:qFormat/>
    <w:uiPriority w:val="67"/>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insideV w:val="single" w:color="97CD71" w:themeColor="accent4" w:themeTint="BF" w:sz="8" w:space="0"/>
      </w:tblBorders>
      <w:tblCellMar>
        <w:top w:w="0" w:type="dxa"/>
        <w:left w:w="108" w:type="dxa"/>
        <w:bottom w:w="0" w:type="dxa"/>
        <w:right w:w="108" w:type="dxa"/>
      </w:tblCellMar>
    </w:tblPr>
    <w:tcPr>
      <w:shd w:val="clear" w:color="auto" w:fill="DCEED0" w:themeFill="accent4" w:themeFillTint="3F"/>
    </w:tcPr>
    <w:tblStylePr w:type="firstRow">
      <w:rPr>
        <w:b/>
        <w:bCs/>
      </w:rPr>
    </w:tblStylePr>
    <w:tblStylePr w:type="lastRow">
      <w:rPr>
        <w:b/>
        <w:bCs/>
      </w:rPr>
      <w:tblPr/>
      <w:tcPr>
        <w:tcBorders>
          <w:top w:val="single" w:color="97CD71" w:themeColor="accent4" w:themeTint="BF" w:sz="18" w:space="0"/>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87">
    <w:name w:val="Medium Grid 1 Accent 5"/>
    <w:basedOn w:val="88"/>
    <w:semiHidden/>
    <w:unhideWhenUsed/>
    <w:qFormat/>
    <w:uiPriority w:val="67"/>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insideV w:val="single" w:color="5DD6CC" w:themeColor="accent5" w:themeTint="BF" w:sz="8" w:space="0"/>
      </w:tblBorders>
      <w:tblCellMar>
        <w:top w:w="0" w:type="dxa"/>
        <w:left w:w="108" w:type="dxa"/>
        <w:bottom w:w="0" w:type="dxa"/>
        <w:right w:w="108" w:type="dxa"/>
      </w:tblCellMar>
    </w:tblPr>
    <w:tcPr>
      <w:shd w:val="clear" w:color="auto" w:fill="C9F1EE" w:themeFill="accent5" w:themeFillTint="3F"/>
    </w:tcPr>
    <w:tblStylePr w:type="firstRow">
      <w:rPr>
        <w:b/>
        <w:bCs/>
      </w:rPr>
    </w:tblStylePr>
    <w:tblStylePr w:type="lastRow">
      <w:rPr>
        <w:b/>
        <w:bCs/>
      </w:rPr>
      <w:tblPr/>
      <w:tcPr>
        <w:tcBorders>
          <w:top w:val="single" w:color="5DD6CC" w:themeColor="accent5" w:themeTint="BF" w:sz="18" w:space="0"/>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88">
    <w:name w:val="Medium Grid 1 Accent 6"/>
    <w:basedOn w:val="88"/>
    <w:semiHidden/>
    <w:unhideWhenUsed/>
    <w:qFormat/>
    <w:uiPriority w:val="67"/>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insideV w:val="single" w:color="EB7886" w:themeColor="accent6" w:themeTint="BF" w:sz="8" w:space="0"/>
      </w:tblBorders>
      <w:tblCellMar>
        <w:top w:w="0" w:type="dxa"/>
        <w:left w:w="108" w:type="dxa"/>
        <w:bottom w:w="0" w:type="dxa"/>
        <w:right w:w="108" w:type="dxa"/>
      </w:tblCellMar>
    </w:tblPr>
    <w:tcPr>
      <w:shd w:val="clear" w:color="auto" w:fill="F8D2D7" w:themeFill="accent6" w:themeFillTint="3F"/>
    </w:tcPr>
    <w:tblStylePr w:type="firstRow">
      <w:rPr>
        <w:b/>
        <w:bCs/>
      </w:rPr>
    </w:tblStylePr>
    <w:tblStylePr w:type="lastRow">
      <w:rPr>
        <w:b/>
        <w:bCs/>
      </w:rPr>
      <w:tblPr/>
      <w:tcPr>
        <w:tcBorders>
          <w:top w:val="single" w:color="EB7886" w:themeColor="accent6" w:themeTint="BF" w:sz="18" w:space="0"/>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189">
    <w:name w:val="Medium Grid 2"/>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CAEACE"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CAEACE"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CAEACE" w:themeFill="background1"/>
      </w:tcPr>
    </w:tblStylePr>
  </w:style>
  <w:style w:type="table" w:styleId="190">
    <w:name w:val="Medium Grid 2 Accent 1"/>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CellMar>
        <w:top w:w="0" w:type="dxa"/>
        <w:left w:w="108" w:type="dxa"/>
        <w:bottom w:w="0" w:type="dxa"/>
        <w:right w:w="108" w:type="dxa"/>
      </w:tblCellMar>
    </w:tblPr>
    <w:tcPr>
      <w:shd w:val="clear" w:color="auto" w:fill="D1DCF2" w:themeFill="accent1" w:themeFillTint="3F"/>
    </w:tcPr>
    <w:tblStylePr w:type="firstRow">
      <w:rPr>
        <w:b/>
        <w:bCs/>
        <w:color w:val="000000" w:themeColor="text1"/>
        <w14:textFill>
          <w14:solidFill>
            <w14:schemeClr w14:val="tx1"/>
          </w14:solidFill>
        </w14:textFill>
      </w:rPr>
      <w:tblPr/>
      <w:tcPr>
        <w:shd w:val="clear" w:color="auto" w:fill="ED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CAEACE"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CAEACE"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insideV w:val="single" w:sz="6" w:space="0"/>
        </w:tcBorders>
        <w:shd w:val="clear" w:color="auto" w:fill="A3B9E5" w:themeFill="accent1" w:themeFillTint="7F"/>
      </w:tcPr>
    </w:tblStylePr>
    <w:tblStylePr w:type="nwCell">
      <w:tblPr/>
      <w:tcPr>
        <w:shd w:val="clear" w:color="auto" w:fill="CAEACE" w:themeFill="background1"/>
      </w:tcPr>
    </w:tblStylePr>
  </w:style>
  <w:style w:type="table" w:styleId="191">
    <w:name w:val="Medium Grid 2 Accent 2"/>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CellMar>
        <w:top w:w="0" w:type="dxa"/>
        <w:left w:w="108" w:type="dxa"/>
        <w:bottom w:w="0" w:type="dxa"/>
        <w:right w:w="108" w:type="dxa"/>
      </w:tblCellMar>
    </w:tblPr>
    <w:tcPr>
      <w:shd w:val="clear" w:color="auto" w:fill="FAE0CB"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CAEACE"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CAEACE"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insideV w:val="single" w:sz="6" w:space="0"/>
        </w:tcBorders>
        <w:shd w:val="clear" w:color="auto" w:fill="F6C097" w:themeFill="accent2" w:themeFillTint="7F"/>
      </w:tcPr>
    </w:tblStylePr>
    <w:tblStylePr w:type="nwCell">
      <w:tblPr/>
      <w:tcPr>
        <w:shd w:val="clear" w:color="auto" w:fill="CAEACE" w:themeFill="background1"/>
      </w:tcPr>
    </w:tblStylePr>
  </w:style>
  <w:style w:type="table" w:styleId="192">
    <w:name w:val="Medium Grid 2 Accent 3"/>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CellMar>
        <w:top w:w="0" w:type="dxa"/>
        <w:left w:w="108" w:type="dxa"/>
        <w:bottom w:w="0" w:type="dxa"/>
        <w:right w:w="108" w:type="dxa"/>
      </w:tblCellMar>
    </w:tblPr>
    <w:tcPr>
      <w:shd w:val="clear" w:color="auto" w:fill="FEEFBD" w:themeFill="accent3" w:themeFillTint="3F"/>
    </w:tcPr>
    <w:tblStylePr w:type="firstRow">
      <w:rPr>
        <w:b/>
        <w:bCs/>
        <w:color w:val="000000" w:themeColor="text1"/>
        <w14:textFill>
          <w14:solidFill>
            <w14:schemeClr w14:val="tx1"/>
          </w14:solidFill>
        </w14:textFill>
      </w:rPr>
      <w:tblPr/>
      <w:tcPr>
        <w:shd w:val="clear" w:color="auto" w:fill="FEF8E5"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CAEACE"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CAEACE"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DDF7B" w:themeFill="accent3" w:themeFillTint="7F"/>
      </w:tcPr>
    </w:tblStylePr>
    <w:tblStylePr w:type="band1Horz">
      <w:tblPr/>
      <w:tcPr>
        <w:tcBorders>
          <w:insideH w:val="single" w:sz="6" w:space="0"/>
          <w:insideV w:val="single" w:sz="6" w:space="0"/>
        </w:tcBorders>
        <w:shd w:val="clear" w:color="auto" w:fill="FDDF7B" w:themeFill="accent3" w:themeFillTint="7F"/>
      </w:tcPr>
    </w:tblStylePr>
    <w:tblStylePr w:type="nwCell">
      <w:tblPr/>
      <w:tcPr>
        <w:shd w:val="clear" w:color="auto" w:fill="CAEACE" w:themeFill="background1"/>
      </w:tcPr>
    </w:tblStylePr>
  </w:style>
  <w:style w:type="table" w:styleId="193">
    <w:name w:val="Medium Grid 2 Accent 4"/>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CellMar>
        <w:top w:w="0" w:type="dxa"/>
        <w:left w:w="108" w:type="dxa"/>
        <w:bottom w:w="0" w:type="dxa"/>
        <w:right w:w="108" w:type="dxa"/>
      </w:tblCellMar>
    </w:tblPr>
    <w:tcPr>
      <w:shd w:val="clear" w:color="auto" w:fill="DCEED0" w:themeFill="accent4" w:themeFillTint="3F"/>
    </w:tcPr>
    <w:tblStylePr w:type="firstRow">
      <w:rPr>
        <w:b/>
        <w:bCs/>
        <w:color w:val="000000" w:themeColor="text1"/>
        <w14:textFill>
          <w14:solidFill>
            <w14:schemeClr w14:val="tx1"/>
          </w14:solidFill>
        </w14:textFill>
      </w:rPr>
      <w:tblPr/>
      <w:tcPr>
        <w:shd w:val="clear" w:color="auto" w:fill="F1F8EC"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CAEACE"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CAEACE"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insideV w:val="single" w:sz="6" w:space="0"/>
        </w:tcBorders>
        <w:shd w:val="clear" w:color="auto" w:fill="BADEA0" w:themeFill="accent4" w:themeFillTint="7F"/>
      </w:tcPr>
    </w:tblStylePr>
    <w:tblStylePr w:type="nwCell">
      <w:tblPr/>
      <w:tcPr>
        <w:shd w:val="clear" w:color="auto" w:fill="CAEACE" w:themeFill="background1"/>
      </w:tcPr>
    </w:tblStylePr>
  </w:style>
  <w:style w:type="table" w:styleId="194">
    <w:name w:val="Medium Grid 2 Accent 5"/>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CellMar>
        <w:top w:w="0" w:type="dxa"/>
        <w:left w:w="108" w:type="dxa"/>
        <w:bottom w:w="0" w:type="dxa"/>
        <w:right w:w="108" w:type="dxa"/>
      </w:tblCellMar>
    </w:tblPr>
    <w:tcPr>
      <w:shd w:val="clear" w:color="auto" w:fill="C9F1EE" w:themeFill="accent5" w:themeFillTint="3F"/>
    </w:tcPr>
    <w:tblStylePr w:type="firstRow">
      <w:rPr>
        <w:b/>
        <w:bCs/>
        <w:color w:val="000000" w:themeColor="text1"/>
        <w14:textFill>
          <w14:solidFill>
            <w14:schemeClr w14:val="tx1"/>
          </w14:solidFill>
        </w14:textFill>
      </w:rPr>
      <w:tblPr/>
      <w:tcPr>
        <w:shd w:val="clear" w:color="auto" w:fill="E9F9F8"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CAEACE"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CAEACE"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insideV w:val="single" w:sz="6" w:space="0"/>
        </w:tcBorders>
        <w:shd w:val="clear" w:color="auto" w:fill="93E4DD" w:themeFill="accent5" w:themeFillTint="7F"/>
      </w:tcPr>
    </w:tblStylePr>
    <w:tblStylePr w:type="nwCell">
      <w:tblPr/>
      <w:tcPr>
        <w:shd w:val="clear" w:color="auto" w:fill="CAEACE" w:themeFill="background1"/>
      </w:tcPr>
    </w:tblStylePr>
  </w:style>
  <w:style w:type="table" w:styleId="195">
    <w:name w:val="Medium Grid 2 Accent 6"/>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CellMar>
        <w:top w:w="0" w:type="dxa"/>
        <w:left w:w="108" w:type="dxa"/>
        <w:bottom w:w="0" w:type="dxa"/>
        <w:right w:w="108" w:type="dxa"/>
      </w:tblCellMar>
    </w:tblPr>
    <w:tcPr>
      <w:shd w:val="clear" w:color="auto" w:fill="F8D2D7" w:themeFill="accent6" w:themeFillTint="3F"/>
    </w:tcPr>
    <w:tblStylePr w:type="firstRow">
      <w:rPr>
        <w:b/>
        <w:bCs/>
        <w:color w:val="000000" w:themeColor="text1"/>
        <w14:textFill>
          <w14:solidFill>
            <w14:schemeClr w14:val="tx1"/>
          </w14:solidFill>
        </w14:textFill>
      </w:rPr>
      <w:tblPr/>
      <w:tcPr>
        <w:shd w:val="clear" w:color="auto" w:fill="FCEDEF"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CAEACE"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CAEACE"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insideV w:val="single" w:sz="6" w:space="0"/>
        </w:tcBorders>
        <w:shd w:val="clear" w:color="auto" w:fill="F2A5AE" w:themeFill="accent6" w:themeFillTint="7F"/>
      </w:tcPr>
    </w:tblStylePr>
    <w:tblStylePr w:type="nwCell">
      <w:tblPr/>
      <w:tcPr>
        <w:shd w:val="clear" w:color="auto" w:fill="CAEACE" w:themeFill="background1"/>
      </w:tcPr>
    </w:tblStylePr>
  </w:style>
  <w:style w:type="table" w:styleId="196">
    <w:name w:val="Medium Grid 3"/>
    <w:basedOn w:val="88"/>
    <w:semiHidden/>
    <w:unhideWhenUsed/>
    <w:qFormat/>
    <w:uiPriority w:val="69"/>
    <w:tblPr>
      <w:tbl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color="CAEACE" w:themeColor="background1" w:sz="6" w:space="0"/>
        <w:insideV w:val="single" w:color="CAEACE"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CAEACE" w:themeColor="background1"/>
        <w14:textFill>
          <w14:solidFill>
            <w14:schemeClr w14:val="bg1"/>
          </w14:solidFill>
        </w14:textFill>
      </w:rPr>
      <w:tblPr/>
      <w:tcPr>
        <w:tcBorders>
          <w:top w:val="single" w:color="CAEACE" w:themeColor="background1" w:sz="8" w:space="0"/>
          <w:left w:val="single" w:color="CAEACE" w:themeColor="background1" w:sz="8" w:space="0"/>
          <w:bottom w:val="single" w:color="CAEACE" w:themeColor="background1" w:sz="24" w:space="0"/>
          <w:right w:val="single" w:color="CAEACE" w:themeColor="background1" w:sz="8" w:space="0"/>
          <w:insideH w:val="nil"/>
          <w:insideV w:val="single" w:sz="8" w:space="0"/>
        </w:tcBorders>
        <w:shd w:val="clear" w:color="auto" w:fill="000000" w:themeFill="text1"/>
      </w:tcPr>
    </w:tblStylePr>
    <w:tblStylePr w:type="lastRow">
      <w:rPr>
        <w:b/>
        <w:bCs/>
        <w:i w:val="0"/>
        <w:iCs w:val="0"/>
        <w:color w:val="CAEACE" w:themeColor="background1"/>
        <w14:textFill>
          <w14:solidFill>
            <w14:schemeClr w14:val="bg1"/>
          </w14:solidFill>
        </w14:textFill>
      </w:rPr>
      <w:tblPr/>
      <w:tcPr>
        <w:tcBorders>
          <w:top w:val="single" w:color="CAEACE" w:themeColor="background1" w:sz="24" w:space="0"/>
          <w:left w:val="single" w:color="CAEACE" w:themeColor="background1" w:sz="8" w:space="0"/>
          <w:bottom w:val="single" w:color="CAEACE" w:themeColor="background1" w:sz="8" w:space="0"/>
          <w:right w:val="single" w:color="CAEACE" w:themeColor="background1" w:sz="8" w:space="0"/>
          <w:insideH w:val="nil"/>
          <w:insideV w:val="single" w:sz="8" w:space="0"/>
        </w:tcBorders>
        <w:shd w:val="clear" w:color="auto" w:fill="000000" w:themeFill="text1"/>
      </w:tcPr>
    </w:tblStylePr>
    <w:tblStylePr w:type="firstCol">
      <w:rPr>
        <w:b/>
        <w:bCs/>
        <w:i w:val="0"/>
        <w:iCs w:val="0"/>
        <w:color w:val="CAEACE" w:themeColor="background1"/>
        <w14:textFill>
          <w14:solidFill>
            <w14:schemeClr w14:val="bg1"/>
          </w14:solidFill>
        </w14:textFill>
      </w:rPr>
      <w:tblPr/>
      <w:tcPr>
        <w:tcBorders>
          <w:left w:val="single" w:color="CAEACE" w:themeColor="background1" w:sz="8" w:space="0"/>
          <w:right w:val="single" w:color="CAEACE" w:themeColor="background1" w:sz="24" w:space="0"/>
          <w:insideH w:val="nil"/>
          <w:insideV w:val="nil"/>
        </w:tcBorders>
        <w:shd w:val="clear" w:color="auto" w:fill="000000" w:themeFill="text1"/>
      </w:tcPr>
    </w:tblStylePr>
    <w:tblStylePr w:type="lastCol">
      <w:rPr>
        <w:b/>
        <w:bCs/>
        <w:i w:val="0"/>
        <w:iCs w:val="0"/>
        <w:color w:val="CAEACE" w:themeColor="background1"/>
        <w14:textFill>
          <w14:solidFill>
            <w14:schemeClr w14:val="bg1"/>
          </w14:solidFill>
        </w14:textFill>
      </w:rPr>
      <w:tblPr/>
      <w:tcPr>
        <w:tcBorders>
          <w:top w:val="nil"/>
          <w:left w:val="single" w:color="CAEACE" w:themeColor="background1" w:sz="24" w:space="0"/>
          <w:bottom w:val="nil"/>
          <w:right w:val="nil"/>
          <w:insideH w:val="nil"/>
          <w:insideV w:val="nil"/>
        </w:tcBorders>
        <w:shd w:val="clear" w:color="auto" w:fill="000000" w:themeFill="text1"/>
      </w:tcPr>
    </w:tblStylePr>
    <w:tblStylePr w:type="band1Vert">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nil"/>
          <w:insideV w:val="nil"/>
        </w:tcBorders>
        <w:shd w:val="clear" w:color="auto" w:fill="7F7F7F" w:themeFill="text1" w:themeFillTint="7F"/>
      </w:tcPr>
    </w:tblStylePr>
    <w:tblStylePr w:type="band1Horz">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color="CAEACE" w:themeColor="background1" w:sz="6" w:space="0"/>
        <w:insideV w:val="single" w:color="CAEACE" w:themeColor="background1" w:sz="6" w:space="0"/>
      </w:tblBorders>
      <w:tblCellMar>
        <w:top w:w="0" w:type="dxa"/>
        <w:left w:w="108" w:type="dxa"/>
        <w:bottom w:w="0" w:type="dxa"/>
        <w:right w:w="108" w:type="dxa"/>
      </w:tblCellMar>
    </w:tblPr>
    <w:tcPr>
      <w:shd w:val="clear" w:color="auto" w:fill="D1DCF2" w:themeFill="accent1" w:themeFillTint="3F"/>
    </w:tcPr>
    <w:tblStylePr w:type="firstRow">
      <w:rPr>
        <w:b/>
        <w:bCs/>
        <w:i w:val="0"/>
        <w:iCs w:val="0"/>
        <w:color w:val="CAEACE" w:themeColor="background1"/>
        <w14:textFill>
          <w14:solidFill>
            <w14:schemeClr w14:val="bg1"/>
          </w14:solidFill>
        </w14:textFill>
      </w:rPr>
      <w:tblPr/>
      <w:tcPr>
        <w:tcBorders>
          <w:top w:val="single" w:color="CAEACE" w:themeColor="background1" w:sz="8" w:space="0"/>
          <w:left w:val="single" w:color="CAEACE" w:themeColor="background1" w:sz="8" w:space="0"/>
          <w:bottom w:val="single" w:color="CAEACE" w:themeColor="background1" w:sz="24" w:space="0"/>
          <w:right w:val="single" w:color="CAEACE" w:themeColor="background1" w:sz="8" w:space="0"/>
          <w:insideH w:val="nil"/>
          <w:insideV w:val="single" w:sz="8" w:space="0"/>
        </w:tcBorders>
        <w:shd w:val="clear" w:color="auto" w:fill="4874CB" w:themeFill="accent1"/>
      </w:tcPr>
    </w:tblStylePr>
    <w:tblStylePr w:type="lastRow">
      <w:rPr>
        <w:b/>
        <w:bCs/>
        <w:i w:val="0"/>
        <w:iCs w:val="0"/>
        <w:color w:val="CAEACE" w:themeColor="background1"/>
        <w14:textFill>
          <w14:solidFill>
            <w14:schemeClr w14:val="bg1"/>
          </w14:solidFill>
        </w14:textFill>
      </w:rPr>
      <w:tblPr/>
      <w:tcPr>
        <w:tcBorders>
          <w:top w:val="single" w:color="CAEACE" w:themeColor="background1" w:sz="24" w:space="0"/>
          <w:left w:val="single" w:color="CAEACE" w:themeColor="background1" w:sz="8" w:space="0"/>
          <w:bottom w:val="single" w:color="CAEACE" w:themeColor="background1" w:sz="8" w:space="0"/>
          <w:right w:val="single" w:color="CAEACE" w:themeColor="background1" w:sz="8" w:space="0"/>
          <w:insideH w:val="nil"/>
          <w:insideV w:val="single" w:sz="8" w:space="0"/>
        </w:tcBorders>
        <w:shd w:val="clear" w:color="auto" w:fill="4874CB" w:themeFill="accent1"/>
      </w:tcPr>
    </w:tblStylePr>
    <w:tblStylePr w:type="firstCol">
      <w:rPr>
        <w:b/>
        <w:bCs/>
        <w:i w:val="0"/>
        <w:iCs w:val="0"/>
        <w:color w:val="CAEACE" w:themeColor="background1"/>
        <w14:textFill>
          <w14:solidFill>
            <w14:schemeClr w14:val="bg1"/>
          </w14:solidFill>
        </w14:textFill>
      </w:rPr>
      <w:tblPr/>
      <w:tcPr>
        <w:tcBorders>
          <w:left w:val="single" w:color="CAEACE" w:themeColor="background1" w:sz="8" w:space="0"/>
          <w:right w:val="single" w:color="CAEACE" w:themeColor="background1" w:sz="24" w:space="0"/>
          <w:insideH w:val="nil"/>
          <w:insideV w:val="nil"/>
        </w:tcBorders>
        <w:shd w:val="clear" w:color="auto" w:fill="4874CB" w:themeFill="accent1"/>
      </w:tcPr>
    </w:tblStylePr>
    <w:tblStylePr w:type="lastCol">
      <w:rPr>
        <w:b/>
        <w:bCs/>
        <w:i w:val="0"/>
        <w:iCs w:val="0"/>
        <w:color w:val="CAEACE" w:themeColor="background1"/>
        <w14:textFill>
          <w14:solidFill>
            <w14:schemeClr w14:val="bg1"/>
          </w14:solidFill>
        </w14:textFill>
      </w:rPr>
      <w:tblPr/>
      <w:tcPr>
        <w:tcBorders>
          <w:top w:val="nil"/>
          <w:left w:val="single" w:color="CAEACE" w:themeColor="background1" w:sz="24" w:space="0"/>
          <w:bottom w:val="nil"/>
          <w:right w:val="nil"/>
          <w:insideH w:val="nil"/>
          <w:insideV w:val="nil"/>
        </w:tcBorders>
        <w:shd w:val="clear" w:color="auto" w:fill="4874CB" w:themeFill="accent1"/>
      </w:tcPr>
    </w:tblStylePr>
    <w:tblStylePr w:type="band1Vert">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nil"/>
          <w:insideV w:val="nil"/>
        </w:tcBorders>
        <w:shd w:val="clear" w:color="auto" w:fill="A3B9E5" w:themeFill="accent1" w:themeFillTint="7F"/>
      </w:tcPr>
    </w:tblStylePr>
    <w:tblStylePr w:type="band1Horz">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sz="8" w:space="0"/>
          <w:insideV w:val="single" w:sz="8" w:space="0"/>
        </w:tcBorders>
        <w:shd w:val="clear" w:color="auto" w:fill="A3B9E5" w:themeFill="accent1" w:themeFillTint="7F"/>
      </w:tcPr>
    </w:tblStylePr>
  </w:style>
  <w:style w:type="table" w:styleId="198">
    <w:name w:val="Medium Grid 3 Accent 2"/>
    <w:basedOn w:val="88"/>
    <w:semiHidden/>
    <w:unhideWhenUsed/>
    <w:qFormat/>
    <w:uiPriority w:val="69"/>
    <w:tblPr>
      <w:tbl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color="CAEACE" w:themeColor="background1" w:sz="6" w:space="0"/>
        <w:insideV w:val="single" w:color="CAEACE" w:themeColor="background1" w:sz="6" w:space="0"/>
      </w:tblBorders>
      <w:tblCellMar>
        <w:top w:w="0" w:type="dxa"/>
        <w:left w:w="108" w:type="dxa"/>
        <w:bottom w:w="0" w:type="dxa"/>
        <w:right w:w="108" w:type="dxa"/>
      </w:tblCellMar>
    </w:tblPr>
    <w:tcPr>
      <w:shd w:val="clear" w:color="auto" w:fill="FAE0CB" w:themeFill="accent2" w:themeFillTint="3F"/>
    </w:tcPr>
    <w:tblStylePr w:type="firstRow">
      <w:rPr>
        <w:b/>
        <w:bCs/>
        <w:i w:val="0"/>
        <w:iCs w:val="0"/>
        <w:color w:val="CAEACE" w:themeColor="background1"/>
        <w14:textFill>
          <w14:solidFill>
            <w14:schemeClr w14:val="bg1"/>
          </w14:solidFill>
        </w14:textFill>
      </w:rPr>
      <w:tblPr/>
      <w:tcPr>
        <w:tcBorders>
          <w:top w:val="single" w:color="CAEACE" w:themeColor="background1" w:sz="8" w:space="0"/>
          <w:left w:val="single" w:color="CAEACE" w:themeColor="background1" w:sz="8" w:space="0"/>
          <w:bottom w:val="single" w:color="CAEACE" w:themeColor="background1" w:sz="24" w:space="0"/>
          <w:right w:val="single" w:color="CAEACE" w:themeColor="background1" w:sz="8" w:space="0"/>
          <w:insideH w:val="nil"/>
          <w:insideV w:val="single" w:sz="8" w:space="0"/>
        </w:tcBorders>
        <w:shd w:val="clear" w:color="auto" w:fill="EE822F" w:themeFill="accent2"/>
      </w:tcPr>
    </w:tblStylePr>
    <w:tblStylePr w:type="lastRow">
      <w:rPr>
        <w:b/>
        <w:bCs/>
        <w:i w:val="0"/>
        <w:iCs w:val="0"/>
        <w:color w:val="CAEACE" w:themeColor="background1"/>
        <w14:textFill>
          <w14:solidFill>
            <w14:schemeClr w14:val="bg1"/>
          </w14:solidFill>
        </w14:textFill>
      </w:rPr>
      <w:tblPr/>
      <w:tcPr>
        <w:tcBorders>
          <w:top w:val="single" w:color="CAEACE" w:themeColor="background1" w:sz="24" w:space="0"/>
          <w:left w:val="single" w:color="CAEACE" w:themeColor="background1" w:sz="8" w:space="0"/>
          <w:bottom w:val="single" w:color="CAEACE" w:themeColor="background1" w:sz="8" w:space="0"/>
          <w:right w:val="single" w:color="CAEACE" w:themeColor="background1" w:sz="8" w:space="0"/>
          <w:insideH w:val="nil"/>
          <w:insideV w:val="single" w:sz="8" w:space="0"/>
        </w:tcBorders>
        <w:shd w:val="clear" w:color="auto" w:fill="EE822F" w:themeFill="accent2"/>
      </w:tcPr>
    </w:tblStylePr>
    <w:tblStylePr w:type="firstCol">
      <w:rPr>
        <w:b/>
        <w:bCs/>
        <w:i w:val="0"/>
        <w:iCs w:val="0"/>
        <w:color w:val="CAEACE" w:themeColor="background1"/>
        <w14:textFill>
          <w14:solidFill>
            <w14:schemeClr w14:val="bg1"/>
          </w14:solidFill>
        </w14:textFill>
      </w:rPr>
      <w:tblPr/>
      <w:tcPr>
        <w:tcBorders>
          <w:left w:val="single" w:color="CAEACE" w:themeColor="background1" w:sz="8" w:space="0"/>
          <w:right w:val="single" w:color="CAEACE" w:themeColor="background1" w:sz="24" w:space="0"/>
          <w:insideH w:val="nil"/>
          <w:insideV w:val="nil"/>
        </w:tcBorders>
        <w:shd w:val="clear" w:color="auto" w:fill="EE822F" w:themeFill="accent2"/>
      </w:tcPr>
    </w:tblStylePr>
    <w:tblStylePr w:type="lastCol">
      <w:rPr>
        <w:b/>
        <w:bCs/>
        <w:i w:val="0"/>
        <w:iCs w:val="0"/>
        <w:color w:val="CAEACE" w:themeColor="background1"/>
        <w14:textFill>
          <w14:solidFill>
            <w14:schemeClr w14:val="bg1"/>
          </w14:solidFill>
        </w14:textFill>
      </w:rPr>
      <w:tblPr/>
      <w:tcPr>
        <w:tcBorders>
          <w:top w:val="nil"/>
          <w:left w:val="single" w:color="CAEACE" w:themeColor="background1" w:sz="24" w:space="0"/>
          <w:bottom w:val="nil"/>
          <w:right w:val="nil"/>
          <w:insideH w:val="nil"/>
          <w:insideV w:val="nil"/>
        </w:tcBorders>
        <w:shd w:val="clear" w:color="auto" w:fill="EE822F" w:themeFill="accent2"/>
      </w:tcPr>
    </w:tblStylePr>
    <w:tblStylePr w:type="band1Vert">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nil"/>
          <w:insideV w:val="nil"/>
        </w:tcBorders>
        <w:shd w:val="clear" w:color="auto" w:fill="F6C097" w:themeFill="accent2" w:themeFillTint="7F"/>
      </w:tcPr>
    </w:tblStylePr>
    <w:tblStylePr w:type="band1Horz">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sz="8" w:space="0"/>
          <w:insideV w:val="single" w:sz="8" w:space="0"/>
        </w:tcBorders>
        <w:shd w:val="clear" w:color="auto" w:fill="F6C097" w:themeFill="accent2" w:themeFillTint="7F"/>
      </w:tcPr>
    </w:tblStylePr>
  </w:style>
  <w:style w:type="table" w:styleId="199">
    <w:name w:val="Medium Grid 3 Accent 3"/>
    <w:basedOn w:val="88"/>
    <w:semiHidden/>
    <w:unhideWhenUsed/>
    <w:qFormat/>
    <w:uiPriority w:val="69"/>
    <w:tblPr>
      <w:tbl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color="CAEACE" w:themeColor="background1" w:sz="6" w:space="0"/>
        <w:insideV w:val="single" w:color="CAEACE" w:themeColor="background1" w:sz="6" w:space="0"/>
      </w:tblBorders>
      <w:tblCellMar>
        <w:top w:w="0" w:type="dxa"/>
        <w:left w:w="108" w:type="dxa"/>
        <w:bottom w:w="0" w:type="dxa"/>
        <w:right w:w="108" w:type="dxa"/>
      </w:tblCellMar>
    </w:tblPr>
    <w:tcPr>
      <w:shd w:val="clear" w:color="auto" w:fill="FEEFBD" w:themeFill="accent3" w:themeFillTint="3F"/>
    </w:tcPr>
    <w:tblStylePr w:type="firstRow">
      <w:rPr>
        <w:b/>
        <w:bCs/>
        <w:i w:val="0"/>
        <w:iCs w:val="0"/>
        <w:color w:val="CAEACE" w:themeColor="background1"/>
        <w14:textFill>
          <w14:solidFill>
            <w14:schemeClr w14:val="bg1"/>
          </w14:solidFill>
        </w14:textFill>
      </w:rPr>
      <w:tblPr/>
      <w:tcPr>
        <w:tcBorders>
          <w:top w:val="single" w:color="CAEACE" w:themeColor="background1" w:sz="8" w:space="0"/>
          <w:left w:val="single" w:color="CAEACE" w:themeColor="background1" w:sz="8" w:space="0"/>
          <w:bottom w:val="single" w:color="CAEACE" w:themeColor="background1" w:sz="24" w:space="0"/>
          <w:right w:val="single" w:color="CAEACE" w:themeColor="background1" w:sz="8" w:space="0"/>
          <w:insideH w:val="nil"/>
          <w:insideV w:val="single" w:sz="8" w:space="0"/>
        </w:tcBorders>
        <w:shd w:val="clear" w:color="auto" w:fill="F2BA02" w:themeFill="accent3"/>
      </w:tcPr>
    </w:tblStylePr>
    <w:tblStylePr w:type="lastRow">
      <w:rPr>
        <w:b/>
        <w:bCs/>
        <w:i w:val="0"/>
        <w:iCs w:val="0"/>
        <w:color w:val="CAEACE" w:themeColor="background1"/>
        <w14:textFill>
          <w14:solidFill>
            <w14:schemeClr w14:val="bg1"/>
          </w14:solidFill>
        </w14:textFill>
      </w:rPr>
      <w:tblPr/>
      <w:tcPr>
        <w:tcBorders>
          <w:top w:val="single" w:color="CAEACE" w:themeColor="background1" w:sz="24" w:space="0"/>
          <w:left w:val="single" w:color="CAEACE" w:themeColor="background1" w:sz="8" w:space="0"/>
          <w:bottom w:val="single" w:color="CAEACE" w:themeColor="background1" w:sz="8" w:space="0"/>
          <w:right w:val="single" w:color="CAEACE" w:themeColor="background1" w:sz="8" w:space="0"/>
          <w:insideH w:val="nil"/>
          <w:insideV w:val="single" w:sz="8" w:space="0"/>
        </w:tcBorders>
        <w:shd w:val="clear" w:color="auto" w:fill="F2BA02" w:themeFill="accent3"/>
      </w:tcPr>
    </w:tblStylePr>
    <w:tblStylePr w:type="firstCol">
      <w:rPr>
        <w:b/>
        <w:bCs/>
        <w:i w:val="0"/>
        <w:iCs w:val="0"/>
        <w:color w:val="CAEACE" w:themeColor="background1"/>
        <w14:textFill>
          <w14:solidFill>
            <w14:schemeClr w14:val="bg1"/>
          </w14:solidFill>
        </w14:textFill>
      </w:rPr>
      <w:tblPr/>
      <w:tcPr>
        <w:tcBorders>
          <w:left w:val="single" w:color="CAEACE" w:themeColor="background1" w:sz="8" w:space="0"/>
          <w:right w:val="single" w:color="CAEACE" w:themeColor="background1" w:sz="24" w:space="0"/>
          <w:insideH w:val="nil"/>
          <w:insideV w:val="nil"/>
        </w:tcBorders>
        <w:shd w:val="clear" w:color="auto" w:fill="F2BA02" w:themeFill="accent3"/>
      </w:tcPr>
    </w:tblStylePr>
    <w:tblStylePr w:type="lastCol">
      <w:rPr>
        <w:b/>
        <w:bCs/>
        <w:i w:val="0"/>
        <w:iCs w:val="0"/>
        <w:color w:val="CAEACE" w:themeColor="background1"/>
        <w14:textFill>
          <w14:solidFill>
            <w14:schemeClr w14:val="bg1"/>
          </w14:solidFill>
        </w14:textFill>
      </w:rPr>
      <w:tblPr/>
      <w:tcPr>
        <w:tcBorders>
          <w:top w:val="nil"/>
          <w:left w:val="single" w:color="CAEACE" w:themeColor="background1" w:sz="24" w:space="0"/>
          <w:bottom w:val="nil"/>
          <w:right w:val="nil"/>
          <w:insideH w:val="nil"/>
          <w:insideV w:val="nil"/>
        </w:tcBorders>
        <w:shd w:val="clear" w:color="auto" w:fill="F2BA02" w:themeFill="accent3"/>
      </w:tcPr>
    </w:tblStylePr>
    <w:tblStylePr w:type="band1Vert">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nil"/>
          <w:insideV w:val="nil"/>
        </w:tcBorders>
        <w:shd w:val="clear" w:color="auto" w:fill="FDDF7B" w:themeFill="accent3" w:themeFillTint="7F"/>
      </w:tcPr>
    </w:tblStylePr>
    <w:tblStylePr w:type="band1Horz">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sz="8" w:space="0"/>
          <w:insideV w:val="single" w:sz="8" w:space="0"/>
        </w:tcBorders>
        <w:shd w:val="clear" w:color="auto" w:fill="FDDF7B" w:themeFill="accent3" w:themeFillTint="7F"/>
      </w:tcPr>
    </w:tblStylePr>
  </w:style>
  <w:style w:type="table" w:styleId="200">
    <w:name w:val="Medium Grid 3 Accent 4"/>
    <w:basedOn w:val="88"/>
    <w:semiHidden/>
    <w:unhideWhenUsed/>
    <w:qFormat/>
    <w:uiPriority w:val="69"/>
    <w:tblPr>
      <w:tbl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color="CAEACE" w:themeColor="background1" w:sz="6" w:space="0"/>
        <w:insideV w:val="single" w:color="CAEACE" w:themeColor="background1" w:sz="6" w:space="0"/>
      </w:tblBorders>
      <w:tblCellMar>
        <w:top w:w="0" w:type="dxa"/>
        <w:left w:w="108" w:type="dxa"/>
        <w:bottom w:w="0" w:type="dxa"/>
        <w:right w:w="108" w:type="dxa"/>
      </w:tblCellMar>
    </w:tblPr>
    <w:tcPr>
      <w:shd w:val="clear" w:color="auto" w:fill="DCEED0" w:themeFill="accent4" w:themeFillTint="3F"/>
    </w:tcPr>
    <w:tblStylePr w:type="firstRow">
      <w:rPr>
        <w:b/>
        <w:bCs/>
        <w:i w:val="0"/>
        <w:iCs w:val="0"/>
        <w:color w:val="CAEACE" w:themeColor="background1"/>
        <w14:textFill>
          <w14:solidFill>
            <w14:schemeClr w14:val="bg1"/>
          </w14:solidFill>
        </w14:textFill>
      </w:rPr>
      <w:tblPr/>
      <w:tcPr>
        <w:tcBorders>
          <w:top w:val="single" w:color="CAEACE" w:themeColor="background1" w:sz="8" w:space="0"/>
          <w:left w:val="single" w:color="CAEACE" w:themeColor="background1" w:sz="8" w:space="0"/>
          <w:bottom w:val="single" w:color="CAEACE" w:themeColor="background1" w:sz="24" w:space="0"/>
          <w:right w:val="single" w:color="CAEACE" w:themeColor="background1" w:sz="8" w:space="0"/>
          <w:insideH w:val="nil"/>
          <w:insideV w:val="single" w:sz="8" w:space="0"/>
        </w:tcBorders>
        <w:shd w:val="clear" w:color="auto" w:fill="75BD42" w:themeFill="accent4"/>
      </w:tcPr>
    </w:tblStylePr>
    <w:tblStylePr w:type="lastRow">
      <w:rPr>
        <w:b/>
        <w:bCs/>
        <w:i w:val="0"/>
        <w:iCs w:val="0"/>
        <w:color w:val="CAEACE" w:themeColor="background1"/>
        <w14:textFill>
          <w14:solidFill>
            <w14:schemeClr w14:val="bg1"/>
          </w14:solidFill>
        </w14:textFill>
      </w:rPr>
      <w:tblPr/>
      <w:tcPr>
        <w:tcBorders>
          <w:top w:val="single" w:color="CAEACE" w:themeColor="background1" w:sz="24" w:space="0"/>
          <w:left w:val="single" w:color="CAEACE" w:themeColor="background1" w:sz="8" w:space="0"/>
          <w:bottom w:val="single" w:color="CAEACE" w:themeColor="background1" w:sz="8" w:space="0"/>
          <w:right w:val="single" w:color="CAEACE" w:themeColor="background1" w:sz="8" w:space="0"/>
          <w:insideH w:val="nil"/>
          <w:insideV w:val="single" w:sz="8" w:space="0"/>
        </w:tcBorders>
        <w:shd w:val="clear" w:color="auto" w:fill="75BD42" w:themeFill="accent4"/>
      </w:tcPr>
    </w:tblStylePr>
    <w:tblStylePr w:type="firstCol">
      <w:rPr>
        <w:b/>
        <w:bCs/>
        <w:i w:val="0"/>
        <w:iCs w:val="0"/>
        <w:color w:val="CAEACE" w:themeColor="background1"/>
        <w14:textFill>
          <w14:solidFill>
            <w14:schemeClr w14:val="bg1"/>
          </w14:solidFill>
        </w14:textFill>
      </w:rPr>
      <w:tblPr/>
      <w:tcPr>
        <w:tcBorders>
          <w:left w:val="single" w:color="CAEACE" w:themeColor="background1" w:sz="8" w:space="0"/>
          <w:right w:val="single" w:color="CAEACE" w:themeColor="background1" w:sz="24" w:space="0"/>
          <w:insideH w:val="nil"/>
          <w:insideV w:val="nil"/>
        </w:tcBorders>
        <w:shd w:val="clear" w:color="auto" w:fill="75BD42" w:themeFill="accent4"/>
      </w:tcPr>
    </w:tblStylePr>
    <w:tblStylePr w:type="lastCol">
      <w:rPr>
        <w:b/>
        <w:bCs/>
        <w:i w:val="0"/>
        <w:iCs w:val="0"/>
        <w:color w:val="CAEACE" w:themeColor="background1"/>
        <w14:textFill>
          <w14:solidFill>
            <w14:schemeClr w14:val="bg1"/>
          </w14:solidFill>
        </w14:textFill>
      </w:rPr>
      <w:tblPr/>
      <w:tcPr>
        <w:tcBorders>
          <w:top w:val="nil"/>
          <w:left w:val="single" w:color="CAEACE" w:themeColor="background1" w:sz="24" w:space="0"/>
          <w:bottom w:val="nil"/>
          <w:right w:val="nil"/>
          <w:insideH w:val="nil"/>
          <w:insideV w:val="nil"/>
        </w:tcBorders>
        <w:shd w:val="clear" w:color="auto" w:fill="75BD42" w:themeFill="accent4"/>
      </w:tcPr>
    </w:tblStylePr>
    <w:tblStylePr w:type="band1Vert">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nil"/>
          <w:insideV w:val="nil"/>
        </w:tcBorders>
        <w:shd w:val="clear" w:color="auto" w:fill="BADEA0" w:themeFill="accent4" w:themeFillTint="7F"/>
      </w:tcPr>
    </w:tblStylePr>
    <w:tblStylePr w:type="band1Horz">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sz="8" w:space="0"/>
          <w:insideV w:val="single" w:sz="8" w:space="0"/>
        </w:tcBorders>
        <w:shd w:val="clear" w:color="auto" w:fill="BADEA0" w:themeFill="accent4" w:themeFillTint="7F"/>
      </w:tcPr>
    </w:tblStylePr>
  </w:style>
  <w:style w:type="table" w:styleId="201">
    <w:name w:val="Medium Grid 3 Accent 5"/>
    <w:basedOn w:val="88"/>
    <w:semiHidden/>
    <w:unhideWhenUsed/>
    <w:qFormat/>
    <w:uiPriority w:val="69"/>
    <w:tblPr>
      <w:tbl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color="CAEACE" w:themeColor="background1" w:sz="6" w:space="0"/>
        <w:insideV w:val="single" w:color="CAEACE" w:themeColor="background1" w:sz="6" w:space="0"/>
      </w:tblBorders>
      <w:tblCellMar>
        <w:top w:w="0" w:type="dxa"/>
        <w:left w:w="108" w:type="dxa"/>
        <w:bottom w:w="0" w:type="dxa"/>
        <w:right w:w="108" w:type="dxa"/>
      </w:tblCellMar>
    </w:tblPr>
    <w:tcPr>
      <w:shd w:val="clear" w:color="auto" w:fill="C9F1EE" w:themeFill="accent5" w:themeFillTint="3F"/>
    </w:tcPr>
    <w:tblStylePr w:type="firstRow">
      <w:rPr>
        <w:b/>
        <w:bCs/>
        <w:i w:val="0"/>
        <w:iCs w:val="0"/>
        <w:color w:val="CAEACE" w:themeColor="background1"/>
        <w14:textFill>
          <w14:solidFill>
            <w14:schemeClr w14:val="bg1"/>
          </w14:solidFill>
        </w14:textFill>
      </w:rPr>
      <w:tblPr/>
      <w:tcPr>
        <w:tcBorders>
          <w:top w:val="single" w:color="CAEACE" w:themeColor="background1" w:sz="8" w:space="0"/>
          <w:left w:val="single" w:color="CAEACE" w:themeColor="background1" w:sz="8" w:space="0"/>
          <w:bottom w:val="single" w:color="CAEACE" w:themeColor="background1" w:sz="24" w:space="0"/>
          <w:right w:val="single" w:color="CAEACE" w:themeColor="background1" w:sz="8" w:space="0"/>
          <w:insideH w:val="nil"/>
          <w:insideV w:val="single" w:sz="8" w:space="0"/>
        </w:tcBorders>
        <w:shd w:val="clear" w:color="auto" w:fill="30C0B4" w:themeFill="accent5"/>
      </w:tcPr>
    </w:tblStylePr>
    <w:tblStylePr w:type="lastRow">
      <w:rPr>
        <w:b/>
        <w:bCs/>
        <w:i w:val="0"/>
        <w:iCs w:val="0"/>
        <w:color w:val="CAEACE" w:themeColor="background1"/>
        <w14:textFill>
          <w14:solidFill>
            <w14:schemeClr w14:val="bg1"/>
          </w14:solidFill>
        </w14:textFill>
      </w:rPr>
      <w:tblPr/>
      <w:tcPr>
        <w:tcBorders>
          <w:top w:val="single" w:color="CAEACE" w:themeColor="background1" w:sz="24" w:space="0"/>
          <w:left w:val="single" w:color="CAEACE" w:themeColor="background1" w:sz="8" w:space="0"/>
          <w:bottom w:val="single" w:color="CAEACE" w:themeColor="background1" w:sz="8" w:space="0"/>
          <w:right w:val="single" w:color="CAEACE" w:themeColor="background1" w:sz="8" w:space="0"/>
          <w:insideH w:val="nil"/>
          <w:insideV w:val="single" w:sz="8" w:space="0"/>
        </w:tcBorders>
        <w:shd w:val="clear" w:color="auto" w:fill="30C0B4" w:themeFill="accent5"/>
      </w:tcPr>
    </w:tblStylePr>
    <w:tblStylePr w:type="firstCol">
      <w:rPr>
        <w:b/>
        <w:bCs/>
        <w:i w:val="0"/>
        <w:iCs w:val="0"/>
        <w:color w:val="CAEACE" w:themeColor="background1"/>
        <w14:textFill>
          <w14:solidFill>
            <w14:schemeClr w14:val="bg1"/>
          </w14:solidFill>
        </w14:textFill>
      </w:rPr>
      <w:tblPr/>
      <w:tcPr>
        <w:tcBorders>
          <w:left w:val="single" w:color="CAEACE" w:themeColor="background1" w:sz="8" w:space="0"/>
          <w:right w:val="single" w:color="CAEACE" w:themeColor="background1" w:sz="24" w:space="0"/>
          <w:insideH w:val="nil"/>
          <w:insideV w:val="nil"/>
        </w:tcBorders>
        <w:shd w:val="clear" w:color="auto" w:fill="30C0B4" w:themeFill="accent5"/>
      </w:tcPr>
    </w:tblStylePr>
    <w:tblStylePr w:type="lastCol">
      <w:rPr>
        <w:b/>
        <w:bCs/>
        <w:i w:val="0"/>
        <w:iCs w:val="0"/>
        <w:color w:val="CAEACE" w:themeColor="background1"/>
        <w14:textFill>
          <w14:solidFill>
            <w14:schemeClr w14:val="bg1"/>
          </w14:solidFill>
        </w14:textFill>
      </w:rPr>
      <w:tblPr/>
      <w:tcPr>
        <w:tcBorders>
          <w:top w:val="nil"/>
          <w:left w:val="single" w:color="CAEACE" w:themeColor="background1" w:sz="24" w:space="0"/>
          <w:bottom w:val="nil"/>
          <w:right w:val="nil"/>
          <w:insideH w:val="nil"/>
          <w:insideV w:val="nil"/>
        </w:tcBorders>
        <w:shd w:val="clear" w:color="auto" w:fill="30C0B4" w:themeFill="accent5"/>
      </w:tcPr>
    </w:tblStylePr>
    <w:tblStylePr w:type="band1Vert">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nil"/>
          <w:insideV w:val="nil"/>
        </w:tcBorders>
        <w:shd w:val="clear" w:color="auto" w:fill="93E4DD" w:themeFill="accent5" w:themeFillTint="7F"/>
      </w:tcPr>
    </w:tblStylePr>
    <w:tblStylePr w:type="band1Horz">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sz="8" w:space="0"/>
          <w:insideV w:val="single" w:sz="8" w:space="0"/>
        </w:tcBorders>
        <w:shd w:val="clear" w:color="auto" w:fill="93E4DD" w:themeFill="accent5" w:themeFillTint="7F"/>
      </w:tcPr>
    </w:tblStylePr>
  </w:style>
  <w:style w:type="table" w:styleId="202">
    <w:name w:val="Medium Grid 3 Accent 6"/>
    <w:basedOn w:val="88"/>
    <w:semiHidden/>
    <w:unhideWhenUsed/>
    <w:qFormat/>
    <w:uiPriority w:val="69"/>
    <w:tblPr>
      <w:tbl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color="CAEACE" w:themeColor="background1" w:sz="6" w:space="0"/>
        <w:insideV w:val="single" w:color="CAEACE" w:themeColor="background1" w:sz="6" w:space="0"/>
      </w:tblBorders>
      <w:tblCellMar>
        <w:top w:w="0" w:type="dxa"/>
        <w:left w:w="108" w:type="dxa"/>
        <w:bottom w:w="0" w:type="dxa"/>
        <w:right w:w="108" w:type="dxa"/>
      </w:tblCellMar>
    </w:tblPr>
    <w:tcPr>
      <w:shd w:val="clear" w:color="auto" w:fill="F8D2D7" w:themeFill="accent6" w:themeFillTint="3F"/>
    </w:tcPr>
    <w:tblStylePr w:type="firstRow">
      <w:rPr>
        <w:b/>
        <w:bCs/>
        <w:i w:val="0"/>
        <w:iCs w:val="0"/>
        <w:color w:val="CAEACE" w:themeColor="background1"/>
        <w14:textFill>
          <w14:solidFill>
            <w14:schemeClr w14:val="bg1"/>
          </w14:solidFill>
        </w14:textFill>
      </w:rPr>
      <w:tblPr/>
      <w:tcPr>
        <w:tcBorders>
          <w:top w:val="single" w:color="CAEACE" w:themeColor="background1" w:sz="8" w:space="0"/>
          <w:left w:val="single" w:color="CAEACE" w:themeColor="background1" w:sz="8" w:space="0"/>
          <w:bottom w:val="single" w:color="CAEACE" w:themeColor="background1" w:sz="24" w:space="0"/>
          <w:right w:val="single" w:color="CAEACE" w:themeColor="background1" w:sz="8" w:space="0"/>
          <w:insideH w:val="nil"/>
          <w:insideV w:val="single" w:sz="8" w:space="0"/>
        </w:tcBorders>
        <w:shd w:val="clear" w:color="auto" w:fill="E54C5E" w:themeFill="accent6"/>
      </w:tcPr>
    </w:tblStylePr>
    <w:tblStylePr w:type="lastRow">
      <w:rPr>
        <w:b/>
        <w:bCs/>
        <w:i w:val="0"/>
        <w:iCs w:val="0"/>
        <w:color w:val="CAEACE" w:themeColor="background1"/>
        <w14:textFill>
          <w14:solidFill>
            <w14:schemeClr w14:val="bg1"/>
          </w14:solidFill>
        </w14:textFill>
      </w:rPr>
      <w:tblPr/>
      <w:tcPr>
        <w:tcBorders>
          <w:top w:val="single" w:color="CAEACE" w:themeColor="background1" w:sz="24" w:space="0"/>
          <w:left w:val="single" w:color="CAEACE" w:themeColor="background1" w:sz="8" w:space="0"/>
          <w:bottom w:val="single" w:color="CAEACE" w:themeColor="background1" w:sz="8" w:space="0"/>
          <w:right w:val="single" w:color="CAEACE" w:themeColor="background1" w:sz="8" w:space="0"/>
          <w:insideH w:val="nil"/>
          <w:insideV w:val="single" w:sz="8" w:space="0"/>
        </w:tcBorders>
        <w:shd w:val="clear" w:color="auto" w:fill="E54C5E" w:themeFill="accent6"/>
      </w:tcPr>
    </w:tblStylePr>
    <w:tblStylePr w:type="firstCol">
      <w:rPr>
        <w:b/>
        <w:bCs/>
        <w:i w:val="0"/>
        <w:iCs w:val="0"/>
        <w:color w:val="CAEACE" w:themeColor="background1"/>
        <w14:textFill>
          <w14:solidFill>
            <w14:schemeClr w14:val="bg1"/>
          </w14:solidFill>
        </w14:textFill>
      </w:rPr>
      <w:tblPr/>
      <w:tcPr>
        <w:tcBorders>
          <w:left w:val="single" w:color="CAEACE" w:themeColor="background1" w:sz="8" w:space="0"/>
          <w:right w:val="single" w:color="CAEACE" w:themeColor="background1" w:sz="24" w:space="0"/>
          <w:insideH w:val="nil"/>
          <w:insideV w:val="nil"/>
        </w:tcBorders>
        <w:shd w:val="clear" w:color="auto" w:fill="E54C5E" w:themeFill="accent6"/>
      </w:tcPr>
    </w:tblStylePr>
    <w:tblStylePr w:type="lastCol">
      <w:rPr>
        <w:b/>
        <w:bCs/>
        <w:i w:val="0"/>
        <w:iCs w:val="0"/>
        <w:color w:val="CAEACE" w:themeColor="background1"/>
        <w14:textFill>
          <w14:solidFill>
            <w14:schemeClr w14:val="bg1"/>
          </w14:solidFill>
        </w14:textFill>
      </w:rPr>
      <w:tblPr/>
      <w:tcPr>
        <w:tcBorders>
          <w:top w:val="nil"/>
          <w:left w:val="single" w:color="CAEACE" w:themeColor="background1" w:sz="24" w:space="0"/>
          <w:bottom w:val="nil"/>
          <w:right w:val="nil"/>
          <w:insideH w:val="nil"/>
          <w:insideV w:val="nil"/>
        </w:tcBorders>
        <w:shd w:val="clear" w:color="auto" w:fill="E54C5E" w:themeFill="accent6"/>
      </w:tcPr>
    </w:tblStylePr>
    <w:tblStylePr w:type="band1Vert">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nil"/>
          <w:insideV w:val="nil"/>
        </w:tcBorders>
        <w:shd w:val="clear" w:color="auto" w:fill="F2A5AE" w:themeFill="accent6" w:themeFillTint="7F"/>
      </w:tcPr>
    </w:tblStylePr>
    <w:tblStylePr w:type="band1Horz">
      <w:tblPr/>
      <w:tcPr>
        <w:tcBorders>
          <w:top w:val="single" w:color="CAEACE" w:themeColor="background1" w:sz="8" w:space="0"/>
          <w:left w:val="single" w:color="CAEACE" w:themeColor="background1" w:sz="8" w:space="0"/>
          <w:bottom w:val="single" w:color="CAEACE" w:themeColor="background1" w:sz="8" w:space="0"/>
          <w:right w:val="single" w:color="CAEACE" w:themeColor="background1" w:sz="8" w:space="0"/>
          <w:insideH w:val="single" w:sz="8" w:space="0"/>
          <w:insideV w:val="single" w:sz="8" w:space="0"/>
        </w:tcBorders>
        <w:shd w:val="clear" w:color="auto" w:fill="F2A5AE" w:themeFill="accent6" w:themeFillTint="7F"/>
      </w:tcPr>
    </w:tblStylePr>
  </w:style>
  <w:style w:type="table" w:styleId="203">
    <w:name w:val="Dark List"/>
    <w:basedOn w:val="88"/>
    <w:semiHidden/>
    <w:unhideWhenUsed/>
    <w:qFormat/>
    <w:uiPriority w:val="70"/>
    <w:rPr>
      <w:color w:val="CAEACE"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CAEACE" w:themeColor="background1" w:sz="18" w:space="0"/>
          <w:right w:val="nil"/>
          <w:insideH w:val="nil"/>
          <w:insideV w:val="nil"/>
        </w:tcBorders>
        <w:shd w:val="clear" w:color="auto" w:fill="000000" w:themeFill="text1"/>
      </w:tcPr>
    </w:tblStylePr>
    <w:tblStylePr w:type="lastRow">
      <w:tblPr/>
      <w:tcPr>
        <w:tcBorders>
          <w:top w:val="single" w:color="CAEACE"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CAEACE" w:themeColor="background1" w:sz="18" w:space="0"/>
          <w:insideH w:val="nil"/>
          <w:insideV w:val="nil"/>
        </w:tcBorders>
        <w:shd w:val="clear" w:color="auto" w:fill="000000" w:themeFill="text1" w:themeFillShade="BF"/>
      </w:tcPr>
    </w:tblStylePr>
    <w:tblStylePr w:type="lastCol">
      <w:tblPr/>
      <w:tcPr>
        <w:tcBorders>
          <w:top w:val="nil"/>
          <w:left w:val="single" w:color="CAEACE"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CAEACE" w:themeColor="background1"/>
      <w14:textFill>
        <w14:solidFill>
          <w14:schemeClr w14:val="bg1"/>
        </w14:solidFill>
      </w14:textFill>
    </w:rPr>
    <w:tblPr>
      <w:tblCellMar>
        <w:top w:w="0" w:type="dxa"/>
        <w:left w:w="108" w:type="dxa"/>
        <w:bottom w:w="0" w:type="dxa"/>
        <w:right w:w="108" w:type="dxa"/>
      </w:tblCellMar>
    </w:tblPr>
    <w:tcPr>
      <w:shd w:val="clear" w:color="auto" w:fill="4874CB" w:themeFill="accent1"/>
    </w:tcPr>
    <w:tblStylePr w:type="firstRow">
      <w:rPr>
        <w:b/>
        <w:bCs/>
      </w:rPr>
      <w:tblPr/>
      <w:tcPr>
        <w:tcBorders>
          <w:top w:val="nil"/>
          <w:left w:val="nil"/>
          <w:bottom w:val="single" w:color="CAEACE" w:themeColor="background1" w:sz="18" w:space="0"/>
          <w:right w:val="nil"/>
          <w:insideH w:val="nil"/>
          <w:insideV w:val="nil"/>
        </w:tcBorders>
        <w:shd w:val="clear" w:color="auto" w:fill="000000" w:themeFill="text1"/>
      </w:tcPr>
    </w:tblStylePr>
    <w:tblStylePr w:type="lastRow">
      <w:tblPr/>
      <w:tcPr>
        <w:tcBorders>
          <w:top w:val="single" w:color="CAEACE" w:themeColor="background1" w:sz="18" w:space="0"/>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color="CAEACE" w:themeColor="background1" w:sz="18" w:space="0"/>
          <w:insideH w:val="nil"/>
          <w:insideV w:val="nil"/>
        </w:tcBorders>
        <w:shd w:val="clear" w:color="auto" w:fill="2D54A0" w:themeFill="accent1" w:themeFillShade="BF"/>
      </w:tcPr>
    </w:tblStylePr>
    <w:tblStylePr w:type="lastCol">
      <w:tblPr/>
      <w:tcPr>
        <w:tcBorders>
          <w:top w:val="nil"/>
          <w:left w:val="single" w:color="CAEACE" w:themeColor="background1" w:sz="18" w:space="0"/>
          <w:bottom w:val="nil"/>
          <w:right w:val="nil"/>
          <w:insideH w:val="nil"/>
          <w:insideV w:val="nil"/>
        </w:tcBorders>
        <w:shd w:val="clear" w:color="auto" w:fill="2D54A0" w:themeFill="accent1" w:themeFillShade="BF"/>
      </w:tcPr>
    </w:tblStylePr>
    <w:tblStylePr w:type="band1Vert">
      <w:tblPr/>
      <w:tcPr>
        <w:tcBorders>
          <w:top w:val="nil"/>
          <w:left w:val="nil"/>
          <w:bottom w:val="nil"/>
          <w:right w:val="nil"/>
          <w:insideH w:val="nil"/>
          <w:insideV w:val="nil"/>
        </w:tcBorders>
        <w:shd w:val="clear" w:color="auto" w:fill="2D54A0" w:themeFill="accent1" w:themeFillShade="BF"/>
      </w:tcPr>
    </w:tblStylePr>
    <w:tblStylePr w:type="band1Horz">
      <w:tblPr/>
      <w:tcPr>
        <w:tcBorders>
          <w:top w:val="nil"/>
          <w:left w:val="nil"/>
          <w:bottom w:val="nil"/>
          <w:right w:val="nil"/>
          <w:insideH w:val="nil"/>
          <w:insideV w:val="nil"/>
        </w:tcBorders>
        <w:shd w:val="clear" w:color="auto" w:fill="2D54A0" w:themeFill="accent1" w:themeFillShade="BF"/>
      </w:tcPr>
    </w:tblStylePr>
  </w:style>
  <w:style w:type="table" w:styleId="205">
    <w:name w:val="Dark List Accent 2"/>
    <w:basedOn w:val="88"/>
    <w:semiHidden/>
    <w:unhideWhenUsed/>
    <w:qFormat/>
    <w:uiPriority w:val="70"/>
    <w:rPr>
      <w:color w:val="CAEACE" w:themeColor="background1"/>
      <w14:textFill>
        <w14:solidFill>
          <w14:schemeClr w14:val="bg1"/>
        </w14:solidFill>
      </w14:textFill>
    </w:rPr>
    <w:tblPr>
      <w:tblCellMar>
        <w:top w:w="0" w:type="dxa"/>
        <w:left w:w="108" w:type="dxa"/>
        <w:bottom w:w="0" w:type="dxa"/>
        <w:right w:w="108" w:type="dxa"/>
      </w:tblCellMar>
    </w:tblPr>
    <w:tcPr>
      <w:shd w:val="clear" w:color="auto" w:fill="EE822F" w:themeFill="accent2"/>
    </w:tcPr>
    <w:tblStylePr w:type="firstRow">
      <w:rPr>
        <w:b/>
        <w:bCs/>
      </w:rPr>
      <w:tblPr/>
      <w:tcPr>
        <w:tcBorders>
          <w:top w:val="nil"/>
          <w:left w:val="nil"/>
          <w:bottom w:val="single" w:color="CAEACE" w:themeColor="background1" w:sz="18" w:space="0"/>
          <w:right w:val="nil"/>
          <w:insideH w:val="nil"/>
          <w:insideV w:val="nil"/>
        </w:tcBorders>
        <w:shd w:val="clear" w:color="auto" w:fill="000000" w:themeFill="text1"/>
      </w:tcPr>
    </w:tblStylePr>
    <w:tblStylePr w:type="lastRow">
      <w:tblPr/>
      <w:tcPr>
        <w:tcBorders>
          <w:top w:val="single" w:color="CAEACE" w:themeColor="background1" w:sz="18" w:space="0"/>
          <w:left w:val="nil"/>
          <w:bottom w:val="nil"/>
          <w:right w:val="nil"/>
          <w:insideH w:val="nil"/>
          <w:insideV w:val="nil"/>
        </w:tcBorders>
        <w:shd w:val="clear" w:color="auto" w:fill="833F0A" w:themeFill="accent2" w:themeFillShade="7F"/>
      </w:tcPr>
    </w:tblStylePr>
    <w:tblStylePr w:type="firstCol">
      <w:tblPr/>
      <w:tcPr>
        <w:tcBorders>
          <w:top w:val="nil"/>
          <w:left w:val="nil"/>
          <w:bottom w:val="nil"/>
          <w:right w:val="single" w:color="CAEACE" w:themeColor="background1" w:sz="18" w:space="0"/>
          <w:insideH w:val="nil"/>
          <w:insideV w:val="nil"/>
        </w:tcBorders>
        <w:shd w:val="clear" w:color="auto" w:fill="C55E10" w:themeFill="accent2" w:themeFillShade="BF"/>
      </w:tcPr>
    </w:tblStylePr>
    <w:tblStylePr w:type="lastCol">
      <w:tblPr/>
      <w:tcPr>
        <w:tcBorders>
          <w:top w:val="nil"/>
          <w:left w:val="single" w:color="CAEACE" w:themeColor="background1" w:sz="18" w:space="0"/>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206">
    <w:name w:val="Dark List Accent 3"/>
    <w:basedOn w:val="88"/>
    <w:semiHidden/>
    <w:unhideWhenUsed/>
    <w:qFormat/>
    <w:uiPriority w:val="70"/>
    <w:rPr>
      <w:color w:val="CAEACE" w:themeColor="background1"/>
      <w14:textFill>
        <w14:solidFill>
          <w14:schemeClr w14:val="bg1"/>
        </w14:solidFill>
      </w14:textFill>
    </w:rPr>
    <w:tblPr>
      <w:tblCellMar>
        <w:top w:w="0" w:type="dxa"/>
        <w:left w:w="108" w:type="dxa"/>
        <w:bottom w:w="0" w:type="dxa"/>
        <w:right w:w="108" w:type="dxa"/>
      </w:tblCellMar>
    </w:tblPr>
    <w:tcPr>
      <w:shd w:val="clear" w:color="auto" w:fill="F2BA02" w:themeFill="accent3"/>
    </w:tcPr>
    <w:tblStylePr w:type="firstRow">
      <w:rPr>
        <w:b/>
        <w:bCs/>
      </w:rPr>
      <w:tblPr/>
      <w:tcPr>
        <w:tcBorders>
          <w:top w:val="nil"/>
          <w:left w:val="nil"/>
          <w:bottom w:val="single" w:color="CAEACE" w:themeColor="background1" w:sz="18" w:space="0"/>
          <w:right w:val="nil"/>
          <w:insideH w:val="nil"/>
          <w:insideV w:val="nil"/>
        </w:tcBorders>
        <w:shd w:val="clear" w:color="auto" w:fill="000000" w:themeFill="text1"/>
      </w:tcPr>
    </w:tblStylePr>
    <w:tblStylePr w:type="lastRow">
      <w:tblPr/>
      <w:tcPr>
        <w:tcBorders>
          <w:top w:val="single" w:color="CAEACE" w:themeColor="background1" w:sz="18" w:space="0"/>
          <w:left w:val="nil"/>
          <w:bottom w:val="nil"/>
          <w:right w:val="nil"/>
          <w:insideH w:val="nil"/>
          <w:insideV w:val="nil"/>
        </w:tcBorders>
        <w:shd w:val="clear" w:color="auto" w:fill="785C00" w:themeFill="accent3" w:themeFillShade="7F"/>
      </w:tcPr>
    </w:tblStylePr>
    <w:tblStylePr w:type="firstCol">
      <w:tblPr/>
      <w:tcPr>
        <w:tcBorders>
          <w:top w:val="nil"/>
          <w:left w:val="nil"/>
          <w:bottom w:val="nil"/>
          <w:right w:val="single" w:color="CAEACE" w:themeColor="background1" w:sz="18" w:space="0"/>
          <w:insideH w:val="nil"/>
          <w:insideV w:val="nil"/>
        </w:tcBorders>
        <w:shd w:val="clear" w:color="auto" w:fill="B58B01" w:themeFill="accent3" w:themeFillShade="BF"/>
      </w:tcPr>
    </w:tblStylePr>
    <w:tblStylePr w:type="lastCol">
      <w:tblPr/>
      <w:tcPr>
        <w:tcBorders>
          <w:top w:val="nil"/>
          <w:left w:val="single" w:color="CAEACE" w:themeColor="background1" w:sz="18" w:space="0"/>
          <w:bottom w:val="nil"/>
          <w:right w:val="nil"/>
          <w:insideH w:val="nil"/>
          <w:insideV w:val="nil"/>
        </w:tcBorders>
        <w:shd w:val="clear" w:color="auto" w:fill="B58B01" w:themeFill="accent3" w:themeFillShade="BF"/>
      </w:tcPr>
    </w:tblStylePr>
    <w:tblStylePr w:type="band1Vert">
      <w:tblPr/>
      <w:tcPr>
        <w:tcBorders>
          <w:top w:val="nil"/>
          <w:left w:val="nil"/>
          <w:bottom w:val="nil"/>
          <w:right w:val="nil"/>
          <w:insideH w:val="nil"/>
          <w:insideV w:val="nil"/>
        </w:tcBorders>
        <w:shd w:val="clear" w:color="auto" w:fill="B58B01" w:themeFill="accent3" w:themeFillShade="BF"/>
      </w:tcPr>
    </w:tblStylePr>
    <w:tblStylePr w:type="band1Horz">
      <w:tblPr/>
      <w:tcPr>
        <w:tcBorders>
          <w:top w:val="nil"/>
          <w:left w:val="nil"/>
          <w:bottom w:val="nil"/>
          <w:right w:val="nil"/>
          <w:insideH w:val="nil"/>
          <w:insideV w:val="nil"/>
        </w:tcBorders>
        <w:shd w:val="clear" w:color="auto" w:fill="B58B01" w:themeFill="accent3" w:themeFillShade="BF"/>
      </w:tcPr>
    </w:tblStylePr>
  </w:style>
  <w:style w:type="table" w:styleId="207">
    <w:name w:val="Dark List Accent 4"/>
    <w:basedOn w:val="88"/>
    <w:semiHidden/>
    <w:unhideWhenUsed/>
    <w:qFormat/>
    <w:uiPriority w:val="70"/>
    <w:rPr>
      <w:color w:val="CAEACE" w:themeColor="background1"/>
      <w14:textFill>
        <w14:solidFill>
          <w14:schemeClr w14:val="bg1"/>
        </w14:solidFill>
      </w14:textFill>
    </w:rPr>
    <w:tblPr>
      <w:tblCellMar>
        <w:top w:w="0" w:type="dxa"/>
        <w:left w:w="108" w:type="dxa"/>
        <w:bottom w:w="0" w:type="dxa"/>
        <w:right w:w="108" w:type="dxa"/>
      </w:tblCellMar>
    </w:tblPr>
    <w:tcPr>
      <w:shd w:val="clear" w:color="auto" w:fill="75BD42" w:themeFill="accent4"/>
    </w:tcPr>
    <w:tblStylePr w:type="firstRow">
      <w:rPr>
        <w:b/>
        <w:bCs/>
      </w:rPr>
      <w:tblPr/>
      <w:tcPr>
        <w:tcBorders>
          <w:top w:val="nil"/>
          <w:left w:val="nil"/>
          <w:bottom w:val="single" w:color="CAEACE" w:themeColor="background1" w:sz="18" w:space="0"/>
          <w:right w:val="nil"/>
          <w:insideH w:val="nil"/>
          <w:insideV w:val="nil"/>
        </w:tcBorders>
        <w:shd w:val="clear" w:color="auto" w:fill="000000" w:themeFill="text1"/>
      </w:tcPr>
    </w:tblStylePr>
    <w:tblStylePr w:type="lastRow">
      <w:tblPr/>
      <w:tcPr>
        <w:tcBorders>
          <w:top w:val="single" w:color="CAEACE" w:themeColor="background1" w:sz="18" w:space="0"/>
          <w:left w:val="nil"/>
          <w:bottom w:val="nil"/>
          <w:right w:val="nil"/>
          <w:insideH w:val="nil"/>
          <w:insideV w:val="nil"/>
        </w:tcBorders>
        <w:shd w:val="clear" w:color="auto" w:fill="3A5E20" w:themeFill="accent4" w:themeFillShade="7F"/>
      </w:tcPr>
    </w:tblStylePr>
    <w:tblStylePr w:type="firstCol">
      <w:tblPr/>
      <w:tcPr>
        <w:tcBorders>
          <w:top w:val="nil"/>
          <w:left w:val="nil"/>
          <w:bottom w:val="nil"/>
          <w:right w:val="single" w:color="CAEACE" w:themeColor="background1" w:sz="18" w:space="0"/>
          <w:insideH w:val="nil"/>
          <w:insideV w:val="nil"/>
        </w:tcBorders>
        <w:shd w:val="clear" w:color="auto" w:fill="578D31" w:themeFill="accent4" w:themeFillShade="BF"/>
      </w:tcPr>
    </w:tblStylePr>
    <w:tblStylePr w:type="lastCol">
      <w:tblPr/>
      <w:tcPr>
        <w:tcBorders>
          <w:top w:val="nil"/>
          <w:left w:val="single" w:color="CAEACE" w:themeColor="background1" w:sz="18" w:space="0"/>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208">
    <w:name w:val="Dark List Accent 5"/>
    <w:basedOn w:val="88"/>
    <w:semiHidden/>
    <w:unhideWhenUsed/>
    <w:qFormat/>
    <w:uiPriority w:val="70"/>
    <w:rPr>
      <w:color w:val="CAEACE" w:themeColor="background1"/>
      <w14:textFill>
        <w14:solidFill>
          <w14:schemeClr w14:val="bg1"/>
        </w14:solidFill>
      </w14:textFill>
    </w:rPr>
    <w:tblPr>
      <w:tblCellMar>
        <w:top w:w="0" w:type="dxa"/>
        <w:left w:w="108" w:type="dxa"/>
        <w:bottom w:w="0" w:type="dxa"/>
        <w:right w:w="108" w:type="dxa"/>
      </w:tblCellMar>
    </w:tblPr>
    <w:tcPr>
      <w:shd w:val="clear" w:color="auto" w:fill="30C0B4" w:themeFill="accent5"/>
    </w:tcPr>
    <w:tblStylePr w:type="firstRow">
      <w:rPr>
        <w:b/>
        <w:bCs/>
      </w:rPr>
      <w:tblPr/>
      <w:tcPr>
        <w:tcBorders>
          <w:top w:val="nil"/>
          <w:left w:val="nil"/>
          <w:bottom w:val="single" w:color="CAEACE" w:themeColor="background1" w:sz="18" w:space="0"/>
          <w:right w:val="nil"/>
          <w:insideH w:val="nil"/>
          <w:insideV w:val="nil"/>
        </w:tcBorders>
        <w:shd w:val="clear" w:color="auto" w:fill="000000" w:themeFill="text1"/>
      </w:tcPr>
    </w:tblStylePr>
    <w:tblStylePr w:type="lastRow">
      <w:tblPr/>
      <w:tcPr>
        <w:tcBorders>
          <w:top w:val="single" w:color="CAEACE" w:themeColor="background1" w:sz="18" w:space="0"/>
          <w:left w:val="nil"/>
          <w:bottom w:val="nil"/>
          <w:right w:val="nil"/>
          <w:insideH w:val="nil"/>
          <w:insideV w:val="nil"/>
        </w:tcBorders>
        <w:shd w:val="clear" w:color="auto" w:fill="175F59" w:themeFill="accent5" w:themeFillShade="7F"/>
      </w:tcPr>
    </w:tblStylePr>
    <w:tblStylePr w:type="firstCol">
      <w:tblPr/>
      <w:tcPr>
        <w:tcBorders>
          <w:top w:val="nil"/>
          <w:left w:val="nil"/>
          <w:bottom w:val="nil"/>
          <w:right w:val="single" w:color="CAEACE" w:themeColor="background1" w:sz="18" w:space="0"/>
          <w:insideH w:val="nil"/>
          <w:insideV w:val="nil"/>
        </w:tcBorders>
        <w:shd w:val="clear" w:color="auto" w:fill="238F86" w:themeFill="accent5" w:themeFillShade="BF"/>
      </w:tcPr>
    </w:tblStylePr>
    <w:tblStylePr w:type="lastCol">
      <w:tblPr/>
      <w:tcPr>
        <w:tcBorders>
          <w:top w:val="nil"/>
          <w:left w:val="single" w:color="CAEACE" w:themeColor="background1" w:sz="18" w:space="0"/>
          <w:bottom w:val="nil"/>
          <w:right w:val="nil"/>
          <w:insideH w:val="nil"/>
          <w:insideV w:val="nil"/>
        </w:tcBorders>
        <w:shd w:val="clear" w:color="auto" w:fill="238F86" w:themeFill="accent5" w:themeFillShade="BF"/>
      </w:tcPr>
    </w:tblStylePr>
    <w:tblStylePr w:type="band1Vert">
      <w:tblPr/>
      <w:tcPr>
        <w:tcBorders>
          <w:top w:val="nil"/>
          <w:left w:val="nil"/>
          <w:bottom w:val="nil"/>
          <w:right w:val="nil"/>
          <w:insideH w:val="nil"/>
          <w:insideV w:val="nil"/>
        </w:tcBorders>
        <w:shd w:val="clear" w:color="auto" w:fill="238F86" w:themeFill="accent5" w:themeFillShade="BF"/>
      </w:tcPr>
    </w:tblStylePr>
    <w:tblStylePr w:type="band1Horz">
      <w:tblPr/>
      <w:tcPr>
        <w:tcBorders>
          <w:top w:val="nil"/>
          <w:left w:val="nil"/>
          <w:bottom w:val="nil"/>
          <w:right w:val="nil"/>
          <w:insideH w:val="nil"/>
          <w:insideV w:val="nil"/>
        </w:tcBorders>
        <w:shd w:val="clear" w:color="auto" w:fill="238F86" w:themeFill="accent5" w:themeFillShade="BF"/>
      </w:tcPr>
    </w:tblStylePr>
  </w:style>
  <w:style w:type="table" w:styleId="209">
    <w:name w:val="Dark List Accent 6"/>
    <w:basedOn w:val="88"/>
    <w:semiHidden/>
    <w:unhideWhenUsed/>
    <w:qFormat/>
    <w:uiPriority w:val="70"/>
    <w:rPr>
      <w:color w:val="CAEACE" w:themeColor="background1"/>
      <w14:textFill>
        <w14:solidFill>
          <w14:schemeClr w14:val="bg1"/>
        </w14:solidFill>
      </w14:textFill>
    </w:rPr>
    <w:tblPr>
      <w:tblCellMar>
        <w:top w:w="0" w:type="dxa"/>
        <w:left w:w="108" w:type="dxa"/>
        <w:bottom w:w="0" w:type="dxa"/>
        <w:right w:w="108" w:type="dxa"/>
      </w:tblCellMar>
    </w:tblPr>
    <w:tcPr>
      <w:shd w:val="clear" w:color="auto" w:fill="E54C5E" w:themeFill="accent6"/>
    </w:tcPr>
    <w:tblStylePr w:type="firstRow">
      <w:rPr>
        <w:b/>
        <w:bCs/>
      </w:rPr>
      <w:tblPr/>
      <w:tcPr>
        <w:tcBorders>
          <w:top w:val="nil"/>
          <w:left w:val="nil"/>
          <w:bottom w:val="single" w:color="CAEACE" w:themeColor="background1" w:sz="18" w:space="0"/>
          <w:right w:val="nil"/>
          <w:insideH w:val="nil"/>
          <w:insideV w:val="nil"/>
        </w:tcBorders>
        <w:shd w:val="clear" w:color="auto" w:fill="000000" w:themeFill="text1"/>
      </w:tcPr>
    </w:tblStylePr>
    <w:tblStylePr w:type="lastRow">
      <w:tblPr/>
      <w:tcPr>
        <w:tcBorders>
          <w:top w:val="single" w:color="CAEACE" w:themeColor="background1" w:sz="18" w:space="0"/>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color="CAEACE" w:themeColor="background1" w:sz="18" w:space="0"/>
          <w:insideH w:val="nil"/>
          <w:insideV w:val="nil"/>
        </w:tcBorders>
        <w:shd w:val="clear" w:color="auto" w:fill="C71C31" w:themeFill="accent6" w:themeFillShade="BF"/>
      </w:tcPr>
    </w:tblStylePr>
    <w:tblStylePr w:type="lastCol">
      <w:tblPr/>
      <w:tcPr>
        <w:tcBorders>
          <w:top w:val="nil"/>
          <w:left w:val="single" w:color="CAEACE" w:themeColor="background1" w:sz="18" w:space="0"/>
          <w:bottom w:val="nil"/>
          <w:right w:val="nil"/>
          <w:insideH w:val="nil"/>
          <w:insideV w:val="nil"/>
        </w:tcBorders>
        <w:shd w:val="clear" w:color="auto" w:fill="C71C31" w:themeFill="accent6" w:themeFillShade="BF"/>
      </w:tcPr>
    </w:tblStylePr>
    <w:tblStylePr w:type="band1Vert">
      <w:tblPr/>
      <w:tcPr>
        <w:tcBorders>
          <w:top w:val="nil"/>
          <w:left w:val="nil"/>
          <w:bottom w:val="nil"/>
          <w:right w:val="nil"/>
          <w:insideH w:val="nil"/>
          <w:insideV w:val="nil"/>
        </w:tcBorders>
        <w:shd w:val="clear" w:color="auto" w:fill="C71C31" w:themeFill="accent6" w:themeFillShade="BF"/>
      </w:tcPr>
    </w:tblStylePr>
    <w:tblStylePr w:type="band1Horz">
      <w:tblPr/>
      <w:tcPr>
        <w:tcBorders>
          <w:top w:val="nil"/>
          <w:left w:val="nil"/>
          <w:bottom w:val="nil"/>
          <w:right w:val="nil"/>
          <w:insideH w:val="nil"/>
          <w:insideV w:val="nil"/>
        </w:tcBorders>
        <w:shd w:val="clear" w:color="auto" w:fill="C71C31"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E822F" w:themeColor="accent2" w:sz="24" w:space="0"/>
        <w:left w:val="single" w:color="000000" w:themeColor="text1" w:sz="4" w:space="0"/>
        <w:bottom w:val="single" w:color="000000" w:themeColor="text1" w:sz="4" w:space="0"/>
        <w:right w:val="single" w:color="000000" w:themeColor="text1"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E822F" w:themeColor="accent2" w:sz="24" w:space="0"/>
          <w:right w:val="nil"/>
          <w:insideH w:val="nil"/>
          <w:insideV w:val="nil"/>
        </w:tcBorders>
        <w:shd w:val="clear" w:color="auto" w:fill="CAEACE" w:themeFill="background1"/>
      </w:tcPr>
    </w:tblStylePr>
    <w:tblStylePr w:type="lastRow">
      <w:rPr>
        <w:b/>
        <w:bCs/>
        <w:color w:val="CAEACE" w:themeColor="background1"/>
        <w14:textFill>
          <w14:solidFill>
            <w14:schemeClr w14:val="bg1"/>
          </w14:solidFill>
        </w14:textFill>
      </w:rPr>
      <w:tblPr/>
      <w:tcPr>
        <w:tcBorders>
          <w:top w:val="single" w:color="CAEACE" w:themeColor="background1" w:sz="6" w:space="0"/>
        </w:tcBorders>
        <w:shd w:val="clear" w:color="auto" w:fill="000000" w:themeFill="text1" w:themeFillShade="99"/>
      </w:tcPr>
    </w:tblStylePr>
    <w:tblStylePr w:type="firstCol">
      <w:rPr>
        <w:color w:val="CAEACE"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CAEACE"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E822F" w:themeColor="accent2" w:sz="24" w:space="0"/>
        <w:left w:val="single" w:color="4874CB" w:themeColor="accent1" w:sz="4" w:space="0"/>
        <w:bottom w:val="single" w:color="4874CB" w:themeColor="accent1" w:sz="4" w:space="0"/>
        <w:right w:val="single" w:color="4874CB" w:themeColor="accent1"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EDF1F9" w:themeFill="accent1" w:themeFillTint="19"/>
    </w:tcPr>
    <w:tblStylePr w:type="firstRow">
      <w:rPr>
        <w:b/>
        <w:bCs/>
      </w:rPr>
      <w:tblPr/>
      <w:tcPr>
        <w:tcBorders>
          <w:top w:val="nil"/>
          <w:left w:val="nil"/>
          <w:bottom w:val="single" w:color="EE822F" w:themeColor="accent2" w:sz="24" w:space="0"/>
          <w:right w:val="nil"/>
          <w:insideH w:val="nil"/>
          <w:insideV w:val="nil"/>
        </w:tcBorders>
        <w:shd w:val="clear" w:color="auto" w:fill="CAEACE" w:themeFill="background1"/>
      </w:tcPr>
    </w:tblStylePr>
    <w:tblStylePr w:type="lastRow">
      <w:rPr>
        <w:b/>
        <w:bCs/>
        <w:color w:val="CAEACE" w:themeColor="background1"/>
        <w14:textFill>
          <w14:solidFill>
            <w14:schemeClr w14:val="bg1"/>
          </w14:solidFill>
        </w14:textFill>
      </w:rPr>
      <w:tblPr/>
      <w:tcPr>
        <w:tcBorders>
          <w:top w:val="single" w:color="CAEACE" w:themeColor="background1" w:sz="6" w:space="0"/>
        </w:tcBorders>
        <w:shd w:val="clear" w:color="auto" w:fill="244380" w:themeFill="accent1" w:themeFillShade="99"/>
      </w:tcPr>
    </w:tblStylePr>
    <w:tblStylePr w:type="firstCol">
      <w:rPr>
        <w:color w:val="CAEACE" w:themeColor="background1"/>
        <w14:textFill>
          <w14:solidFill>
            <w14:schemeClr w14:val="bg1"/>
          </w14:solidFill>
        </w14:textFill>
      </w:rPr>
      <w:tblPr/>
      <w:tcPr>
        <w:tcBorders>
          <w:top w:val="nil"/>
          <w:left w:val="nil"/>
          <w:bottom w:val="nil"/>
          <w:right w:val="nil"/>
          <w:insideH w:val="single" w:sz="4" w:space="0"/>
          <w:insideV w:val="nil"/>
        </w:tcBorders>
        <w:shd w:val="clear" w:color="auto" w:fill="244380" w:themeFill="accent1" w:themeFillShade="99"/>
      </w:tcPr>
    </w:tblStylePr>
    <w:tblStylePr w:type="lastCol">
      <w:rPr>
        <w:color w:val="CAEACE" w:themeColor="background1"/>
        <w14:textFill>
          <w14:solidFill>
            <w14:schemeClr w14:val="bg1"/>
          </w14:solidFill>
        </w14:textFill>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E822F" w:themeColor="accent2" w:sz="24" w:space="0"/>
        <w:left w:val="single" w:color="EE822F" w:themeColor="accent2" w:sz="4" w:space="0"/>
        <w:bottom w:val="single" w:color="EE822F" w:themeColor="accent2" w:sz="4" w:space="0"/>
        <w:right w:val="single" w:color="EE822F" w:themeColor="accent2"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E822F" w:themeColor="accent2" w:sz="24" w:space="0"/>
          <w:right w:val="nil"/>
          <w:insideH w:val="nil"/>
          <w:insideV w:val="nil"/>
        </w:tcBorders>
        <w:shd w:val="clear" w:color="auto" w:fill="CAEACE" w:themeFill="background1"/>
      </w:tcPr>
    </w:tblStylePr>
    <w:tblStylePr w:type="lastRow">
      <w:rPr>
        <w:b/>
        <w:bCs/>
        <w:color w:val="CAEACE" w:themeColor="background1"/>
        <w14:textFill>
          <w14:solidFill>
            <w14:schemeClr w14:val="bg1"/>
          </w14:solidFill>
        </w14:textFill>
      </w:rPr>
      <w:tblPr/>
      <w:tcPr>
        <w:tcBorders>
          <w:top w:val="single" w:color="CAEACE" w:themeColor="background1" w:sz="6" w:space="0"/>
        </w:tcBorders>
        <w:shd w:val="clear" w:color="auto" w:fill="9E4B0C" w:themeFill="accent2" w:themeFillShade="99"/>
      </w:tcPr>
    </w:tblStylePr>
    <w:tblStylePr w:type="firstCol">
      <w:rPr>
        <w:color w:val="CAEACE" w:themeColor="background1"/>
        <w14:textFill>
          <w14:solidFill>
            <w14:schemeClr w14:val="bg1"/>
          </w14:solidFill>
        </w14:textFill>
      </w:rPr>
      <w:tblPr/>
      <w:tcPr>
        <w:tcBorders>
          <w:top w:val="nil"/>
          <w:left w:val="nil"/>
          <w:bottom w:val="nil"/>
          <w:right w:val="nil"/>
          <w:insideH w:val="single" w:sz="4" w:space="0"/>
          <w:insideV w:val="nil"/>
        </w:tcBorders>
        <w:shd w:val="clear" w:color="auto" w:fill="9E4B0C" w:themeFill="accent2" w:themeFillShade="99"/>
      </w:tcPr>
    </w:tblStylePr>
    <w:tblStylePr w:type="lastCol">
      <w:rPr>
        <w:color w:val="CAEACE" w:themeColor="background1"/>
        <w14:textFill>
          <w14:solidFill>
            <w14:schemeClr w14:val="bg1"/>
          </w14:solidFill>
        </w14:textFill>
      </w:rPr>
      <w:tblPr/>
      <w:tcPr>
        <w:tcBorders>
          <w:top w:val="nil"/>
          <w:left w:val="nil"/>
          <w:bottom w:val="nil"/>
          <w:right w:val="nil"/>
          <w:insideH w:val="nil"/>
          <w:insideV w:val="nil"/>
        </w:tcBorders>
        <w:shd w:val="clear" w:color="auto" w:fill="9E4B0C"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75BD42" w:themeColor="accent4" w:sz="24" w:space="0"/>
        <w:left w:val="single" w:color="F2BA02" w:themeColor="accent3" w:sz="4" w:space="0"/>
        <w:bottom w:val="single" w:color="F2BA02" w:themeColor="accent3" w:sz="4" w:space="0"/>
        <w:right w:val="single" w:color="F2BA02" w:themeColor="accent3"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FEF8E5" w:themeFill="accent3" w:themeFillTint="19"/>
    </w:tcPr>
    <w:tblStylePr w:type="firstRow">
      <w:rPr>
        <w:b/>
        <w:bCs/>
      </w:rPr>
      <w:tblPr/>
      <w:tcPr>
        <w:tcBorders>
          <w:top w:val="nil"/>
          <w:left w:val="nil"/>
          <w:bottom w:val="single" w:color="75BD42" w:themeColor="accent4" w:sz="24" w:space="0"/>
          <w:right w:val="nil"/>
          <w:insideH w:val="nil"/>
          <w:insideV w:val="nil"/>
        </w:tcBorders>
        <w:shd w:val="clear" w:color="auto" w:fill="CAEACE" w:themeFill="background1"/>
      </w:tcPr>
    </w:tblStylePr>
    <w:tblStylePr w:type="lastRow">
      <w:rPr>
        <w:b/>
        <w:bCs/>
        <w:color w:val="CAEACE" w:themeColor="background1"/>
        <w14:textFill>
          <w14:solidFill>
            <w14:schemeClr w14:val="bg1"/>
          </w14:solidFill>
        </w14:textFill>
      </w:rPr>
      <w:tblPr/>
      <w:tcPr>
        <w:tcBorders>
          <w:top w:val="single" w:color="CAEACE" w:themeColor="background1" w:sz="6" w:space="0"/>
        </w:tcBorders>
        <w:shd w:val="clear" w:color="auto" w:fill="916F01" w:themeFill="accent3" w:themeFillShade="99"/>
      </w:tcPr>
    </w:tblStylePr>
    <w:tblStylePr w:type="firstCol">
      <w:rPr>
        <w:color w:val="CAEACE" w:themeColor="background1"/>
        <w14:textFill>
          <w14:solidFill>
            <w14:schemeClr w14:val="bg1"/>
          </w14:solidFill>
        </w14:textFill>
      </w:rPr>
      <w:tblPr/>
      <w:tcPr>
        <w:tcBorders>
          <w:top w:val="nil"/>
          <w:left w:val="nil"/>
          <w:bottom w:val="nil"/>
          <w:right w:val="nil"/>
          <w:insideH w:val="single" w:sz="4" w:space="0"/>
          <w:insideV w:val="nil"/>
        </w:tcBorders>
        <w:shd w:val="clear" w:color="auto" w:fill="916F01" w:themeFill="accent3" w:themeFillShade="99"/>
      </w:tcPr>
    </w:tblStylePr>
    <w:tblStylePr w:type="lastCol">
      <w:rPr>
        <w:color w:val="CAEACE" w:themeColor="background1"/>
        <w14:textFill>
          <w14:solidFill>
            <w14:schemeClr w14:val="bg1"/>
          </w14:solidFill>
        </w14:textFill>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DDF7B"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F2BA02" w:themeColor="accent3" w:sz="24" w:space="0"/>
        <w:left w:val="single" w:color="75BD42" w:themeColor="accent4" w:sz="4" w:space="0"/>
        <w:bottom w:val="single" w:color="75BD42" w:themeColor="accent4" w:sz="4" w:space="0"/>
        <w:right w:val="single" w:color="75BD42" w:themeColor="accent4"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F1F8EC" w:themeFill="accent4" w:themeFillTint="19"/>
    </w:tcPr>
    <w:tblStylePr w:type="firstRow">
      <w:rPr>
        <w:b/>
        <w:bCs/>
      </w:rPr>
      <w:tblPr/>
      <w:tcPr>
        <w:tcBorders>
          <w:top w:val="nil"/>
          <w:left w:val="nil"/>
          <w:bottom w:val="single" w:color="F2BA02" w:themeColor="accent3" w:sz="24" w:space="0"/>
          <w:right w:val="nil"/>
          <w:insideH w:val="nil"/>
          <w:insideV w:val="nil"/>
        </w:tcBorders>
        <w:shd w:val="clear" w:color="auto" w:fill="CAEACE" w:themeFill="background1"/>
      </w:tcPr>
    </w:tblStylePr>
    <w:tblStylePr w:type="lastRow">
      <w:rPr>
        <w:b/>
        <w:bCs/>
        <w:color w:val="CAEACE" w:themeColor="background1"/>
        <w14:textFill>
          <w14:solidFill>
            <w14:schemeClr w14:val="bg1"/>
          </w14:solidFill>
        </w14:textFill>
      </w:rPr>
      <w:tblPr/>
      <w:tcPr>
        <w:tcBorders>
          <w:top w:val="single" w:color="CAEACE" w:themeColor="background1" w:sz="6" w:space="0"/>
        </w:tcBorders>
        <w:shd w:val="clear" w:color="auto" w:fill="467127" w:themeFill="accent4" w:themeFillShade="99"/>
      </w:tcPr>
    </w:tblStylePr>
    <w:tblStylePr w:type="firstCol">
      <w:rPr>
        <w:color w:val="CAEACE" w:themeColor="background1"/>
        <w14:textFill>
          <w14:solidFill>
            <w14:schemeClr w14:val="bg1"/>
          </w14:solidFill>
        </w14:textFill>
      </w:rPr>
      <w:tblPr/>
      <w:tcPr>
        <w:tcBorders>
          <w:top w:val="nil"/>
          <w:left w:val="nil"/>
          <w:bottom w:val="nil"/>
          <w:right w:val="nil"/>
          <w:insideH w:val="single" w:sz="4" w:space="0"/>
          <w:insideV w:val="nil"/>
        </w:tcBorders>
        <w:shd w:val="clear" w:color="auto" w:fill="467127" w:themeFill="accent4" w:themeFillShade="99"/>
      </w:tcPr>
    </w:tblStylePr>
    <w:tblStylePr w:type="lastCol">
      <w:rPr>
        <w:color w:val="CAEACE" w:themeColor="background1"/>
        <w14:textFill>
          <w14:solidFill>
            <w14:schemeClr w14:val="bg1"/>
          </w14:solidFill>
        </w14:textFill>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E54C5E" w:themeColor="accent6" w:sz="24" w:space="0"/>
        <w:left w:val="single" w:color="30C0B4" w:themeColor="accent5" w:sz="4" w:space="0"/>
        <w:bottom w:val="single" w:color="30C0B4" w:themeColor="accent5" w:sz="4" w:space="0"/>
        <w:right w:val="single" w:color="30C0B4" w:themeColor="accent5"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E9F9F8" w:themeFill="accent5" w:themeFillTint="19"/>
    </w:tcPr>
    <w:tblStylePr w:type="firstRow">
      <w:rPr>
        <w:b/>
        <w:bCs/>
      </w:rPr>
      <w:tblPr/>
      <w:tcPr>
        <w:tcBorders>
          <w:top w:val="nil"/>
          <w:left w:val="nil"/>
          <w:bottom w:val="single" w:color="E54C5E" w:themeColor="accent6" w:sz="24" w:space="0"/>
          <w:right w:val="nil"/>
          <w:insideH w:val="nil"/>
          <w:insideV w:val="nil"/>
        </w:tcBorders>
        <w:shd w:val="clear" w:color="auto" w:fill="CAEACE" w:themeFill="background1"/>
      </w:tcPr>
    </w:tblStylePr>
    <w:tblStylePr w:type="lastRow">
      <w:rPr>
        <w:b/>
        <w:bCs/>
        <w:color w:val="CAEACE" w:themeColor="background1"/>
        <w14:textFill>
          <w14:solidFill>
            <w14:schemeClr w14:val="bg1"/>
          </w14:solidFill>
        </w14:textFill>
      </w:rPr>
      <w:tblPr/>
      <w:tcPr>
        <w:tcBorders>
          <w:top w:val="single" w:color="CAEACE" w:themeColor="background1" w:sz="6" w:space="0"/>
        </w:tcBorders>
        <w:shd w:val="clear" w:color="auto" w:fill="1C736B" w:themeFill="accent5" w:themeFillShade="99"/>
      </w:tcPr>
    </w:tblStylePr>
    <w:tblStylePr w:type="firstCol">
      <w:rPr>
        <w:color w:val="CAEACE" w:themeColor="background1"/>
        <w14:textFill>
          <w14:solidFill>
            <w14:schemeClr w14:val="bg1"/>
          </w14:solidFill>
        </w14:textFill>
      </w:rPr>
      <w:tblPr/>
      <w:tcPr>
        <w:tcBorders>
          <w:top w:val="nil"/>
          <w:left w:val="nil"/>
          <w:bottom w:val="nil"/>
          <w:right w:val="nil"/>
          <w:insideH w:val="single" w:sz="4" w:space="0"/>
          <w:insideV w:val="nil"/>
        </w:tcBorders>
        <w:shd w:val="clear" w:color="auto" w:fill="1C736B" w:themeFill="accent5" w:themeFillShade="99"/>
      </w:tcPr>
    </w:tblStylePr>
    <w:tblStylePr w:type="lastCol">
      <w:rPr>
        <w:color w:val="CAEACE" w:themeColor="background1"/>
        <w14:textFill>
          <w14:solidFill>
            <w14:schemeClr w14:val="bg1"/>
          </w14:solidFill>
        </w14:textFill>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30C0B4" w:themeColor="accent5" w:sz="24" w:space="0"/>
        <w:left w:val="single" w:color="E54C5E" w:themeColor="accent6" w:sz="4" w:space="0"/>
        <w:bottom w:val="single" w:color="E54C5E" w:themeColor="accent6" w:sz="4" w:space="0"/>
        <w:right w:val="single" w:color="E54C5E" w:themeColor="accent6"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FCEDEF" w:themeFill="accent6" w:themeFillTint="19"/>
    </w:tcPr>
    <w:tblStylePr w:type="firstRow">
      <w:rPr>
        <w:b/>
        <w:bCs/>
      </w:rPr>
      <w:tblPr/>
      <w:tcPr>
        <w:tcBorders>
          <w:top w:val="nil"/>
          <w:left w:val="nil"/>
          <w:bottom w:val="single" w:color="30C0B4" w:themeColor="accent5" w:sz="24" w:space="0"/>
          <w:right w:val="nil"/>
          <w:insideH w:val="nil"/>
          <w:insideV w:val="nil"/>
        </w:tcBorders>
        <w:shd w:val="clear" w:color="auto" w:fill="CAEACE" w:themeFill="background1"/>
      </w:tcPr>
    </w:tblStylePr>
    <w:tblStylePr w:type="lastRow">
      <w:rPr>
        <w:b/>
        <w:bCs/>
        <w:color w:val="CAEACE" w:themeColor="background1"/>
        <w14:textFill>
          <w14:solidFill>
            <w14:schemeClr w14:val="bg1"/>
          </w14:solidFill>
        </w14:textFill>
      </w:rPr>
      <w:tblPr/>
      <w:tcPr>
        <w:tcBorders>
          <w:top w:val="single" w:color="CAEACE" w:themeColor="background1" w:sz="6" w:space="0"/>
        </w:tcBorders>
        <w:shd w:val="clear" w:color="auto" w:fill="9F1727" w:themeFill="accent6" w:themeFillShade="99"/>
      </w:tcPr>
    </w:tblStylePr>
    <w:tblStylePr w:type="firstCol">
      <w:rPr>
        <w:color w:val="CAEACE" w:themeColor="background1"/>
        <w14:textFill>
          <w14:solidFill>
            <w14:schemeClr w14:val="bg1"/>
          </w14:solidFill>
        </w14:textFill>
      </w:rPr>
      <w:tblPr/>
      <w:tcPr>
        <w:tcBorders>
          <w:top w:val="nil"/>
          <w:left w:val="nil"/>
          <w:bottom w:val="nil"/>
          <w:right w:val="nil"/>
          <w:insideH w:val="single" w:sz="4" w:space="0"/>
          <w:insideV w:val="nil"/>
        </w:tcBorders>
        <w:shd w:val="clear" w:color="auto" w:fill="9F1727" w:themeFill="accent6" w:themeFillShade="99"/>
      </w:tcPr>
    </w:tblStylePr>
    <w:tblStylePr w:type="lastCol">
      <w:rPr>
        <w:color w:val="CAEACE" w:themeColor="background1"/>
        <w14:textFill>
          <w14:solidFill>
            <w14:schemeClr w14:val="bg1"/>
          </w14:solidFill>
        </w14:textFill>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CAEACE" w:themeColor="background1"/>
        <w14:textFill>
          <w14:solidFill>
            <w14:schemeClr w14:val="bg1"/>
          </w14:solidFill>
        </w14:textFill>
      </w:rPr>
      <w:tblPr/>
      <w:tcPr>
        <w:tcBorders>
          <w:bottom w:val="single" w:color="CAEACE"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CAEACE"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1F9" w:themeFill="accent1" w:themeFillTint="19"/>
    </w:tcPr>
    <w:tblStylePr w:type="firstRow">
      <w:rPr>
        <w:b/>
        <w:bCs/>
        <w:color w:val="CAEACE" w:themeColor="background1"/>
        <w14:textFill>
          <w14:solidFill>
            <w14:schemeClr w14:val="bg1"/>
          </w14:solidFill>
        </w14:textFill>
      </w:rPr>
      <w:tblPr/>
      <w:tcPr>
        <w:tcBorders>
          <w:bottom w:val="single" w:color="CAEACE"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CAEACE"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CAEACE" w:themeColor="background1"/>
        <w14:textFill>
          <w14:solidFill>
            <w14:schemeClr w14:val="bg1"/>
          </w14:solidFill>
        </w14:textFill>
      </w:rPr>
      <w:tblPr/>
      <w:tcPr>
        <w:tcBorders>
          <w:bottom w:val="single" w:color="CAEACE"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CAEACE"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CB" w:themeFill="accent2" w:themeFillTint="3F"/>
      </w:tcPr>
    </w:tblStylePr>
    <w:tblStylePr w:type="band1Horz">
      <w:tblPr/>
      <w:tcPr>
        <w:shd w:val="clear" w:color="auto" w:fill="FBE5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EF8E5" w:themeFill="accent3" w:themeFillTint="19"/>
    </w:tcPr>
    <w:tblStylePr w:type="firstRow">
      <w:rPr>
        <w:b/>
        <w:bCs/>
        <w:color w:val="CAEACE" w:themeColor="background1"/>
        <w14:textFill>
          <w14:solidFill>
            <w14:schemeClr w14:val="bg1"/>
          </w14:solidFill>
        </w14:textFill>
      </w:rPr>
      <w:tblPr/>
      <w:tcPr>
        <w:tcBorders>
          <w:bottom w:val="single" w:color="CAEACE" w:themeColor="background1" w:sz="12" w:space="0"/>
        </w:tcBorders>
        <w:shd w:val="clear" w:color="auto" w:fill="5D9734" w:themeFill="accent4" w:themeFillShade="CC"/>
      </w:tcPr>
    </w:tblStylePr>
    <w:tblStylePr w:type="lastRow">
      <w:rPr>
        <w:b/>
        <w:bCs/>
        <w:color w:val="5E9735" w:themeColor="accent4" w:themeShade="CC"/>
      </w:rPr>
      <w:tblPr/>
      <w:tcPr>
        <w:tcBorders>
          <w:top w:val="single" w:color="000000" w:themeColor="text1" w:sz="12" w:space="0"/>
        </w:tcBorders>
        <w:shd w:val="clear" w:color="auto" w:fill="CAEACE"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1F8EC" w:themeFill="accent4" w:themeFillTint="19"/>
    </w:tcPr>
    <w:tblStylePr w:type="firstRow">
      <w:rPr>
        <w:b/>
        <w:bCs/>
        <w:color w:val="CAEACE" w:themeColor="background1"/>
        <w14:textFill>
          <w14:solidFill>
            <w14:schemeClr w14:val="bg1"/>
          </w14:solidFill>
        </w14:textFill>
      </w:rPr>
      <w:tblPr/>
      <w:tcPr>
        <w:tcBorders>
          <w:bottom w:val="single" w:color="CAEACE" w:themeColor="background1" w:sz="12" w:space="0"/>
        </w:tcBorders>
        <w:shd w:val="clear" w:color="auto" w:fill="C19401" w:themeFill="accent3" w:themeFillShade="CC"/>
      </w:tcPr>
    </w:tblStylePr>
    <w:tblStylePr w:type="lastRow">
      <w:rPr>
        <w:b/>
        <w:bCs/>
        <w:color w:val="C29502" w:themeColor="accent3" w:themeShade="CC"/>
      </w:rPr>
      <w:tblPr/>
      <w:tcPr>
        <w:tcBorders>
          <w:top w:val="single" w:color="000000" w:themeColor="text1" w:sz="12" w:space="0"/>
        </w:tcBorders>
        <w:shd w:val="clear" w:color="auto" w:fill="CAEACE"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9F9F8" w:themeFill="accent5" w:themeFillTint="19"/>
    </w:tcPr>
    <w:tblStylePr w:type="firstRow">
      <w:rPr>
        <w:b/>
        <w:bCs/>
        <w:color w:val="CAEACE" w:themeColor="background1"/>
        <w14:textFill>
          <w14:solidFill>
            <w14:schemeClr w14:val="bg1"/>
          </w14:solidFill>
        </w14:textFill>
      </w:rPr>
      <w:tblPr/>
      <w:tcPr>
        <w:tcBorders>
          <w:bottom w:val="single" w:color="CAEACE" w:themeColor="background1" w:sz="12" w:space="0"/>
        </w:tcBorders>
        <w:shd w:val="clear" w:color="auto" w:fill="D51E34" w:themeFill="accent6" w:themeFillShade="CC"/>
      </w:tcPr>
    </w:tblStylePr>
    <w:tblStylePr w:type="lastRow">
      <w:rPr>
        <w:b/>
        <w:bCs/>
        <w:color w:val="D51F34" w:themeColor="accent6" w:themeShade="CC"/>
      </w:rPr>
      <w:tblPr/>
      <w:tcPr>
        <w:tcBorders>
          <w:top w:val="single" w:color="000000" w:themeColor="text1" w:sz="12" w:space="0"/>
        </w:tcBorders>
        <w:shd w:val="clear" w:color="auto" w:fill="CAEACE"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CEDEF" w:themeFill="accent6" w:themeFillTint="19"/>
    </w:tcPr>
    <w:tblStylePr w:type="firstRow">
      <w:rPr>
        <w:b/>
        <w:bCs/>
        <w:color w:val="CAEACE" w:themeColor="background1"/>
        <w14:textFill>
          <w14:solidFill>
            <w14:schemeClr w14:val="bg1"/>
          </w14:solidFill>
        </w14:textFill>
      </w:rPr>
      <w:tblPr/>
      <w:tcPr>
        <w:tcBorders>
          <w:bottom w:val="single" w:color="CAEACE" w:themeColor="background1" w:sz="12" w:space="0"/>
        </w:tcBorders>
        <w:shd w:val="clear" w:color="auto" w:fill="26998F" w:themeFill="accent5" w:themeFillShade="CC"/>
      </w:tcPr>
    </w:tblStylePr>
    <w:tblStylePr w:type="lastRow">
      <w:rPr>
        <w:b/>
        <w:bCs/>
        <w:color w:val="269A90" w:themeColor="accent5" w:themeShade="CC"/>
      </w:rPr>
      <w:tblPr/>
      <w:tcPr>
        <w:tcBorders>
          <w:top w:val="single" w:color="000000" w:themeColor="text1" w:sz="12" w:space="0"/>
        </w:tcBorders>
        <w:shd w:val="clear" w:color="auto" w:fill="CAEACE"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CAEACE"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CAEACE" w:themeColor="background1"/>
        <w14:textFill>
          <w14:solidFill>
            <w14:schemeClr w14:val="bg1"/>
          </w14:solidFill>
        </w14:textFill>
      </w:rPr>
      <w:tblPr/>
      <w:tcPr>
        <w:shd w:val="clear" w:color="auto" w:fill="000000" w:themeFill="text1" w:themeFillShade="BF"/>
      </w:tcPr>
    </w:tblStylePr>
    <w:tblStylePr w:type="lastCol">
      <w:rPr>
        <w:color w:val="CAEACE"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CAEACE" w:themeColor="background1" w:sz="4" w:space="0"/>
      </w:tblBorders>
      <w:tblCellMar>
        <w:top w:w="0" w:type="dxa"/>
        <w:left w:w="108" w:type="dxa"/>
        <w:bottom w:w="0" w:type="dxa"/>
        <w:right w:w="108" w:type="dxa"/>
      </w:tblCellMar>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14:textFill>
          <w14:solidFill>
            <w14:schemeClr w14:val="tx1"/>
          </w14:solidFill>
        </w14:textFill>
      </w:rPr>
      <w:tblPr/>
      <w:tcPr>
        <w:shd w:val="clear" w:color="auto" w:fill="B5C7EA" w:themeFill="accent1" w:themeFillTint="66"/>
      </w:tcPr>
    </w:tblStylePr>
    <w:tblStylePr w:type="firstCol">
      <w:rPr>
        <w:color w:val="CAEACE" w:themeColor="background1"/>
        <w14:textFill>
          <w14:solidFill>
            <w14:schemeClr w14:val="bg1"/>
          </w14:solidFill>
        </w14:textFill>
      </w:rPr>
      <w:tblPr/>
      <w:tcPr>
        <w:shd w:val="clear" w:color="auto" w:fill="2D54A0" w:themeFill="accent1" w:themeFillShade="BF"/>
      </w:tcPr>
    </w:tblStylePr>
    <w:tblStylePr w:type="lastCol">
      <w:rPr>
        <w:color w:val="CAEACE" w:themeColor="background1"/>
        <w14:textFill>
          <w14:solidFill>
            <w14:schemeClr w14:val="bg1"/>
          </w14:solidFill>
        </w14:textFill>
      </w:rPr>
      <w:tblPr/>
      <w:tcPr>
        <w:shd w:val="clear" w:color="auto" w:fill="2D54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CAEACE" w:themeColor="background1" w:sz="4" w:space="0"/>
      </w:tblBorders>
      <w:tblCellMar>
        <w:top w:w="0" w:type="dxa"/>
        <w:left w:w="108" w:type="dxa"/>
        <w:bottom w:w="0" w:type="dxa"/>
        <w:right w:w="108" w:type="dxa"/>
      </w:tblCellMar>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14:textFill>
          <w14:solidFill>
            <w14:schemeClr w14:val="tx1"/>
          </w14:solidFill>
        </w14:textFill>
      </w:rPr>
      <w:tblPr/>
      <w:tcPr>
        <w:shd w:val="clear" w:color="auto" w:fill="F8CCAB" w:themeFill="accent2" w:themeFillTint="66"/>
      </w:tcPr>
    </w:tblStylePr>
    <w:tblStylePr w:type="firstCol">
      <w:rPr>
        <w:color w:val="CAEACE" w:themeColor="background1"/>
        <w14:textFill>
          <w14:solidFill>
            <w14:schemeClr w14:val="bg1"/>
          </w14:solidFill>
        </w14:textFill>
      </w:rPr>
      <w:tblPr/>
      <w:tcPr>
        <w:shd w:val="clear" w:color="auto" w:fill="C55E10" w:themeFill="accent2" w:themeFillShade="BF"/>
      </w:tcPr>
    </w:tblStylePr>
    <w:tblStylePr w:type="lastCol">
      <w:rPr>
        <w:color w:val="CAEACE" w:themeColor="background1"/>
        <w14:textFill>
          <w14:solidFill>
            <w14:schemeClr w14:val="bg1"/>
          </w14:solidFill>
        </w14:textFill>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CAEACE" w:themeColor="background1" w:sz="4" w:space="0"/>
      </w:tblBorders>
      <w:tblCellMar>
        <w:top w:w="0" w:type="dxa"/>
        <w:left w:w="108" w:type="dxa"/>
        <w:bottom w:w="0" w:type="dxa"/>
        <w:right w:w="108" w:type="dxa"/>
      </w:tblCellMar>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14:textFill>
          <w14:solidFill>
            <w14:schemeClr w14:val="tx1"/>
          </w14:solidFill>
        </w14:textFill>
      </w:rPr>
      <w:tblPr/>
      <w:tcPr>
        <w:shd w:val="clear" w:color="auto" w:fill="FEE595" w:themeFill="accent3" w:themeFillTint="66"/>
      </w:tcPr>
    </w:tblStylePr>
    <w:tblStylePr w:type="firstCol">
      <w:rPr>
        <w:color w:val="CAEACE" w:themeColor="background1"/>
        <w14:textFill>
          <w14:solidFill>
            <w14:schemeClr w14:val="bg1"/>
          </w14:solidFill>
        </w14:textFill>
      </w:rPr>
      <w:tblPr/>
      <w:tcPr>
        <w:shd w:val="clear" w:color="auto" w:fill="B58B01" w:themeFill="accent3" w:themeFillShade="BF"/>
      </w:tcPr>
    </w:tblStylePr>
    <w:tblStylePr w:type="lastCol">
      <w:rPr>
        <w:color w:val="CAEACE" w:themeColor="background1"/>
        <w14:textFill>
          <w14:solidFill>
            <w14:schemeClr w14:val="bg1"/>
          </w14:solidFill>
        </w14:textFill>
      </w:rPr>
      <w:tblPr/>
      <w:tcPr>
        <w:shd w:val="clear" w:color="auto" w:fill="B58B01" w:themeFill="accent3" w:themeFillShade="BF"/>
      </w:tc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CAEACE" w:themeColor="background1" w:sz="4" w:space="0"/>
      </w:tblBorders>
      <w:tblCellMar>
        <w:top w:w="0" w:type="dxa"/>
        <w:left w:w="108" w:type="dxa"/>
        <w:bottom w:w="0" w:type="dxa"/>
        <w:right w:w="108" w:type="dxa"/>
      </w:tblCellMar>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14:textFill>
          <w14:solidFill>
            <w14:schemeClr w14:val="tx1"/>
          </w14:solidFill>
        </w14:textFill>
      </w:rPr>
      <w:tblPr/>
      <w:tcPr>
        <w:shd w:val="clear" w:color="auto" w:fill="C7E4B3" w:themeFill="accent4" w:themeFillTint="66"/>
      </w:tcPr>
    </w:tblStylePr>
    <w:tblStylePr w:type="firstCol">
      <w:rPr>
        <w:color w:val="CAEACE" w:themeColor="background1"/>
        <w14:textFill>
          <w14:solidFill>
            <w14:schemeClr w14:val="bg1"/>
          </w14:solidFill>
        </w14:textFill>
      </w:rPr>
      <w:tblPr/>
      <w:tcPr>
        <w:shd w:val="clear" w:color="auto" w:fill="578D31" w:themeFill="accent4" w:themeFillShade="BF"/>
      </w:tcPr>
    </w:tblStylePr>
    <w:tblStylePr w:type="lastCol">
      <w:rPr>
        <w:color w:val="CAEACE" w:themeColor="background1"/>
        <w14:textFill>
          <w14:solidFill>
            <w14:schemeClr w14:val="bg1"/>
          </w14:solidFill>
        </w14:textFill>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CAEACE" w:themeColor="background1" w:sz="4" w:space="0"/>
      </w:tblBorders>
      <w:tblCellMar>
        <w:top w:w="0" w:type="dxa"/>
        <w:left w:w="108" w:type="dxa"/>
        <w:bottom w:w="0" w:type="dxa"/>
        <w:right w:w="108" w:type="dxa"/>
      </w:tblCellMar>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14:textFill>
          <w14:solidFill>
            <w14:schemeClr w14:val="tx1"/>
          </w14:solidFill>
        </w14:textFill>
      </w:rPr>
      <w:tblPr/>
      <w:tcPr>
        <w:shd w:val="clear" w:color="auto" w:fill="A8E9E3" w:themeFill="accent5" w:themeFillTint="66"/>
      </w:tcPr>
    </w:tblStylePr>
    <w:tblStylePr w:type="firstCol">
      <w:rPr>
        <w:color w:val="CAEACE" w:themeColor="background1"/>
        <w14:textFill>
          <w14:solidFill>
            <w14:schemeClr w14:val="bg1"/>
          </w14:solidFill>
        </w14:textFill>
      </w:rPr>
      <w:tblPr/>
      <w:tcPr>
        <w:shd w:val="clear" w:color="auto" w:fill="238F86" w:themeFill="accent5" w:themeFillShade="BF"/>
      </w:tcPr>
    </w:tblStylePr>
    <w:tblStylePr w:type="lastCol">
      <w:rPr>
        <w:color w:val="CAEACE" w:themeColor="background1"/>
        <w14:textFill>
          <w14:solidFill>
            <w14:schemeClr w14:val="bg1"/>
          </w14:solidFill>
        </w14:textFill>
      </w:rPr>
      <w:tblPr/>
      <w:tcPr>
        <w:shd w:val="clear" w:color="auto" w:fill="23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CAEACE" w:themeColor="background1" w:sz="4" w:space="0"/>
      </w:tblBorders>
      <w:tblCellMar>
        <w:top w:w="0" w:type="dxa"/>
        <w:left w:w="108" w:type="dxa"/>
        <w:bottom w:w="0" w:type="dxa"/>
        <w:right w:w="108" w:type="dxa"/>
      </w:tblCellMar>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14:textFill>
          <w14:solidFill>
            <w14:schemeClr w14:val="tx1"/>
          </w14:solidFill>
        </w14:textFill>
      </w:rPr>
      <w:tblPr/>
      <w:tcPr>
        <w:shd w:val="clear" w:color="auto" w:fill="F4B7BE" w:themeFill="accent6" w:themeFillTint="66"/>
      </w:tcPr>
    </w:tblStylePr>
    <w:tblStylePr w:type="firstCol">
      <w:rPr>
        <w:color w:val="CAEACE" w:themeColor="background1"/>
        <w14:textFill>
          <w14:solidFill>
            <w14:schemeClr w14:val="bg1"/>
          </w14:solidFill>
        </w14:textFill>
      </w:rPr>
      <w:tblPr/>
      <w:tcPr>
        <w:shd w:val="clear" w:color="auto" w:fill="C71C31" w:themeFill="accent6" w:themeFillShade="BF"/>
      </w:tcPr>
    </w:tblStylePr>
    <w:tblStylePr w:type="lastCol">
      <w:rPr>
        <w:color w:val="CAEACE" w:themeColor="background1"/>
        <w14:textFill>
          <w14:solidFill>
            <w14:schemeClr w14:val="bg1"/>
          </w14:solidFill>
        </w14:textFill>
      </w:rPr>
      <w:tblPr/>
      <w:tcPr>
        <w:shd w:val="clear" w:color="auto" w:fill="C71C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character" w:styleId="232">
    <w:name w:val="Strong"/>
    <w:basedOn w:val="231"/>
    <w:qFormat/>
    <w:uiPriority w:val="22"/>
    <w:rPr>
      <w:rFonts w:ascii="汉仪正圆 55简" w:hAnsi="汉仪正圆 55简" w:eastAsia="汉仪正圆 55简" w:cs="Times New Roman"/>
      <w:b/>
      <w:bCs/>
      <w:color w:val="auto"/>
      <w:sz w:val="32"/>
      <w:szCs w:val="32"/>
    </w:rPr>
  </w:style>
  <w:style w:type="character" w:styleId="233">
    <w:name w:val="endnote reference"/>
    <w:qFormat/>
    <w:uiPriority w:val="0"/>
    <w:rPr>
      <w:rFonts w:ascii="汉仪正圆 55简" w:hAnsi="汉仪正圆 55简" w:eastAsia="汉仪正圆 55简" w:cs="Times New Roman"/>
      <w:color w:val="000000" w:themeColor="text1"/>
      <w:kern w:val="2"/>
      <w:sz w:val="28"/>
      <w:szCs w:val="28"/>
      <w:lang w:val="en-US" w:eastAsia="zh-CN" w:bidi="ar-SA"/>
      <w14:textFill>
        <w14:solidFill>
          <w14:schemeClr w14:val="tx1"/>
        </w14:solidFill>
      </w14:textFill>
    </w:rPr>
  </w:style>
  <w:style w:type="character" w:styleId="234">
    <w:name w:val="page number"/>
    <w:basedOn w:val="231"/>
    <w:qFormat/>
    <w:uiPriority w:val="0"/>
    <w:rPr>
      <w:rFonts w:ascii="汉仪正圆 55简" w:hAnsi="汉仪正圆 55简" w:eastAsia="汉仪正圆 55简" w:cs="Times New Roman"/>
      <w:color w:val="3F3F3F"/>
      <w:sz w:val="18"/>
      <w:szCs w:val="18"/>
    </w:rPr>
  </w:style>
  <w:style w:type="character" w:styleId="235">
    <w:name w:val="FollowedHyperlink"/>
    <w:basedOn w:val="231"/>
    <w:qFormat/>
    <w:uiPriority w:val="0"/>
    <w:rPr>
      <w:rFonts w:cs="Times New Roman"/>
      <w:color w:val="800080"/>
      <w:kern w:val="2"/>
      <w:sz w:val="30"/>
      <w:szCs w:val="30"/>
      <w:u w:val="single"/>
      <w:lang w:val="en-US" w:eastAsia="zh-CN" w:bidi="ar-SA"/>
    </w:rPr>
  </w:style>
  <w:style w:type="character" w:styleId="236">
    <w:name w:val="Emphasis"/>
    <w:qFormat/>
    <w:uiPriority w:val="0"/>
    <w:rPr>
      <w:rFonts w:ascii="汉仪正圆 55简" w:hAnsi="汉仪正圆 55简" w:eastAsia="汉仪正圆 55简" w:cs="Times New Roman"/>
      <w:b/>
      <w:bCs/>
      <w:color w:val="172328"/>
      <w:kern w:val="2"/>
      <w:sz w:val="30"/>
      <w:szCs w:val="30"/>
      <w:lang w:val="en-US" w:eastAsia="zh-CN" w:bidi="ar-SA"/>
    </w:rPr>
  </w:style>
  <w:style w:type="character" w:styleId="237">
    <w:name w:val="Hyperlink"/>
    <w:basedOn w:val="231"/>
    <w:qFormat/>
    <w:uiPriority w:val="0"/>
    <w:rPr>
      <w:rFonts w:ascii="汉仪正圆 55简" w:hAnsi="汉仪正圆 55简" w:eastAsia="汉仪正圆 55简" w:cs="Times New Roman"/>
      <w:color w:val="0000FF"/>
      <w:kern w:val="2"/>
      <w:sz w:val="30"/>
      <w:szCs w:val="30"/>
      <w:u w:val="single"/>
      <w:lang w:val="en-US" w:eastAsia="zh-CN" w:bidi="ar-SA"/>
    </w:rPr>
  </w:style>
  <w:style w:type="character" w:styleId="238">
    <w:name w:val="annotation reference"/>
    <w:basedOn w:val="231"/>
    <w:qFormat/>
    <w:uiPriority w:val="0"/>
    <w:rPr>
      <w:rFonts w:ascii="汉仪正圆 55简" w:hAnsi="汉仪正圆 55简" w:eastAsia="汉仪正圆 55简" w:cs="Times New Roman"/>
      <w:color w:val="auto"/>
      <w:kern w:val="2"/>
      <w:sz w:val="21"/>
      <w:szCs w:val="21"/>
      <w:lang w:val="en-US" w:eastAsia="zh-CN" w:bidi="ar-SA"/>
    </w:rPr>
  </w:style>
  <w:style w:type="character" w:styleId="239">
    <w:name w:val="footnote reference"/>
    <w:basedOn w:val="231"/>
    <w:qFormat/>
    <w:uiPriority w:val="0"/>
    <w:rPr>
      <w:rFonts w:ascii="汉仪正圆 55简" w:hAnsi="汉仪正圆 55简" w:eastAsia="汉仪正圆 55简" w:cs="Times New Roman"/>
      <w:szCs w:val="20"/>
      <w:vertAlign w:val="superscript"/>
    </w:rPr>
  </w:style>
  <w:style w:type="paragraph" w:customStyle="1" w:styleId="240">
    <w:name w:val="Normal Indent1"/>
    <w:basedOn w:val="1"/>
    <w:qFormat/>
    <w:uiPriority w:val="0"/>
    <w:pPr>
      <w:ind w:firstLine="420" w:firstLineChars="200"/>
    </w:pPr>
    <w:rPr>
      <w:sz w:val="30"/>
    </w:rPr>
  </w:style>
  <w:style w:type="character" w:customStyle="1" w:styleId="241">
    <w:name w:val="font51"/>
    <w:qFormat/>
    <w:uiPriority w:val="0"/>
    <w:rPr>
      <w:rFonts w:hint="eastAsia" w:ascii="宋体" w:hAnsi="宋体" w:eastAsia="宋体"/>
      <w:color w:val="000000"/>
      <w:sz w:val="24"/>
      <w:szCs w:val="24"/>
      <w:u w:val="none"/>
    </w:rPr>
  </w:style>
  <w:style w:type="character" w:customStyle="1" w:styleId="242">
    <w:name w:val="font11"/>
    <w:basedOn w:val="231"/>
    <w:qFormat/>
    <w:uiPriority w:val="0"/>
    <w:rPr>
      <w:rFonts w:hint="eastAsia" w:ascii="宋体" w:hAnsi="宋体" w:eastAsia="宋体"/>
      <w:color w:val="000000"/>
      <w:sz w:val="24"/>
      <w:szCs w:val="24"/>
      <w:u w:val="single"/>
    </w:rPr>
  </w:style>
  <w:style w:type="paragraph" w:customStyle="1" w:styleId="243">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4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5">
    <w:name w:val="正文文本缩进 New New"/>
    <w:basedOn w:val="1"/>
    <w:qFormat/>
    <w:uiPriority w:val="0"/>
    <w:pPr>
      <w:spacing w:after="120"/>
      <w:ind w:left="420" w:leftChars="200"/>
    </w:pPr>
    <w:rPr>
      <w:rFonts w:eastAsia="楷体_GB2312"/>
      <w:szCs w:val="20"/>
    </w:rPr>
  </w:style>
  <w:style w:type="paragraph" w:customStyle="1" w:styleId="246">
    <w:name w:val="表头"/>
    <w:basedOn w:val="1"/>
    <w:qFormat/>
    <w:uiPriority w:val="0"/>
    <w:pPr>
      <w:spacing w:line="360" w:lineRule="auto"/>
      <w:jc w:val="center"/>
    </w:pPr>
    <w:rPr>
      <w:rFonts w:ascii="黑体" w:eastAsia="黑体"/>
      <w:kern w:val="0"/>
      <w:sz w:val="24"/>
      <w:szCs w:val="20"/>
    </w:rPr>
  </w:style>
  <w:style w:type="paragraph" w:customStyle="1" w:styleId="247">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48">
    <w:name w:val="文一"/>
    <w:basedOn w:val="1"/>
    <w:next w:val="1"/>
    <w:qFormat/>
    <w:uiPriority w:val="0"/>
    <w:pPr>
      <w:topLinePunct/>
      <w:adjustRightInd w:val="0"/>
      <w:snapToGrid w:val="0"/>
      <w:spacing w:line="360" w:lineRule="auto"/>
      <w:ind w:firstLine="200" w:firstLineChars="200"/>
    </w:pPr>
    <w:rPr>
      <w:rFonts w:ascii="宋体" w:hAnsi="宋体"/>
      <w:spacing w:val="4"/>
      <w:sz w:val="24"/>
    </w:rPr>
  </w:style>
  <w:style w:type="paragraph" w:customStyle="1" w:styleId="249">
    <w:name w:val="正题"/>
    <w:basedOn w:val="248"/>
    <w:next w:val="248"/>
    <w:qFormat/>
    <w:uiPriority w:val="0"/>
    <w:pPr>
      <w:ind w:firstLine="0" w:firstLineChars="0"/>
      <w:jc w:val="center"/>
    </w:pPr>
    <w:rPr>
      <w:rFonts w:eastAsia="黑体"/>
      <w:b/>
      <w:sz w:val="36"/>
      <w:szCs w:val="36"/>
    </w:rPr>
  </w:style>
  <w:style w:type="character" w:customStyle="1" w:styleId="250">
    <w:name w:val="标题 1 Char"/>
    <w:link w:val="4"/>
    <w:qFormat/>
    <w:uiPriority w:val="0"/>
    <w:rPr>
      <w:b/>
      <w:kern w:val="44"/>
      <w:sz w:val="44"/>
    </w:rPr>
  </w:style>
  <w:style w:type="paragraph" w:customStyle="1" w:styleId="251">
    <w:name w:val="样式 宋体 四号 首行缩进:  2 字符"/>
    <w:basedOn w:val="1"/>
    <w:qFormat/>
    <w:uiPriority w:val="0"/>
    <w:pPr>
      <w:widowControl/>
    </w:pPr>
    <w:rPr>
      <w:rFonts w:cs="宋体"/>
      <w:color w:val="000000"/>
      <w:kern w:val="0"/>
      <w:szCs w:val="20"/>
    </w:rPr>
  </w:style>
  <w:style w:type="paragraph" w:styleId="252">
    <w:name w:val="No Spacing"/>
    <w:basedOn w:val="1"/>
    <w:qFormat/>
    <w:uiPriority w:val="0"/>
    <w:rPr>
      <w:sz w:val="22"/>
      <w:szCs w:val="20"/>
    </w:rPr>
  </w:style>
  <w:style w:type="paragraph" w:customStyle="1" w:styleId="253">
    <w:name w:val="PlainText"/>
    <w:basedOn w:val="1"/>
    <w:qFormat/>
    <w:uiPriority w:val="0"/>
    <w:rPr>
      <w:rFonts w:ascii="宋体" w:hAnsi="Courier New"/>
      <w:kern w:val="0"/>
      <w:sz w:val="20"/>
      <w:szCs w:val="20"/>
    </w:rPr>
  </w:style>
  <w:style w:type="paragraph" w:customStyle="1" w:styleId="254">
    <w:name w:val="章节三"/>
    <w:basedOn w:val="248"/>
    <w:next w:val="1"/>
    <w:qFormat/>
    <w:uiPriority w:val="0"/>
    <w:pPr>
      <w:spacing w:beforeLines="50" w:line="240" w:lineRule="auto"/>
      <w:ind w:firstLine="0" w:firstLineChars="0"/>
      <w:jc w:val="left"/>
      <w:outlineLvl w:val="2"/>
    </w:pPr>
    <w:rPr>
      <w:rFonts w:ascii="黑体" w:eastAsia="黑体"/>
      <w:b/>
    </w:rPr>
  </w:style>
  <w:style w:type="paragraph" w:customStyle="1" w:styleId="255">
    <w:name w:val="封二"/>
    <w:basedOn w:val="248"/>
    <w:next w:val="248"/>
    <w:qFormat/>
    <w:uiPriority w:val="0"/>
    <w:pPr>
      <w:ind w:firstLine="0" w:firstLineChars="0"/>
      <w:jc w:val="center"/>
    </w:pPr>
    <w:rPr>
      <w:rFonts w:eastAsia="黑体"/>
      <w:b/>
      <w:sz w:val="36"/>
      <w:szCs w:val="36"/>
    </w:rPr>
  </w:style>
  <w:style w:type="paragraph" w:customStyle="1" w:styleId="256">
    <w:name w:val="封一"/>
    <w:basedOn w:val="248"/>
    <w:next w:val="248"/>
    <w:qFormat/>
    <w:uiPriority w:val="0"/>
    <w:pPr>
      <w:ind w:firstLine="0" w:firstLineChars="0"/>
      <w:jc w:val="center"/>
    </w:pPr>
    <w:rPr>
      <w:rFonts w:eastAsia="黑体"/>
      <w:b/>
      <w:sz w:val="84"/>
      <w:szCs w:val="84"/>
    </w:rPr>
  </w:style>
  <w:style w:type="paragraph" w:customStyle="1" w:styleId="257">
    <w:name w:val="封四"/>
    <w:basedOn w:val="248"/>
    <w:next w:val="248"/>
    <w:qFormat/>
    <w:uiPriority w:val="0"/>
    <w:pPr>
      <w:jc w:val="left"/>
    </w:pPr>
    <w:rPr>
      <w:sz w:val="30"/>
      <w:szCs w:val="30"/>
    </w:rPr>
  </w:style>
  <w:style w:type="paragraph" w:customStyle="1" w:styleId="258">
    <w:name w:val="正文文本缩进1"/>
    <w:basedOn w:val="1"/>
    <w:qFormat/>
    <w:uiPriority w:val="0"/>
    <w:pPr>
      <w:ind w:firstLine="480"/>
    </w:pPr>
    <w:rPr>
      <w:sz w:val="24"/>
      <w:szCs w:val="20"/>
    </w:rPr>
  </w:style>
  <w:style w:type="paragraph" w:customStyle="1" w:styleId="259">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26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1">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62">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3">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4">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65">
    <w:name w:val="正文缩进 New"/>
    <w:basedOn w:val="264"/>
    <w:qFormat/>
    <w:uiPriority w:val="0"/>
    <w:pPr>
      <w:ind w:firstLine="420"/>
    </w:pPr>
    <w:rPr>
      <w:rFonts w:ascii="Times New Roman" w:hAnsi="Times New Roman" w:cs="Times New Roman"/>
      <w:snapToGrid/>
      <w:kern w:val="2"/>
      <w:szCs w:val="20"/>
    </w:rPr>
  </w:style>
  <w:style w:type="paragraph" w:customStyle="1" w:styleId="266">
    <w:name w:val="正文文本缩进11"/>
    <w:basedOn w:val="1"/>
    <w:qFormat/>
    <w:uiPriority w:val="0"/>
    <w:pPr>
      <w:ind w:firstLine="480"/>
    </w:pPr>
    <w:rPr>
      <w:sz w:val="24"/>
      <w:szCs w:val="20"/>
    </w:rPr>
  </w:style>
  <w:style w:type="paragraph" w:customStyle="1" w:styleId="267">
    <w:name w:val="正文文本缩进 311"/>
    <w:basedOn w:val="1"/>
    <w:qFormat/>
    <w:uiPriority w:val="0"/>
    <w:pPr>
      <w:snapToGrid w:val="0"/>
      <w:spacing w:line="360" w:lineRule="auto"/>
      <w:ind w:left="20" w:firstLine="529" w:firstLineChars="189"/>
    </w:pPr>
    <w:rPr>
      <w:rFonts w:ascii="仿宋_GB2312" w:eastAsia="仿宋_GB2312"/>
      <w:sz w:val="28"/>
    </w:rPr>
  </w:style>
  <w:style w:type="character" w:customStyle="1" w:styleId="268">
    <w:name w:val="批注文字 Char"/>
    <w:link w:val="29"/>
    <w:qFormat/>
    <w:uiPriority w:val="0"/>
  </w:style>
  <w:style w:type="character" w:customStyle="1" w:styleId="269">
    <w:name w:val="批注主题 Char"/>
    <w:link w:val="85"/>
    <w:qFormat/>
    <w:uiPriority w:val="0"/>
    <w:rPr>
      <w:b/>
    </w:rPr>
  </w:style>
  <w:style w:type="character" w:customStyle="1" w:styleId="270">
    <w:name w:val="批注框文本 Char"/>
    <w:link w:val="55"/>
    <w:qFormat/>
    <w:uiPriority w:val="0"/>
    <w:rPr>
      <w:sz w:val="18"/>
    </w:rPr>
  </w:style>
  <w:style w:type="character" w:customStyle="1" w:styleId="271">
    <w:name w:val="标题 4 Char"/>
    <w:link w:val="7"/>
    <w:qFormat/>
    <w:uiPriority w:val="0"/>
    <w:rPr>
      <w:rFonts w:ascii="Arial" w:hAnsi="Arial" w:eastAsia="黑体"/>
      <w:b/>
      <w:sz w:val="28"/>
    </w:rPr>
  </w:style>
  <w:style w:type="character" w:customStyle="1" w:styleId="272">
    <w:name w:val="标题 5 Char"/>
    <w:link w:val="8"/>
    <w:qFormat/>
    <w:uiPriority w:val="0"/>
    <w:rPr>
      <w:b/>
      <w:sz w:val="28"/>
    </w:rPr>
  </w:style>
  <w:style w:type="character" w:customStyle="1" w:styleId="273">
    <w:name w:val="标题 7 Char"/>
    <w:link w:val="10"/>
    <w:qFormat/>
    <w:uiPriority w:val="0"/>
    <w:rPr>
      <w:b/>
      <w:sz w:val="24"/>
    </w:rPr>
  </w:style>
  <w:style w:type="character" w:customStyle="1" w:styleId="274">
    <w:name w:val="标题 8 Char"/>
    <w:link w:val="11"/>
    <w:qFormat/>
    <w:uiPriority w:val="0"/>
    <w:rPr>
      <w:rFonts w:ascii="Arial" w:hAnsi="Arial" w:eastAsia="黑体"/>
      <w:sz w:val="24"/>
    </w:rPr>
  </w:style>
  <w:style w:type="character" w:customStyle="1" w:styleId="275">
    <w:name w:val="标题 9 Char"/>
    <w:link w:val="12"/>
    <w:qFormat/>
    <w:uiPriority w:val="0"/>
    <w:rPr>
      <w:rFonts w:ascii="Arial" w:hAnsi="Arial" w:eastAsia="黑体"/>
      <w:sz w:val="21"/>
    </w:rPr>
  </w:style>
  <w:style w:type="character" w:customStyle="1" w:styleId="276">
    <w:name w:val="正文文本缩进 2 Char"/>
    <w:link w:val="52"/>
    <w:qFormat/>
    <w:uiPriority w:val="0"/>
  </w:style>
  <w:style w:type="character" w:customStyle="1" w:styleId="277">
    <w:name w:val="正文文本缩进 3 Char"/>
    <w:link w:val="71"/>
    <w:qFormat/>
    <w:uiPriority w:val="0"/>
    <w:rPr>
      <w:sz w:val="16"/>
    </w:rPr>
  </w:style>
  <w:style w:type="character" w:customStyle="1" w:styleId="278">
    <w:name w:val="标题 2 Char"/>
    <w:link w:val="5"/>
    <w:qFormat/>
    <w:uiPriority w:val="0"/>
    <w:rPr>
      <w:rFonts w:ascii="Arial" w:hAnsi="Arial" w:eastAsia="黑体"/>
      <w:b/>
      <w:sz w:val="32"/>
    </w:rPr>
  </w:style>
  <w:style w:type="character" w:customStyle="1" w:styleId="279">
    <w:name w:val="正文文本 Char"/>
    <w:link w:val="35"/>
    <w:qFormat/>
    <w:uiPriority w:val="0"/>
  </w:style>
  <w:style w:type="character" w:customStyle="1" w:styleId="280">
    <w:name w:val="正文文本缩进 Char"/>
    <w:link w:val="36"/>
    <w:qFormat/>
    <w:uiPriority w:val="0"/>
  </w:style>
  <w:style w:type="character" w:customStyle="1" w:styleId="281">
    <w:name w:val="纯文本 Char"/>
    <w:link w:val="46"/>
    <w:qFormat/>
    <w:uiPriority w:val="0"/>
    <w:rPr>
      <w:rFonts w:ascii="宋体" w:hAnsi="Courier New"/>
    </w:rPr>
  </w:style>
  <w:style w:type="character" w:customStyle="1" w:styleId="282">
    <w:name w:val="页脚 Char"/>
    <w:link w:val="56"/>
    <w:qFormat/>
    <w:uiPriority w:val="0"/>
    <w:rPr>
      <w:sz w:val="18"/>
    </w:rPr>
  </w:style>
  <w:style w:type="character" w:customStyle="1" w:styleId="283">
    <w:name w:val="页眉 Char"/>
    <w:link w:val="58"/>
    <w:qFormat/>
    <w:uiPriority w:val="0"/>
    <w:rPr>
      <w:sz w:val="18"/>
    </w:rPr>
  </w:style>
  <w:style w:type="character" w:customStyle="1" w:styleId="284">
    <w:name w:val="正文首行缩进 Char"/>
    <w:link w:val="86"/>
    <w:qFormat/>
    <w:uiPriority w:val="0"/>
  </w:style>
  <w:style w:type="character" w:customStyle="1" w:styleId="285">
    <w:name w:val="标题 3 Char Char"/>
    <w:qFormat/>
    <w:uiPriority w:val="0"/>
    <w:rPr>
      <w:rFonts w:ascii="宋体" w:hAnsi="宋体" w:eastAsia="宋体"/>
      <w:b/>
      <w:bCs/>
      <w:color w:val="FF0000"/>
      <w:kern w:val="2"/>
      <w:sz w:val="24"/>
      <w:szCs w:val="24"/>
      <w:lang w:val="zh-CN" w:eastAsia="zh-CN" w:bidi="ar-SA"/>
    </w:rPr>
  </w:style>
  <w:style w:type="character" w:customStyle="1" w:styleId="286">
    <w:name w:val="页码1"/>
    <w:basedOn w:val="231"/>
    <w:qFormat/>
    <w:uiPriority w:val="0"/>
  </w:style>
  <w:style w:type="paragraph" w:customStyle="1" w:styleId="287">
    <w:name w:val="Char Char Char Char"/>
    <w:basedOn w:val="288"/>
    <w:qFormat/>
    <w:uiPriority w:val="0"/>
    <w:rPr>
      <w:rFonts w:ascii="Tahoma" w:hAnsi="Tahoma"/>
      <w:sz w:val="24"/>
    </w:rPr>
  </w:style>
  <w:style w:type="paragraph" w:customStyle="1" w:styleId="288">
    <w:name w:val="文档结构图1"/>
    <w:basedOn w:val="1"/>
    <w:qFormat/>
    <w:uiPriority w:val="0"/>
    <w:pPr>
      <w:shd w:val="clear" w:color="auto" w:fill="000080"/>
    </w:pPr>
    <w:rPr>
      <w:sz w:val="30"/>
    </w:rPr>
  </w:style>
  <w:style w:type="paragraph" w:customStyle="1" w:styleId="289">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0">
    <w:name w:val="_Style 46"/>
    <w:qFormat/>
    <w:uiPriority w:val="0"/>
    <w:rPr>
      <w:rFonts w:ascii="Times New Roman" w:hAnsi="Times New Roman" w:eastAsia="宋体" w:cs="Times New Roman"/>
      <w:kern w:val="2"/>
      <w:sz w:val="30"/>
      <w:szCs w:val="24"/>
      <w:lang w:val="en-US" w:eastAsia="zh-CN" w:bidi="ar-SA"/>
    </w:rPr>
  </w:style>
  <w:style w:type="paragraph" w:customStyle="1" w:styleId="291">
    <w:name w:val="页脚 New"/>
    <w:basedOn w:val="292"/>
    <w:qFormat/>
    <w:uiPriority w:val="0"/>
    <w:pPr>
      <w:tabs>
        <w:tab w:val="center" w:pos="4153"/>
        <w:tab w:val="right" w:pos="8306"/>
      </w:tabs>
      <w:snapToGrid w:val="0"/>
      <w:jc w:val="left"/>
    </w:pPr>
    <w:rPr>
      <w:sz w:val="18"/>
    </w:rPr>
  </w:style>
  <w:style w:type="paragraph" w:customStyle="1" w:styleId="292">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3">
    <w:name w:val="正文首行缩进1"/>
    <w:basedOn w:val="35"/>
    <w:qFormat/>
    <w:uiPriority w:val="0"/>
    <w:pPr>
      <w:spacing w:after="0"/>
      <w:ind w:firstLine="420" w:firstLineChars="100"/>
    </w:pPr>
    <w:rPr>
      <w:sz w:val="30"/>
    </w:rPr>
  </w:style>
  <w:style w:type="paragraph" w:customStyle="1" w:styleId="294">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标题 2 New"/>
    <w:basedOn w:val="264"/>
    <w:next w:val="264"/>
    <w:qFormat/>
    <w:uiPriority w:val="0"/>
    <w:pPr>
      <w:keepNext/>
      <w:keepLines/>
      <w:spacing w:line="416" w:lineRule="auto"/>
      <w:outlineLvl w:val="1"/>
    </w:pPr>
    <w:rPr>
      <w:rFonts w:ascii="Arial" w:hAnsi="Arial" w:eastAsia="仿宋_GB2312"/>
      <w:b/>
      <w:bCs/>
      <w:sz w:val="32"/>
    </w:rPr>
  </w:style>
  <w:style w:type="paragraph" w:customStyle="1" w:styleId="297">
    <w:name w:val="正文文本 New"/>
    <w:basedOn w:val="243"/>
    <w:qFormat/>
    <w:uiPriority w:val="0"/>
    <w:rPr>
      <w:rFonts w:eastAsia="宋体"/>
      <w:kern w:val="2"/>
      <w:sz w:val="30"/>
      <w:szCs w:val="24"/>
    </w:rPr>
  </w:style>
  <w:style w:type="paragraph" w:customStyle="1" w:styleId="298">
    <w:name w:val="页眉 New"/>
    <w:basedOn w:val="292"/>
    <w:qFormat/>
    <w:uiPriority w:val="0"/>
    <w:pPr>
      <w:pBdr>
        <w:bottom w:val="single" w:color="auto" w:sz="6" w:space="1"/>
      </w:pBdr>
      <w:tabs>
        <w:tab w:val="center" w:pos="4153"/>
        <w:tab w:val="right" w:pos="8306"/>
      </w:tabs>
      <w:snapToGrid w:val="0"/>
      <w:jc w:val="center"/>
    </w:pPr>
    <w:rPr>
      <w:sz w:val="18"/>
    </w:rPr>
  </w:style>
  <w:style w:type="paragraph" w:customStyle="1" w:styleId="299">
    <w:name w:val="Char1 Char Char Char Char Char Char1"/>
    <w:basedOn w:val="261"/>
    <w:qFormat/>
    <w:uiPriority w:val="0"/>
  </w:style>
  <w:style w:type="paragraph" w:customStyle="1" w:styleId="300">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1">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Char1 Char Char Char Char Char Char1 Char Char Char"/>
    <w:basedOn w:val="1"/>
    <w:qFormat/>
    <w:uiPriority w:val="0"/>
    <w:rPr>
      <w:sz w:val="30"/>
    </w:rPr>
  </w:style>
  <w:style w:type="paragraph" w:customStyle="1" w:styleId="305">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0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8">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0">
    <w:name w:val="纯文本 New"/>
    <w:basedOn w:val="243"/>
    <w:qFormat/>
    <w:uiPriority w:val="0"/>
    <w:rPr>
      <w:rFonts w:ascii="宋体" w:hAnsi="Courier New" w:eastAsia="宋体"/>
      <w:kern w:val="2"/>
      <w:sz w:val="24"/>
    </w:rPr>
  </w:style>
  <w:style w:type="paragraph" w:customStyle="1" w:styleId="31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正文首行缩进 New"/>
    <w:basedOn w:val="297"/>
    <w:qFormat/>
    <w:uiPriority w:val="0"/>
    <w:pPr>
      <w:ind w:firstLine="420" w:firstLineChars="100"/>
    </w:pPr>
  </w:style>
  <w:style w:type="paragraph" w:customStyle="1" w:styleId="313">
    <w:name w:val="页眉 New New"/>
    <w:basedOn w:val="309"/>
    <w:qFormat/>
    <w:uiPriority w:val="0"/>
    <w:pPr>
      <w:pBdr>
        <w:bottom w:val="single" w:color="auto" w:sz="6" w:space="1"/>
      </w:pBdr>
      <w:tabs>
        <w:tab w:val="center" w:pos="4153"/>
        <w:tab w:val="right" w:pos="8306"/>
      </w:tabs>
      <w:snapToGrid w:val="0"/>
      <w:jc w:val="center"/>
    </w:pPr>
    <w:rPr>
      <w:sz w:val="18"/>
    </w:rPr>
  </w:style>
  <w:style w:type="paragraph" w:customStyle="1" w:styleId="314">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5">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16">
    <w:name w:val="Char"/>
    <w:basedOn w:val="1"/>
    <w:qFormat/>
    <w:uiPriority w:val="0"/>
    <w:pPr>
      <w:widowControl/>
      <w:spacing w:line="240" w:lineRule="exact"/>
      <w:jc w:val="left"/>
    </w:pPr>
    <w:rPr>
      <w:sz w:val="30"/>
    </w:rPr>
  </w:style>
  <w:style w:type="paragraph" w:customStyle="1" w:styleId="31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8">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9">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1">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2">
    <w:name w:val="纯文本1"/>
    <w:basedOn w:val="1"/>
    <w:qFormat/>
    <w:uiPriority w:val="0"/>
    <w:rPr>
      <w:rFonts w:ascii="宋体" w:hAnsi="Courier New"/>
      <w:sz w:val="24"/>
      <w:szCs w:val="20"/>
    </w:rPr>
  </w:style>
  <w:style w:type="paragraph" w:customStyle="1" w:styleId="323">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4">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5">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6">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7">
    <w:name w:val="页脚 New New"/>
    <w:basedOn w:val="309"/>
    <w:qFormat/>
    <w:uiPriority w:val="0"/>
    <w:pPr>
      <w:tabs>
        <w:tab w:val="center" w:pos="4153"/>
        <w:tab w:val="right" w:pos="8306"/>
      </w:tabs>
      <w:snapToGrid w:val="0"/>
      <w:jc w:val="left"/>
    </w:pPr>
    <w:rPr>
      <w:sz w:val="18"/>
    </w:rPr>
  </w:style>
  <w:style w:type="paragraph" w:customStyle="1" w:styleId="328">
    <w:name w:val="正文文本缩进 21"/>
    <w:basedOn w:val="1"/>
    <w:qFormat/>
    <w:uiPriority w:val="0"/>
    <w:pPr>
      <w:spacing w:line="420" w:lineRule="exact"/>
      <w:ind w:firstLine="480"/>
    </w:pPr>
    <w:rPr>
      <w:b/>
      <w:sz w:val="24"/>
      <w:szCs w:val="20"/>
    </w:rPr>
  </w:style>
  <w:style w:type="paragraph" w:customStyle="1" w:styleId="329">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331">
    <w:name w:val="修订2"/>
    <w:hidden/>
    <w:unhideWhenUsed/>
    <w:qFormat/>
    <w:uiPriority w:val="99"/>
    <w:rPr>
      <w:rFonts w:ascii="Times New Roman" w:hAnsi="Times New Roman" w:eastAsia="宋体" w:cs="Times New Roman"/>
      <w:kern w:val="2"/>
      <w:sz w:val="21"/>
      <w:szCs w:val="22"/>
      <w:lang w:val="en-US" w:eastAsia="zh-CN" w:bidi="ar-SA"/>
    </w:rPr>
  </w:style>
  <w:style w:type="table" w:customStyle="1" w:styleId="332">
    <w:name w:val="网格型1"/>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3">
    <w:name w:val="目录标题"/>
    <w:qFormat/>
    <w:uiPriority w:val="0"/>
    <w:pPr>
      <w:adjustRightInd w:val="0"/>
      <w:snapToGrid w:val="0"/>
      <w:jc w:val="center"/>
      <w:textAlignment w:val="bottom"/>
    </w:pPr>
    <w:rPr>
      <w:rFonts w:ascii="汉仪正圆 55简" w:hAnsi="汉仪正圆 55简" w:eastAsia="汉仪正圆 55简" w:cs="Times New Roman"/>
      <w:b/>
      <w:bCs/>
      <w:sz w:val="32"/>
      <w:szCs w:val="32"/>
      <w:lang w:val="en-US" w:eastAsia="zh-CN" w:bidi="ar-SA"/>
    </w:rPr>
  </w:style>
  <w:style w:type="paragraph" w:customStyle="1" w:styleId="334">
    <w:name w:val="章标题"/>
    <w:qFormat/>
    <w:uiPriority w:val="0"/>
    <w:pPr>
      <w:keepNext/>
      <w:keepLines/>
      <w:adjustRightInd w:val="0"/>
      <w:snapToGrid w:val="0"/>
      <w:jc w:val="center"/>
      <w:textAlignment w:val="bottom"/>
      <w:outlineLvl w:val="0"/>
    </w:pPr>
    <w:rPr>
      <w:rFonts w:hint="eastAsia" w:ascii="汉仪正圆 55简" w:hAnsi="汉仪正圆 55简" w:eastAsia="汉仪正圆 55简" w:cs="Times New Roman"/>
      <w:b/>
      <w:bCs/>
      <w:kern w:val="44"/>
      <w:sz w:val="32"/>
      <w:szCs w:val="32"/>
      <w:lang w:val="en-US" w:eastAsia="zh-CN" w:bidi="ar-SA"/>
    </w:rPr>
  </w:style>
  <w:style w:type="paragraph" w:customStyle="1" w:styleId="335">
    <w:name w:val="节标题"/>
    <w:qFormat/>
    <w:uiPriority w:val="0"/>
    <w:pPr>
      <w:keepNext/>
      <w:keepLines/>
      <w:widowControl w:val="0"/>
      <w:adjustRightInd w:val="0"/>
      <w:snapToGrid w:val="0"/>
      <w:jc w:val="center"/>
      <w:textAlignment w:val="bottom"/>
    </w:pPr>
    <w:rPr>
      <w:rFonts w:hint="eastAsia" w:ascii="汉仪正圆 55简" w:hAnsi="汉仪正圆 55简" w:eastAsia="汉仪正圆 55简" w:cs="Times New Roman"/>
      <w:b/>
      <w:bCs/>
      <w:sz w:val="32"/>
      <w:szCs w:val="32"/>
      <w:lang w:val="en-US" w:eastAsia="zh-CN" w:bidi="ar-SA"/>
    </w:rPr>
  </w:style>
  <w:style w:type="paragraph" w:customStyle="1" w:styleId="336">
    <w:name w:val="附录标题"/>
    <w:qFormat/>
    <w:uiPriority w:val="0"/>
    <w:pPr>
      <w:keepNext/>
      <w:keepLines/>
      <w:widowControl w:val="0"/>
      <w:adjustRightInd w:val="0"/>
      <w:snapToGrid w:val="0"/>
      <w:jc w:val="center"/>
      <w:textAlignment w:val="bottom"/>
      <w:outlineLvl w:val="0"/>
    </w:pPr>
    <w:rPr>
      <w:rFonts w:hint="eastAsia" w:ascii="汉仪正圆 55简" w:hAnsi="汉仪正圆 55简" w:eastAsia="汉仪正圆 55简" w:cs="Times New Roman"/>
      <w:b/>
      <w:bCs/>
      <w:kern w:val="44"/>
      <w:sz w:val="32"/>
      <w:szCs w:val="32"/>
      <w:lang w:val="en-US" w:eastAsia="zh-CN" w:bidi="ar-SA"/>
    </w:rPr>
  </w:style>
  <w:style w:type="paragraph" w:customStyle="1" w:styleId="337">
    <w:name w:val="摘要"/>
    <w:basedOn w:val="1"/>
    <w:qFormat/>
    <w:uiPriority w:val="0"/>
    <w:pPr>
      <w:ind w:firstLine="1041"/>
    </w:pPr>
    <w:rPr>
      <w:rFonts w:hint="eastAsia"/>
      <w:b/>
      <w:bCs/>
    </w:rPr>
  </w:style>
  <w:style w:type="paragraph" w:customStyle="1" w:styleId="338">
    <w:name w:val="关键词"/>
    <w:basedOn w:val="1"/>
    <w:qFormat/>
    <w:uiPriority w:val="0"/>
    <w:pPr>
      <w:ind w:firstLine="440"/>
    </w:pPr>
    <w:rPr>
      <w:rFonts w:hint="eastAsia"/>
      <w:b/>
      <w:bCs/>
    </w:rPr>
  </w:style>
  <w:style w:type="table" w:customStyle="1" w:styleId="339">
    <w:name w:val="清单表 1 浅色1"/>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0">
    <w:name w:val="清单表 1 浅色 - 着色 11"/>
    <w:basedOn w:val="88"/>
    <w:qFormat/>
    <w:uiPriority w:val="46"/>
    <w:tblPr>
      <w:tblCellMar>
        <w:top w:w="0" w:type="dxa"/>
        <w:left w:w="108" w:type="dxa"/>
        <w:bottom w:w="0" w:type="dxa"/>
        <w:right w:w="108" w:type="dxa"/>
      </w:tblCellMar>
    </w:tblPr>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41">
    <w:name w:val="清单表 1 浅色 - 着色 21"/>
    <w:basedOn w:val="88"/>
    <w:qFormat/>
    <w:uiPriority w:val="46"/>
    <w:tblPr>
      <w:tblCellMar>
        <w:top w:w="0" w:type="dxa"/>
        <w:left w:w="108" w:type="dxa"/>
        <w:bottom w:w="0" w:type="dxa"/>
        <w:right w:w="108" w:type="dxa"/>
      </w:tblCellMar>
    </w:tblPr>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42">
    <w:name w:val="清单表 1 浅色 - 着色 31"/>
    <w:basedOn w:val="88"/>
    <w:qFormat/>
    <w:uiPriority w:val="46"/>
    <w:tblPr>
      <w:tblCellMar>
        <w:top w:w="0" w:type="dxa"/>
        <w:left w:w="108" w:type="dxa"/>
        <w:bottom w:w="0" w:type="dxa"/>
        <w:right w:w="108" w:type="dxa"/>
      </w:tblCellMar>
    </w:tblPr>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43">
    <w:name w:val="清单表 1 浅色 - 着色 41"/>
    <w:basedOn w:val="88"/>
    <w:qFormat/>
    <w:uiPriority w:val="46"/>
    <w:tblPr>
      <w:tblCellMar>
        <w:top w:w="0" w:type="dxa"/>
        <w:left w:w="108" w:type="dxa"/>
        <w:bottom w:w="0" w:type="dxa"/>
        <w:right w:w="108" w:type="dxa"/>
      </w:tblCellMar>
    </w:tblPr>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44">
    <w:name w:val="清单表 1 浅色 - 着色 51"/>
    <w:basedOn w:val="88"/>
    <w:qFormat/>
    <w:uiPriority w:val="46"/>
    <w:tblPr>
      <w:tblCellMar>
        <w:top w:w="0" w:type="dxa"/>
        <w:left w:w="108" w:type="dxa"/>
        <w:bottom w:w="0" w:type="dxa"/>
        <w:right w:w="108" w:type="dxa"/>
      </w:tblCellMar>
    </w:tblPr>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45">
    <w:name w:val="清单表 1 浅色 - 着色 61"/>
    <w:basedOn w:val="88"/>
    <w:qFormat/>
    <w:uiPriority w:val="46"/>
    <w:tblPr>
      <w:tblCellMar>
        <w:top w:w="0" w:type="dxa"/>
        <w:left w:w="108" w:type="dxa"/>
        <w:bottom w:w="0" w:type="dxa"/>
        <w:right w:w="108" w:type="dxa"/>
      </w:tblCellMar>
    </w:tblPr>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46">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7">
    <w:name w:val="清单表 2 - 着色 11"/>
    <w:basedOn w:val="88"/>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48">
    <w:name w:val="清单表 2 - 着色 21"/>
    <w:basedOn w:val="88"/>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49">
    <w:name w:val="清单表 2 - 着色 31"/>
    <w:basedOn w:val="88"/>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50">
    <w:name w:val="清单表 2 - 着色 41"/>
    <w:basedOn w:val="88"/>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51">
    <w:name w:val="清单表 2 - 着色 51"/>
    <w:basedOn w:val="88"/>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52">
    <w:name w:val="清单表 2 - 着色 61"/>
    <w:basedOn w:val="88"/>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53">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CAEACE" w:themeFill="background1"/>
      </w:tcPr>
    </w:tblStylePr>
    <w:tblStylePr w:type="firstCol">
      <w:rPr>
        <w:b/>
        <w:bCs/>
      </w:rPr>
      <w:tcPr>
        <w:tcBorders>
          <w:right w:val="nil"/>
        </w:tcBorders>
        <w:shd w:val="clear" w:color="auto" w:fill="CAEACE" w:themeFill="background1"/>
      </w:tcPr>
    </w:tblStylePr>
    <w:tblStylePr w:type="lastCol">
      <w:rPr>
        <w:b/>
        <w:bCs/>
      </w:rPr>
      <w:tcPr>
        <w:tcBorders>
          <w:left w:val="nil"/>
        </w:tcBorders>
        <w:shd w:val="clear" w:color="auto" w:fill="CAEACE"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54">
    <w:name w:val="清单表 3 - 着色 11"/>
    <w:basedOn w:val="88"/>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CAEACE" w:themeFill="background1"/>
      </w:tcPr>
    </w:tblStylePr>
    <w:tblStylePr w:type="firstCol">
      <w:rPr>
        <w:b/>
        <w:bCs/>
      </w:rPr>
      <w:tcPr>
        <w:tcBorders>
          <w:right w:val="nil"/>
        </w:tcBorders>
        <w:shd w:val="clear" w:color="auto" w:fill="CAEACE" w:themeFill="background1"/>
      </w:tcPr>
    </w:tblStylePr>
    <w:tblStylePr w:type="lastCol">
      <w:rPr>
        <w:b/>
        <w:bCs/>
      </w:rPr>
      <w:tcPr>
        <w:tcBorders>
          <w:left w:val="nil"/>
        </w:tcBorders>
        <w:shd w:val="clear" w:color="auto" w:fill="CAEACE"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355">
    <w:name w:val="清单表 3 - 着色 21"/>
    <w:basedOn w:val="88"/>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CAEACE" w:themeFill="background1"/>
      </w:tcPr>
    </w:tblStylePr>
    <w:tblStylePr w:type="firstCol">
      <w:rPr>
        <w:b/>
        <w:bCs/>
      </w:rPr>
      <w:tcPr>
        <w:tcBorders>
          <w:right w:val="nil"/>
        </w:tcBorders>
        <w:shd w:val="clear" w:color="auto" w:fill="CAEACE" w:themeFill="background1"/>
      </w:tcPr>
    </w:tblStylePr>
    <w:tblStylePr w:type="lastCol">
      <w:rPr>
        <w:b/>
        <w:bCs/>
      </w:rPr>
      <w:tcPr>
        <w:tcBorders>
          <w:left w:val="nil"/>
        </w:tcBorders>
        <w:shd w:val="clear" w:color="auto" w:fill="CAEACE"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356">
    <w:name w:val="清单表 3 - 着色 31"/>
    <w:basedOn w:val="88"/>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CAEACE" w:themeFill="background1"/>
      </w:tcPr>
    </w:tblStylePr>
    <w:tblStylePr w:type="firstCol">
      <w:rPr>
        <w:b/>
        <w:bCs/>
      </w:rPr>
      <w:tcPr>
        <w:tcBorders>
          <w:right w:val="nil"/>
        </w:tcBorders>
        <w:shd w:val="clear" w:color="auto" w:fill="CAEACE" w:themeFill="background1"/>
      </w:tcPr>
    </w:tblStylePr>
    <w:tblStylePr w:type="lastCol">
      <w:rPr>
        <w:b/>
        <w:bCs/>
      </w:rPr>
      <w:tcPr>
        <w:tcBorders>
          <w:left w:val="nil"/>
        </w:tcBorders>
        <w:shd w:val="clear" w:color="auto" w:fill="CAEACE"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357">
    <w:name w:val="清单表 3 - 着色 41"/>
    <w:basedOn w:val="88"/>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CAEACE" w:themeFill="background1"/>
      </w:tcPr>
    </w:tblStylePr>
    <w:tblStylePr w:type="firstCol">
      <w:rPr>
        <w:b/>
        <w:bCs/>
      </w:rPr>
      <w:tcPr>
        <w:tcBorders>
          <w:right w:val="nil"/>
        </w:tcBorders>
        <w:shd w:val="clear" w:color="auto" w:fill="CAEACE" w:themeFill="background1"/>
      </w:tcPr>
    </w:tblStylePr>
    <w:tblStylePr w:type="lastCol">
      <w:rPr>
        <w:b/>
        <w:bCs/>
      </w:rPr>
      <w:tcPr>
        <w:tcBorders>
          <w:left w:val="nil"/>
        </w:tcBorders>
        <w:shd w:val="clear" w:color="auto" w:fill="CAEACE"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358">
    <w:name w:val="清单表 3 - 着色 51"/>
    <w:basedOn w:val="88"/>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CAEACE" w:themeFill="background1"/>
      </w:tcPr>
    </w:tblStylePr>
    <w:tblStylePr w:type="firstCol">
      <w:rPr>
        <w:b/>
        <w:bCs/>
      </w:rPr>
      <w:tcPr>
        <w:tcBorders>
          <w:right w:val="nil"/>
        </w:tcBorders>
        <w:shd w:val="clear" w:color="auto" w:fill="CAEACE" w:themeFill="background1"/>
      </w:tcPr>
    </w:tblStylePr>
    <w:tblStylePr w:type="lastCol">
      <w:rPr>
        <w:b/>
        <w:bCs/>
      </w:rPr>
      <w:tcPr>
        <w:tcBorders>
          <w:left w:val="nil"/>
        </w:tcBorders>
        <w:shd w:val="clear" w:color="auto" w:fill="CAEACE"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359">
    <w:name w:val="清单表 3 - 着色 61"/>
    <w:basedOn w:val="88"/>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CAEACE" w:themeFill="background1"/>
      </w:tcPr>
    </w:tblStylePr>
    <w:tblStylePr w:type="firstCol">
      <w:rPr>
        <w:b/>
        <w:bCs/>
      </w:rPr>
      <w:tcPr>
        <w:tcBorders>
          <w:right w:val="nil"/>
        </w:tcBorders>
        <w:shd w:val="clear" w:color="auto" w:fill="CAEACE" w:themeFill="background1"/>
      </w:tcPr>
    </w:tblStylePr>
    <w:tblStylePr w:type="lastCol">
      <w:rPr>
        <w:b/>
        <w:bCs/>
      </w:rPr>
      <w:tcPr>
        <w:tcBorders>
          <w:left w:val="nil"/>
        </w:tcBorders>
        <w:shd w:val="clear" w:color="auto" w:fill="CAEACE"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360">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1">
    <w:name w:val="清单表 4 - 着色 11"/>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62">
    <w:name w:val="清单表 4 - 着色 21"/>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63">
    <w:name w:val="清单表 4 - 着色 31"/>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64">
    <w:name w:val="清单表 4 - 着色 41"/>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65">
    <w:name w:val="清单表 4 - 着色 51"/>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66">
    <w:name w:val="清单表 4 - 着色 61"/>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67">
    <w:name w:val="清单表 5 深色1"/>
    <w:basedOn w:val="88"/>
    <w:qFormat/>
    <w:uiPriority w:val="50"/>
    <w:rPr>
      <w:color w:val="CAEACE"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CAEACE" w:themeColor="background1" w:sz="18" w:space="0"/>
        </w:tcBorders>
      </w:tcPr>
    </w:tblStylePr>
    <w:tblStylePr w:type="lastRow">
      <w:rPr>
        <w:b/>
        <w:bCs/>
      </w:rPr>
      <w:tcPr>
        <w:tcBorders>
          <w:top w:val="single" w:color="CAEACE" w:themeColor="background1" w:sz="4" w:space="0"/>
        </w:tcBorders>
      </w:tcPr>
    </w:tblStylePr>
    <w:tblStylePr w:type="firstCol">
      <w:rPr>
        <w:b/>
        <w:bCs/>
      </w:rPr>
      <w:tcPr>
        <w:tcBorders>
          <w:right w:val="single" w:color="CAEACE" w:themeColor="background1" w:sz="4" w:space="0"/>
        </w:tcBorders>
      </w:tcPr>
    </w:tblStylePr>
    <w:tblStylePr w:type="lastCol">
      <w:rPr>
        <w:b/>
        <w:bCs/>
      </w:rPr>
      <w:tcPr>
        <w:tcBorders>
          <w:left w:val="single" w:color="CAEACE" w:themeColor="background1" w:sz="4" w:space="0"/>
        </w:tcBorders>
      </w:tcPr>
    </w:tblStylePr>
    <w:tblStylePr w:type="band1Vert">
      <w:tcPr>
        <w:tcBorders>
          <w:left w:val="single" w:color="CAEACE" w:themeColor="background1" w:sz="4" w:space="0"/>
          <w:right w:val="single" w:color="CAEACE" w:themeColor="background1" w:sz="4" w:space="0"/>
        </w:tcBorders>
      </w:tcPr>
    </w:tblStylePr>
    <w:tblStylePr w:type="band2Vert">
      <w:tcPr>
        <w:tcBorders>
          <w:left w:val="single" w:color="CAEACE" w:themeColor="background1" w:sz="4" w:space="0"/>
          <w:right w:val="single" w:color="CAEACE" w:themeColor="background1" w:sz="4" w:space="0"/>
        </w:tcBorders>
      </w:tcPr>
    </w:tblStylePr>
    <w:tblStylePr w:type="band1Horz">
      <w:tcPr>
        <w:tcBorders>
          <w:top w:val="single" w:color="CAEACE" w:themeColor="background1" w:sz="4" w:space="0"/>
          <w:bottom w:val="single" w:color="CAEACE"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8">
    <w:name w:val="清单表 5 深色 - 着色 11"/>
    <w:basedOn w:val="88"/>
    <w:qFormat/>
    <w:uiPriority w:val="50"/>
    <w:rPr>
      <w:color w:val="CAEACE"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CellMar>
        <w:top w:w="0" w:type="dxa"/>
        <w:left w:w="108" w:type="dxa"/>
        <w:bottom w:w="0" w:type="dxa"/>
        <w:right w:w="108" w:type="dxa"/>
      </w:tblCellMar>
    </w:tblPr>
    <w:tcPr>
      <w:shd w:val="clear" w:color="auto" w:fill="4874CB" w:themeFill="accent1"/>
    </w:tcPr>
    <w:tblStylePr w:type="firstRow">
      <w:rPr>
        <w:b/>
        <w:bCs/>
      </w:rPr>
      <w:tcPr>
        <w:tcBorders>
          <w:bottom w:val="single" w:color="CAEACE" w:themeColor="background1" w:sz="18" w:space="0"/>
        </w:tcBorders>
      </w:tcPr>
    </w:tblStylePr>
    <w:tblStylePr w:type="lastRow">
      <w:rPr>
        <w:b/>
        <w:bCs/>
      </w:rPr>
      <w:tcPr>
        <w:tcBorders>
          <w:top w:val="single" w:color="CAEACE" w:themeColor="background1" w:sz="4" w:space="0"/>
        </w:tcBorders>
      </w:tcPr>
    </w:tblStylePr>
    <w:tblStylePr w:type="firstCol">
      <w:rPr>
        <w:b/>
        <w:bCs/>
      </w:rPr>
      <w:tcPr>
        <w:tcBorders>
          <w:right w:val="single" w:color="CAEACE" w:themeColor="background1" w:sz="4" w:space="0"/>
        </w:tcBorders>
      </w:tcPr>
    </w:tblStylePr>
    <w:tblStylePr w:type="lastCol">
      <w:rPr>
        <w:b/>
        <w:bCs/>
      </w:rPr>
      <w:tcPr>
        <w:tcBorders>
          <w:left w:val="single" w:color="CAEACE" w:themeColor="background1" w:sz="4" w:space="0"/>
        </w:tcBorders>
      </w:tcPr>
    </w:tblStylePr>
    <w:tblStylePr w:type="band1Vert">
      <w:tcPr>
        <w:tcBorders>
          <w:left w:val="single" w:color="CAEACE" w:themeColor="background1" w:sz="4" w:space="0"/>
          <w:right w:val="single" w:color="CAEACE" w:themeColor="background1" w:sz="4" w:space="0"/>
        </w:tcBorders>
      </w:tcPr>
    </w:tblStylePr>
    <w:tblStylePr w:type="band2Vert">
      <w:tcPr>
        <w:tcBorders>
          <w:left w:val="single" w:color="CAEACE" w:themeColor="background1" w:sz="4" w:space="0"/>
          <w:right w:val="single" w:color="CAEACE" w:themeColor="background1" w:sz="4" w:space="0"/>
        </w:tcBorders>
      </w:tcPr>
    </w:tblStylePr>
    <w:tblStylePr w:type="band1Horz">
      <w:tcPr>
        <w:tcBorders>
          <w:top w:val="single" w:color="CAEACE" w:themeColor="background1" w:sz="4" w:space="0"/>
          <w:bottom w:val="single" w:color="CAEACE"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9">
    <w:name w:val="清单表 5 深色 - 着色 21"/>
    <w:basedOn w:val="88"/>
    <w:qFormat/>
    <w:uiPriority w:val="50"/>
    <w:rPr>
      <w:color w:val="CAEACE"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CellMar>
        <w:top w:w="0" w:type="dxa"/>
        <w:left w:w="108" w:type="dxa"/>
        <w:bottom w:w="0" w:type="dxa"/>
        <w:right w:w="108" w:type="dxa"/>
      </w:tblCellMar>
    </w:tblPr>
    <w:tcPr>
      <w:shd w:val="clear" w:color="auto" w:fill="EE822F" w:themeFill="accent2"/>
    </w:tcPr>
    <w:tblStylePr w:type="firstRow">
      <w:rPr>
        <w:b/>
        <w:bCs/>
      </w:rPr>
      <w:tcPr>
        <w:tcBorders>
          <w:bottom w:val="single" w:color="CAEACE" w:themeColor="background1" w:sz="18" w:space="0"/>
        </w:tcBorders>
      </w:tcPr>
    </w:tblStylePr>
    <w:tblStylePr w:type="lastRow">
      <w:rPr>
        <w:b/>
        <w:bCs/>
      </w:rPr>
      <w:tcPr>
        <w:tcBorders>
          <w:top w:val="single" w:color="CAEACE" w:themeColor="background1" w:sz="4" w:space="0"/>
        </w:tcBorders>
      </w:tcPr>
    </w:tblStylePr>
    <w:tblStylePr w:type="firstCol">
      <w:rPr>
        <w:b/>
        <w:bCs/>
      </w:rPr>
      <w:tcPr>
        <w:tcBorders>
          <w:right w:val="single" w:color="CAEACE" w:themeColor="background1" w:sz="4" w:space="0"/>
        </w:tcBorders>
      </w:tcPr>
    </w:tblStylePr>
    <w:tblStylePr w:type="lastCol">
      <w:rPr>
        <w:b/>
        <w:bCs/>
      </w:rPr>
      <w:tcPr>
        <w:tcBorders>
          <w:left w:val="single" w:color="CAEACE" w:themeColor="background1" w:sz="4" w:space="0"/>
        </w:tcBorders>
      </w:tcPr>
    </w:tblStylePr>
    <w:tblStylePr w:type="band1Vert">
      <w:tcPr>
        <w:tcBorders>
          <w:left w:val="single" w:color="CAEACE" w:themeColor="background1" w:sz="4" w:space="0"/>
          <w:right w:val="single" w:color="CAEACE" w:themeColor="background1" w:sz="4" w:space="0"/>
        </w:tcBorders>
      </w:tcPr>
    </w:tblStylePr>
    <w:tblStylePr w:type="band2Vert">
      <w:tcPr>
        <w:tcBorders>
          <w:left w:val="single" w:color="CAEACE" w:themeColor="background1" w:sz="4" w:space="0"/>
          <w:right w:val="single" w:color="CAEACE" w:themeColor="background1" w:sz="4" w:space="0"/>
        </w:tcBorders>
      </w:tcPr>
    </w:tblStylePr>
    <w:tblStylePr w:type="band1Horz">
      <w:tcPr>
        <w:tcBorders>
          <w:top w:val="single" w:color="CAEACE" w:themeColor="background1" w:sz="4" w:space="0"/>
          <w:bottom w:val="single" w:color="CAEACE"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0">
    <w:name w:val="清单表 5 深色 - 着色 31"/>
    <w:basedOn w:val="88"/>
    <w:qFormat/>
    <w:uiPriority w:val="50"/>
    <w:rPr>
      <w:color w:val="CAEACE"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CellMar>
        <w:top w:w="0" w:type="dxa"/>
        <w:left w:w="108" w:type="dxa"/>
        <w:bottom w:w="0" w:type="dxa"/>
        <w:right w:w="108" w:type="dxa"/>
      </w:tblCellMar>
    </w:tblPr>
    <w:tcPr>
      <w:shd w:val="clear" w:color="auto" w:fill="F2BA02" w:themeFill="accent3"/>
    </w:tcPr>
    <w:tblStylePr w:type="firstRow">
      <w:rPr>
        <w:b/>
        <w:bCs/>
      </w:rPr>
      <w:tcPr>
        <w:tcBorders>
          <w:bottom w:val="single" w:color="CAEACE" w:themeColor="background1" w:sz="18" w:space="0"/>
        </w:tcBorders>
      </w:tcPr>
    </w:tblStylePr>
    <w:tblStylePr w:type="lastRow">
      <w:rPr>
        <w:b/>
        <w:bCs/>
      </w:rPr>
      <w:tcPr>
        <w:tcBorders>
          <w:top w:val="single" w:color="CAEACE" w:themeColor="background1" w:sz="4" w:space="0"/>
        </w:tcBorders>
      </w:tcPr>
    </w:tblStylePr>
    <w:tblStylePr w:type="firstCol">
      <w:rPr>
        <w:b/>
        <w:bCs/>
      </w:rPr>
      <w:tcPr>
        <w:tcBorders>
          <w:right w:val="single" w:color="CAEACE" w:themeColor="background1" w:sz="4" w:space="0"/>
        </w:tcBorders>
      </w:tcPr>
    </w:tblStylePr>
    <w:tblStylePr w:type="lastCol">
      <w:rPr>
        <w:b/>
        <w:bCs/>
      </w:rPr>
      <w:tcPr>
        <w:tcBorders>
          <w:left w:val="single" w:color="CAEACE" w:themeColor="background1" w:sz="4" w:space="0"/>
        </w:tcBorders>
      </w:tcPr>
    </w:tblStylePr>
    <w:tblStylePr w:type="band1Vert">
      <w:tcPr>
        <w:tcBorders>
          <w:left w:val="single" w:color="CAEACE" w:themeColor="background1" w:sz="4" w:space="0"/>
          <w:right w:val="single" w:color="CAEACE" w:themeColor="background1" w:sz="4" w:space="0"/>
        </w:tcBorders>
      </w:tcPr>
    </w:tblStylePr>
    <w:tblStylePr w:type="band2Vert">
      <w:tcPr>
        <w:tcBorders>
          <w:left w:val="single" w:color="CAEACE" w:themeColor="background1" w:sz="4" w:space="0"/>
          <w:right w:val="single" w:color="CAEACE" w:themeColor="background1" w:sz="4" w:space="0"/>
        </w:tcBorders>
      </w:tcPr>
    </w:tblStylePr>
    <w:tblStylePr w:type="band1Horz">
      <w:tcPr>
        <w:tcBorders>
          <w:top w:val="single" w:color="CAEACE" w:themeColor="background1" w:sz="4" w:space="0"/>
          <w:bottom w:val="single" w:color="CAEACE"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1">
    <w:name w:val="清单表 5 深色 - 着色 41"/>
    <w:basedOn w:val="88"/>
    <w:qFormat/>
    <w:uiPriority w:val="50"/>
    <w:rPr>
      <w:color w:val="CAEACE"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CellMar>
        <w:top w:w="0" w:type="dxa"/>
        <w:left w:w="108" w:type="dxa"/>
        <w:bottom w:w="0" w:type="dxa"/>
        <w:right w:w="108" w:type="dxa"/>
      </w:tblCellMar>
    </w:tblPr>
    <w:tcPr>
      <w:shd w:val="clear" w:color="auto" w:fill="75BD42" w:themeFill="accent4"/>
    </w:tcPr>
    <w:tblStylePr w:type="firstRow">
      <w:rPr>
        <w:b/>
        <w:bCs/>
      </w:rPr>
      <w:tcPr>
        <w:tcBorders>
          <w:bottom w:val="single" w:color="CAEACE" w:themeColor="background1" w:sz="18" w:space="0"/>
        </w:tcBorders>
      </w:tcPr>
    </w:tblStylePr>
    <w:tblStylePr w:type="lastRow">
      <w:rPr>
        <w:b/>
        <w:bCs/>
      </w:rPr>
      <w:tcPr>
        <w:tcBorders>
          <w:top w:val="single" w:color="CAEACE" w:themeColor="background1" w:sz="4" w:space="0"/>
        </w:tcBorders>
      </w:tcPr>
    </w:tblStylePr>
    <w:tblStylePr w:type="firstCol">
      <w:rPr>
        <w:b/>
        <w:bCs/>
      </w:rPr>
      <w:tcPr>
        <w:tcBorders>
          <w:right w:val="single" w:color="CAEACE" w:themeColor="background1" w:sz="4" w:space="0"/>
        </w:tcBorders>
      </w:tcPr>
    </w:tblStylePr>
    <w:tblStylePr w:type="lastCol">
      <w:rPr>
        <w:b/>
        <w:bCs/>
      </w:rPr>
      <w:tcPr>
        <w:tcBorders>
          <w:left w:val="single" w:color="CAEACE" w:themeColor="background1" w:sz="4" w:space="0"/>
        </w:tcBorders>
      </w:tcPr>
    </w:tblStylePr>
    <w:tblStylePr w:type="band1Vert">
      <w:tcPr>
        <w:tcBorders>
          <w:left w:val="single" w:color="CAEACE" w:themeColor="background1" w:sz="4" w:space="0"/>
          <w:right w:val="single" w:color="CAEACE" w:themeColor="background1" w:sz="4" w:space="0"/>
        </w:tcBorders>
      </w:tcPr>
    </w:tblStylePr>
    <w:tblStylePr w:type="band2Vert">
      <w:tcPr>
        <w:tcBorders>
          <w:left w:val="single" w:color="CAEACE" w:themeColor="background1" w:sz="4" w:space="0"/>
          <w:right w:val="single" w:color="CAEACE" w:themeColor="background1" w:sz="4" w:space="0"/>
        </w:tcBorders>
      </w:tcPr>
    </w:tblStylePr>
    <w:tblStylePr w:type="band1Horz">
      <w:tcPr>
        <w:tcBorders>
          <w:top w:val="single" w:color="CAEACE" w:themeColor="background1" w:sz="4" w:space="0"/>
          <w:bottom w:val="single" w:color="CAEACE"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2">
    <w:name w:val="清单表 5 深色 - 着色 51"/>
    <w:basedOn w:val="88"/>
    <w:qFormat/>
    <w:uiPriority w:val="50"/>
    <w:rPr>
      <w:color w:val="CAEACE"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CellMar>
        <w:top w:w="0" w:type="dxa"/>
        <w:left w:w="108" w:type="dxa"/>
        <w:bottom w:w="0" w:type="dxa"/>
        <w:right w:w="108" w:type="dxa"/>
      </w:tblCellMar>
    </w:tblPr>
    <w:tcPr>
      <w:shd w:val="clear" w:color="auto" w:fill="30C0B4" w:themeFill="accent5"/>
    </w:tcPr>
    <w:tblStylePr w:type="firstRow">
      <w:rPr>
        <w:b/>
        <w:bCs/>
      </w:rPr>
      <w:tcPr>
        <w:tcBorders>
          <w:bottom w:val="single" w:color="CAEACE" w:themeColor="background1" w:sz="18" w:space="0"/>
        </w:tcBorders>
      </w:tcPr>
    </w:tblStylePr>
    <w:tblStylePr w:type="lastRow">
      <w:rPr>
        <w:b/>
        <w:bCs/>
      </w:rPr>
      <w:tcPr>
        <w:tcBorders>
          <w:top w:val="single" w:color="CAEACE" w:themeColor="background1" w:sz="4" w:space="0"/>
        </w:tcBorders>
      </w:tcPr>
    </w:tblStylePr>
    <w:tblStylePr w:type="firstCol">
      <w:rPr>
        <w:b/>
        <w:bCs/>
      </w:rPr>
      <w:tcPr>
        <w:tcBorders>
          <w:right w:val="single" w:color="CAEACE" w:themeColor="background1" w:sz="4" w:space="0"/>
        </w:tcBorders>
      </w:tcPr>
    </w:tblStylePr>
    <w:tblStylePr w:type="lastCol">
      <w:rPr>
        <w:b/>
        <w:bCs/>
      </w:rPr>
      <w:tcPr>
        <w:tcBorders>
          <w:left w:val="single" w:color="CAEACE" w:themeColor="background1" w:sz="4" w:space="0"/>
        </w:tcBorders>
      </w:tcPr>
    </w:tblStylePr>
    <w:tblStylePr w:type="band1Vert">
      <w:tcPr>
        <w:tcBorders>
          <w:left w:val="single" w:color="CAEACE" w:themeColor="background1" w:sz="4" w:space="0"/>
          <w:right w:val="single" w:color="CAEACE" w:themeColor="background1" w:sz="4" w:space="0"/>
        </w:tcBorders>
      </w:tcPr>
    </w:tblStylePr>
    <w:tblStylePr w:type="band2Vert">
      <w:tcPr>
        <w:tcBorders>
          <w:left w:val="single" w:color="CAEACE" w:themeColor="background1" w:sz="4" w:space="0"/>
          <w:right w:val="single" w:color="CAEACE" w:themeColor="background1" w:sz="4" w:space="0"/>
        </w:tcBorders>
      </w:tcPr>
    </w:tblStylePr>
    <w:tblStylePr w:type="band1Horz">
      <w:tcPr>
        <w:tcBorders>
          <w:top w:val="single" w:color="CAEACE" w:themeColor="background1" w:sz="4" w:space="0"/>
          <w:bottom w:val="single" w:color="CAEACE"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3">
    <w:name w:val="清单表 5 深色 - 着色 61"/>
    <w:basedOn w:val="88"/>
    <w:qFormat/>
    <w:uiPriority w:val="50"/>
    <w:rPr>
      <w:color w:val="CAEACE"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CellMar>
        <w:top w:w="0" w:type="dxa"/>
        <w:left w:w="108" w:type="dxa"/>
        <w:bottom w:w="0" w:type="dxa"/>
        <w:right w:w="108" w:type="dxa"/>
      </w:tblCellMar>
    </w:tblPr>
    <w:tcPr>
      <w:shd w:val="clear" w:color="auto" w:fill="E54C5E" w:themeFill="accent6"/>
    </w:tcPr>
    <w:tblStylePr w:type="firstRow">
      <w:rPr>
        <w:b/>
        <w:bCs/>
      </w:rPr>
      <w:tcPr>
        <w:tcBorders>
          <w:bottom w:val="single" w:color="CAEACE" w:themeColor="background1" w:sz="18" w:space="0"/>
        </w:tcBorders>
      </w:tcPr>
    </w:tblStylePr>
    <w:tblStylePr w:type="lastRow">
      <w:rPr>
        <w:b/>
        <w:bCs/>
      </w:rPr>
      <w:tcPr>
        <w:tcBorders>
          <w:top w:val="single" w:color="CAEACE" w:themeColor="background1" w:sz="4" w:space="0"/>
        </w:tcBorders>
      </w:tcPr>
    </w:tblStylePr>
    <w:tblStylePr w:type="firstCol">
      <w:rPr>
        <w:b/>
        <w:bCs/>
      </w:rPr>
      <w:tcPr>
        <w:tcBorders>
          <w:right w:val="single" w:color="CAEACE" w:themeColor="background1" w:sz="4" w:space="0"/>
        </w:tcBorders>
      </w:tcPr>
    </w:tblStylePr>
    <w:tblStylePr w:type="lastCol">
      <w:rPr>
        <w:b/>
        <w:bCs/>
      </w:rPr>
      <w:tcPr>
        <w:tcBorders>
          <w:left w:val="single" w:color="CAEACE" w:themeColor="background1" w:sz="4" w:space="0"/>
        </w:tcBorders>
      </w:tcPr>
    </w:tblStylePr>
    <w:tblStylePr w:type="band1Vert">
      <w:tcPr>
        <w:tcBorders>
          <w:left w:val="single" w:color="CAEACE" w:themeColor="background1" w:sz="4" w:space="0"/>
          <w:right w:val="single" w:color="CAEACE" w:themeColor="background1" w:sz="4" w:space="0"/>
        </w:tcBorders>
      </w:tcPr>
    </w:tblStylePr>
    <w:tblStylePr w:type="band2Vert">
      <w:tcPr>
        <w:tcBorders>
          <w:left w:val="single" w:color="CAEACE" w:themeColor="background1" w:sz="4" w:space="0"/>
          <w:right w:val="single" w:color="CAEACE" w:themeColor="background1" w:sz="4" w:space="0"/>
        </w:tcBorders>
      </w:tcPr>
    </w:tblStylePr>
    <w:tblStylePr w:type="band1Horz">
      <w:tcPr>
        <w:tcBorders>
          <w:top w:val="single" w:color="CAEACE" w:themeColor="background1" w:sz="4" w:space="0"/>
          <w:bottom w:val="single" w:color="CAEACE"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4">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5">
    <w:name w:val="清单表 6 彩色 - 着色 11"/>
    <w:basedOn w:val="88"/>
    <w:qFormat/>
    <w:uiPriority w:val="51"/>
    <w:rPr>
      <w:color w:val="2E54A1" w:themeColor="accent1" w:themeShade="BF"/>
    </w:rPr>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76">
    <w:name w:val="清单表 6 彩色 - 着色 21"/>
    <w:basedOn w:val="88"/>
    <w:qFormat/>
    <w:uiPriority w:val="51"/>
    <w:rPr>
      <w:color w:val="C65F10" w:themeColor="accent2" w:themeShade="BF"/>
    </w:rPr>
    <w:tblPr>
      <w:tblBorders>
        <w:top w:val="single" w:color="EE822F" w:themeColor="accent2" w:sz="4" w:space="0"/>
        <w:bottom w:val="single" w:color="EE822F" w:themeColor="accent2" w:sz="4" w:space="0"/>
      </w:tblBorders>
      <w:tblCellMar>
        <w:top w:w="0" w:type="dxa"/>
        <w:left w:w="108" w:type="dxa"/>
        <w:bottom w:w="0" w:type="dxa"/>
        <w:right w:w="108" w:type="dxa"/>
      </w:tblCellMar>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77">
    <w:name w:val="清单表 6 彩色 - 着色 31"/>
    <w:basedOn w:val="88"/>
    <w:qFormat/>
    <w:uiPriority w:val="51"/>
    <w:rPr>
      <w:color w:val="B68C02" w:themeColor="accent3" w:themeShade="BF"/>
    </w:rPr>
    <w:tblPr>
      <w:tblBorders>
        <w:top w:val="single" w:color="F2BA02" w:themeColor="accent3" w:sz="4" w:space="0"/>
        <w:bottom w:val="single" w:color="F2BA02" w:themeColor="accent3" w:sz="4" w:space="0"/>
      </w:tblBorders>
      <w:tblCellMar>
        <w:top w:w="0" w:type="dxa"/>
        <w:left w:w="108" w:type="dxa"/>
        <w:bottom w:w="0" w:type="dxa"/>
        <w:right w:w="108" w:type="dxa"/>
      </w:tblCellMar>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78">
    <w:name w:val="清单表 6 彩色 - 着色 41"/>
    <w:basedOn w:val="88"/>
    <w:qFormat/>
    <w:uiPriority w:val="51"/>
    <w:rPr>
      <w:color w:val="588E32" w:themeColor="accent4" w:themeShade="BF"/>
    </w:rPr>
    <w:tblPr>
      <w:tblBorders>
        <w:top w:val="single" w:color="75BD42" w:themeColor="accent4" w:sz="4" w:space="0"/>
        <w:bottom w:val="single" w:color="75BD42" w:themeColor="accent4" w:sz="4" w:space="0"/>
      </w:tblBorders>
      <w:tblCellMar>
        <w:top w:w="0" w:type="dxa"/>
        <w:left w:w="108" w:type="dxa"/>
        <w:bottom w:w="0" w:type="dxa"/>
        <w:right w:w="108" w:type="dxa"/>
      </w:tblCellMar>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79">
    <w:name w:val="清单表 6 彩色 - 着色 51"/>
    <w:basedOn w:val="88"/>
    <w:qFormat/>
    <w:uiPriority w:val="51"/>
    <w:rPr>
      <w:color w:val="249087" w:themeColor="accent5" w:themeShade="BF"/>
    </w:rPr>
    <w:tblPr>
      <w:tblBorders>
        <w:top w:val="single" w:color="30C0B4" w:themeColor="accent5" w:sz="4" w:space="0"/>
        <w:bottom w:val="single" w:color="30C0B4" w:themeColor="accent5" w:sz="4" w:space="0"/>
      </w:tblBorders>
      <w:tblCellMar>
        <w:top w:w="0" w:type="dxa"/>
        <w:left w:w="108" w:type="dxa"/>
        <w:bottom w:w="0" w:type="dxa"/>
        <w:right w:w="108" w:type="dxa"/>
      </w:tblCellMar>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80">
    <w:name w:val="清单表 6 彩色 - 着色 61"/>
    <w:basedOn w:val="88"/>
    <w:qFormat/>
    <w:uiPriority w:val="51"/>
    <w:rPr>
      <w:color w:val="C81D31" w:themeColor="accent6" w:themeShade="BF"/>
    </w:rPr>
    <w:tblPr>
      <w:tblBorders>
        <w:top w:val="single" w:color="E54C5E" w:themeColor="accent6" w:sz="4" w:space="0"/>
        <w:bottom w:val="single" w:color="E54C5E" w:themeColor="accent6" w:sz="4" w:space="0"/>
      </w:tblBorders>
      <w:tblCellMar>
        <w:top w:w="0" w:type="dxa"/>
        <w:left w:w="108" w:type="dxa"/>
        <w:bottom w:w="0" w:type="dxa"/>
        <w:right w:w="108" w:type="dxa"/>
      </w:tblCellMar>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81">
    <w:name w:val="清单表 7 彩色1"/>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CAEACE"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CAEACE"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CAEACE"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CAEACE"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2">
    <w:name w:val="清单表 7 彩色 - 着色 11"/>
    <w:basedOn w:val="88"/>
    <w:qFormat/>
    <w:uiPriority w:val="52"/>
    <w:rPr>
      <w:color w:val="2E54A1"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874CB" w:themeColor="accent1" w:sz="4" w:space="0"/>
        </w:tcBorders>
        <w:shd w:val="clear" w:color="auto" w:fill="CAEACE"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CAEACE"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CAEACE"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CAEACE"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3">
    <w:name w:val="清单表 7 彩色 - 着色 21"/>
    <w:basedOn w:val="88"/>
    <w:qFormat/>
    <w:uiPriority w:val="52"/>
    <w:rPr>
      <w:color w:val="C65F10"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E822F" w:themeColor="accent2" w:sz="4" w:space="0"/>
        </w:tcBorders>
        <w:shd w:val="clear" w:color="auto" w:fill="CAEACE"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CAEACE"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CAEACE"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CAEACE"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4">
    <w:name w:val="清单表 7 彩色 - 着色 31"/>
    <w:basedOn w:val="88"/>
    <w:qFormat/>
    <w:uiPriority w:val="52"/>
    <w:rPr>
      <w:color w:val="B68C02"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2BA02" w:themeColor="accent3" w:sz="4" w:space="0"/>
        </w:tcBorders>
        <w:shd w:val="clear" w:color="auto" w:fill="CAEACE"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CAEACE"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CAEACE"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CAEACE"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5">
    <w:name w:val="清单表 7 彩色 - 着色 41"/>
    <w:basedOn w:val="88"/>
    <w:qFormat/>
    <w:uiPriority w:val="52"/>
    <w:rPr>
      <w:color w:val="588E32"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5BD42" w:themeColor="accent4" w:sz="4" w:space="0"/>
        </w:tcBorders>
        <w:shd w:val="clear" w:color="auto" w:fill="CAEACE"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CAEACE"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CAEACE"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CAEACE"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6">
    <w:name w:val="清单表 7 彩色 - 着色 51"/>
    <w:basedOn w:val="88"/>
    <w:qFormat/>
    <w:uiPriority w:val="52"/>
    <w:rPr>
      <w:color w:val="24908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30C0B4" w:themeColor="accent5" w:sz="4" w:space="0"/>
        </w:tcBorders>
        <w:shd w:val="clear" w:color="auto" w:fill="CAEACE"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CAEACE"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CAEACE"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CAEACE"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7">
    <w:name w:val="清单表 7 彩色 - 着色 61"/>
    <w:basedOn w:val="88"/>
    <w:qFormat/>
    <w:uiPriority w:val="52"/>
    <w:rPr>
      <w:color w:val="C81D31"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54C5E" w:themeColor="accent6" w:sz="4" w:space="0"/>
        </w:tcBorders>
        <w:shd w:val="clear" w:color="auto" w:fill="CAEACE"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CAEACE"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CAEACE"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CAEACE"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8">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89">
    <w:name w:val="网格表 1 浅色 - 着色 11"/>
    <w:basedOn w:val="88"/>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CellMar>
        <w:top w:w="0" w:type="dxa"/>
        <w:left w:w="108" w:type="dxa"/>
        <w:bottom w:w="0" w:type="dxa"/>
        <w:right w:w="108" w:type="dxa"/>
      </w:tblCellMar>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390">
    <w:name w:val="网格表 1 浅色 - 着色 21"/>
    <w:basedOn w:val="88"/>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CellMar>
        <w:top w:w="0" w:type="dxa"/>
        <w:left w:w="108" w:type="dxa"/>
        <w:bottom w:w="0" w:type="dxa"/>
        <w:right w:w="108" w:type="dxa"/>
      </w:tblCellMar>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391">
    <w:name w:val="网格表 1 浅色 - 着色 31"/>
    <w:basedOn w:val="88"/>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CellMar>
        <w:top w:w="0" w:type="dxa"/>
        <w:left w:w="108" w:type="dxa"/>
        <w:bottom w:w="0" w:type="dxa"/>
        <w:right w:w="108" w:type="dxa"/>
      </w:tblCellMar>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392">
    <w:name w:val="网格表 1 浅色 - 着色 41"/>
    <w:basedOn w:val="88"/>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CellMar>
        <w:top w:w="0" w:type="dxa"/>
        <w:left w:w="108" w:type="dxa"/>
        <w:bottom w:w="0" w:type="dxa"/>
        <w:right w:w="108" w:type="dxa"/>
      </w:tblCellMar>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393">
    <w:name w:val="网格表 1 浅色 - 着色 51"/>
    <w:basedOn w:val="88"/>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CellMar>
        <w:top w:w="0" w:type="dxa"/>
        <w:left w:w="108" w:type="dxa"/>
        <w:bottom w:w="0" w:type="dxa"/>
        <w:right w:w="108" w:type="dxa"/>
      </w:tblCellMar>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394">
    <w:name w:val="网格表 1 浅色 - 着色 61"/>
    <w:basedOn w:val="88"/>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CellMar>
        <w:top w:w="0" w:type="dxa"/>
        <w:left w:w="108" w:type="dxa"/>
        <w:bottom w:w="0" w:type="dxa"/>
        <w:right w:w="108" w:type="dxa"/>
      </w:tblCellMar>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395">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CAEACE" w:themeFill="background1"/>
      </w:tcPr>
    </w:tblStylePr>
    <w:tblStylePr w:type="lastRow">
      <w:rPr>
        <w:b/>
        <w:bCs/>
      </w:rPr>
      <w:tcPr>
        <w:tcBorders>
          <w:top w:val="double" w:color="666666" w:themeColor="text1" w:themeTint="99" w:sz="2" w:space="0"/>
          <w:bottom w:val="nil"/>
          <w:insideH w:val="nil"/>
          <w:insideV w:val="nil"/>
        </w:tcBorders>
        <w:shd w:val="clear" w:color="auto" w:fill="CAEACE"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6">
    <w:name w:val="网格表 2 - 着色 11"/>
    <w:basedOn w:val="88"/>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CellMar>
        <w:top w:w="0" w:type="dxa"/>
        <w:left w:w="108" w:type="dxa"/>
        <w:bottom w:w="0" w:type="dxa"/>
        <w:right w:w="108" w:type="dxa"/>
      </w:tblCellMar>
    </w:tblPr>
    <w:tblStylePr w:type="firstRow">
      <w:rPr>
        <w:b/>
        <w:bCs/>
      </w:rPr>
      <w:tcPr>
        <w:tcBorders>
          <w:top w:val="nil"/>
          <w:bottom w:val="single" w:color="91ABDF" w:themeColor="accent1" w:themeTint="99" w:sz="12" w:space="0"/>
          <w:insideH w:val="nil"/>
          <w:insideV w:val="nil"/>
        </w:tcBorders>
        <w:shd w:val="clear" w:color="auto" w:fill="CAEACE" w:themeFill="background1"/>
      </w:tcPr>
    </w:tblStylePr>
    <w:tblStylePr w:type="lastRow">
      <w:rPr>
        <w:b/>
        <w:bCs/>
      </w:rPr>
      <w:tcPr>
        <w:tcBorders>
          <w:top w:val="double" w:color="91ABDF" w:themeColor="accent1" w:themeTint="99" w:sz="2" w:space="0"/>
          <w:bottom w:val="nil"/>
          <w:insideH w:val="nil"/>
          <w:insideV w:val="nil"/>
        </w:tcBorders>
        <w:shd w:val="clear" w:color="auto" w:fill="CAEACE"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97">
    <w:name w:val="网格表 2 - 着色 21"/>
    <w:basedOn w:val="88"/>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CellMar>
        <w:top w:w="0" w:type="dxa"/>
        <w:left w:w="108" w:type="dxa"/>
        <w:bottom w:w="0" w:type="dxa"/>
        <w:right w:w="108" w:type="dxa"/>
      </w:tblCellMar>
    </w:tblPr>
    <w:tblStylePr w:type="firstRow">
      <w:rPr>
        <w:b/>
        <w:bCs/>
      </w:rPr>
      <w:tcPr>
        <w:tcBorders>
          <w:top w:val="nil"/>
          <w:bottom w:val="single" w:color="F4B382" w:themeColor="accent2" w:themeTint="99" w:sz="12" w:space="0"/>
          <w:insideH w:val="nil"/>
          <w:insideV w:val="nil"/>
        </w:tcBorders>
        <w:shd w:val="clear" w:color="auto" w:fill="CAEACE" w:themeFill="background1"/>
      </w:tcPr>
    </w:tblStylePr>
    <w:tblStylePr w:type="lastRow">
      <w:rPr>
        <w:b/>
        <w:bCs/>
      </w:rPr>
      <w:tcPr>
        <w:tcBorders>
          <w:top w:val="double" w:color="F4B382" w:themeColor="accent2" w:themeTint="99" w:sz="2" w:space="0"/>
          <w:bottom w:val="nil"/>
          <w:insideH w:val="nil"/>
          <w:insideV w:val="nil"/>
        </w:tcBorders>
        <w:shd w:val="clear" w:color="auto" w:fill="CAEACE"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98">
    <w:name w:val="网格表 2 - 着色 31"/>
    <w:basedOn w:val="88"/>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CellMar>
        <w:top w:w="0" w:type="dxa"/>
        <w:left w:w="108" w:type="dxa"/>
        <w:bottom w:w="0" w:type="dxa"/>
        <w:right w:w="108" w:type="dxa"/>
      </w:tblCellMar>
    </w:tblPr>
    <w:tblStylePr w:type="firstRow">
      <w:rPr>
        <w:b/>
        <w:bCs/>
      </w:rPr>
      <w:tcPr>
        <w:tcBorders>
          <w:top w:val="nil"/>
          <w:bottom w:val="single" w:color="FDD960" w:themeColor="accent3" w:themeTint="99" w:sz="12" w:space="0"/>
          <w:insideH w:val="nil"/>
          <w:insideV w:val="nil"/>
        </w:tcBorders>
        <w:shd w:val="clear" w:color="auto" w:fill="CAEACE" w:themeFill="background1"/>
      </w:tcPr>
    </w:tblStylePr>
    <w:tblStylePr w:type="lastRow">
      <w:rPr>
        <w:b/>
        <w:bCs/>
      </w:rPr>
      <w:tcPr>
        <w:tcBorders>
          <w:top w:val="double" w:color="FDD960" w:themeColor="accent3" w:themeTint="99" w:sz="2" w:space="0"/>
          <w:bottom w:val="nil"/>
          <w:insideH w:val="nil"/>
          <w:insideV w:val="nil"/>
        </w:tcBorders>
        <w:shd w:val="clear" w:color="auto" w:fill="CAEACE"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99">
    <w:name w:val="网格表 2 - 着色 41"/>
    <w:basedOn w:val="88"/>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CellMar>
        <w:top w:w="0" w:type="dxa"/>
        <w:left w:w="108" w:type="dxa"/>
        <w:bottom w:w="0" w:type="dxa"/>
        <w:right w:w="108" w:type="dxa"/>
      </w:tblCellMar>
    </w:tblPr>
    <w:tblStylePr w:type="firstRow">
      <w:rPr>
        <w:b/>
        <w:bCs/>
      </w:rPr>
      <w:tcPr>
        <w:tcBorders>
          <w:top w:val="nil"/>
          <w:bottom w:val="single" w:color="ACD78D" w:themeColor="accent4" w:themeTint="99" w:sz="12" w:space="0"/>
          <w:insideH w:val="nil"/>
          <w:insideV w:val="nil"/>
        </w:tcBorders>
        <w:shd w:val="clear" w:color="auto" w:fill="CAEACE" w:themeFill="background1"/>
      </w:tcPr>
    </w:tblStylePr>
    <w:tblStylePr w:type="lastRow">
      <w:rPr>
        <w:b/>
        <w:bCs/>
      </w:rPr>
      <w:tcPr>
        <w:tcBorders>
          <w:top w:val="double" w:color="ACD78D" w:themeColor="accent4" w:themeTint="99" w:sz="2" w:space="0"/>
          <w:bottom w:val="nil"/>
          <w:insideH w:val="nil"/>
          <w:insideV w:val="nil"/>
        </w:tcBorders>
        <w:shd w:val="clear" w:color="auto" w:fill="CAEACE"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00">
    <w:name w:val="网格表 2 - 着色 51"/>
    <w:basedOn w:val="88"/>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CellMar>
        <w:top w:w="0" w:type="dxa"/>
        <w:left w:w="108" w:type="dxa"/>
        <w:bottom w:w="0" w:type="dxa"/>
        <w:right w:w="108" w:type="dxa"/>
      </w:tblCellMar>
    </w:tblPr>
    <w:tblStylePr w:type="firstRow">
      <w:rPr>
        <w:b/>
        <w:bCs/>
      </w:rPr>
      <w:tcPr>
        <w:tcBorders>
          <w:top w:val="nil"/>
          <w:bottom w:val="single" w:color="7DDED6" w:themeColor="accent5" w:themeTint="99" w:sz="12" w:space="0"/>
          <w:insideH w:val="nil"/>
          <w:insideV w:val="nil"/>
        </w:tcBorders>
        <w:shd w:val="clear" w:color="auto" w:fill="CAEACE" w:themeFill="background1"/>
      </w:tcPr>
    </w:tblStylePr>
    <w:tblStylePr w:type="lastRow">
      <w:rPr>
        <w:b/>
        <w:bCs/>
      </w:rPr>
      <w:tcPr>
        <w:tcBorders>
          <w:top w:val="double" w:color="7DDED6" w:themeColor="accent5" w:themeTint="99" w:sz="2" w:space="0"/>
          <w:bottom w:val="nil"/>
          <w:insideH w:val="nil"/>
          <w:insideV w:val="nil"/>
        </w:tcBorders>
        <w:shd w:val="clear" w:color="auto" w:fill="CAEACE"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01">
    <w:name w:val="网格表 2 - 着色 61"/>
    <w:basedOn w:val="88"/>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CellMar>
        <w:top w:w="0" w:type="dxa"/>
        <w:left w:w="108" w:type="dxa"/>
        <w:bottom w:w="0" w:type="dxa"/>
        <w:right w:w="108" w:type="dxa"/>
      </w:tblCellMar>
    </w:tblPr>
    <w:tblStylePr w:type="firstRow">
      <w:rPr>
        <w:b/>
        <w:bCs/>
      </w:rPr>
      <w:tcPr>
        <w:tcBorders>
          <w:top w:val="nil"/>
          <w:bottom w:val="single" w:color="EF939E" w:themeColor="accent6" w:themeTint="99" w:sz="12" w:space="0"/>
          <w:insideH w:val="nil"/>
          <w:insideV w:val="nil"/>
        </w:tcBorders>
        <w:shd w:val="clear" w:color="auto" w:fill="CAEACE" w:themeFill="background1"/>
      </w:tcPr>
    </w:tblStylePr>
    <w:tblStylePr w:type="lastRow">
      <w:rPr>
        <w:b/>
        <w:bCs/>
      </w:rPr>
      <w:tcPr>
        <w:tcBorders>
          <w:top w:val="double" w:color="EF939E" w:themeColor="accent6" w:themeTint="99" w:sz="2" w:space="0"/>
          <w:bottom w:val="nil"/>
          <w:insideH w:val="nil"/>
          <w:insideV w:val="nil"/>
        </w:tcBorders>
        <w:shd w:val="clear" w:color="auto" w:fill="CAEACE"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02">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03">
    <w:name w:val="网格表 3 - 着色 11"/>
    <w:basedOn w:val="88"/>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04">
    <w:name w:val="网格表 3 - 着色 21"/>
    <w:basedOn w:val="88"/>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05">
    <w:name w:val="网格表 3 - 着色 31"/>
    <w:basedOn w:val="88"/>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06">
    <w:name w:val="网格表 3 - 着色 41"/>
    <w:basedOn w:val="88"/>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07">
    <w:name w:val="网格表 3 - 着色 51"/>
    <w:basedOn w:val="88"/>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08">
    <w:name w:val="网格表 3 - 着色 61"/>
    <w:basedOn w:val="88"/>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09">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10">
    <w:name w:val="网格表 4 - 着色 11"/>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11">
    <w:name w:val="网格表 4 - 着色 21"/>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12">
    <w:name w:val="网格表 4 - 着色 31"/>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13">
    <w:name w:val="网格表 4 - 着色 41"/>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14">
    <w:name w:val="网格表 4 - 着色 51"/>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15">
    <w:name w:val="网格表 4 - 着色 61"/>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CellMar>
        <w:top w:w="0" w:type="dxa"/>
        <w:left w:w="108" w:type="dxa"/>
        <w:bottom w:w="0" w:type="dxa"/>
        <w:right w:w="108" w:type="dxa"/>
      </w:tblCellMar>
    </w:tblPr>
    <w:tblStylePr w:type="firstRow">
      <w:rPr>
        <w:b/>
        <w:bCs/>
        <w:color w:val="CAEACE"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16">
    <w:name w:val="网格表 5 深色1"/>
    <w:basedOn w:val="88"/>
    <w:qFormat/>
    <w:uiPriority w:val="50"/>
    <w:tblPr>
      <w:tblBorders>
        <w:top w:val="single" w:color="CAEACE" w:themeColor="background1" w:sz="4" w:space="0"/>
        <w:left w:val="single" w:color="CAEACE" w:themeColor="background1" w:sz="4" w:space="0"/>
        <w:bottom w:val="single" w:color="CAEACE" w:themeColor="background1" w:sz="4" w:space="0"/>
        <w:right w:val="single" w:color="CAEACE" w:themeColor="background1"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right w:val="single" w:color="CAEACE" w:themeColor="background1" w:sz="4" w:space="0"/>
          <w:insideH w:val="nil"/>
          <w:insideV w:val="nil"/>
        </w:tcBorders>
        <w:shd w:val="clear" w:color="auto" w:fill="000000" w:themeFill="text1"/>
      </w:tcPr>
    </w:tblStylePr>
    <w:tblStylePr w:type="lastRow">
      <w:rPr>
        <w:b/>
        <w:bCs/>
        <w:color w:val="CAEACE" w:themeColor="background1"/>
        <w14:textFill>
          <w14:solidFill>
            <w14:schemeClr w14:val="bg1"/>
          </w14:solidFill>
        </w14:textFill>
      </w:rPr>
      <w:tcPr>
        <w:tcBorders>
          <w:left w:val="single" w:color="CAEACE" w:themeColor="background1" w:sz="4" w:space="0"/>
          <w:bottom w:val="single" w:color="CAEACE" w:themeColor="background1" w:sz="4" w:space="0"/>
          <w:right w:val="single" w:color="CAEACE" w:themeColor="background1" w:sz="4" w:space="0"/>
          <w:insideH w:val="nil"/>
          <w:insideV w:val="nil"/>
        </w:tcBorders>
        <w:shd w:val="clear" w:color="auto" w:fill="000000" w:themeFill="text1"/>
      </w:tcPr>
    </w:tblStylePr>
    <w:tblStylePr w:type="firstCol">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bottom w:val="single" w:color="CAEACE" w:themeColor="background1" w:sz="4" w:space="0"/>
          <w:insideV w:val="nil"/>
        </w:tcBorders>
        <w:shd w:val="clear" w:color="auto" w:fill="000000" w:themeFill="text1"/>
      </w:tcPr>
    </w:tblStylePr>
    <w:tblStylePr w:type="lastCol">
      <w:rPr>
        <w:b/>
        <w:bCs/>
        <w:color w:val="CAEACE" w:themeColor="background1"/>
        <w14:textFill>
          <w14:solidFill>
            <w14:schemeClr w14:val="bg1"/>
          </w14:solidFill>
        </w14:textFill>
      </w:rPr>
      <w:tcPr>
        <w:tcBorders>
          <w:top w:val="single" w:color="CAEACE" w:themeColor="background1" w:sz="4" w:space="0"/>
          <w:bottom w:val="single" w:color="CAEACE" w:themeColor="background1" w:sz="4" w:space="0"/>
          <w:right w:val="single" w:color="CAEACE"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17">
    <w:name w:val="网格表 5 深色 - 着色 11"/>
    <w:basedOn w:val="88"/>
    <w:qFormat/>
    <w:uiPriority w:val="50"/>
    <w:tblPr>
      <w:tblBorders>
        <w:top w:val="single" w:color="CAEACE" w:themeColor="background1" w:sz="4" w:space="0"/>
        <w:left w:val="single" w:color="CAEACE" w:themeColor="background1" w:sz="4" w:space="0"/>
        <w:bottom w:val="single" w:color="CAEACE" w:themeColor="background1" w:sz="4" w:space="0"/>
        <w:right w:val="single" w:color="CAEACE" w:themeColor="background1"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DAE3F4" w:themeFill="accent1" w:themeFillTint="33"/>
    </w:tcPr>
    <w:tblStylePr w:type="firstRow">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right w:val="single" w:color="CAEACE" w:themeColor="background1" w:sz="4" w:space="0"/>
          <w:insideH w:val="nil"/>
          <w:insideV w:val="nil"/>
        </w:tcBorders>
        <w:shd w:val="clear" w:color="auto" w:fill="4874CB" w:themeFill="accent1"/>
      </w:tcPr>
    </w:tblStylePr>
    <w:tblStylePr w:type="lastRow">
      <w:rPr>
        <w:b/>
        <w:bCs/>
        <w:color w:val="CAEACE" w:themeColor="background1"/>
        <w14:textFill>
          <w14:solidFill>
            <w14:schemeClr w14:val="bg1"/>
          </w14:solidFill>
        </w14:textFill>
      </w:rPr>
      <w:tcPr>
        <w:tcBorders>
          <w:left w:val="single" w:color="CAEACE" w:themeColor="background1" w:sz="4" w:space="0"/>
          <w:bottom w:val="single" w:color="CAEACE" w:themeColor="background1" w:sz="4" w:space="0"/>
          <w:right w:val="single" w:color="CAEACE" w:themeColor="background1" w:sz="4" w:space="0"/>
          <w:insideH w:val="nil"/>
          <w:insideV w:val="nil"/>
        </w:tcBorders>
        <w:shd w:val="clear" w:color="auto" w:fill="4874CB" w:themeFill="accent1"/>
      </w:tcPr>
    </w:tblStylePr>
    <w:tblStylePr w:type="firstCol">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bottom w:val="single" w:color="CAEACE" w:themeColor="background1" w:sz="4" w:space="0"/>
          <w:insideV w:val="nil"/>
        </w:tcBorders>
        <w:shd w:val="clear" w:color="auto" w:fill="4874CB" w:themeFill="accent1"/>
      </w:tcPr>
    </w:tblStylePr>
    <w:tblStylePr w:type="lastCol">
      <w:rPr>
        <w:b/>
        <w:bCs/>
        <w:color w:val="CAEACE" w:themeColor="background1"/>
        <w14:textFill>
          <w14:solidFill>
            <w14:schemeClr w14:val="bg1"/>
          </w14:solidFill>
        </w14:textFill>
      </w:rPr>
      <w:tcPr>
        <w:tcBorders>
          <w:top w:val="single" w:color="CAEACE" w:themeColor="background1" w:sz="4" w:space="0"/>
          <w:bottom w:val="single" w:color="CAEACE" w:themeColor="background1" w:sz="4" w:space="0"/>
          <w:right w:val="single" w:color="CAEACE"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418">
    <w:name w:val="网格表 5 深色 - 着色 21"/>
    <w:basedOn w:val="88"/>
    <w:qFormat/>
    <w:uiPriority w:val="50"/>
    <w:tblPr>
      <w:tblBorders>
        <w:top w:val="single" w:color="CAEACE" w:themeColor="background1" w:sz="4" w:space="0"/>
        <w:left w:val="single" w:color="CAEACE" w:themeColor="background1" w:sz="4" w:space="0"/>
        <w:bottom w:val="single" w:color="CAEACE" w:themeColor="background1" w:sz="4" w:space="0"/>
        <w:right w:val="single" w:color="CAEACE" w:themeColor="background1"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FBE5D5" w:themeFill="accent2" w:themeFillTint="33"/>
    </w:tcPr>
    <w:tblStylePr w:type="firstRow">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right w:val="single" w:color="CAEACE" w:themeColor="background1" w:sz="4" w:space="0"/>
          <w:insideH w:val="nil"/>
          <w:insideV w:val="nil"/>
        </w:tcBorders>
        <w:shd w:val="clear" w:color="auto" w:fill="EE822F" w:themeFill="accent2"/>
      </w:tcPr>
    </w:tblStylePr>
    <w:tblStylePr w:type="lastRow">
      <w:rPr>
        <w:b/>
        <w:bCs/>
        <w:color w:val="CAEACE" w:themeColor="background1"/>
        <w14:textFill>
          <w14:solidFill>
            <w14:schemeClr w14:val="bg1"/>
          </w14:solidFill>
        </w14:textFill>
      </w:rPr>
      <w:tcPr>
        <w:tcBorders>
          <w:left w:val="single" w:color="CAEACE" w:themeColor="background1" w:sz="4" w:space="0"/>
          <w:bottom w:val="single" w:color="CAEACE" w:themeColor="background1" w:sz="4" w:space="0"/>
          <w:right w:val="single" w:color="CAEACE" w:themeColor="background1" w:sz="4" w:space="0"/>
          <w:insideH w:val="nil"/>
          <w:insideV w:val="nil"/>
        </w:tcBorders>
        <w:shd w:val="clear" w:color="auto" w:fill="EE822F" w:themeFill="accent2"/>
      </w:tcPr>
    </w:tblStylePr>
    <w:tblStylePr w:type="firstCol">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bottom w:val="single" w:color="CAEACE" w:themeColor="background1" w:sz="4" w:space="0"/>
          <w:insideV w:val="nil"/>
        </w:tcBorders>
        <w:shd w:val="clear" w:color="auto" w:fill="EE822F" w:themeFill="accent2"/>
      </w:tcPr>
    </w:tblStylePr>
    <w:tblStylePr w:type="lastCol">
      <w:rPr>
        <w:b/>
        <w:bCs/>
        <w:color w:val="CAEACE" w:themeColor="background1"/>
        <w14:textFill>
          <w14:solidFill>
            <w14:schemeClr w14:val="bg1"/>
          </w14:solidFill>
        </w14:textFill>
      </w:rPr>
      <w:tcPr>
        <w:tcBorders>
          <w:top w:val="single" w:color="CAEACE" w:themeColor="background1" w:sz="4" w:space="0"/>
          <w:bottom w:val="single" w:color="CAEACE" w:themeColor="background1" w:sz="4" w:space="0"/>
          <w:right w:val="single" w:color="CAEACE"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419">
    <w:name w:val="网格表 5 深色 - 着色 31"/>
    <w:basedOn w:val="88"/>
    <w:qFormat/>
    <w:uiPriority w:val="50"/>
    <w:tblPr>
      <w:tblBorders>
        <w:top w:val="single" w:color="CAEACE" w:themeColor="background1" w:sz="4" w:space="0"/>
        <w:left w:val="single" w:color="CAEACE" w:themeColor="background1" w:sz="4" w:space="0"/>
        <w:bottom w:val="single" w:color="CAEACE" w:themeColor="background1" w:sz="4" w:space="0"/>
        <w:right w:val="single" w:color="CAEACE" w:themeColor="background1"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FEF2CA" w:themeFill="accent3" w:themeFillTint="33"/>
    </w:tcPr>
    <w:tblStylePr w:type="firstRow">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right w:val="single" w:color="CAEACE" w:themeColor="background1" w:sz="4" w:space="0"/>
          <w:insideH w:val="nil"/>
          <w:insideV w:val="nil"/>
        </w:tcBorders>
        <w:shd w:val="clear" w:color="auto" w:fill="F2BA02" w:themeFill="accent3"/>
      </w:tcPr>
    </w:tblStylePr>
    <w:tblStylePr w:type="lastRow">
      <w:rPr>
        <w:b/>
        <w:bCs/>
        <w:color w:val="CAEACE" w:themeColor="background1"/>
        <w14:textFill>
          <w14:solidFill>
            <w14:schemeClr w14:val="bg1"/>
          </w14:solidFill>
        </w14:textFill>
      </w:rPr>
      <w:tcPr>
        <w:tcBorders>
          <w:left w:val="single" w:color="CAEACE" w:themeColor="background1" w:sz="4" w:space="0"/>
          <w:bottom w:val="single" w:color="CAEACE" w:themeColor="background1" w:sz="4" w:space="0"/>
          <w:right w:val="single" w:color="CAEACE" w:themeColor="background1" w:sz="4" w:space="0"/>
          <w:insideH w:val="nil"/>
          <w:insideV w:val="nil"/>
        </w:tcBorders>
        <w:shd w:val="clear" w:color="auto" w:fill="F2BA02" w:themeFill="accent3"/>
      </w:tcPr>
    </w:tblStylePr>
    <w:tblStylePr w:type="firstCol">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bottom w:val="single" w:color="CAEACE" w:themeColor="background1" w:sz="4" w:space="0"/>
          <w:insideV w:val="nil"/>
        </w:tcBorders>
        <w:shd w:val="clear" w:color="auto" w:fill="F2BA02" w:themeFill="accent3"/>
      </w:tcPr>
    </w:tblStylePr>
    <w:tblStylePr w:type="lastCol">
      <w:rPr>
        <w:b/>
        <w:bCs/>
        <w:color w:val="CAEACE" w:themeColor="background1"/>
        <w14:textFill>
          <w14:solidFill>
            <w14:schemeClr w14:val="bg1"/>
          </w14:solidFill>
        </w14:textFill>
      </w:rPr>
      <w:tcPr>
        <w:tcBorders>
          <w:top w:val="single" w:color="CAEACE" w:themeColor="background1" w:sz="4" w:space="0"/>
          <w:bottom w:val="single" w:color="CAEACE" w:themeColor="background1" w:sz="4" w:space="0"/>
          <w:right w:val="single" w:color="CAEACE"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420">
    <w:name w:val="网格表 5 深色 - 着色 41"/>
    <w:basedOn w:val="88"/>
    <w:qFormat/>
    <w:uiPriority w:val="50"/>
    <w:tblPr>
      <w:tblBorders>
        <w:top w:val="single" w:color="CAEACE" w:themeColor="background1" w:sz="4" w:space="0"/>
        <w:left w:val="single" w:color="CAEACE" w:themeColor="background1" w:sz="4" w:space="0"/>
        <w:bottom w:val="single" w:color="CAEACE" w:themeColor="background1" w:sz="4" w:space="0"/>
        <w:right w:val="single" w:color="CAEACE" w:themeColor="background1"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E3F1D9" w:themeFill="accent4" w:themeFillTint="33"/>
    </w:tcPr>
    <w:tblStylePr w:type="firstRow">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right w:val="single" w:color="CAEACE" w:themeColor="background1" w:sz="4" w:space="0"/>
          <w:insideH w:val="nil"/>
          <w:insideV w:val="nil"/>
        </w:tcBorders>
        <w:shd w:val="clear" w:color="auto" w:fill="75BD42" w:themeFill="accent4"/>
      </w:tcPr>
    </w:tblStylePr>
    <w:tblStylePr w:type="lastRow">
      <w:rPr>
        <w:b/>
        <w:bCs/>
        <w:color w:val="CAEACE" w:themeColor="background1"/>
        <w14:textFill>
          <w14:solidFill>
            <w14:schemeClr w14:val="bg1"/>
          </w14:solidFill>
        </w14:textFill>
      </w:rPr>
      <w:tcPr>
        <w:tcBorders>
          <w:left w:val="single" w:color="CAEACE" w:themeColor="background1" w:sz="4" w:space="0"/>
          <w:bottom w:val="single" w:color="CAEACE" w:themeColor="background1" w:sz="4" w:space="0"/>
          <w:right w:val="single" w:color="CAEACE" w:themeColor="background1" w:sz="4" w:space="0"/>
          <w:insideH w:val="nil"/>
          <w:insideV w:val="nil"/>
        </w:tcBorders>
        <w:shd w:val="clear" w:color="auto" w:fill="75BD42" w:themeFill="accent4"/>
      </w:tcPr>
    </w:tblStylePr>
    <w:tblStylePr w:type="firstCol">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bottom w:val="single" w:color="CAEACE" w:themeColor="background1" w:sz="4" w:space="0"/>
          <w:insideV w:val="nil"/>
        </w:tcBorders>
        <w:shd w:val="clear" w:color="auto" w:fill="75BD42" w:themeFill="accent4"/>
      </w:tcPr>
    </w:tblStylePr>
    <w:tblStylePr w:type="lastCol">
      <w:rPr>
        <w:b/>
        <w:bCs/>
        <w:color w:val="CAEACE" w:themeColor="background1"/>
        <w14:textFill>
          <w14:solidFill>
            <w14:schemeClr w14:val="bg1"/>
          </w14:solidFill>
        </w14:textFill>
      </w:rPr>
      <w:tcPr>
        <w:tcBorders>
          <w:top w:val="single" w:color="CAEACE" w:themeColor="background1" w:sz="4" w:space="0"/>
          <w:bottom w:val="single" w:color="CAEACE" w:themeColor="background1" w:sz="4" w:space="0"/>
          <w:right w:val="single" w:color="CAEACE"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421">
    <w:name w:val="网格表 5 深色 - 着色 51"/>
    <w:basedOn w:val="88"/>
    <w:qFormat/>
    <w:uiPriority w:val="50"/>
    <w:tblPr>
      <w:tblBorders>
        <w:top w:val="single" w:color="CAEACE" w:themeColor="background1" w:sz="4" w:space="0"/>
        <w:left w:val="single" w:color="CAEACE" w:themeColor="background1" w:sz="4" w:space="0"/>
        <w:bottom w:val="single" w:color="CAEACE" w:themeColor="background1" w:sz="4" w:space="0"/>
        <w:right w:val="single" w:color="CAEACE" w:themeColor="background1"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D3F4F1" w:themeFill="accent5" w:themeFillTint="33"/>
    </w:tcPr>
    <w:tblStylePr w:type="firstRow">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right w:val="single" w:color="CAEACE" w:themeColor="background1" w:sz="4" w:space="0"/>
          <w:insideH w:val="nil"/>
          <w:insideV w:val="nil"/>
        </w:tcBorders>
        <w:shd w:val="clear" w:color="auto" w:fill="30C0B4" w:themeFill="accent5"/>
      </w:tcPr>
    </w:tblStylePr>
    <w:tblStylePr w:type="lastRow">
      <w:rPr>
        <w:b/>
        <w:bCs/>
        <w:color w:val="CAEACE" w:themeColor="background1"/>
        <w14:textFill>
          <w14:solidFill>
            <w14:schemeClr w14:val="bg1"/>
          </w14:solidFill>
        </w14:textFill>
      </w:rPr>
      <w:tcPr>
        <w:tcBorders>
          <w:left w:val="single" w:color="CAEACE" w:themeColor="background1" w:sz="4" w:space="0"/>
          <w:bottom w:val="single" w:color="CAEACE" w:themeColor="background1" w:sz="4" w:space="0"/>
          <w:right w:val="single" w:color="CAEACE" w:themeColor="background1" w:sz="4" w:space="0"/>
          <w:insideH w:val="nil"/>
          <w:insideV w:val="nil"/>
        </w:tcBorders>
        <w:shd w:val="clear" w:color="auto" w:fill="30C0B4" w:themeFill="accent5"/>
      </w:tcPr>
    </w:tblStylePr>
    <w:tblStylePr w:type="firstCol">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bottom w:val="single" w:color="CAEACE" w:themeColor="background1" w:sz="4" w:space="0"/>
          <w:insideV w:val="nil"/>
        </w:tcBorders>
        <w:shd w:val="clear" w:color="auto" w:fill="30C0B4" w:themeFill="accent5"/>
      </w:tcPr>
    </w:tblStylePr>
    <w:tblStylePr w:type="lastCol">
      <w:rPr>
        <w:b/>
        <w:bCs/>
        <w:color w:val="CAEACE" w:themeColor="background1"/>
        <w14:textFill>
          <w14:solidFill>
            <w14:schemeClr w14:val="bg1"/>
          </w14:solidFill>
        </w14:textFill>
      </w:rPr>
      <w:tcPr>
        <w:tcBorders>
          <w:top w:val="single" w:color="CAEACE" w:themeColor="background1" w:sz="4" w:space="0"/>
          <w:bottom w:val="single" w:color="CAEACE" w:themeColor="background1" w:sz="4" w:space="0"/>
          <w:right w:val="single" w:color="CAEACE"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422">
    <w:name w:val="网格表 5 深色 - 着色 61"/>
    <w:basedOn w:val="88"/>
    <w:qFormat/>
    <w:uiPriority w:val="50"/>
    <w:tblPr>
      <w:tblBorders>
        <w:top w:val="single" w:color="CAEACE" w:themeColor="background1" w:sz="4" w:space="0"/>
        <w:left w:val="single" w:color="CAEACE" w:themeColor="background1" w:sz="4" w:space="0"/>
        <w:bottom w:val="single" w:color="CAEACE" w:themeColor="background1" w:sz="4" w:space="0"/>
        <w:right w:val="single" w:color="CAEACE" w:themeColor="background1" w:sz="4" w:space="0"/>
        <w:insideH w:val="single" w:color="CAEACE" w:themeColor="background1" w:sz="4" w:space="0"/>
        <w:insideV w:val="single" w:color="CAEACE" w:themeColor="background1" w:sz="4" w:space="0"/>
      </w:tblBorders>
      <w:tblCellMar>
        <w:top w:w="0" w:type="dxa"/>
        <w:left w:w="108" w:type="dxa"/>
        <w:bottom w:w="0" w:type="dxa"/>
        <w:right w:w="108" w:type="dxa"/>
      </w:tblCellMar>
    </w:tblPr>
    <w:tcPr>
      <w:shd w:val="clear" w:color="auto" w:fill="F9DBDE" w:themeFill="accent6" w:themeFillTint="33"/>
    </w:tcPr>
    <w:tblStylePr w:type="firstRow">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right w:val="single" w:color="CAEACE" w:themeColor="background1" w:sz="4" w:space="0"/>
          <w:insideH w:val="nil"/>
          <w:insideV w:val="nil"/>
        </w:tcBorders>
        <w:shd w:val="clear" w:color="auto" w:fill="E54C5E" w:themeFill="accent6"/>
      </w:tcPr>
    </w:tblStylePr>
    <w:tblStylePr w:type="lastRow">
      <w:rPr>
        <w:b/>
        <w:bCs/>
        <w:color w:val="CAEACE" w:themeColor="background1"/>
        <w14:textFill>
          <w14:solidFill>
            <w14:schemeClr w14:val="bg1"/>
          </w14:solidFill>
        </w14:textFill>
      </w:rPr>
      <w:tcPr>
        <w:tcBorders>
          <w:left w:val="single" w:color="CAEACE" w:themeColor="background1" w:sz="4" w:space="0"/>
          <w:bottom w:val="single" w:color="CAEACE" w:themeColor="background1" w:sz="4" w:space="0"/>
          <w:right w:val="single" w:color="CAEACE" w:themeColor="background1" w:sz="4" w:space="0"/>
          <w:insideH w:val="nil"/>
          <w:insideV w:val="nil"/>
        </w:tcBorders>
        <w:shd w:val="clear" w:color="auto" w:fill="E54C5E" w:themeFill="accent6"/>
      </w:tcPr>
    </w:tblStylePr>
    <w:tblStylePr w:type="firstCol">
      <w:rPr>
        <w:b/>
        <w:bCs/>
        <w:color w:val="CAEACE" w:themeColor="background1"/>
        <w14:textFill>
          <w14:solidFill>
            <w14:schemeClr w14:val="bg1"/>
          </w14:solidFill>
        </w14:textFill>
      </w:rPr>
      <w:tcPr>
        <w:tcBorders>
          <w:top w:val="single" w:color="CAEACE" w:themeColor="background1" w:sz="4" w:space="0"/>
          <w:left w:val="single" w:color="CAEACE" w:themeColor="background1" w:sz="4" w:space="0"/>
          <w:bottom w:val="single" w:color="CAEACE" w:themeColor="background1" w:sz="4" w:space="0"/>
          <w:insideV w:val="nil"/>
        </w:tcBorders>
        <w:shd w:val="clear" w:color="auto" w:fill="E54C5E" w:themeFill="accent6"/>
      </w:tcPr>
    </w:tblStylePr>
    <w:tblStylePr w:type="lastCol">
      <w:rPr>
        <w:b/>
        <w:bCs/>
        <w:color w:val="CAEACE" w:themeColor="background1"/>
        <w14:textFill>
          <w14:solidFill>
            <w14:schemeClr w14:val="bg1"/>
          </w14:solidFill>
        </w14:textFill>
      </w:rPr>
      <w:tcPr>
        <w:tcBorders>
          <w:top w:val="single" w:color="CAEACE" w:themeColor="background1" w:sz="4" w:space="0"/>
          <w:bottom w:val="single" w:color="CAEACE" w:themeColor="background1" w:sz="4" w:space="0"/>
          <w:right w:val="single" w:color="CAEACE"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423">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4">
    <w:name w:val="网格表 6 彩色 - 着色 11"/>
    <w:basedOn w:val="88"/>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25">
    <w:name w:val="网格表 6 彩色 - 着色 21"/>
    <w:basedOn w:val="88"/>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CellMar>
        <w:top w:w="0" w:type="dxa"/>
        <w:left w:w="108" w:type="dxa"/>
        <w:bottom w:w="0" w:type="dxa"/>
        <w:right w:w="108" w:type="dxa"/>
      </w:tblCellMar>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26">
    <w:name w:val="网格表 6 彩色 - 着色 31"/>
    <w:basedOn w:val="88"/>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CellMar>
        <w:top w:w="0" w:type="dxa"/>
        <w:left w:w="108" w:type="dxa"/>
        <w:bottom w:w="0" w:type="dxa"/>
        <w:right w:w="108" w:type="dxa"/>
      </w:tblCellMar>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27">
    <w:name w:val="网格表 6 彩色 - 着色 41"/>
    <w:basedOn w:val="88"/>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CellMar>
        <w:top w:w="0" w:type="dxa"/>
        <w:left w:w="108" w:type="dxa"/>
        <w:bottom w:w="0" w:type="dxa"/>
        <w:right w:w="108" w:type="dxa"/>
      </w:tblCellMar>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28">
    <w:name w:val="网格表 6 彩色 - 着色 51"/>
    <w:basedOn w:val="88"/>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29">
    <w:name w:val="网格表 6 彩色 - 着色 61"/>
    <w:basedOn w:val="88"/>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CellMar>
        <w:top w:w="0" w:type="dxa"/>
        <w:left w:w="108" w:type="dxa"/>
        <w:bottom w:w="0" w:type="dxa"/>
        <w:right w:w="108" w:type="dxa"/>
      </w:tblCellMar>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30">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1">
    <w:name w:val="网格表 7 彩色 - 着色 11"/>
    <w:basedOn w:val="88"/>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32">
    <w:name w:val="网格表 7 彩色 - 着色 21"/>
    <w:basedOn w:val="88"/>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33">
    <w:name w:val="网格表 7 彩色 - 着色 31"/>
    <w:basedOn w:val="88"/>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34">
    <w:name w:val="网格表 7 彩色 - 着色 41"/>
    <w:basedOn w:val="88"/>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35">
    <w:name w:val="网格表 7 彩色 - 着色 51"/>
    <w:basedOn w:val="88"/>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36">
    <w:name w:val="网格表 7 彩色 - 着色 61"/>
    <w:basedOn w:val="88"/>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CAEACE" w:themeFill="background1"/>
      </w:tcPr>
    </w:tblStylePr>
    <w:tblStylePr w:type="lastRow">
      <w:rPr>
        <w:b/>
        <w:bCs/>
      </w:rPr>
      <w:tcPr>
        <w:tcBorders>
          <w:left w:val="nil"/>
          <w:bottom w:val="nil"/>
          <w:right w:val="nil"/>
          <w:insideH w:val="nil"/>
          <w:insideV w:val="nil"/>
        </w:tcBorders>
        <w:shd w:val="clear" w:color="auto" w:fill="CAEACE" w:themeFill="background1"/>
      </w:tcPr>
    </w:tblStylePr>
    <w:tblStylePr w:type="firstCol">
      <w:pPr>
        <w:jc w:val="right"/>
      </w:pPr>
      <w:rPr>
        <w:i/>
        <w:iCs/>
      </w:rPr>
      <w:tcPr>
        <w:tcBorders>
          <w:top w:val="nil"/>
          <w:left w:val="nil"/>
          <w:bottom w:val="nil"/>
          <w:insideH w:val="nil"/>
          <w:insideV w:val="nil"/>
        </w:tcBorders>
        <w:shd w:val="clear" w:color="auto" w:fill="CAEACE" w:themeFill="background1"/>
      </w:tcPr>
    </w:tblStylePr>
    <w:tblStylePr w:type="lastCol">
      <w:rPr>
        <w:i/>
        <w:iCs/>
      </w:rPr>
      <w:tcPr>
        <w:tcBorders>
          <w:top w:val="nil"/>
          <w:bottom w:val="nil"/>
          <w:right w:val="nil"/>
          <w:insideH w:val="nil"/>
          <w:insideV w:val="nil"/>
        </w:tcBorders>
        <w:shd w:val="clear" w:color="auto" w:fill="CAEACE"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37">
    <w:name w:val="网格型浅色1"/>
    <w:basedOn w:val="88"/>
    <w:qFormat/>
    <w:uiPriority w:val="40"/>
    <w:tblPr>
      <w:tblBorders>
        <w:top w:val="single" w:color="7BCA85" w:themeColor="background1" w:themeShade="BF" w:sz="4" w:space="0"/>
        <w:left w:val="single" w:color="7BCA85" w:themeColor="background1" w:themeShade="BF" w:sz="4" w:space="0"/>
        <w:bottom w:val="single" w:color="7BCA85" w:themeColor="background1" w:themeShade="BF" w:sz="4" w:space="0"/>
        <w:right w:val="single" w:color="7BCA85" w:themeColor="background1" w:themeShade="BF" w:sz="4" w:space="0"/>
        <w:insideH w:val="single" w:color="7BCA85" w:themeColor="background1" w:themeShade="BF" w:sz="4" w:space="0"/>
        <w:insideV w:val="single" w:color="7BCA85" w:themeColor="background1" w:themeShade="BF" w:sz="4" w:space="0"/>
      </w:tblBorders>
      <w:tblCellMar>
        <w:top w:w="0" w:type="dxa"/>
        <w:left w:w="108" w:type="dxa"/>
        <w:bottom w:w="0" w:type="dxa"/>
        <w:right w:w="108" w:type="dxa"/>
      </w:tblCellMar>
    </w:tblPr>
  </w:style>
  <w:style w:type="table" w:customStyle="1" w:styleId="438">
    <w:name w:val="无格式表格 11"/>
    <w:basedOn w:val="88"/>
    <w:qFormat/>
    <w:uiPriority w:val="41"/>
    <w:tblPr>
      <w:tblBorders>
        <w:top w:val="single" w:color="7BCA85" w:themeColor="background1" w:themeShade="BF" w:sz="4" w:space="0"/>
        <w:left w:val="single" w:color="7BCA85" w:themeColor="background1" w:themeShade="BF" w:sz="4" w:space="0"/>
        <w:bottom w:val="single" w:color="7BCA85" w:themeColor="background1" w:themeShade="BF" w:sz="4" w:space="0"/>
        <w:right w:val="single" w:color="7BCA85" w:themeColor="background1" w:themeShade="BF" w:sz="4" w:space="0"/>
        <w:insideH w:val="single" w:color="7BCA85" w:themeColor="background1" w:themeShade="BF" w:sz="4" w:space="0"/>
        <w:insideV w:val="single" w:color="7BCA85"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7BCA85" w:themeColor="background1" w:themeShade="BF" w:sz="4" w:space="0"/>
        </w:tcBorders>
      </w:tcPr>
    </w:tblStylePr>
    <w:tblStylePr w:type="firstCol">
      <w:rPr>
        <w:b/>
        <w:bCs/>
      </w:rPr>
    </w:tblStylePr>
    <w:tblStylePr w:type="lastCol">
      <w:rPr>
        <w:b/>
        <w:bCs/>
      </w:rPr>
    </w:tblStylePr>
    <w:tblStylePr w:type="band1Vert">
      <w:tcPr>
        <w:shd w:val="clear" w:color="auto" w:fill="BAE3BF" w:themeFill="background1" w:themeFillShade="F2"/>
      </w:tcPr>
    </w:tblStylePr>
    <w:tblStylePr w:type="band1Horz">
      <w:tcPr>
        <w:shd w:val="clear" w:color="auto" w:fill="BAE3BF" w:themeFill="background1" w:themeFillShade="F2"/>
      </w:tcPr>
    </w:tblStylePr>
  </w:style>
  <w:style w:type="table" w:customStyle="1" w:styleId="439">
    <w:name w:val="无格式表格 21"/>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40">
    <w:name w:val="无格式表格 31"/>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BAE3BF" w:themeFill="background1" w:themeFillShade="F2"/>
      </w:tcPr>
    </w:tblStylePr>
    <w:tblStylePr w:type="band1Horz">
      <w:tcPr>
        <w:shd w:val="clear" w:color="auto" w:fill="BAE3BF" w:themeFill="background1" w:themeFillShade="F2"/>
      </w:tcPr>
    </w:tblStylePr>
    <w:tblStylePr w:type="neCell">
      <w:tcPr>
        <w:tcBorders>
          <w:left w:val="nil"/>
        </w:tcBorders>
      </w:tcPr>
    </w:tblStylePr>
    <w:tblStylePr w:type="nwCell">
      <w:tcPr>
        <w:tcBorders>
          <w:right w:val="nil"/>
        </w:tcBorders>
      </w:tcPr>
    </w:tblStylePr>
  </w:style>
  <w:style w:type="table" w:customStyle="1" w:styleId="441">
    <w:name w:val="无格式表格 41"/>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BAE3BF" w:themeFill="background1" w:themeFillShade="F2"/>
      </w:tcPr>
    </w:tblStylePr>
    <w:tblStylePr w:type="band1Horz">
      <w:tcPr>
        <w:shd w:val="clear" w:color="auto" w:fill="BAE3BF" w:themeFill="background1" w:themeFillShade="F2"/>
      </w:tcPr>
    </w:tblStylePr>
  </w:style>
  <w:style w:type="table" w:customStyle="1" w:styleId="442">
    <w:name w:val="无格式表格 51"/>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CAEACE"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CAEACE"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CAEACE"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CAEACE" w:themeFill="background1"/>
      </w:tcPr>
    </w:tblStylePr>
    <w:tblStylePr w:type="band1Vert">
      <w:tcPr>
        <w:shd w:val="clear" w:color="auto" w:fill="BAE3BF" w:themeFill="background1" w:themeFillShade="F2"/>
      </w:tcPr>
    </w:tblStylePr>
    <w:tblStylePr w:type="band1Horz">
      <w:tcPr>
        <w:shd w:val="clear" w:color="auto" w:fill="BAE3BF"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443">
    <w:name w:val="主送对象"/>
    <w:qFormat/>
    <w:uiPriority w:val="0"/>
    <w:rPr>
      <w:rFonts w:hint="eastAsia" w:ascii="汉仪正圆 55简" w:hAnsi="汉仪正圆 55简" w:eastAsia="汉仪正圆 55简" w:cstheme="minorBidi"/>
      <w:sz w:val="24"/>
      <w:szCs w:val="24"/>
      <w:lang w:val="en-US" w:eastAsia="zh-CN" w:bidi="ar-SA"/>
    </w:rPr>
  </w:style>
  <w:style w:type="paragraph" w:customStyle="1" w:styleId="444">
    <w:name w:val="文档说明标题"/>
    <w:qFormat/>
    <w:uiPriority w:val="0"/>
    <w:pPr>
      <w:adjustRightInd w:val="0"/>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45">
    <w:name w:val="章前标题"/>
    <w:qFormat/>
    <w:uiPriority w:val="0"/>
    <w:pPr>
      <w:adjustRightInd w:val="0"/>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46">
    <w:name w:val="声明标题"/>
    <w:qFormat/>
    <w:uiPriority w:val="0"/>
    <w:pPr>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47">
    <w:name w:val="声明正文"/>
    <w:basedOn w:val="1"/>
    <w:qFormat/>
    <w:uiPriority w:val="0"/>
    <w:pPr>
      <w:ind w:firstLine="1041"/>
    </w:pPr>
    <w:rPr>
      <w:rFonts w:hint="eastAsia"/>
    </w:rPr>
  </w:style>
  <w:style w:type="paragraph" w:customStyle="1" w:styleId="448">
    <w:name w:val="摘要标题"/>
    <w:basedOn w:val="59"/>
    <w:qFormat/>
    <w:uiPriority w:val="0"/>
    <w:pPr>
      <w:jc w:val="center"/>
    </w:pPr>
    <w:rPr>
      <w:kern w:val="28"/>
      <w:sz w:val="44"/>
      <w:szCs w:val="44"/>
    </w:rPr>
  </w:style>
  <w:style w:type="paragraph" w:customStyle="1" w:styleId="449">
    <w:name w:val="摘要正文"/>
    <w:basedOn w:val="1"/>
    <w:qFormat/>
    <w:uiPriority w:val="0"/>
    <w:pPr>
      <w:ind w:firstLine="1041"/>
    </w:pPr>
    <w:rPr>
      <w:rFonts w:hint="eastAsia"/>
    </w:rPr>
  </w:style>
  <w:style w:type="paragraph" w:customStyle="1" w:styleId="450">
    <w:name w:val="关键词正文"/>
    <w:qFormat/>
    <w:uiPriority w:val="0"/>
    <w:rPr>
      <w:rFonts w:ascii="汉仪正圆 55简" w:hAnsi="汉仪正圆 55简" w:eastAsia="汉仪正圆 55简" w:cstheme="minorBidi"/>
      <w:sz w:val="24"/>
      <w:szCs w:val="24"/>
      <w:lang w:val="en-US" w:eastAsia="zh-CN" w:bidi="ar-SA"/>
    </w:rPr>
  </w:style>
  <w:style w:type="paragraph" w:customStyle="1" w:styleId="451">
    <w:name w:val="英文摘要标题"/>
    <w:qFormat/>
    <w:uiPriority w:val="0"/>
    <w:pPr>
      <w:adjustRightInd w:val="0"/>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52">
    <w:name w:val="英文摘要正文"/>
    <w:basedOn w:val="1"/>
    <w:qFormat/>
    <w:uiPriority w:val="0"/>
    <w:pPr>
      <w:ind w:firstLine="1041"/>
    </w:pPr>
    <w:rPr>
      <w:rFonts w:hint="eastAsia"/>
    </w:rPr>
  </w:style>
  <w:style w:type="paragraph" w:customStyle="1" w:styleId="453">
    <w:name w:val="英文关键词正文"/>
    <w:qFormat/>
    <w:uiPriority w:val="0"/>
    <w:pPr>
      <w:adjustRightInd w:val="0"/>
      <w:snapToGrid w:val="0"/>
      <w:spacing w:after="50" w:afterLines="50"/>
    </w:pPr>
    <w:rPr>
      <w:rFonts w:hint="eastAsia" w:ascii="汉仪正圆 55简" w:hAnsi="汉仪正圆 55简" w:eastAsia="汉仪正圆 55简" w:cstheme="minorBidi"/>
      <w:sz w:val="24"/>
      <w:szCs w:val="24"/>
      <w:lang w:val="en-US" w:eastAsia="zh-CN" w:bidi="ar-SA"/>
    </w:rPr>
  </w:style>
  <w:style w:type="paragraph" w:customStyle="1" w:styleId="454">
    <w:name w:val="参考文献标题"/>
    <w:qFormat/>
    <w:uiPriority w:val="0"/>
    <w:pPr>
      <w:adjustRightInd w:val="0"/>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55">
    <w:name w:val="参考文献条目"/>
    <w:qFormat/>
    <w:uiPriority w:val="0"/>
    <w:pPr>
      <w:numPr>
        <w:ilvl w:val="0"/>
        <w:numId w:val="11"/>
      </w:numPr>
      <w:adjustRightInd w:val="0"/>
      <w:snapToGrid w:val="0"/>
      <w:ind w:left="0" w:firstLine="0"/>
    </w:pPr>
    <w:rPr>
      <w:rFonts w:hint="eastAsia" w:ascii="汉仪正圆 55简" w:hAnsi="汉仪正圆 55简" w:eastAsia="汉仪正圆 55简" w:cstheme="minorBidi"/>
      <w:sz w:val="21"/>
      <w:szCs w:val="21"/>
      <w:lang w:val="en-US" w:eastAsia="zh-CN" w:bidi="ar-SA"/>
    </w:rPr>
  </w:style>
  <w:style w:type="paragraph" w:customStyle="1" w:styleId="456">
    <w:name w:val="致谢标题"/>
    <w:qFormat/>
    <w:uiPriority w:val="0"/>
    <w:pPr>
      <w:adjustRightInd w:val="0"/>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57">
    <w:name w:val="致谢正文"/>
    <w:basedOn w:val="1"/>
    <w:qFormat/>
    <w:uiPriority w:val="0"/>
    <w:pPr>
      <w:ind w:firstLine="1041"/>
      <w:jc w:val="left"/>
    </w:pPr>
    <w:rPr>
      <w:rFonts w:hint="eastAsia"/>
    </w:rPr>
  </w:style>
  <w:style w:type="paragraph" w:customStyle="1" w:styleId="458">
    <w:name w:val="表格标题"/>
    <w:qFormat/>
    <w:uiPriority w:val="0"/>
    <w:pPr>
      <w:numPr>
        <w:ilvl w:val="0"/>
        <w:numId w:val="12"/>
      </w:numPr>
      <w:adjustRightInd w:val="0"/>
      <w:snapToGrid w:val="0"/>
      <w:jc w:val="center"/>
    </w:pPr>
    <w:rPr>
      <w:rFonts w:hint="eastAsia" w:ascii="汉仪正圆 55简" w:hAnsi="汉仪正圆 55简" w:eastAsia="汉仪正圆 55简" w:cstheme="minorBidi"/>
      <w:sz w:val="21"/>
      <w:szCs w:val="21"/>
      <w:lang w:val="en-US" w:eastAsia="zh-CN" w:bidi="ar-SA"/>
    </w:rPr>
  </w:style>
  <w:style w:type="paragraph" w:customStyle="1" w:styleId="459">
    <w:name w:val="图片标题"/>
    <w:qFormat/>
    <w:uiPriority w:val="0"/>
    <w:pPr>
      <w:numPr>
        <w:ilvl w:val="0"/>
        <w:numId w:val="13"/>
      </w:numPr>
      <w:adjustRightInd w:val="0"/>
      <w:snapToGrid w:val="0"/>
      <w:jc w:val="center"/>
    </w:pPr>
    <w:rPr>
      <w:rFonts w:hint="eastAsia" w:ascii="汉仪正圆 55简" w:hAnsi="汉仪正圆 55简" w:eastAsia="汉仪正圆 55简" w:cstheme="minorBidi"/>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emf"/><Relationship Id="rId22" Type="http://schemas.openxmlformats.org/officeDocument/2006/relationships/image" Target="media/image3.emf"/><Relationship Id="rId21" Type="http://schemas.openxmlformats.org/officeDocument/2006/relationships/image" Target="media/image2.emf"/><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07DB31-4D13-4C60-A496-6318421722F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169</Pages>
  <Words>45109</Words>
  <Characters>47619</Characters>
  <Lines>987</Lines>
  <Paragraphs>278</Paragraphs>
  <TotalTime>31</TotalTime>
  <ScaleCrop>false</ScaleCrop>
  <LinksUpToDate>false</LinksUpToDate>
  <CharactersWithSpaces>49970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2023-09-12T03:31:00Z</dcterms:created>
  <dc:creator>侠名</dc:creator>
  <cp:lastModifiedBy>JK</cp:lastModifiedBy>
  <cp:lastPrinted>2025-01-09T09:44:00Z</cp:lastPrinted>
  <dcterms:modified xsi:type="dcterms:W3CDTF">2025-08-29T05:41:43Z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225258BD885C4FB8831BDF79664BA236_13</vt:lpwstr>
  </property>
  <property fmtid="{D5CDD505-2E9C-101B-9397-08002B2CF9AE}" pid="4" name="KSOTemplateDocerSaveRecord">
    <vt:lpwstr>eyJoZGlkIjoiMDQzZmJjOGUxNWQ3ZjZiNmQ3NmU4OTRkOWEwMmE1Y2MiLCJ1c2VySWQiOiIyNTYxMzEyMzgifQ==</vt:lpwstr>
  </property>
</Properties>
</file>