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F9248">
      <w:pPr>
        <w:snapToGrid w:val="0"/>
        <w:rPr>
          <w:rFonts w:ascii="宋体" w:hAnsi="宋体" w:cs="宋体"/>
          <w:b/>
          <w:sz w:val="44"/>
          <w:szCs w:val="44"/>
          <w:highlight w:val="none"/>
        </w:rPr>
      </w:pPr>
      <w:bookmarkStart w:id="28" w:name="_GoBack"/>
      <w:bookmarkEnd w:id="28"/>
    </w:p>
    <w:p w14:paraId="565B0EC5">
      <w:pPr>
        <w:rPr>
          <w:highlight w:val="none"/>
        </w:rPr>
      </w:pPr>
    </w:p>
    <w:p w14:paraId="0CB80C25">
      <w:pPr>
        <w:snapToGrid w:val="0"/>
        <w:spacing w:line="360" w:lineRule="auto"/>
        <w:jc w:val="center"/>
        <w:rPr>
          <w:rFonts w:ascii="黑体" w:hAnsi="黑体" w:eastAsia="黑体" w:cs="宋体"/>
          <w:b/>
          <w:sz w:val="48"/>
          <w:szCs w:val="48"/>
          <w:highlight w:val="none"/>
        </w:rPr>
      </w:pPr>
      <w:r>
        <w:rPr>
          <w:rFonts w:hint="eastAsia" w:ascii="黑体" w:hAnsi="黑体" w:eastAsia="黑体" w:cs="宋体"/>
          <w:b/>
          <w:sz w:val="48"/>
          <w:szCs w:val="48"/>
          <w:highlight w:val="none"/>
        </w:rPr>
        <w:t>广州铁路枢纽东北货车外绕线项目双岗村安置房建设项目第三方检测、监测服务合同</w:t>
      </w:r>
    </w:p>
    <w:p w14:paraId="13339307">
      <w:pPr>
        <w:pStyle w:val="83"/>
        <w:spacing w:before="468" w:beforeLines="150" w:after="312" w:afterLines="100"/>
        <w:outlineLvl w:val="0"/>
        <w:rPr>
          <w:rFonts w:ascii="黑体" w:hAnsi="黑体" w:eastAsia="黑体"/>
          <w:b/>
          <w:sz w:val="48"/>
          <w:szCs w:val="48"/>
          <w:highlight w:val="none"/>
        </w:rPr>
      </w:pPr>
    </w:p>
    <w:p w14:paraId="201DAC0B">
      <w:pPr>
        <w:pStyle w:val="83"/>
        <w:tabs>
          <w:tab w:val="left" w:pos="2268"/>
        </w:tabs>
        <w:spacing w:before="312" w:beforeLines="100"/>
        <w:ind w:left="1405" w:hanging="1405" w:hangingChars="500"/>
        <w:jc w:val="left"/>
        <w:rPr>
          <w:rFonts w:ascii="黑体" w:hAnsi="宋体" w:eastAsia="黑体"/>
          <w:sz w:val="28"/>
          <w:szCs w:val="28"/>
          <w:highlight w:val="none"/>
          <w:u w:val="single"/>
        </w:rPr>
      </w:pPr>
      <w:r>
        <w:rPr>
          <w:rFonts w:hint="eastAsia" w:ascii="黑体" w:hAnsi="宋体" w:eastAsia="黑体"/>
          <w:b/>
          <w:sz w:val="28"/>
          <w:szCs w:val="28"/>
          <w:highlight w:val="none"/>
        </w:rPr>
        <w:t>项目名称</w:t>
      </w:r>
      <w:r>
        <w:rPr>
          <w:rFonts w:hint="eastAsia" w:ascii="黑体" w:hAnsi="宋体" w:eastAsia="黑体"/>
          <w:sz w:val="28"/>
          <w:szCs w:val="28"/>
          <w:highlight w:val="none"/>
        </w:rPr>
        <w:t>：</w:t>
      </w:r>
      <w:r>
        <w:rPr>
          <w:rFonts w:hint="eastAsia" w:ascii="黑体" w:hAnsi="宋体" w:eastAsia="黑体"/>
          <w:sz w:val="28"/>
          <w:szCs w:val="28"/>
          <w:highlight w:val="none"/>
          <w:u w:val="single"/>
        </w:rPr>
        <w:t>广州铁路枢纽东北货车外绕线项目双岗村安置房建设项目第三方检测、监测</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rPr>
        <w:t xml:space="preserve"> </w:t>
      </w:r>
      <w:r>
        <w:rPr>
          <w:rFonts w:ascii="黑体" w:hAnsi="宋体" w:eastAsia="黑体"/>
          <w:sz w:val="28"/>
          <w:szCs w:val="28"/>
          <w:highlight w:val="none"/>
          <w:u w:val="single"/>
        </w:rPr>
        <w:t xml:space="preserve">    </w:t>
      </w:r>
    </w:p>
    <w:p w14:paraId="5410A986">
      <w:pPr>
        <w:pStyle w:val="83"/>
        <w:tabs>
          <w:tab w:val="left" w:pos="1180"/>
        </w:tabs>
        <w:jc w:val="left"/>
        <w:rPr>
          <w:rFonts w:ascii="黑体" w:hAnsi="宋体" w:eastAsia="黑体"/>
          <w:sz w:val="28"/>
          <w:szCs w:val="28"/>
          <w:highlight w:val="none"/>
        </w:rPr>
      </w:pPr>
      <w:r>
        <w:rPr>
          <w:rFonts w:hint="eastAsia" w:ascii="黑体" w:hAnsi="宋体" w:eastAsia="黑体"/>
          <w:b/>
          <w:sz w:val="28"/>
          <w:szCs w:val="28"/>
          <w:highlight w:val="none"/>
        </w:rPr>
        <w:t>项目地点</w:t>
      </w:r>
      <w:r>
        <w:rPr>
          <w:rFonts w:ascii="黑体" w:hAnsi="宋体" w:eastAsia="黑体"/>
          <w:sz w:val="28"/>
          <w:szCs w:val="28"/>
          <w:highlight w:val="none"/>
        </w:rPr>
        <w:tab/>
      </w:r>
      <w:r>
        <w:rPr>
          <w:rFonts w:hint="eastAsia" w:ascii="黑体" w:hAnsi="宋体" w:eastAsia="黑体"/>
          <w:sz w:val="28"/>
          <w:szCs w:val="28"/>
          <w:highlight w:val="none"/>
        </w:rPr>
        <w:t>：</w:t>
      </w:r>
      <w:r>
        <w:rPr>
          <w:rFonts w:hint="eastAsia" w:ascii="黑体" w:hAnsi="宋体" w:eastAsia="黑体"/>
          <w:sz w:val="28"/>
          <w:szCs w:val="28"/>
          <w:highlight w:val="none"/>
          <w:u w:val="single"/>
        </w:rPr>
        <w:t>广州市白云区</w:t>
      </w:r>
      <w:r>
        <w:rPr>
          <w:rFonts w:ascii="黑体" w:hAnsi="宋体" w:eastAsia="黑体"/>
          <w:sz w:val="28"/>
          <w:szCs w:val="28"/>
          <w:highlight w:val="none"/>
          <w:u w:val="single"/>
        </w:rPr>
        <w:t xml:space="preserve">                                          </w:t>
      </w:r>
    </w:p>
    <w:p w14:paraId="775786D6">
      <w:pPr>
        <w:pStyle w:val="83"/>
        <w:tabs>
          <w:tab w:val="left" w:pos="2268"/>
        </w:tabs>
        <w:spacing w:before="312" w:beforeLines="100"/>
        <w:ind w:left="843" w:hanging="843" w:hangingChars="300"/>
        <w:jc w:val="left"/>
        <w:rPr>
          <w:rFonts w:ascii="黑体" w:hAnsi="宋体" w:eastAsia="黑体"/>
          <w:sz w:val="28"/>
          <w:szCs w:val="28"/>
          <w:highlight w:val="none"/>
        </w:rPr>
      </w:pPr>
      <w:r>
        <w:rPr>
          <w:rFonts w:hint="eastAsia" w:ascii="黑体" w:hAnsi="宋体" w:eastAsia="黑体"/>
          <w:b/>
          <w:sz w:val="28"/>
          <w:szCs w:val="28"/>
          <w:highlight w:val="none"/>
        </w:rPr>
        <w:t>建设单位</w:t>
      </w:r>
      <w:r>
        <w:rPr>
          <w:rFonts w:hint="eastAsia" w:ascii="黑体" w:hAnsi="宋体" w:eastAsia="黑体"/>
          <w:sz w:val="28"/>
          <w:szCs w:val="28"/>
          <w:highlight w:val="none"/>
        </w:rPr>
        <w:t>：</w:t>
      </w:r>
      <w:r>
        <w:rPr>
          <w:rFonts w:hint="eastAsia" w:ascii="黑体" w:hAnsi="宋体" w:eastAsia="黑体"/>
          <w:sz w:val="28"/>
          <w:szCs w:val="28"/>
          <w:highlight w:val="none"/>
          <w:u w:val="single"/>
        </w:rPr>
        <w:t>广州市白云区江高镇人民政府</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lang w:val="en-US" w:eastAsia="zh-CN"/>
        </w:rPr>
        <w:t xml:space="preserve">                        </w:t>
      </w:r>
      <w:r>
        <w:rPr>
          <w:rFonts w:hint="eastAsia" w:ascii="黑体" w:hAnsi="宋体" w:eastAsia="黑体"/>
          <w:sz w:val="28"/>
          <w:szCs w:val="28"/>
          <w:highlight w:val="none"/>
          <w:u w:val="single"/>
        </w:rPr>
        <w:t xml:space="preserve"> </w:t>
      </w:r>
      <w:r>
        <w:rPr>
          <w:rFonts w:ascii="黑体" w:hAnsi="宋体" w:eastAsia="黑体"/>
          <w:sz w:val="28"/>
          <w:szCs w:val="28"/>
          <w:highlight w:val="none"/>
          <w:u w:val="single"/>
        </w:rPr>
        <w:t xml:space="preserve">   </w:t>
      </w:r>
    </w:p>
    <w:p w14:paraId="4D1ED050">
      <w:pPr>
        <w:pStyle w:val="83"/>
        <w:tabs>
          <w:tab w:val="left" w:pos="2268"/>
        </w:tabs>
        <w:jc w:val="left"/>
        <w:rPr>
          <w:rFonts w:ascii="黑体" w:hAnsi="宋体" w:eastAsia="黑体"/>
          <w:sz w:val="28"/>
          <w:szCs w:val="28"/>
          <w:highlight w:val="none"/>
          <w:u w:val="single"/>
        </w:rPr>
      </w:pPr>
      <w:r>
        <w:rPr>
          <w:rFonts w:hint="eastAsia" w:ascii="黑体" w:hAnsi="宋体" w:eastAsia="黑体"/>
          <w:b/>
          <w:sz w:val="28"/>
          <w:szCs w:val="28"/>
          <w:highlight w:val="none"/>
        </w:rPr>
        <w:t>合同编号</w:t>
      </w:r>
      <w:r>
        <w:rPr>
          <w:rFonts w:hint="eastAsia" w:ascii="黑体" w:hAnsi="宋体" w:eastAsia="黑体"/>
          <w:sz w:val="28"/>
          <w:szCs w:val="28"/>
          <w:highlight w:val="none"/>
        </w:rPr>
        <w:t>：</w:t>
      </w:r>
      <w:r>
        <w:rPr>
          <w:rFonts w:hint="eastAsia" w:hAnsi="宋体" w:eastAsia="黑体"/>
          <w:sz w:val="28"/>
          <w:szCs w:val="28"/>
          <w:highlight w:val="none"/>
          <w:u w:val="single"/>
        </w:rPr>
        <w:t xml:space="preserve">                             </w:t>
      </w:r>
      <w:r>
        <w:rPr>
          <w:rFonts w:hAnsi="宋体" w:eastAsia="黑体"/>
          <w:sz w:val="28"/>
          <w:szCs w:val="28"/>
          <w:highlight w:val="none"/>
          <w:u w:val="single"/>
        </w:rPr>
        <w:t xml:space="preserve">    </w:t>
      </w:r>
      <w:r>
        <w:rPr>
          <w:rFonts w:hint="eastAsia" w:hAnsi="宋体" w:eastAsia="黑体"/>
          <w:sz w:val="28"/>
          <w:szCs w:val="28"/>
          <w:highlight w:val="none"/>
          <w:u w:val="single"/>
          <w:lang w:val="en-US" w:eastAsia="zh-CN"/>
        </w:rPr>
        <w:t xml:space="preserve">                    </w:t>
      </w:r>
      <w:r>
        <w:rPr>
          <w:rFonts w:hAnsi="宋体" w:eastAsia="黑体"/>
          <w:sz w:val="28"/>
          <w:szCs w:val="28"/>
          <w:highlight w:val="none"/>
          <w:u w:val="single"/>
        </w:rPr>
        <w:t xml:space="preserve"> </w:t>
      </w:r>
    </w:p>
    <w:p w14:paraId="08110436">
      <w:pPr>
        <w:pStyle w:val="83"/>
        <w:tabs>
          <w:tab w:val="left" w:pos="1720"/>
        </w:tabs>
        <w:spacing w:before="312" w:beforeLines="100"/>
        <w:jc w:val="left"/>
        <w:rPr>
          <w:rFonts w:ascii="黑体" w:hAnsi="宋体" w:eastAsia="黑体"/>
          <w:sz w:val="28"/>
          <w:szCs w:val="28"/>
          <w:highlight w:val="none"/>
        </w:rPr>
      </w:pPr>
      <w:r>
        <w:rPr>
          <w:rFonts w:hint="eastAsia" w:ascii="黑体" w:hAnsi="宋体" w:eastAsia="黑体"/>
          <w:b/>
          <w:sz w:val="28"/>
          <w:szCs w:val="28"/>
          <w:highlight w:val="none"/>
        </w:rPr>
        <w:t>工程建设管理单位</w:t>
      </w:r>
      <w:r>
        <w:rPr>
          <w:rFonts w:hint="eastAsia" w:ascii="黑体" w:hAnsi="宋体" w:eastAsia="黑体"/>
          <w:sz w:val="28"/>
          <w:szCs w:val="28"/>
          <w:highlight w:val="none"/>
        </w:rPr>
        <w:t>：</w:t>
      </w:r>
      <w:r>
        <w:rPr>
          <w:rFonts w:hint="eastAsia" w:ascii="黑体" w:hAnsi="宋体" w:eastAsia="黑体"/>
          <w:sz w:val="28"/>
          <w:szCs w:val="28"/>
          <w:highlight w:val="none"/>
          <w:u w:val="single"/>
        </w:rPr>
        <w:t>广州市白云</w:t>
      </w:r>
      <w:r>
        <w:rPr>
          <w:rFonts w:hint="eastAsia" w:ascii="黑体" w:hAnsi="宋体" w:eastAsia="黑体"/>
          <w:sz w:val="28"/>
          <w:szCs w:val="28"/>
          <w:highlight w:val="none"/>
          <w:u w:val="single"/>
          <w:lang w:eastAsia="zh-CN"/>
        </w:rPr>
        <w:t>城市建设投资</w:t>
      </w:r>
      <w:r>
        <w:rPr>
          <w:rFonts w:hint="eastAsia" w:ascii="黑体" w:hAnsi="宋体" w:eastAsia="黑体"/>
          <w:sz w:val="28"/>
          <w:szCs w:val="28"/>
          <w:highlight w:val="none"/>
          <w:u w:val="single"/>
        </w:rPr>
        <w:t>有限公司</w:t>
      </w:r>
      <w:r>
        <w:rPr>
          <w:rFonts w:ascii="黑体" w:hAnsi="宋体" w:eastAsia="黑体"/>
          <w:sz w:val="28"/>
          <w:szCs w:val="28"/>
          <w:highlight w:val="none"/>
          <w:u w:val="single"/>
        </w:rPr>
        <w:t xml:space="preserve"> </w:t>
      </w:r>
      <w:r>
        <w:rPr>
          <w:rFonts w:hAnsi="宋体" w:eastAsia="黑体"/>
          <w:sz w:val="28"/>
          <w:szCs w:val="28"/>
          <w:highlight w:val="none"/>
          <w:u w:val="single"/>
        </w:rPr>
        <w:t xml:space="preserve">                               </w:t>
      </w:r>
    </w:p>
    <w:p w14:paraId="52BA3EA6">
      <w:pPr>
        <w:pStyle w:val="83"/>
        <w:tabs>
          <w:tab w:val="left" w:pos="2268"/>
        </w:tabs>
        <w:jc w:val="left"/>
        <w:rPr>
          <w:rFonts w:ascii="黑体" w:hAnsi="宋体" w:eastAsia="黑体"/>
          <w:sz w:val="28"/>
          <w:szCs w:val="28"/>
          <w:highlight w:val="none"/>
        </w:rPr>
      </w:pPr>
      <w:r>
        <w:rPr>
          <w:rFonts w:hint="eastAsia" w:ascii="黑体" w:hAnsi="宋体" w:eastAsia="黑体"/>
          <w:b/>
          <w:sz w:val="28"/>
          <w:szCs w:val="28"/>
          <w:highlight w:val="none"/>
        </w:rPr>
        <w:t>合同编号</w:t>
      </w:r>
      <w:r>
        <w:rPr>
          <w:rFonts w:hint="eastAsia" w:ascii="黑体" w:hAnsi="宋体" w:eastAsia="黑体"/>
          <w:sz w:val="28"/>
          <w:szCs w:val="28"/>
          <w:highlight w:val="none"/>
        </w:rPr>
        <w:t>：</w:t>
      </w:r>
      <w:r>
        <w:rPr>
          <w:rFonts w:hint="eastAsia" w:ascii="黑体" w:hAnsi="宋体" w:eastAsia="黑体"/>
          <w:sz w:val="28"/>
          <w:szCs w:val="28"/>
          <w:highlight w:val="none"/>
          <w:u w:val="single"/>
        </w:rPr>
        <w:t xml:space="preserve"> </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rPr>
        <w:t xml:space="preserve">             </w:t>
      </w:r>
      <w:r>
        <w:rPr>
          <w:rFonts w:ascii="黑体" w:hAnsi="宋体" w:eastAsia="黑体"/>
          <w:sz w:val="28"/>
          <w:szCs w:val="28"/>
          <w:highlight w:val="none"/>
          <w:u w:val="single"/>
        </w:rPr>
        <w:t xml:space="preserve">         </w:t>
      </w:r>
    </w:p>
    <w:p w14:paraId="1403A079">
      <w:pPr>
        <w:spacing w:before="312" w:beforeLines="100" w:after="0" w:afterLines="0" w:line="360" w:lineRule="auto"/>
        <w:jc w:val="left"/>
        <w:rPr>
          <w:rFonts w:ascii="黑体" w:hAnsi="宋体" w:eastAsia="黑体"/>
          <w:color w:val="000000" w:themeColor="text1"/>
          <w:sz w:val="28"/>
          <w:szCs w:val="28"/>
          <w:highlight w:val="none"/>
          <w:u w:val="single"/>
          <w14:textFill>
            <w14:solidFill>
              <w14:schemeClr w14:val="tx1"/>
            </w14:solidFill>
          </w14:textFill>
        </w:rPr>
      </w:pPr>
      <w:r>
        <w:rPr>
          <w:rFonts w:hint="eastAsia" w:ascii="黑体" w:hAnsi="宋体" w:eastAsia="黑体"/>
          <w:b/>
          <w:color w:val="000000" w:themeColor="text1"/>
          <w:sz w:val="28"/>
          <w:szCs w:val="28"/>
          <w:highlight w:val="none"/>
          <w14:textFill>
            <w14:solidFill>
              <w14:schemeClr w14:val="tx1"/>
            </w14:solidFill>
          </w14:textFill>
        </w:rPr>
        <w:t>检测单位</w:t>
      </w:r>
      <w:r>
        <w:rPr>
          <w:rFonts w:hint="eastAsia" w:ascii="黑体" w:hAnsi="宋体" w:eastAsia="黑体"/>
          <w:color w:val="000000" w:themeColor="text1"/>
          <w:sz w:val="28"/>
          <w:szCs w:val="28"/>
          <w:highlight w:val="none"/>
          <w14:textFill>
            <w14:solidFill>
              <w14:schemeClr w14:val="tx1"/>
            </w14:solidFill>
          </w14:textFill>
        </w:rPr>
        <w:t>：</w:t>
      </w:r>
      <w:r>
        <w:rPr>
          <w:rFonts w:ascii="黑体" w:hAnsi="宋体" w:eastAsia="黑体"/>
          <w:color w:val="000000" w:themeColor="text1"/>
          <w:sz w:val="28"/>
          <w:szCs w:val="28"/>
          <w:highlight w:val="none"/>
          <w:u w:val="single"/>
          <w14:textFill>
            <w14:solidFill>
              <w14:schemeClr w14:val="tx1"/>
            </w14:solidFill>
          </w14:textFill>
        </w:rPr>
        <w:t xml:space="preserve">            </w:t>
      </w:r>
      <w:r>
        <w:rPr>
          <w:rFonts w:hint="eastAsia" w:ascii="黑体" w:hAnsi="宋体" w:eastAsia="黑体"/>
          <w:color w:val="000000" w:themeColor="text1"/>
          <w:sz w:val="28"/>
          <w:szCs w:val="28"/>
          <w:highlight w:val="none"/>
          <w:u w:val="single"/>
          <w14:textFill>
            <w14:solidFill>
              <w14:schemeClr w14:val="tx1"/>
            </w14:solidFill>
          </w14:textFill>
        </w:rPr>
        <w:t xml:space="preserve">                          </w:t>
      </w:r>
      <w:r>
        <w:rPr>
          <w:rFonts w:hint="eastAsia" w:ascii="黑体" w:hAnsi="宋体" w:eastAsia="黑体"/>
          <w:color w:val="000000" w:themeColor="text1"/>
          <w:sz w:val="28"/>
          <w:szCs w:val="28"/>
          <w:highlight w:val="none"/>
          <w:u w:val="single"/>
          <w:lang w:val="en-US" w:eastAsia="zh-CN"/>
          <w14:textFill>
            <w14:solidFill>
              <w14:schemeClr w14:val="tx1"/>
            </w14:solidFill>
          </w14:textFill>
        </w:rPr>
        <w:t xml:space="preserve"> </w:t>
      </w:r>
      <w:r>
        <w:rPr>
          <w:rFonts w:hint="eastAsia" w:ascii="黑体" w:hAnsi="宋体" w:eastAsia="黑体"/>
          <w:color w:val="000000" w:themeColor="text1"/>
          <w:sz w:val="28"/>
          <w:szCs w:val="28"/>
          <w:highlight w:val="none"/>
          <w:u w:val="single"/>
          <w14:textFill>
            <w14:solidFill>
              <w14:schemeClr w14:val="tx1"/>
            </w14:solidFill>
          </w14:textFill>
        </w:rPr>
        <w:t xml:space="preserve">        </w:t>
      </w:r>
      <w:r>
        <w:rPr>
          <w:rFonts w:ascii="黑体" w:hAnsi="宋体" w:eastAsia="黑体"/>
          <w:color w:val="000000" w:themeColor="text1"/>
          <w:sz w:val="28"/>
          <w:szCs w:val="28"/>
          <w:highlight w:val="none"/>
          <w:u w:val="single"/>
          <w14:textFill>
            <w14:solidFill>
              <w14:schemeClr w14:val="tx1"/>
            </w14:solidFill>
          </w14:textFill>
        </w:rPr>
        <w:t xml:space="preserve">   </w:t>
      </w:r>
    </w:p>
    <w:p w14:paraId="36F8FA7F">
      <w:pPr>
        <w:spacing w:before="0" w:beforeLines="0" w:after="468" w:afterLines="150" w:line="360" w:lineRule="auto"/>
        <w:jc w:val="left"/>
        <w:rPr>
          <w:rFonts w:ascii="黑体" w:hAnsi="宋体" w:eastAsia="黑体"/>
          <w:color w:val="000000" w:themeColor="text1"/>
          <w:sz w:val="28"/>
          <w:szCs w:val="28"/>
          <w:highlight w:val="none"/>
          <w:u w:val="single"/>
          <w14:textFill>
            <w14:solidFill>
              <w14:schemeClr w14:val="tx1"/>
            </w14:solidFill>
          </w14:textFill>
        </w:rPr>
      </w:pPr>
      <w:r>
        <w:rPr>
          <w:rFonts w:hint="eastAsia" w:ascii="黑体" w:hAnsi="宋体" w:eastAsia="黑体"/>
          <w:b/>
          <w:color w:val="000000" w:themeColor="text1"/>
          <w:sz w:val="28"/>
          <w:szCs w:val="28"/>
          <w:highlight w:val="none"/>
          <w14:textFill>
            <w14:solidFill>
              <w14:schemeClr w14:val="tx1"/>
            </w14:solidFill>
          </w14:textFill>
        </w:rPr>
        <w:t>合同编号</w:t>
      </w:r>
      <w:r>
        <w:rPr>
          <w:rFonts w:hint="eastAsia" w:ascii="黑体" w:hAnsi="宋体" w:eastAsia="黑体"/>
          <w:color w:val="000000" w:themeColor="text1"/>
          <w:sz w:val="28"/>
          <w:szCs w:val="28"/>
          <w:highlight w:val="none"/>
          <w14:textFill>
            <w14:solidFill>
              <w14:schemeClr w14:val="tx1"/>
            </w14:solidFill>
          </w14:textFill>
        </w:rPr>
        <w:t>：</w:t>
      </w:r>
      <w:r>
        <w:rPr>
          <w:rFonts w:ascii="黑体" w:hAnsi="宋体" w:eastAsia="黑体"/>
          <w:color w:val="000000" w:themeColor="text1"/>
          <w:sz w:val="28"/>
          <w:szCs w:val="28"/>
          <w:highlight w:val="none"/>
          <w:u w:val="single"/>
          <w14:textFill>
            <w14:solidFill>
              <w14:schemeClr w14:val="tx1"/>
            </w14:solidFill>
          </w14:textFill>
        </w:rPr>
        <w:t xml:space="preserve">                      </w:t>
      </w:r>
      <w:r>
        <w:rPr>
          <w:rFonts w:hint="eastAsia" w:ascii="黑体" w:hAnsi="宋体" w:eastAsia="黑体"/>
          <w:color w:val="000000" w:themeColor="text1"/>
          <w:sz w:val="28"/>
          <w:szCs w:val="28"/>
          <w:highlight w:val="none"/>
          <w:u w:val="single"/>
          <w14:textFill>
            <w14:solidFill>
              <w14:schemeClr w14:val="tx1"/>
            </w14:solidFill>
          </w14:textFill>
        </w:rPr>
        <w:t xml:space="preserve">                          </w:t>
      </w:r>
      <w:r>
        <w:rPr>
          <w:rFonts w:ascii="黑体" w:hAnsi="宋体" w:eastAsia="黑体"/>
          <w:color w:val="000000" w:themeColor="text1"/>
          <w:sz w:val="28"/>
          <w:szCs w:val="28"/>
          <w:highlight w:val="none"/>
          <w:u w:val="single"/>
          <w14:textFill>
            <w14:solidFill>
              <w14:schemeClr w14:val="tx1"/>
            </w14:solidFill>
          </w14:textFill>
        </w:rPr>
        <w:t xml:space="preserve">      </w:t>
      </w:r>
    </w:p>
    <w:p w14:paraId="648A7E62">
      <w:pPr>
        <w:pStyle w:val="83"/>
        <w:tabs>
          <w:tab w:val="left" w:pos="2268"/>
        </w:tabs>
        <w:spacing w:before="312" w:beforeLines="100" w:line="360" w:lineRule="auto"/>
        <w:jc w:val="left"/>
        <w:rPr>
          <w:rFonts w:ascii="黑体" w:hAnsi="宋体" w:eastAsia="黑体"/>
          <w:sz w:val="28"/>
          <w:szCs w:val="28"/>
          <w:highlight w:val="none"/>
        </w:rPr>
      </w:pPr>
      <w:r>
        <w:rPr>
          <w:rFonts w:hint="eastAsia" w:ascii="黑体" w:hAnsi="宋体" w:eastAsia="黑体"/>
          <w:b/>
          <w:sz w:val="28"/>
          <w:szCs w:val="28"/>
          <w:highlight w:val="none"/>
        </w:rPr>
        <w:t>签订地点</w:t>
      </w:r>
      <w:r>
        <w:rPr>
          <w:rFonts w:hint="eastAsia" w:ascii="黑体" w:hAnsi="宋体" w:eastAsia="黑体"/>
          <w:sz w:val="28"/>
          <w:szCs w:val="28"/>
          <w:highlight w:val="none"/>
        </w:rPr>
        <w:t>：</w:t>
      </w:r>
      <w:r>
        <w:rPr>
          <w:rFonts w:hint="eastAsia" w:ascii="黑体" w:hAnsi="宋体" w:eastAsia="黑体"/>
          <w:sz w:val="28"/>
          <w:szCs w:val="28"/>
          <w:highlight w:val="none"/>
          <w:u w:val="single"/>
        </w:rPr>
        <w:t>广州市白云区</w:t>
      </w:r>
      <w:r>
        <w:rPr>
          <w:rFonts w:hint="eastAsia" w:hAnsi="宋体" w:eastAsia="黑体"/>
          <w:sz w:val="28"/>
          <w:szCs w:val="28"/>
          <w:highlight w:val="none"/>
          <w:u w:val="single"/>
        </w:rPr>
        <w:t>           </w:t>
      </w:r>
      <w:r>
        <w:rPr>
          <w:rFonts w:hAnsi="宋体" w:eastAsia="黑体"/>
          <w:sz w:val="28"/>
          <w:szCs w:val="28"/>
          <w:highlight w:val="none"/>
          <w:u w:val="single"/>
        </w:rPr>
        <w:t xml:space="preserve">                    </w:t>
      </w:r>
    </w:p>
    <w:p w14:paraId="6C539D0E">
      <w:pPr>
        <w:pStyle w:val="83"/>
        <w:tabs>
          <w:tab w:val="left" w:pos="2268"/>
        </w:tabs>
        <w:spacing w:line="360" w:lineRule="auto"/>
        <w:jc w:val="left"/>
        <w:rPr>
          <w:rFonts w:ascii="黑体" w:hAnsi="宋体" w:eastAsia="黑体"/>
          <w:sz w:val="28"/>
          <w:szCs w:val="28"/>
          <w:highlight w:val="none"/>
          <w:u w:val="single"/>
        </w:rPr>
      </w:pPr>
      <w:r>
        <w:rPr>
          <w:rFonts w:hint="eastAsia" w:ascii="黑体" w:hAnsi="宋体" w:eastAsia="黑体"/>
          <w:b/>
          <w:sz w:val="28"/>
          <w:szCs w:val="28"/>
          <w:highlight w:val="none"/>
        </w:rPr>
        <w:t>签订日期</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lang w:val="en-US" w:eastAsia="zh-CN"/>
        </w:rPr>
        <w:t>2025</w:t>
      </w:r>
      <w:r>
        <w:rPr>
          <w:rFonts w:ascii="黑体" w:hAnsi="宋体" w:eastAsia="黑体"/>
          <w:sz w:val="28"/>
          <w:szCs w:val="28"/>
          <w:highlight w:val="none"/>
          <w:u w:val="single"/>
        </w:rPr>
        <w:t xml:space="preserve"> 年     月   </w:t>
      </w:r>
      <w:r>
        <w:rPr>
          <w:rFonts w:hint="eastAsia" w:ascii="黑体" w:hAnsi="宋体" w:eastAsia="黑体"/>
          <w:sz w:val="28"/>
          <w:szCs w:val="28"/>
          <w:highlight w:val="none"/>
          <w:u w:val="single"/>
          <w:lang w:val="en-US" w:eastAsia="zh-CN"/>
        </w:rPr>
        <w:t xml:space="preserve"> </w:t>
      </w:r>
      <w:r>
        <w:rPr>
          <w:rFonts w:ascii="黑体" w:hAnsi="宋体" w:eastAsia="黑体"/>
          <w:sz w:val="28"/>
          <w:szCs w:val="28"/>
          <w:highlight w:val="none"/>
          <w:u w:val="single"/>
        </w:rPr>
        <w:t xml:space="preserve"> 日</w:t>
      </w:r>
      <w:r>
        <w:rPr>
          <w:rFonts w:hint="eastAsia" w:hAnsi="宋体" w:eastAsia="黑体"/>
          <w:sz w:val="28"/>
          <w:szCs w:val="28"/>
          <w:highlight w:val="none"/>
          <w:u w:val="single"/>
        </w:rPr>
        <w:t>           </w:t>
      </w:r>
      <w:r>
        <w:rPr>
          <w:rFonts w:hAnsi="宋体" w:eastAsia="黑体"/>
          <w:sz w:val="28"/>
          <w:szCs w:val="28"/>
          <w:highlight w:val="none"/>
          <w:u w:val="single"/>
        </w:rPr>
        <w:t xml:space="preserve">           </w:t>
      </w:r>
    </w:p>
    <w:p w14:paraId="61646DF5">
      <w:pPr>
        <w:pStyle w:val="83"/>
        <w:tabs>
          <w:tab w:val="left" w:pos="2268"/>
        </w:tabs>
        <w:jc w:val="left"/>
        <w:rPr>
          <w:rFonts w:ascii="黑体" w:eastAsia="黑体"/>
          <w:highlight w:val="none"/>
        </w:rPr>
      </w:pPr>
    </w:p>
    <w:p w14:paraId="2F13A06A">
      <w:pPr>
        <w:pStyle w:val="83"/>
        <w:tabs>
          <w:tab w:val="left" w:pos="2268"/>
        </w:tabs>
        <w:jc w:val="left"/>
        <w:rPr>
          <w:rFonts w:ascii="黑体" w:eastAsia="黑体"/>
          <w:highlight w:val="none"/>
        </w:rPr>
        <w:sectPr>
          <w:footerReference r:id="rId6" w:type="first"/>
          <w:headerReference r:id="rId3" w:type="default"/>
          <w:footerReference r:id="rId4" w:type="default"/>
          <w:footerReference r:id="rId5" w:type="even"/>
          <w:pgSz w:w="11906" w:h="16838"/>
          <w:pgMar w:top="1440" w:right="1440" w:bottom="1440" w:left="1440" w:header="851" w:footer="992" w:gutter="0"/>
          <w:pgNumType w:start="1"/>
          <w:cols w:space="720" w:num="1"/>
          <w:titlePg/>
          <w:docGrid w:type="lines" w:linePitch="312" w:charSpace="0"/>
        </w:sectPr>
      </w:pPr>
    </w:p>
    <w:p w14:paraId="19AB295B">
      <w:pPr>
        <w:widowControl/>
        <w:jc w:val="left"/>
        <w:rPr>
          <w:rFonts w:ascii="黑体" w:hAnsi="Courier New" w:eastAsia="黑体"/>
          <w:szCs w:val="20"/>
          <w:highlight w:val="none"/>
        </w:rPr>
      </w:pPr>
    </w:p>
    <w:p w14:paraId="6EAF76BF">
      <w:pPr>
        <w:pStyle w:val="17"/>
        <w:snapToGrid w:val="0"/>
        <w:spacing w:line="360" w:lineRule="auto"/>
        <w:ind w:firstLine="630" w:firstLineChars="196"/>
        <w:jc w:val="center"/>
        <w:rPr>
          <w:rFonts w:hAnsi="宋体"/>
          <w:b/>
          <w:color w:val="000000" w:themeColor="text1"/>
          <w:sz w:val="24"/>
          <w:highlight w:val="none"/>
          <w14:textFill>
            <w14:solidFill>
              <w14:schemeClr w14:val="tx1"/>
            </w14:solidFill>
          </w14:textFill>
        </w:rPr>
      </w:pPr>
      <w:r>
        <w:rPr>
          <w:rFonts w:hAnsi="宋体"/>
          <w:b/>
          <w:color w:val="000000" w:themeColor="text1"/>
          <w:sz w:val="32"/>
          <w:szCs w:val="32"/>
          <w:highlight w:val="none"/>
          <w14:textFill>
            <w14:solidFill>
              <w14:schemeClr w14:val="tx1"/>
            </w14:solidFill>
          </w14:textFill>
        </w:rPr>
        <w:t>第一部分 协 议 书</w:t>
      </w:r>
    </w:p>
    <w:p w14:paraId="21815525">
      <w:pPr>
        <w:pStyle w:val="17"/>
        <w:snapToGrid w:val="0"/>
        <w:spacing w:line="360" w:lineRule="auto"/>
        <w:ind w:firstLine="472" w:firstLineChars="196"/>
        <w:rPr>
          <w:rFonts w:hAnsi="宋体"/>
          <w:b/>
          <w:kern w:val="2"/>
          <w:sz w:val="24"/>
          <w:szCs w:val="24"/>
          <w:highlight w:val="none"/>
          <w:u w:val="single"/>
        </w:rPr>
      </w:pPr>
      <w:r>
        <w:rPr>
          <w:rFonts w:hint="eastAsia" w:hAnsi="宋体"/>
          <w:b/>
          <w:kern w:val="2"/>
          <w:sz w:val="24"/>
          <w:szCs w:val="24"/>
          <w:highlight w:val="none"/>
        </w:rPr>
        <w:t>建设单位：</w:t>
      </w:r>
      <w:r>
        <w:rPr>
          <w:rFonts w:hint="eastAsia" w:hAnsi="宋体"/>
          <w:b/>
          <w:kern w:val="2"/>
          <w:sz w:val="24"/>
          <w:szCs w:val="24"/>
          <w:highlight w:val="none"/>
          <w:u w:val="single"/>
          <w:lang w:eastAsia="zh-CN"/>
        </w:rPr>
        <w:t>广州市白云区江高镇人民政府</w:t>
      </w:r>
      <w:r>
        <w:rPr>
          <w:rFonts w:hAnsi="宋体"/>
          <w:b/>
          <w:kern w:val="2"/>
          <w:sz w:val="24"/>
          <w:szCs w:val="24"/>
          <w:highlight w:val="none"/>
          <w:u w:val="single"/>
        </w:rPr>
        <w:t xml:space="preserve">                   </w:t>
      </w:r>
      <w:r>
        <w:rPr>
          <w:rFonts w:hint="eastAsia" w:hAnsi="宋体"/>
          <w:b/>
          <w:kern w:val="2"/>
          <w:sz w:val="24"/>
          <w:szCs w:val="24"/>
          <w:highlight w:val="none"/>
          <w:u w:val="single"/>
          <w:lang w:val="en-US" w:eastAsia="zh-CN"/>
        </w:rPr>
        <w:t xml:space="preserve">（以下简称“甲方”）         </w:t>
      </w:r>
      <w:r>
        <w:rPr>
          <w:rFonts w:hAnsi="宋体"/>
          <w:b/>
          <w:kern w:val="2"/>
          <w:sz w:val="24"/>
          <w:szCs w:val="24"/>
          <w:highlight w:val="none"/>
          <w:u w:val="single"/>
        </w:rPr>
        <w:t xml:space="preserve">   </w:t>
      </w:r>
      <w:r>
        <w:rPr>
          <w:rFonts w:hint="eastAsia" w:hAnsi="宋体"/>
          <w:b/>
          <w:kern w:val="2"/>
          <w:sz w:val="24"/>
          <w:szCs w:val="24"/>
          <w:highlight w:val="none"/>
          <w:u w:val="single"/>
          <w:lang w:val="en-US" w:eastAsia="zh-CN"/>
        </w:rPr>
        <w:t xml:space="preserve"> </w:t>
      </w:r>
      <w:r>
        <w:rPr>
          <w:rFonts w:hAnsi="宋体"/>
          <w:b/>
          <w:kern w:val="2"/>
          <w:sz w:val="24"/>
          <w:szCs w:val="24"/>
          <w:highlight w:val="none"/>
          <w:u w:val="single"/>
        </w:rPr>
        <w:t xml:space="preserve">  </w:t>
      </w:r>
    </w:p>
    <w:p w14:paraId="5935D02E">
      <w:pPr>
        <w:adjustRightInd w:val="0"/>
        <w:snapToGrid w:val="0"/>
        <w:spacing w:line="360" w:lineRule="auto"/>
        <w:ind w:firstLine="472" w:firstLineChars="196"/>
        <w:rPr>
          <w:rFonts w:ascii="宋体" w:hAnsi="宋体"/>
          <w:b/>
          <w:sz w:val="24"/>
          <w:highlight w:val="none"/>
          <w:u w:val="single"/>
        </w:rPr>
      </w:pPr>
      <w:r>
        <w:rPr>
          <w:rFonts w:hint="eastAsia" w:ascii="宋体" w:hAnsi="宋体"/>
          <w:b/>
          <w:sz w:val="24"/>
          <w:highlight w:val="none"/>
        </w:rPr>
        <w:t>法定代表人：</w:t>
      </w:r>
      <w:r>
        <w:rPr>
          <w:rFonts w:ascii="宋体" w:hAnsi="宋体"/>
          <w:b/>
          <w:sz w:val="24"/>
          <w:highlight w:val="none"/>
          <w:u w:val="single"/>
        </w:rPr>
        <w:t xml:space="preserve">                                                       </w:t>
      </w:r>
      <w:r>
        <w:rPr>
          <w:rFonts w:hint="eastAsia" w:ascii="宋体" w:hAnsi="宋体"/>
          <w:b/>
          <w:sz w:val="24"/>
          <w:highlight w:val="none"/>
          <w:u w:val="single"/>
          <w:lang w:val="en-US" w:eastAsia="zh-CN"/>
        </w:rPr>
        <w:t xml:space="preserve"> </w:t>
      </w:r>
      <w:r>
        <w:rPr>
          <w:rFonts w:ascii="宋体" w:hAnsi="宋体"/>
          <w:b/>
          <w:sz w:val="24"/>
          <w:highlight w:val="none"/>
          <w:u w:val="single"/>
        </w:rPr>
        <w:t xml:space="preserve">   </w:t>
      </w:r>
    </w:p>
    <w:p w14:paraId="15D85D37">
      <w:pPr>
        <w:snapToGrid w:val="0"/>
        <w:spacing w:line="360" w:lineRule="auto"/>
        <w:ind w:firstLine="472" w:firstLineChars="196"/>
        <w:rPr>
          <w:rFonts w:ascii="宋体" w:hAnsi="宋体"/>
          <w:b/>
          <w:sz w:val="24"/>
          <w:highlight w:val="none"/>
          <w:u w:val="single"/>
        </w:rPr>
      </w:pPr>
      <w:r>
        <w:rPr>
          <w:rFonts w:hint="eastAsia" w:ascii="宋体" w:hAnsi="宋体"/>
          <w:b/>
          <w:sz w:val="24"/>
          <w:highlight w:val="none"/>
        </w:rPr>
        <w:t>通信地址：</w:t>
      </w:r>
      <w:r>
        <w:rPr>
          <w:rFonts w:ascii="宋体" w:hAnsi="宋体"/>
          <w:b/>
          <w:sz w:val="24"/>
          <w:highlight w:val="none"/>
          <w:u w:val="single"/>
        </w:rPr>
        <w:t xml:space="preserve">  </w:t>
      </w:r>
      <w:r>
        <w:rPr>
          <w:rFonts w:hint="eastAsia" w:ascii="宋体" w:hAnsi="宋体"/>
          <w:b/>
          <w:sz w:val="24"/>
          <w:highlight w:val="none"/>
          <w:u w:val="single"/>
        </w:rPr>
        <w:t>广州市白云区江高镇江府路1号</w:t>
      </w:r>
      <w:r>
        <w:rPr>
          <w:rFonts w:ascii="宋体" w:hAnsi="宋体"/>
          <w:b/>
          <w:sz w:val="24"/>
          <w:highlight w:val="none"/>
          <w:u w:val="single"/>
        </w:rPr>
        <w:t xml:space="preserve">                    </w:t>
      </w:r>
      <w:r>
        <w:rPr>
          <w:rFonts w:hint="eastAsia" w:ascii="宋体" w:hAnsi="宋体"/>
          <w:b/>
          <w:sz w:val="24"/>
          <w:highlight w:val="none"/>
          <w:u w:val="single"/>
          <w:lang w:val="en-US" w:eastAsia="zh-CN"/>
        </w:rPr>
        <w:t xml:space="preserve">                         </w:t>
      </w:r>
      <w:r>
        <w:rPr>
          <w:rFonts w:ascii="宋体" w:hAnsi="宋体"/>
          <w:b/>
          <w:sz w:val="24"/>
          <w:highlight w:val="none"/>
          <w:u w:val="single"/>
        </w:rPr>
        <w:t xml:space="preserve">              </w:t>
      </w:r>
    </w:p>
    <w:p w14:paraId="08F944D7">
      <w:pPr>
        <w:tabs>
          <w:tab w:val="left" w:pos="6175"/>
        </w:tabs>
        <w:spacing w:before="312" w:beforeLines="100" w:line="360" w:lineRule="auto"/>
        <w:ind w:firstLine="482" w:firstLineChars="200"/>
        <w:rPr>
          <w:rFonts w:ascii="宋体" w:hAnsi="宋体"/>
          <w:b/>
          <w:sz w:val="24"/>
          <w:highlight w:val="none"/>
        </w:rPr>
      </w:pPr>
      <w:r>
        <w:rPr>
          <w:rFonts w:hint="eastAsia" w:ascii="宋体" w:hAnsi="宋体"/>
          <w:b/>
          <w:sz w:val="24"/>
          <w:highlight w:val="none"/>
        </w:rPr>
        <w:t>工程建设管理单位：</w:t>
      </w:r>
      <w:r>
        <w:rPr>
          <w:rFonts w:hint="eastAsia" w:ascii="宋体" w:hAnsi="宋体"/>
          <w:b/>
          <w:sz w:val="24"/>
          <w:highlight w:val="none"/>
          <w:u w:val="single"/>
        </w:rPr>
        <w:t>广州市白云</w:t>
      </w:r>
      <w:r>
        <w:rPr>
          <w:rFonts w:hint="eastAsia" w:ascii="宋体" w:hAnsi="宋体"/>
          <w:b/>
          <w:sz w:val="24"/>
          <w:highlight w:val="none"/>
          <w:u w:val="single"/>
          <w:lang w:eastAsia="zh-CN"/>
        </w:rPr>
        <w:t>城市建设投资</w:t>
      </w:r>
      <w:r>
        <w:rPr>
          <w:rFonts w:hint="eastAsia" w:ascii="宋体" w:hAnsi="宋体"/>
          <w:b/>
          <w:sz w:val="24"/>
          <w:highlight w:val="none"/>
          <w:u w:val="single"/>
        </w:rPr>
        <w:t>有限公司</w:t>
      </w:r>
      <w:r>
        <w:rPr>
          <w:rFonts w:hint="eastAsia" w:hAnsi="宋体"/>
          <w:b/>
          <w:kern w:val="2"/>
          <w:sz w:val="24"/>
          <w:szCs w:val="24"/>
          <w:highlight w:val="none"/>
          <w:u w:val="single"/>
          <w:lang w:val="en-US" w:eastAsia="zh-CN"/>
        </w:rPr>
        <w:t xml:space="preserve">（以下简称“乙方”） </w:t>
      </w:r>
      <w:r>
        <w:rPr>
          <w:rFonts w:ascii="宋体" w:hAnsi="宋体"/>
          <w:b/>
          <w:sz w:val="24"/>
          <w:highlight w:val="none"/>
          <w:u w:val="single"/>
        </w:rPr>
        <w:t xml:space="preserve">                   </w:t>
      </w:r>
    </w:p>
    <w:p w14:paraId="791D4D6D">
      <w:pPr>
        <w:tabs>
          <w:tab w:val="left" w:pos="6175"/>
        </w:tabs>
        <w:spacing w:line="360" w:lineRule="auto"/>
        <w:ind w:firstLine="482" w:firstLineChars="200"/>
        <w:rPr>
          <w:rFonts w:ascii="宋体" w:hAnsi="宋体"/>
          <w:b/>
          <w:sz w:val="24"/>
          <w:highlight w:val="none"/>
        </w:rPr>
      </w:pPr>
      <w:r>
        <w:rPr>
          <w:rFonts w:hint="eastAsia" w:ascii="宋体" w:hAnsi="宋体"/>
          <w:b/>
          <w:sz w:val="24"/>
          <w:highlight w:val="none"/>
        </w:rPr>
        <w:t>法定代表人：</w:t>
      </w:r>
      <w:r>
        <w:rPr>
          <w:rFonts w:hint="eastAsia" w:ascii="宋体" w:hAnsi="宋体" w:cs="宋体"/>
          <w:b/>
          <w:snapToGrid w:val="0"/>
          <w:kern w:val="13"/>
          <w:sz w:val="24"/>
          <w:highlight w:val="none"/>
          <w:u w:val="single"/>
          <w:lang w:val="en-US" w:eastAsia="zh-CN"/>
        </w:rPr>
        <w:t>孙斌</w:t>
      </w:r>
      <w:r>
        <w:rPr>
          <w:rFonts w:ascii="宋体" w:hAnsi="宋体"/>
          <w:b/>
          <w:sz w:val="24"/>
          <w:highlight w:val="none"/>
          <w:u w:val="single"/>
        </w:rPr>
        <w:t xml:space="preserve">                         </w:t>
      </w:r>
      <w:r>
        <w:rPr>
          <w:rFonts w:hint="eastAsia" w:ascii="宋体" w:hAnsi="宋体"/>
          <w:b/>
          <w:sz w:val="24"/>
          <w:highlight w:val="none"/>
          <w:u w:val="single"/>
          <w:lang w:val="en-US" w:eastAsia="zh-CN"/>
        </w:rPr>
        <w:t xml:space="preserve"> </w:t>
      </w:r>
      <w:r>
        <w:rPr>
          <w:rFonts w:ascii="宋体" w:hAnsi="宋体"/>
          <w:b/>
          <w:sz w:val="24"/>
          <w:highlight w:val="none"/>
          <w:u w:val="single"/>
        </w:rPr>
        <w:t xml:space="preserve">                             </w:t>
      </w:r>
    </w:p>
    <w:p w14:paraId="0A2984B8">
      <w:pPr>
        <w:tabs>
          <w:tab w:val="left" w:pos="6175"/>
        </w:tabs>
        <w:spacing w:line="360" w:lineRule="auto"/>
        <w:ind w:firstLine="482" w:firstLineChars="200"/>
        <w:rPr>
          <w:rFonts w:ascii="宋体" w:hAnsi="宋体"/>
          <w:b/>
          <w:sz w:val="24"/>
          <w:highlight w:val="none"/>
          <w:u w:val="single"/>
        </w:rPr>
      </w:pPr>
      <w:r>
        <w:rPr>
          <w:rFonts w:hint="eastAsia" w:ascii="宋体" w:hAnsi="宋体"/>
          <w:b/>
          <w:sz w:val="24"/>
          <w:highlight w:val="none"/>
        </w:rPr>
        <w:t>通讯地址：</w:t>
      </w:r>
      <w:r>
        <w:rPr>
          <w:rFonts w:hint="eastAsia" w:ascii="宋体" w:hAnsi="宋体"/>
          <w:b/>
          <w:snapToGrid w:val="0"/>
          <w:kern w:val="13"/>
          <w:sz w:val="24"/>
          <w:highlight w:val="none"/>
          <w:u w:val="single"/>
        </w:rPr>
        <w:t>广州市白云区齐富路</w:t>
      </w:r>
      <w:r>
        <w:rPr>
          <w:rFonts w:ascii="宋体" w:hAnsi="宋体"/>
          <w:b/>
          <w:snapToGrid w:val="0"/>
          <w:kern w:val="13"/>
          <w:sz w:val="24"/>
          <w:highlight w:val="none"/>
          <w:u w:val="single"/>
        </w:rPr>
        <w:t>88号</w:t>
      </w:r>
      <w:r>
        <w:rPr>
          <w:rFonts w:hint="eastAsia" w:ascii="宋体" w:hAnsi="宋体"/>
          <w:b/>
          <w:snapToGrid w:val="0"/>
          <w:kern w:val="13"/>
          <w:sz w:val="24"/>
          <w:highlight w:val="none"/>
          <w:u w:val="single"/>
          <w:lang w:eastAsia="zh-CN"/>
        </w:rPr>
        <w:t>C座7-8楼</w:t>
      </w:r>
      <w:r>
        <w:rPr>
          <w:rFonts w:ascii="宋体" w:hAnsi="宋体"/>
          <w:b/>
          <w:sz w:val="24"/>
          <w:highlight w:val="none"/>
          <w:u w:val="single"/>
        </w:rPr>
        <w:t xml:space="preserve">             </w:t>
      </w:r>
    </w:p>
    <w:p w14:paraId="29699745">
      <w:pPr>
        <w:tabs>
          <w:tab w:val="left" w:pos="6175"/>
        </w:tabs>
        <w:spacing w:before="312" w:beforeLines="100" w:line="360" w:lineRule="auto"/>
        <w:ind w:firstLine="482" w:firstLineChars="200"/>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检测单位：</w:t>
      </w:r>
      <w:r>
        <w:rPr>
          <w:rFonts w:hint="eastAsia" w:ascii="宋体" w:hAnsi="宋体"/>
          <w:b/>
          <w:color w:val="000000" w:themeColor="text1"/>
          <w:sz w:val="24"/>
          <w:highlight w:val="none"/>
          <w:u w:val="single"/>
          <w:lang w:eastAsia="zh-CN"/>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hAnsi="宋体"/>
          <w:b/>
          <w:kern w:val="2"/>
          <w:sz w:val="24"/>
          <w:szCs w:val="24"/>
          <w:highlight w:val="none"/>
          <w:u w:val="single"/>
          <w:lang w:val="en-US" w:eastAsia="zh-CN"/>
        </w:rPr>
        <w:t xml:space="preserve">（以下简称“丙方”） </w:t>
      </w:r>
      <w:r>
        <w:rPr>
          <w:rFonts w:hint="eastAsia" w:ascii="宋体" w:hAnsi="宋体"/>
          <w:b/>
          <w:color w:val="000000" w:themeColor="text1"/>
          <w:sz w:val="24"/>
          <w:highlight w:val="none"/>
          <w:u w:val="single"/>
          <w:lang w:val="en-US" w:eastAsia="zh-CN"/>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 xml:space="preserve">       </w:t>
      </w:r>
    </w:p>
    <w:p w14:paraId="2030F5B8">
      <w:pPr>
        <w:tabs>
          <w:tab w:val="left" w:pos="6175"/>
        </w:tabs>
        <w:spacing w:line="360" w:lineRule="auto"/>
        <w:ind w:firstLine="482" w:firstLineChars="200"/>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法定代表人：</w:t>
      </w:r>
      <w:r>
        <w:rPr>
          <w:rFonts w:ascii="宋体" w:hAnsi="宋体"/>
          <w:b/>
          <w:color w:val="000000" w:themeColor="text1"/>
          <w:sz w:val="24"/>
          <w:highlight w:val="none"/>
          <w:u w:val="single"/>
          <w14:textFill>
            <w14:solidFill>
              <w14:schemeClr w14:val="tx1"/>
            </w14:solidFill>
          </w14:textFill>
        </w:rPr>
        <w:t xml:space="preserve">                                                           </w:t>
      </w:r>
    </w:p>
    <w:p w14:paraId="54FC7B98">
      <w:pPr>
        <w:tabs>
          <w:tab w:val="left" w:pos="6175"/>
        </w:tabs>
        <w:spacing w:after="156" w:afterLines="50" w:line="360" w:lineRule="auto"/>
        <w:ind w:firstLine="482" w:firstLineChars="200"/>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通讯地址：</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lang w:val="en-US" w:eastAsia="zh-CN"/>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 xml:space="preserve">           </w:t>
      </w:r>
    </w:p>
    <w:p w14:paraId="716E3DF9">
      <w:pPr>
        <w:tabs>
          <w:tab w:val="left" w:pos="6175"/>
        </w:tabs>
        <w:adjustRightInd w:val="0"/>
        <w:snapToGrid w:val="0"/>
        <w:spacing w:before="0" w:beforeLines="0" w:line="360" w:lineRule="auto"/>
        <w:ind w:firstLine="480" w:firstLineChars="200"/>
        <w:rPr>
          <w:rFonts w:ascii="宋体" w:hAnsi="宋体"/>
          <w:sz w:val="24"/>
          <w:highlight w:val="none"/>
        </w:rPr>
      </w:pPr>
      <w:r>
        <w:rPr>
          <w:rFonts w:hint="eastAsia" w:ascii="宋体" w:hAnsi="宋体"/>
          <w:sz w:val="24"/>
          <w:highlight w:val="none"/>
        </w:rPr>
        <w:t>依据《中华人民共和国民法典》及其他有关法律、法规的规定，合同三方就丙方提供广州铁路枢纽东北货车外绕线项目双岗村安置房建设项目第三方检测、监测，经协商一致，签订本合同。</w:t>
      </w:r>
    </w:p>
    <w:p w14:paraId="57674E54">
      <w:pPr>
        <w:pStyle w:val="19"/>
        <w:adjustRightInd w:val="0"/>
        <w:snapToGrid w:val="0"/>
        <w:spacing w:beforeLines="0" w:after="0" w:line="360" w:lineRule="auto"/>
        <w:ind w:left="0" w:leftChars="0" w:firstLine="480" w:firstLineChars="200"/>
        <w:rPr>
          <w:highlight w:val="none"/>
        </w:rPr>
      </w:pPr>
      <w:r>
        <w:rPr>
          <w:rFonts w:hint="eastAsia" w:hAnsi="宋体"/>
          <w:sz w:val="24"/>
          <w:highlight w:val="none"/>
        </w:rPr>
        <w:t>本服务项目的工程建设管理单位</w:t>
      </w:r>
      <w:r>
        <w:rPr>
          <w:rFonts w:hAnsi="宋体"/>
          <w:sz w:val="24"/>
          <w:highlight w:val="none"/>
        </w:rPr>
        <w:t>为</w:t>
      </w:r>
      <w:r>
        <w:rPr>
          <w:rFonts w:hint="eastAsia" w:hAnsi="宋体"/>
          <w:sz w:val="24"/>
          <w:highlight w:val="none"/>
          <w:u w:val="single"/>
        </w:rPr>
        <w:t>广州市白云</w:t>
      </w:r>
      <w:r>
        <w:rPr>
          <w:rFonts w:hint="eastAsia" w:hAnsi="宋体"/>
          <w:sz w:val="24"/>
          <w:highlight w:val="none"/>
          <w:u w:val="single"/>
          <w:lang w:eastAsia="zh-CN"/>
        </w:rPr>
        <w:t>城市建设投资</w:t>
      </w:r>
      <w:r>
        <w:rPr>
          <w:rFonts w:hint="eastAsia" w:hAnsi="宋体"/>
          <w:sz w:val="24"/>
          <w:highlight w:val="none"/>
          <w:u w:val="single"/>
        </w:rPr>
        <w:t>有限公司</w:t>
      </w:r>
      <w:r>
        <w:rPr>
          <w:rFonts w:hint="eastAsia" w:hAnsi="宋体"/>
          <w:sz w:val="24"/>
          <w:highlight w:val="none"/>
        </w:rPr>
        <w:t>，</w:t>
      </w:r>
      <w:r>
        <w:rPr>
          <w:rFonts w:hAnsi="宋体"/>
          <w:sz w:val="24"/>
          <w:highlight w:val="none"/>
        </w:rPr>
        <w:t>在本</w:t>
      </w:r>
      <w:r>
        <w:rPr>
          <w:rFonts w:hint="eastAsia" w:hAnsi="宋体"/>
          <w:sz w:val="24"/>
          <w:highlight w:val="none"/>
        </w:rPr>
        <w:t>项目</w:t>
      </w:r>
      <w:r>
        <w:rPr>
          <w:rFonts w:hAnsi="宋体"/>
          <w:sz w:val="24"/>
          <w:highlight w:val="none"/>
        </w:rPr>
        <w:t>中</w:t>
      </w:r>
      <w:r>
        <w:rPr>
          <w:rFonts w:hint="eastAsia" w:hAnsi="宋体"/>
          <w:sz w:val="24"/>
          <w:highlight w:val="none"/>
        </w:rPr>
        <w:t>受建设单位</w:t>
      </w:r>
      <w:r>
        <w:rPr>
          <w:rFonts w:hint="eastAsia" w:ascii="宋体" w:hAnsi="宋体" w:cs="Times New Roman"/>
          <w:kern w:val="2"/>
          <w:sz w:val="24"/>
          <w:szCs w:val="24"/>
          <w:highlight w:val="none"/>
          <w:u w:val="single"/>
          <w:lang w:val="en-US" w:eastAsia="zh-CN" w:bidi="ar-SA"/>
        </w:rPr>
        <w:t>广州市白云区江高镇人民政府</w:t>
      </w:r>
      <w:r>
        <w:rPr>
          <w:rFonts w:hint="eastAsia" w:hAnsi="宋体"/>
          <w:sz w:val="24"/>
          <w:highlight w:val="none"/>
        </w:rPr>
        <w:t>委托</w:t>
      </w:r>
      <w:r>
        <w:rPr>
          <w:rFonts w:hAnsi="宋体"/>
          <w:sz w:val="24"/>
          <w:highlight w:val="none"/>
        </w:rPr>
        <w:t>履行</w:t>
      </w:r>
      <w:r>
        <w:rPr>
          <w:rFonts w:hint="eastAsia" w:hAnsi="宋体"/>
          <w:sz w:val="24"/>
          <w:highlight w:val="none"/>
        </w:rPr>
        <w:t>相应</w:t>
      </w:r>
      <w:r>
        <w:rPr>
          <w:rFonts w:hAnsi="宋体"/>
          <w:sz w:val="24"/>
          <w:highlight w:val="none"/>
        </w:rPr>
        <w:t>职责和权利</w:t>
      </w:r>
      <w:r>
        <w:rPr>
          <w:rFonts w:hint="eastAsia" w:hAnsi="宋体"/>
          <w:sz w:val="24"/>
          <w:highlight w:val="none"/>
        </w:rPr>
        <w:t>，建设单位、工程建设管理单位的委托关系以双方项目管理合同为准</w:t>
      </w:r>
      <w:r>
        <w:rPr>
          <w:rFonts w:hAnsi="宋体"/>
          <w:sz w:val="24"/>
          <w:highlight w:val="none"/>
        </w:rPr>
        <w:t>。</w:t>
      </w:r>
    </w:p>
    <w:p w14:paraId="32E986CA">
      <w:pPr>
        <w:pStyle w:val="4"/>
        <w:adjustRightInd w:val="0"/>
        <w:snapToGrid w:val="0"/>
        <w:spacing w:before="0" w:after="0" w:line="360" w:lineRule="auto"/>
        <w:ind w:firstLine="482" w:firstLineChars="200"/>
        <w:rPr>
          <w:rFonts w:ascii="宋体" w:hAnsi="宋体"/>
          <w:b w:val="0"/>
          <w:bCs w:val="0"/>
          <w:color w:val="000000" w:themeColor="text1"/>
          <w:sz w:val="24"/>
          <w:szCs w:val="24"/>
          <w:highlight w:val="none"/>
          <w14:textFill>
            <w14:solidFill>
              <w14:schemeClr w14:val="tx1"/>
            </w14:solidFill>
          </w14:textFill>
        </w:rPr>
      </w:pPr>
      <w:bookmarkStart w:id="0" w:name="_Toc489865841"/>
      <w:bookmarkStart w:id="1" w:name="_Toc485394971"/>
      <w:r>
        <w:rPr>
          <w:rFonts w:hint="eastAsia" w:ascii="宋体" w:hAnsi="宋体"/>
          <w:bCs w:val="0"/>
          <w:color w:val="000000" w:themeColor="text1"/>
          <w:sz w:val="24"/>
          <w:szCs w:val="24"/>
          <w:highlight w:val="none"/>
          <w14:textFill>
            <w14:solidFill>
              <w14:schemeClr w14:val="tx1"/>
            </w14:solidFill>
          </w14:textFill>
        </w:rPr>
        <w:t>一、</w:t>
      </w:r>
      <w:r>
        <w:rPr>
          <w:rFonts w:hint="eastAsia" w:ascii="宋体" w:hAnsi="宋体"/>
          <w:bCs w:val="0"/>
          <w:color w:val="000000" w:themeColor="text1"/>
          <w:sz w:val="24"/>
          <w:szCs w:val="24"/>
          <w:highlight w:val="none"/>
          <w:lang w:val="en-US" w:eastAsia="zh-CN"/>
          <w14:textFill>
            <w14:solidFill>
              <w14:schemeClr w14:val="tx1"/>
            </w14:solidFill>
          </w14:textFill>
        </w:rPr>
        <w:t>项目</w:t>
      </w:r>
      <w:r>
        <w:rPr>
          <w:rFonts w:hint="eastAsia" w:ascii="宋体" w:hAnsi="宋体"/>
          <w:bCs w:val="0"/>
          <w:color w:val="000000" w:themeColor="text1"/>
          <w:sz w:val="24"/>
          <w:szCs w:val="24"/>
          <w:highlight w:val="none"/>
          <w14:textFill>
            <w14:solidFill>
              <w14:schemeClr w14:val="tx1"/>
            </w14:solidFill>
          </w14:textFill>
        </w:rPr>
        <w:t>概况</w:t>
      </w:r>
      <w:bookmarkEnd w:id="0"/>
      <w:bookmarkEnd w:id="1"/>
    </w:p>
    <w:p w14:paraId="23213F8A">
      <w:pPr>
        <w:pStyle w:val="19"/>
        <w:adjustRightInd w:val="0"/>
        <w:snapToGrid w:val="0"/>
        <w:spacing w:after="0" w:line="360" w:lineRule="auto"/>
        <w:ind w:left="0" w:leftChars="0"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项目</w:t>
      </w:r>
      <w:r>
        <w:rPr>
          <w:rFonts w:hint="eastAsia" w:ascii="宋体" w:hAnsi="宋体" w:cs="宋体"/>
          <w:bCs/>
          <w:snapToGrid w:val="0"/>
          <w:color w:val="000000" w:themeColor="text1"/>
          <w:sz w:val="24"/>
          <w:highlight w:val="none"/>
          <w14:textFill>
            <w14:solidFill>
              <w14:schemeClr w14:val="tx1"/>
            </w14:solidFill>
          </w14:textFill>
        </w:rPr>
        <w:t>名称：广州铁路枢纽东北货车外绕线项目双岗村安置房建设项目第三方检测、监测</w:t>
      </w:r>
    </w:p>
    <w:p w14:paraId="3505DA5D">
      <w:pPr>
        <w:adjustRightInd w:val="0"/>
        <w:snapToGrid w:val="0"/>
        <w:spacing w:line="360" w:lineRule="auto"/>
        <w:ind w:firstLine="480" w:firstLineChars="200"/>
        <w:rPr>
          <w:rFonts w:ascii="宋体" w:hAnsi="宋体" w:cs="宋体"/>
          <w:bCs/>
          <w:snapToGrid w:val="0"/>
          <w:color w:val="000000" w:themeColor="text1"/>
          <w:sz w:val="24"/>
          <w:highlight w:val="none"/>
          <w14:textFill>
            <w14:solidFill>
              <w14:schemeClr w14:val="tx1"/>
            </w14:solidFill>
          </w14:textFill>
        </w:rPr>
      </w:pPr>
      <w:r>
        <w:rPr>
          <w:rFonts w:ascii="宋体" w:hAnsi="宋体" w:cs="宋体"/>
          <w:bCs/>
          <w:snapToGrid w:val="0"/>
          <w:color w:val="000000" w:themeColor="text1"/>
          <w:sz w:val="24"/>
          <w:highlight w:val="none"/>
          <w14:textFill>
            <w14:solidFill>
              <w14:schemeClr w14:val="tx1"/>
            </w14:solidFill>
          </w14:textFill>
        </w:rPr>
        <w:t>2、</w:t>
      </w:r>
      <w:r>
        <w:rPr>
          <w:rFonts w:hint="eastAsia" w:ascii="宋体" w:hAnsi="宋体" w:cs="宋体"/>
          <w:bCs/>
          <w:snapToGrid w:val="0"/>
          <w:color w:val="000000" w:themeColor="text1"/>
          <w:sz w:val="24"/>
          <w:highlight w:val="none"/>
          <w:lang w:val="en-US" w:eastAsia="zh-CN"/>
          <w14:textFill>
            <w14:solidFill>
              <w14:schemeClr w14:val="tx1"/>
            </w14:solidFill>
          </w14:textFill>
        </w:rPr>
        <w:t>建设</w:t>
      </w:r>
      <w:r>
        <w:rPr>
          <w:rFonts w:ascii="宋体" w:hAnsi="宋体" w:cs="宋体"/>
          <w:bCs/>
          <w:snapToGrid w:val="0"/>
          <w:color w:val="000000" w:themeColor="text1"/>
          <w:sz w:val="24"/>
          <w:highlight w:val="none"/>
          <w14:textFill>
            <w14:solidFill>
              <w14:schemeClr w14:val="tx1"/>
            </w14:solidFill>
          </w14:textFill>
        </w:rPr>
        <w:t>地点：</w:t>
      </w:r>
      <w:r>
        <w:rPr>
          <w:rFonts w:hint="eastAsia" w:ascii="宋体" w:hAnsi="宋体"/>
          <w:sz w:val="24"/>
          <w:highlight w:val="none"/>
          <w:u w:val="single"/>
        </w:rPr>
        <w:t xml:space="preserve"> </w:t>
      </w:r>
      <w:r>
        <w:rPr>
          <w:rFonts w:hint="eastAsia" w:ascii="宋体" w:hAnsi="宋体" w:cs="Times New Roman"/>
          <w:color w:val="auto"/>
          <w:sz w:val="24"/>
          <w:szCs w:val="24"/>
          <w:highlight w:val="none"/>
          <w:u w:val="single"/>
          <w:lang w:val="en-US" w:eastAsia="zh-CN"/>
        </w:rPr>
        <w:t xml:space="preserve">  广州市白云区     </w:t>
      </w:r>
    </w:p>
    <w:p w14:paraId="2195C295">
      <w:pPr>
        <w:adjustRightInd w:val="0"/>
        <w:snapToGrid w:val="0"/>
        <w:spacing w:line="360" w:lineRule="auto"/>
        <w:ind w:firstLine="480" w:firstLineChars="200"/>
        <w:rPr>
          <w:rFonts w:hint="eastAsia" w:ascii="宋体" w:hAnsi="宋体" w:cs="宋体"/>
          <w:bCs/>
          <w:snapToGrid w:val="0"/>
          <w:color w:val="000000" w:themeColor="text1"/>
          <w:kern w:val="0"/>
          <w:sz w:val="24"/>
          <w:highlight w:val="none"/>
          <w14:textFill>
            <w14:solidFill>
              <w14:schemeClr w14:val="tx1"/>
            </w14:solidFill>
          </w14:textFill>
        </w:rPr>
      </w:pPr>
      <w:r>
        <w:rPr>
          <w:rFonts w:ascii="宋体" w:hAnsi="宋体" w:cs="宋体"/>
          <w:bCs/>
          <w:snapToGrid w:val="0"/>
          <w:color w:val="000000" w:themeColor="text1"/>
          <w:kern w:val="0"/>
          <w:sz w:val="24"/>
          <w:highlight w:val="none"/>
          <w14:textFill>
            <w14:solidFill>
              <w14:schemeClr w14:val="tx1"/>
            </w14:solidFill>
          </w14:textFill>
        </w:rPr>
        <w:t>3、工程</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建设</w:t>
      </w:r>
      <w:r>
        <w:rPr>
          <w:rFonts w:ascii="宋体" w:hAnsi="宋体" w:cs="宋体"/>
          <w:bCs/>
          <w:snapToGrid w:val="0"/>
          <w:color w:val="000000" w:themeColor="text1"/>
          <w:kern w:val="0"/>
          <w:sz w:val="24"/>
          <w:highlight w:val="none"/>
          <w14:textFill>
            <w14:solidFill>
              <w14:schemeClr w14:val="tx1"/>
            </w14:solidFill>
          </w14:textFill>
        </w:rPr>
        <w:t>规模：</w:t>
      </w:r>
      <w:r>
        <w:rPr>
          <w:rFonts w:hint="eastAsia" w:ascii="宋体" w:hAnsi="宋体" w:cs="宋体"/>
          <w:bCs/>
          <w:snapToGrid w:val="0"/>
          <w:color w:val="000000" w:themeColor="text1"/>
          <w:kern w:val="0"/>
          <w:sz w:val="24"/>
          <w:highlight w:val="none"/>
          <w14:textFill>
            <w14:solidFill>
              <w14:schemeClr w14:val="tx1"/>
            </w14:solidFill>
          </w14:textFill>
        </w:rPr>
        <w:t>本项目用地面积约8293平方米，总建筑面积约21823平方米，主要包括：新建2栋13层高层住宅楼，建筑高度约44米（地上13层、地下2层）及相关公共配套设施等。主要建设内容包括土建、装修、给排水、强弱电、消防及空调通风等工程，配套建设室外道路广场、管网、绿化等工程。</w:t>
      </w:r>
    </w:p>
    <w:p w14:paraId="67BB8139">
      <w:pPr>
        <w:adjustRightInd w:val="0"/>
        <w:snapToGrid w:val="0"/>
        <w:spacing w:line="360" w:lineRule="auto"/>
        <w:ind w:firstLine="480" w:firstLineChars="200"/>
        <w:rPr>
          <w:rFonts w:hint="eastAsia"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基坑工程安全等级最高为二级，地基基础设计等级为甲级。</w:t>
      </w:r>
    </w:p>
    <w:p w14:paraId="21A208B1">
      <w:pPr>
        <w:adjustRightInd w:val="0"/>
        <w:snapToGrid w:val="0"/>
        <w:spacing w:line="360" w:lineRule="auto"/>
        <w:ind w:firstLine="480" w:firstLineChars="200"/>
        <w:rPr>
          <w:rFonts w:ascii="宋体" w:hAnsi="宋体" w:cs="宋体"/>
          <w:bCs/>
          <w:sz w:val="24"/>
          <w:highlight w:val="none"/>
          <w:u w:val="single"/>
        </w:rPr>
      </w:pPr>
      <w:r>
        <w:rPr>
          <w:rFonts w:ascii="宋体" w:hAnsi="宋体" w:cs="宋体"/>
          <w:bCs/>
          <w:sz w:val="24"/>
          <w:highlight w:val="none"/>
        </w:rPr>
        <w:t>4</w:t>
      </w:r>
      <w:r>
        <w:rPr>
          <w:rFonts w:hint="eastAsia" w:ascii="宋体" w:hAnsi="宋体" w:cs="宋体"/>
          <w:bCs/>
          <w:sz w:val="24"/>
          <w:highlight w:val="none"/>
        </w:rPr>
        <w:t>、工程概算/建筑安装工程费：项目建设总投资约11838.05万元。其中，工程费约9803.97万元。</w:t>
      </w:r>
    </w:p>
    <w:p w14:paraId="2D2429AE">
      <w:pPr>
        <w:adjustRightInd w:val="0"/>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二、工作内容及服务范围</w:t>
      </w:r>
    </w:p>
    <w:p w14:paraId="724076A0">
      <w:pPr>
        <w:pStyle w:val="19"/>
        <w:adjustRightInd w:val="0"/>
        <w:snapToGrid w:val="0"/>
        <w:spacing w:after="0" w:line="360" w:lineRule="auto"/>
        <w:ind w:left="0" w:leftChars="0" w:firstLine="480" w:firstLineChars="200"/>
        <w:rPr>
          <w:rFonts w:hint="eastAsia"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1、工作</w:t>
      </w:r>
      <w:r>
        <w:rPr>
          <w:rFonts w:hint="eastAsia" w:ascii="宋体" w:hAnsi="宋体" w:cs="宋体"/>
          <w:bCs/>
          <w:color w:val="000000" w:themeColor="text1"/>
          <w:sz w:val="24"/>
          <w:highlight w:val="none"/>
          <w:lang w:val="en-US" w:eastAsia="zh-CN"/>
          <w14:textFill>
            <w14:solidFill>
              <w14:schemeClr w14:val="tx1"/>
            </w14:solidFill>
          </w14:textFill>
        </w:rPr>
        <w:t>范围及</w:t>
      </w:r>
      <w:r>
        <w:rPr>
          <w:rFonts w:ascii="宋体" w:hAnsi="宋体" w:cs="宋体"/>
          <w:bCs/>
          <w:color w:val="000000" w:themeColor="text1"/>
          <w:sz w:val="24"/>
          <w:highlight w:val="none"/>
          <w14:textFill>
            <w14:solidFill>
              <w14:schemeClr w14:val="tx1"/>
            </w14:solidFill>
          </w14:textFill>
        </w:rPr>
        <w:t>内容：</w:t>
      </w:r>
      <w:r>
        <w:rPr>
          <w:rFonts w:hint="eastAsia" w:ascii="宋体" w:hAnsi="宋体" w:cs="宋体"/>
          <w:bCs/>
          <w:color w:val="000000" w:themeColor="text1"/>
          <w:sz w:val="24"/>
          <w:highlight w:val="none"/>
          <w14:textFill>
            <w14:solidFill>
              <w14:schemeClr w14:val="tx1"/>
            </w14:solidFill>
          </w14:textFill>
        </w:rPr>
        <w:t>广州铁路枢纽东北货车外绕线项目双岗村安置房建设项目第三方检测、监测，施工过程中的所有材料设备见证取样检测、地基基础工程检测、主体结构工程现场检测、基坑监测、高支模监测、主体沉降监测及与本项目有关的其他检测、监测内容（具体服务内容包括但不限于合同工作清单、</w:t>
      </w:r>
      <w:r>
        <w:rPr>
          <w:rFonts w:hint="eastAsia" w:ascii="宋体" w:hAnsi="宋体" w:cs="宋体"/>
          <w:bCs/>
          <w:color w:val="000000" w:themeColor="text1"/>
          <w:sz w:val="24"/>
          <w:highlight w:val="none"/>
          <w:lang w:val="en-US" w:eastAsia="zh-CN"/>
          <w14:textFill>
            <w14:solidFill>
              <w14:schemeClr w14:val="tx1"/>
            </w14:solidFill>
          </w14:textFill>
        </w:rPr>
        <w:t>甲、乙方</w:t>
      </w:r>
      <w:r>
        <w:rPr>
          <w:rFonts w:hint="eastAsia" w:ascii="宋体" w:hAnsi="宋体" w:cs="宋体"/>
          <w:bCs/>
          <w:color w:val="000000" w:themeColor="text1"/>
          <w:sz w:val="24"/>
          <w:highlight w:val="none"/>
          <w14:textFill>
            <w14:solidFill>
              <w14:schemeClr w14:val="tx1"/>
            </w14:solidFill>
          </w14:textFill>
        </w:rPr>
        <w:t>要求及招标过程中发出的相关文件所包含的</w:t>
      </w:r>
      <w:r>
        <w:rPr>
          <w:rFonts w:hint="eastAsia" w:ascii="宋体" w:hAnsi="宋体" w:cs="宋体"/>
          <w:bCs/>
          <w:color w:val="000000" w:themeColor="text1"/>
          <w:sz w:val="24"/>
          <w:highlight w:val="none"/>
          <w:lang w:eastAsia="zh-CN"/>
          <w14:textFill>
            <w14:solidFill>
              <w14:schemeClr w14:val="tx1"/>
            </w14:solidFill>
          </w14:textFill>
        </w:rPr>
        <w:t>全部内容</w:t>
      </w:r>
      <w:r>
        <w:rPr>
          <w:rFonts w:hint="eastAsia" w:ascii="宋体" w:hAnsi="宋体" w:cs="宋体"/>
          <w:bCs/>
          <w:color w:val="000000" w:themeColor="text1"/>
          <w:sz w:val="24"/>
          <w:highlight w:val="none"/>
          <w14:textFill>
            <w14:solidFill>
              <w14:schemeClr w14:val="tx1"/>
            </w14:solidFill>
          </w14:textFill>
        </w:rPr>
        <w:t>，监测及检测技术服务内容需满足项目验收要求、施工过程需要及应满足相关部门的要求。）</w:t>
      </w:r>
    </w:p>
    <w:p w14:paraId="7EDCC497">
      <w:pPr>
        <w:pStyle w:val="19"/>
        <w:adjustRightInd w:val="0"/>
        <w:snapToGrid w:val="0"/>
        <w:spacing w:after="0" w:line="360" w:lineRule="auto"/>
        <w:ind w:left="0" w:leftChars="0"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其他相关服务内容：</w:t>
      </w:r>
    </w:p>
    <w:p w14:paraId="62CBF18B">
      <w:pPr>
        <w:pStyle w:val="19"/>
        <w:adjustRightInd w:val="0"/>
        <w:snapToGrid w:val="0"/>
        <w:spacing w:after="0" w:line="360" w:lineRule="auto"/>
        <w:ind w:left="0" w:leftChars="0"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根据《广州市住房和城乡建设局关于正式上线启用广州市建设工程融合监管平台高大支模及脚手架系统的通知》（穗建质〔2024〕834号）要求，中标单位需配合做好信息化管理工作。中标单位需按广州市住房和城乡建设局的规定，开通基坑监测数据管理系统账号，配备能实时上传监测数据的相关仪器设备，并具备将监测数据实时上传至广州市地下工程和深基坑安全监测信息管理系统的能力及经验。</w:t>
      </w:r>
    </w:p>
    <w:p w14:paraId="69EA98AE">
      <w:pPr>
        <w:pStyle w:val="19"/>
        <w:adjustRightInd w:val="0"/>
        <w:snapToGrid w:val="0"/>
        <w:spacing w:after="0" w:line="360" w:lineRule="auto"/>
        <w:ind w:left="0" w:leftChars="0"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与工程所在行政区域的相关建设行政主管部门和监督部门进行监测工作的协调，申报监测技术成果的审批。保证技术成果能够通过相关部门认可，确保不因监测和建筑物主体沉降观测工作影响本工程项目的建设进度、项目竣工验收和在城建档案馆备案。</w:t>
      </w:r>
    </w:p>
    <w:p w14:paraId="541510CE">
      <w:pPr>
        <w:pStyle w:val="19"/>
        <w:adjustRightInd w:val="0"/>
        <w:snapToGrid w:val="0"/>
        <w:spacing w:after="0" w:line="360" w:lineRule="auto"/>
        <w:ind w:left="0" w:leftChars="0"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（3）在进行监测任务的过程中与该工程相关的施工单位、监理单位、设计单位、代建单位、建设主管部门等相关单位的协调工作，投标人需在投标报价中综合考虑该项协调工作的费用。 </w:t>
      </w:r>
    </w:p>
    <w:p w14:paraId="29039F45">
      <w:pPr>
        <w:pStyle w:val="19"/>
        <w:adjustRightInd w:val="0"/>
        <w:snapToGrid w:val="0"/>
        <w:spacing w:after="0" w:line="360" w:lineRule="auto"/>
        <w:ind w:left="0" w:leftChars="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（4）监测数据的有关信息如需通过连接系统进行传输报送，投标人需在投标报价中综合考虑该项协调工作的费用。</w:t>
      </w:r>
    </w:p>
    <w:p w14:paraId="16DEC952">
      <w:pPr>
        <w:pStyle w:val="19"/>
        <w:adjustRightInd w:val="0"/>
        <w:snapToGrid w:val="0"/>
        <w:spacing w:after="0" w:line="360" w:lineRule="auto"/>
        <w:ind w:left="0" w:leftChars="0"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2、服务期限：</w:t>
      </w:r>
      <w:r>
        <w:rPr>
          <w:rFonts w:hint="eastAsia" w:ascii="宋体" w:hAnsi="宋体"/>
          <w:color w:val="000000" w:themeColor="text1"/>
          <w:sz w:val="24"/>
          <w:highlight w:val="none"/>
          <w14:textFill>
            <w14:solidFill>
              <w14:schemeClr w14:val="tx1"/>
            </w14:solidFill>
          </w14:textFill>
        </w:rPr>
        <w:t>自本项目中标通知书发出之日起至所有检测、监测服务项目完成，服务周期必须满足实际施工及验收工作要求。</w:t>
      </w:r>
    </w:p>
    <w:p w14:paraId="708B2E35">
      <w:pPr>
        <w:pStyle w:val="4"/>
        <w:adjustRightInd w:val="0"/>
        <w:snapToGrid w:val="0"/>
        <w:spacing w:before="0" w:after="0" w:line="360" w:lineRule="auto"/>
        <w:ind w:left="482"/>
        <w:rPr>
          <w:rFonts w:ascii="宋体" w:hAnsi="宋体" w:cs="宋体"/>
          <w:bCs w:val="0"/>
          <w:color w:val="000000" w:themeColor="text1"/>
          <w:sz w:val="24"/>
          <w:szCs w:val="24"/>
          <w:highlight w:val="none"/>
          <w14:textFill>
            <w14:solidFill>
              <w14:schemeClr w14:val="tx1"/>
            </w14:solidFill>
          </w14:textFill>
        </w:rPr>
      </w:pPr>
      <w:r>
        <w:rPr>
          <w:rFonts w:hint="eastAsia" w:ascii="宋体" w:hAnsi="宋体"/>
          <w:bCs w:val="0"/>
          <w:color w:val="000000" w:themeColor="text1"/>
          <w:sz w:val="24"/>
          <w:szCs w:val="24"/>
          <w:highlight w:val="none"/>
          <w14:textFill>
            <w14:solidFill>
              <w14:schemeClr w14:val="tx1"/>
            </w14:solidFill>
          </w14:textFill>
        </w:rPr>
        <w:t>三、</w:t>
      </w:r>
      <w:bookmarkStart w:id="2" w:name="_Toc489865845"/>
      <w:bookmarkStart w:id="3" w:name="_Toc485394973"/>
      <w:r>
        <w:rPr>
          <w:rFonts w:hint="eastAsia" w:ascii="宋体" w:hAnsi="宋体" w:cs="宋体"/>
          <w:bCs w:val="0"/>
          <w:color w:val="000000" w:themeColor="text1"/>
          <w:sz w:val="24"/>
          <w:szCs w:val="24"/>
          <w:highlight w:val="none"/>
          <w14:textFill>
            <w14:solidFill>
              <w14:schemeClr w14:val="tx1"/>
            </w14:solidFill>
          </w14:textFill>
        </w:rPr>
        <w:t>合同价款</w:t>
      </w:r>
      <w:bookmarkEnd w:id="2"/>
    </w:p>
    <w:p w14:paraId="2213D69F">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暂定合同总价（含税）：（¥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元）（大写人民币</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1053761">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丙方必须向甲方提供由丙方按核定付款金额开具的与合同内容一致并符合税务机关规定的合法、有</w:t>
      </w:r>
      <w:r>
        <w:rPr>
          <w:rFonts w:hint="eastAsia" w:ascii="宋体" w:hAnsi="宋体" w:cs="宋体"/>
          <w:color w:val="000000" w:themeColor="text1"/>
          <w:sz w:val="24"/>
          <w:highlight w:val="none"/>
          <w:lang w:eastAsia="zh-CN"/>
          <w14:textFill>
            <w14:solidFill>
              <w14:schemeClr w14:val="tx1"/>
            </w14:solidFill>
          </w14:textFill>
        </w:rPr>
        <w:t>效的</w:t>
      </w:r>
      <w:r>
        <w:rPr>
          <w:rFonts w:hint="eastAsia" w:ascii="宋体" w:hAnsi="宋体" w:cs="宋体"/>
          <w:color w:val="000000" w:themeColor="text1"/>
          <w:sz w:val="24"/>
          <w:highlight w:val="none"/>
          <w:lang w:val="en-US" w:eastAsia="zh-CN"/>
          <w14:textFill>
            <w14:solidFill>
              <w14:schemeClr w14:val="tx1"/>
            </w14:solidFill>
          </w14:textFill>
        </w:rPr>
        <w:t>正式</w:t>
      </w:r>
      <w:r>
        <w:rPr>
          <w:rFonts w:hint="eastAsia" w:ascii="宋体" w:hAnsi="宋体" w:cs="宋体"/>
          <w:color w:val="000000" w:themeColor="text1"/>
          <w:sz w:val="24"/>
          <w:highlight w:val="none"/>
          <w14:textFill>
            <w14:solidFill>
              <w14:schemeClr w14:val="tx1"/>
            </w14:solidFill>
          </w14:textFill>
        </w:rPr>
        <w:t>发票，由于丙方提供的发票不规范、不合法引起税务问题的，丙方应承担赔偿责任，包括但不限于税款、附加费、滞纳金、罚款及相关损失。丙方不能及时提供符合要求的合法发票，甲方有权顺延直至丙方提供后付款且无需承担任何责任。如给甲方造成严重损失的（包括但不限于直接损失、律师费、保全费、保全担保费、诉讼费、公证费、鉴定费、差旅费等一切合理费用），</w:t>
      </w:r>
      <w:r>
        <w:rPr>
          <w:rFonts w:hint="eastAsia" w:ascii="宋体" w:hAnsi="宋体" w:cs="宋体"/>
          <w:color w:val="000000" w:themeColor="text1"/>
          <w:sz w:val="24"/>
          <w:highlight w:val="none"/>
          <w:lang w:val="en-US" w:eastAsia="zh-CN"/>
          <w14:textFill>
            <w14:solidFill>
              <w14:schemeClr w14:val="tx1"/>
            </w14:solidFill>
          </w14:textFill>
        </w:rPr>
        <w:t>丙方应承担全部损害赔偿责任。如</w:t>
      </w:r>
      <w:r>
        <w:rPr>
          <w:rFonts w:hint="eastAsia" w:ascii="宋体" w:hAnsi="宋体" w:cs="宋体"/>
          <w:color w:val="000000" w:themeColor="text1"/>
          <w:sz w:val="24"/>
          <w:highlight w:val="none"/>
          <w14:textFill>
            <w14:solidFill>
              <w14:schemeClr w14:val="tx1"/>
            </w14:solidFill>
          </w14:textFill>
        </w:rPr>
        <w:t>致使合同无法继续履行等情况，甲方有权终止合同。</w:t>
      </w:r>
    </w:p>
    <w:bookmarkEnd w:id="3"/>
    <w:p w14:paraId="4BAF601C">
      <w:pPr>
        <w:pStyle w:val="4"/>
        <w:adjustRightInd w:val="0"/>
        <w:snapToGrid w:val="0"/>
        <w:spacing w:before="0" w:after="0" w:line="360" w:lineRule="auto"/>
        <w:ind w:firstLine="482" w:firstLineChars="200"/>
        <w:rPr>
          <w:rFonts w:ascii="宋体" w:hAnsi="宋体" w:cs="宋体"/>
          <w:bCs w:val="0"/>
          <w:color w:val="000000" w:themeColor="text1"/>
          <w:sz w:val="24"/>
          <w:szCs w:val="24"/>
          <w:highlight w:val="none"/>
          <w14:textFill>
            <w14:solidFill>
              <w14:schemeClr w14:val="tx1"/>
            </w14:solidFill>
          </w14:textFill>
        </w:rPr>
      </w:pPr>
      <w:bookmarkStart w:id="4" w:name="_Toc489865847"/>
      <w:r>
        <w:rPr>
          <w:rFonts w:ascii="宋体" w:hAnsi="宋体" w:cs="宋体"/>
          <w:bCs w:val="0"/>
          <w:color w:val="000000" w:themeColor="text1"/>
          <w:sz w:val="24"/>
          <w:szCs w:val="24"/>
          <w:highlight w:val="none"/>
          <w14:textFill>
            <w14:solidFill>
              <w14:schemeClr w14:val="tx1"/>
            </w14:solidFill>
          </w14:textFill>
        </w:rPr>
        <w:t>四</w:t>
      </w:r>
      <w:r>
        <w:rPr>
          <w:rFonts w:hint="eastAsia" w:ascii="宋体" w:hAnsi="宋体" w:cs="宋体"/>
          <w:bCs w:val="0"/>
          <w:color w:val="000000" w:themeColor="text1"/>
          <w:sz w:val="24"/>
          <w:szCs w:val="24"/>
          <w:highlight w:val="none"/>
          <w14:textFill>
            <w14:solidFill>
              <w14:schemeClr w14:val="tx1"/>
            </w14:solidFill>
          </w14:textFill>
        </w:rPr>
        <w:t>、承诺</w:t>
      </w:r>
      <w:bookmarkEnd w:id="4"/>
      <w:r>
        <w:rPr>
          <w:rFonts w:ascii="宋体" w:hAnsi="宋体" w:cs="宋体"/>
          <w:bCs w:val="0"/>
          <w:color w:val="000000" w:themeColor="text1"/>
          <w:sz w:val="24"/>
          <w:szCs w:val="24"/>
          <w:highlight w:val="none"/>
          <w14:textFill>
            <w14:solidFill>
              <w14:schemeClr w14:val="tx1"/>
            </w14:solidFill>
          </w14:textFill>
        </w:rPr>
        <w:t xml:space="preserve">  </w:t>
      </w:r>
    </w:p>
    <w:p w14:paraId="5C04FB5D">
      <w:pPr>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甲方、乙方向丙方承诺已阅读、理解并接受本合同所有条款，按照本合同约定履行本合同项下的全部义务。</w:t>
      </w:r>
    </w:p>
    <w:p w14:paraId="0E248B2A">
      <w:pPr>
        <w:numPr>
          <w:ilvl w:val="255"/>
          <w:numId w:val="0"/>
        </w:num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丙方向甲方、乙方承诺已阅读、理解并接受本合同所有条款，按照本合同约定履行本合同项下的全部义务。</w:t>
      </w:r>
    </w:p>
    <w:p w14:paraId="073E7873">
      <w:pPr>
        <w:pStyle w:val="4"/>
        <w:adjustRightInd w:val="0"/>
        <w:snapToGrid w:val="0"/>
        <w:spacing w:before="0" w:after="0" w:line="360" w:lineRule="auto"/>
        <w:ind w:firstLine="482" w:firstLineChars="200"/>
        <w:rPr>
          <w:rFonts w:ascii="宋体" w:hAnsi="宋体" w:cs="宋体"/>
          <w:bCs w:val="0"/>
          <w:color w:val="000000" w:themeColor="text1"/>
          <w:sz w:val="24"/>
          <w:szCs w:val="24"/>
          <w:highlight w:val="none"/>
          <w14:textFill>
            <w14:solidFill>
              <w14:schemeClr w14:val="tx1"/>
            </w14:solidFill>
          </w14:textFill>
        </w:rPr>
      </w:pPr>
      <w:r>
        <w:rPr>
          <w:rFonts w:hint="eastAsia" w:ascii="宋体" w:hAnsi="宋体" w:cs="宋体"/>
          <w:bCs w:val="0"/>
          <w:color w:val="000000" w:themeColor="text1"/>
          <w:sz w:val="24"/>
          <w:szCs w:val="24"/>
          <w:highlight w:val="none"/>
          <w14:textFill>
            <w14:solidFill>
              <w14:schemeClr w14:val="tx1"/>
            </w14:solidFill>
          </w14:textFill>
        </w:rPr>
        <w:t>五、开户银行账号</w:t>
      </w:r>
    </w:p>
    <w:p w14:paraId="7C35F1FC">
      <w:pPr>
        <w:adjustRightInd w:val="0"/>
        <w:snapToGrid w:val="0"/>
        <w:spacing w:line="360" w:lineRule="auto"/>
        <w:ind w:firstLine="480" w:firstLineChars="200"/>
        <w:rPr>
          <w:rFonts w:hint="default" w:ascii="宋体" w:hAnsi="宋体" w:eastAsia="宋体" w:cs="宋体"/>
          <w:bCs/>
          <w:color w:val="000000" w:themeColor="text1"/>
          <w:sz w:val="24"/>
          <w:highlight w:val="none"/>
          <w:u w:color="000000"/>
          <w:lang w:val="en-US" w:eastAsia="zh-CN"/>
          <w14:textFill>
            <w14:solidFill>
              <w14:schemeClr w14:val="tx1"/>
            </w14:solidFill>
          </w14:textFill>
        </w:rPr>
      </w:pPr>
      <w:r>
        <w:rPr>
          <w:rFonts w:hint="eastAsia" w:ascii="宋体" w:hAnsi="宋体" w:cs="宋体"/>
          <w:bCs/>
          <w:color w:val="000000" w:themeColor="text1"/>
          <w:sz w:val="24"/>
          <w:highlight w:val="none"/>
          <w:u w:color="000000"/>
          <w14:textFill>
            <w14:solidFill>
              <w14:schemeClr w14:val="tx1"/>
            </w14:solidFill>
          </w14:textFill>
        </w:rPr>
        <w:t>开户银行账户不得是临时账户，合同签订后不得变更，否则甲方有权拒绝合同授予、有权停止合同款项的拨付，所造成的一切后果由丙方承担。</w:t>
      </w:r>
    </w:p>
    <w:p w14:paraId="7A02F970">
      <w:pPr>
        <w:adjustRightInd w:val="0"/>
        <w:snapToGrid w:val="0"/>
        <w:spacing w:line="360" w:lineRule="auto"/>
        <w:ind w:firstLine="480" w:firstLineChars="200"/>
        <w:rPr>
          <w:rFonts w:ascii="宋体" w:hAnsi="宋体" w:cs="宋体"/>
          <w:sz w:val="24"/>
          <w:highlight w:val="none"/>
        </w:rPr>
      </w:pPr>
      <w:r>
        <w:rPr>
          <w:rFonts w:hint="eastAsia" w:ascii="宋体" w:hAnsi="宋体" w:cs="宋体"/>
          <w:bCs/>
          <w:color w:val="000000" w:themeColor="text1"/>
          <w:sz w:val="24"/>
          <w:highlight w:val="none"/>
          <w14:textFill>
            <w14:solidFill>
              <w14:schemeClr w14:val="tx1"/>
            </w14:solidFill>
          </w14:textFill>
        </w:rPr>
        <w:t>丙方</w:t>
      </w:r>
      <w:r>
        <w:rPr>
          <w:rFonts w:hint="eastAsia" w:ascii="宋体" w:hAnsi="宋体" w:cs="宋体"/>
          <w:bCs/>
          <w:color w:val="000000" w:themeColor="text1"/>
          <w:sz w:val="24"/>
          <w:highlight w:val="none"/>
          <w:u w:color="000000"/>
          <w14:textFill>
            <w14:solidFill>
              <w14:schemeClr w14:val="tx1"/>
            </w14:solidFill>
          </w14:textFill>
        </w:rPr>
        <w:t>指定的有效银行账户如下：</w:t>
      </w:r>
      <w:r>
        <w:rPr>
          <w:rFonts w:ascii="宋体" w:hAnsi="宋体" w:cs="宋体"/>
          <w:sz w:val="24"/>
          <w:highlight w:val="none"/>
        </w:rPr>
        <w:t xml:space="preserve"> </w:t>
      </w:r>
    </w:p>
    <w:p w14:paraId="0B76978E">
      <w:pPr>
        <w:adjustRightInd w:val="0"/>
        <w:snapToGrid w:val="0"/>
        <w:spacing w:line="360" w:lineRule="auto"/>
        <w:ind w:firstLine="482" w:firstLineChars="200"/>
        <w:rPr>
          <w:rFonts w:ascii="宋体" w:hAnsi="宋体" w:cs="宋体"/>
          <w:b/>
          <w:sz w:val="24"/>
          <w:highlight w:val="none"/>
          <w:u w:val="single"/>
        </w:rPr>
      </w:pPr>
      <w:r>
        <w:rPr>
          <w:rFonts w:hint="eastAsia" w:ascii="宋体" w:hAnsi="宋体" w:cs="宋体"/>
          <w:b/>
          <w:sz w:val="24"/>
          <w:highlight w:val="none"/>
        </w:rPr>
        <w:t>账户全称：</w:t>
      </w:r>
      <w:r>
        <w:rPr>
          <w:rFonts w:hint="eastAsia" w:ascii="宋体" w:hAnsi="宋体" w:cs="宋体"/>
          <w:b/>
          <w:sz w:val="24"/>
          <w:highlight w:val="none"/>
          <w:u w:val="single"/>
        </w:rPr>
        <w:t xml:space="preserve"> </w:t>
      </w:r>
      <w:r>
        <w:rPr>
          <w:rFonts w:hint="eastAsia" w:ascii="宋体" w:hAnsi="宋体" w:cs="宋体"/>
          <w:b/>
          <w:sz w:val="24"/>
          <w:highlight w:val="none"/>
          <w:u w:val="single"/>
          <w:lang w:eastAsia="zh-CN"/>
        </w:rPr>
        <w:t xml:space="preserve">        </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 xml:space="preserve">                              </w:t>
      </w:r>
      <w:r>
        <w:rPr>
          <w:rFonts w:hint="eastAsia" w:ascii="宋体" w:hAnsi="宋体" w:cs="宋体"/>
          <w:b/>
          <w:sz w:val="24"/>
          <w:highlight w:val="none"/>
          <w:u w:val="single"/>
        </w:rPr>
        <w:t xml:space="preserve">   </w:t>
      </w:r>
    </w:p>
    <w:p w14:paraId="334737AC">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账户账号：</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 xml:space="preserve">                              </w:t>
      </w:r>
      <w:r>
        <w:rPr>
          <w:rFonts w:hint="eastAsia" w:ascii="宋体" w:hAnsi="宋体" w:cs="宋体"/>
          <w:b/>
          <w:sz w:val="24"/>
          <w:highlight w:val="none"/>
          <w:u w:val="single"/>
        </w:rPr>
        <w:t xml:space="preserve">       </w:t>
      </w:r>
    </w:p>
    <w:p w14:paraId="3EC413AE">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开户银行：</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 xml:space="preserve">                              </w:t>
      </w:r>
      <w:r>
        <w:rPr>
          <w:rFonts w:hint="eastAsia" w:ascii="宋体" w:hAnsi="宋体" w:cs="宋体"/>
          <w:b/>
          <w:sz w:val="24"/>
          <w:highlight w:val="none"/>
          <w:u w:val="single"/>
        </w:rPr>
        <w:t xml:space="preserve">       </w:t>
      </w:r>
      <w:r>
        <w:rPr>
          <w:rFonts w:hint="eastAsia" w:ascii="宋体" w:hAnsi="宋体" w:cs="宋体"/>
          <w:b/>
          <w:sz w:val="24"/>
          <w:highlight w:val="none"/>
        </w:rPr>
        <w:t xml:space="preserve"> </w:t>
      </w:r>
    </w:p>
    <w:p w14:paraId="173D2232">
      <w:pPr>
        <w:pStyle w:val="108"/>
        <w:snapToGrid w:val="0"/>
        <w:spacing w:line="360" w:lineRule="auto"/>
        <w:ind w:firstLine="480" w:firstLineChars="200"/>
        <w:outlineLvl w:val="1"/>
        <w:rPr>
          <w:rFonts w:hint="eastAsia" w:ascii="宋体" w:hAnsi="宋体" w:eastAsia="宋体" w:cs="宋体"/>
          <w:b w:val="0"/>
          <w:bCs/>
          <w:color w:val="000000" w:themeColor="text1"/>
          <w:kern w:val="2"/>
          <w:position w:val="0"/>
          <w:szCs w:val="24"/>
          <w:highlight w:val="none"/>
          <w14:textFill>
            <w14:solidFill>
              <w14:schemeClr w14:val="tx1"/>
            </w14:solidFill>
          </w14:textFill>
        </w:rPr>
      </w:pPr>
      <w:r>
        <w:rPr>
          <w:rFonts w:hint="eastAsia" w:ascii="宋体" w:hAnsi="宋体" w:eastAsia="宋体" w:cs="宋体"/>
          <w:b w:val="0"/>
          <w:bCs/>
          <w:color w:val="000000" w:themeColor="text1"/>
          <w:kern w:val="2"/>
          <w:position w:val="0"/>
          <w:szCs w:val="24"/>
          <w:highlight w:val="none"/>
          <w14:textFill>
            <w14:solidFill>
              <w14:schemeClr w14:val="tx1"/>
            </w14:solidFill>
          </w14:textFill>
        </w:rPr>
        <w:t>本合同的付款时间为建设单位提出办理财政支付申请手续的时间（不含政府财政支付部门审核的时间），建设单位在规定时间内提出支付申请手续后即视为建设单位已经按期付款。最终付款时间以政府财政支付部门实际支付时间为准，建设单位不构成违约。监理单位应当提供符合政府财务要求的正式等额有效发票给建设单位办理付款申请手续。若监理单位未能提供符合要求的等额有效发票等结算资料的，建设单位有权不予付款，且不承担逾期付款责任及任何违约责任。</w:t>
      </w:r>
    </w:p>
    <w:p w14:paraId="235C8E5F">
      <w:pPr>
        <w:pStyle w:val="108"/>
        <w:snapToGrid w:val="0"/>
        <w:spacing w:line="360" w:lineRule="auto"/>
        <w:ind w:firstLine="480" w:firstLineChars="200"/>
        <w:outlineLvl w:val="1"/>
        <w:rPr>
          <w:rFonts w:hint="eastAsia" w:ascii="宋体" w:hAnsi="宋体" w:eastAsia="宋体" w:cs="宋体"/>
          <w:b w:val="0"/>
          <w:bCs/>
          <w:color w:val="000000" w:themeColor="text1"/>
          <w:kern w:val="2"/>
          <w:position w:val="0"/>
          <w:szCs w:val="24"/>
          <w:highlight w:val="none"/>
          <w14:textFill>
            <w14:solidFill>
              <w14:schemeClr w14:val="tx1"/>
            </w14:solidFill>
          </w14:textFill>
        </w:rPr>
      </w:pPr>
      <w:r>
        <w:rPr>
          <w:rFonts w:hint="eastAsia" w:ascii="宋体" w:hAnsi="宋体" w:eastAsia="宋体" w:cs="宋体"/>
          <w:b w:val="0"/>
          <w:bCs/>
          <w:color w:val="000000" w:themeColor="text1"/>
          <w:kern w:val="2"/>
          <w:position w:val="0"/>
          <w:szCs w:val="24"/>
          <w:highlight w:val="none"/>
          <w:lang w:val="en-US" w:eastAsia="zh-CN"/>
          <w14:textFill>
            <w14:solidFill>
              <w14:schemeClr w14:val="tx1"/>
            </w14:solidFill>
          </w14:textFill>
        </w:rPr>
        <w:t>丙方</w:t>
      </w:r>
      <w:r>
        <w:rPr>
          <w:rFonts w:hint="eastAsia" w:ascii="宋体" w:hAnsi="宋体" w:eastAsia="宋体" w:cs="宋体"/>
          <w:b w:val="0"/>
          <w:bCs/>
          <w:color w:val="000000" w:themeColor="text1"/>
          <w:kern w:val="2"/>
          <w:position w:val="0"/>
          <w:szCs w:val="24"/>
          <w:highlight w:val="none"/>
          <w14:textFill>
            <w14:solidFill>
              <w14:schemeClr w14:val="tx1"/>
            </w14:solidFill>
          </w14:textFill>
        </w:rPr>
        <w:t>对其指定的收款账户信息的准确性、安全性、合法性负责，其银行账户自身问题（包括但不限于被查封、冻结），导致甲方</w:t>
      </w:r>
      <w:r>
        <w:rPr>
          <w:rFonts w:hint="eastAsia" w:ascii="宋体" w:hAnsi="宋体" w:eastAsia="宋体" w:cs="宋体"/>
          <w:b w:val="0"/>
          <w:bCs/>
          <w:color w:val="000000" w:themeColor="text1"/>
          <w:kern w:val="2"/>
          <w:position w:val="0"/>
          <w:szCs w:val="24"/>
          <w:highlight w:val="none"/>
          <w:lang w:eastAsia="zh-CN"/>
          <w14:textFill>
            <w14:solidFill>
              <w14:schemeClr w14:val="tx1"/>
            </w14:solidFill>
          </w14:textFill>
        </w:rPr>
        <w:t>、</w:t>
      </w:r>
      <w:r>
        <w:rPr>
          <w:rFonts w:hint="eastAsia" w:ascii="宋体" w:hAnsi="宋体" w:eastAsia="宋体" w:cs="宋体"/>
          <w:b w:val="0"/>
          <w:bCs/>
          <w:color w:val="000000" w:themeColor="text1"/>
          <w:kern w:val="2"/>
          <w:position w:val="0"/>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kern w:val="2"/>
          <w:position w:val="0"/>
          <w:szCs w:val="24"/>
          <w:highlight w:val="none"/>
          <w14:textFill>
            <w14:solidFill>
              <w14:schemeClr w14:val="tx1"/>
            </w14:solidFill>
          </w14:textFill>
        </w:rPr>
        <w:t>迟延或不能付款的，甲方</w:t>
      </w:r>
      <w:r>
        <w:rPr>
          <w:rFonts w:hint="eastAsia" w:ascii="宋体" w:hAnsi="宋体" w:eastAsia="宋体" w:cs="宋体"/>
          <w:b w:val="0"/>
          <w:bCs/>
          <w:color w:val="000000" w:themeColor="text1"/>
          <w:kern w:val="2"/>
          <w:position w:val="0"/>
          <w:szCs w:val="24"/>
          <w:highlight w:val="none"/>
          <w:lang w:eastAsia="zh-CN"/>
          <w14:textFill>
            <w14:solidFill>
              <w14:schemeClr w14:val="tx1"/>
            </w14:solidFill>
          </w14:textFill>
        </w:rPr>
        <w:t>、</w:t>
      </w:r>
      <w:r>
        <w:rPr>
          <w:rFonts w:hint="eastAsia" w:ascii="宋体" w:hAnsi="宋体" w:eastAsia="宋体" w:cs="宋体"/>
          <w:b w:val="0"/>
          <w:bCs/>
          <w:color w:val="000000" w:themeColor="text1"/>
          <w:kern w:val="2"/>
          <w:position w:val="0"/>
          <w:szCs w:val="24"/>
          <w:highlight w:val="none"/>
          <w:lang w:val="en-US" w:eastAsia="zh-CN"/>
          <w14:textFill>
            <w14:solidFill>
              <w14:schemeClr w14:val="tx1"/>
            </w14:solidFill>
          </w14:textFill>
        </w:rPr>
        <w:t>乙方</w:t>
      </w:r>
      <w:r>
        <w:rPr>
          <w:rFonts w:hint="eastAsia" w:ascii="宋体" w:hAnsi="宋体" w:eastAsia="宋体" w:cs="宋体"/>
          <w:b w:val="0"/>
          <w:bCs/>
          <w:color w:val="000000" w:themeColor="text1"/>
          <w:kern w:val="2"/>
          <w:position w:val="0"/>
          <w:szCs w:val="24"/>
          <w:highlight w:val="none"/>
          <w14:textFill>
            <w14:solidFill>
              <w14:schemeClr w14:val="tx1"/>
            </w14:solidFill>
          </w14:textFill>
        </w:rPr>
        <w:t>不承担任何责任。该收款账户需要中途变更的，须在开票前5日以书面形式通知甲方，否则，甲方向上述账户付款的视为已完成付款义务。</w:t>
      </w:r>
    </w:p>
    <w:p w14:paraId="2C1010E6">
      <w:pPr>
        <w:pStyle w:val="108"/>
        <w:snapToGrid w:val="0"/>
        <w:spacing w:line="360" w:lineRule="auto"/>
        <w:ind w:firstLine="482" w:firstLineChars="200"/>
        <w:outlineLvl w:val="1"/>
        <w:rPr>
          <w:rFonts w:ascii="宋体" w:hAnsi="宋体" w:eastAsia="宋体" w:cs="宋体"/>
          <w:b/>
          <w:bCs w:val="0"/>
          <w:color w:val="000000" w:themeColor="text1"/>
          <w:kern w:val="2"/>
          <w:position w:val="0"/>
          <w:szCs w:val="24"/>
          <w:highlight w:val="none"/>
          <w14:textFill>
            <w14:solidFill>
              <w14:schemeClr w14:val="tx1"/>
            </w14:solidFill>
          </w14:textFill>
        </w:rPr>
      </w:pPr>
      <w:r>
        <w:rPr>
          <w:rFonts w:hint="eastAsia" w:ascii="宋体" w:hAnsi="宋体" w:eastAsia="宋体" w:cs="宋体"/>
          <w:b/>
          <w:bCs w:val="0"/>
          <w:color w:val="000000" w:themeColor="text1"/>
          <w:kern w:val="2"/>
          <w:position w:val="0"/>
          <w:szCs w:val="24"/>
          <w:highlight w:val="none"/>
          <w14:textFill>
            <w14:solidFill>
              <w14:schemeClr w14:val="tx1"/>
            </w14:solidFill>
          </w14:textFill>
        </w:rPr>
        <w:t>六、丙方为联合体的各成员方约定（如有）</w:t>
      </w:r>
    </w:p>
    <w:p w14:paraId="249FFFC1">
      <w:pPr>
        <w:pStyle w:val="109"/>
        <w:snapToGrid w:val="0"/>
        <w:spacing w:before="0" w:after="0" w:line="360" w:lineRule="auto"/>
        <w:ind w:left="0" w:right="0"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各成员方应签署联合体合作协议，明确各自分工以及职责，联合体协议应在签署本合同前提供二份原件分别报甲方、乙方备案。</w:t>
      </w:r>
    </w:p>
    <w:p w14:paraId="16E23F37">
      <w:pPr>
        <w:pStyle w:val="109"/>
        <w:snapToGrid w:val="0"/>
        <w:spacing w:before="0" w:after="0" w:line="360" w:lineRule="auto"/>
        <w:ind w:left="0" w:right="0" w:firstLine="480" w:firstLineChars="200"/>
        <w:jc w:val="both"/>
        <w:rPr>
          <w:rFonts w:ascii="宋体" w:hAnsi="宋体"/>
          <w:bCs/>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联合体协议应确定一名成员方为本联合体的主办方，并注明主办方与成员方互为承担连带责任。联合体的主办方作为第一直接责任人，全面负责合同工程的工期、质量、安全、保修等事项以及协调和督促各成员方完成合同约定的事项。若</w:t>
      </w:r>
      <w:r>
        <w:rPr>
          <w:rFonts w:hint="eastAsia" w:ascii="宋体" w:hAnsi="宋体"/>
          <w:color w:val="000000" w:themeColor="text1"/>
          <w:highlight w:val="none"/>
          <w:lang w:val="en-US" w:eastAsia="zh-CN"/>
          <w14:textFill>
            <w14:solidFill>
              <w14:schemeClr w14:val="tx1"/>
            </w14:solidFill>
          </w14:textFill>
        </w:rPr>
        <w:t>任一</w:t>
      </w:r>
      <w:r>
        <w:rPr>
          <w:rFonts w:ascii="宋体" w:hAnsi="宋体"/>
          <w:color w:val="000000" w:themeColor="text1"/>
          <w:highlight w:val="none"/>
          <w14:textFill>
            <w14:solidFill>
              <w14:schemeClr w14:val="tx1"/>
            </w14:solidFill>
          </w14:textFill>
        </w:rPr>
        <w:t>成员方在履行本合同时有违反本合同约定或有关法规的行为而产生的一切损失及</w:t>
      </w:r>
      <w:r>
        <w:rPr>
          <w:rFonts w:hint="eastAsia" w:ascii="宋体" w:hAnsi="宋体"/>
          <w:color w:val="000000" w:themeColor="text1"/>
          <w:highlight w:val="none"/>
          <w:lang w:val="en-US" w:eastAsia="zh-CN"/>
          <w14:textFill>
            <w14:solidFill>
              <w14:schemeClr w14:val="tx1"/>
            </w14:solidFill>
          </w14:textFill>
        </w:rPr>
        <w:t>甲方、乙方</w:t>
      </w:r>
      <w:r>
        <w:rPr>
          <w:rFonts w:ascii="宋体" w:hAnsi="宋体"/>
          <w:color w:val="000000" w:themeColor="text1"/>
          <w:highlight w:val="none"/>
          <w14:textFill>
            <w14:solidFill>
              <w14:schemeClr w14:val="tx1"/>
            </w14:solidFill>
          </w14:textFill>
        </w:rPr>
        <w:t>维护合同权利的合理支出，包括但不限于律师费、诉讼费、误工费、交通费等由主办方承担连带责任。</w:t>
      </w:r>
    </w:p>
    <w:p w14:paraId="124E2A38">
      <w:pPr>
        <w:pStyle w:val="109"/>
        <w:snapToGrid w:val="0"/>
        <w:spacing w:before="0" w:after="0" w:line="360" w:lineRule="auto"/>
        <w:ind w:left="0" w:righ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3、联合体的主办方有义务协助及督促各成员方按合同约定的时间提交成果材料，否则每超过一日，处罚联合体中的责任方并处罚金额为本合同总价的千分之一（如存在联合体</w:t>
      </w:r>
      <w:r>
        <w:rPr>
          <w:rFonts w:hint="eastAsia" w:ascii="宋体" w:hAnsi="宋体"/>
          <w:color w:val="000000" w:themeColor="text1"/>
          <w:highlight w:val="none"/>
          <w14:textFill>
            <w14:solidFill>
              <w14:schemeClr w14:val="tx1"/>
            </w14:solidFill>
          </w14:textFill>
        </w:rPr>
        <w:t>内责任不清，则所有责任方共同承担责任并按各责任成员所对应合同价的比例进行处罚金额的分担）</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不超过合同价3%</w:t>
      </w:r>
      <w:r>
        <w:rPr>
          <w:rFonts w:hint="eastAsia" w:ascii="宋体" w:hAnsi="宋体"/>
          <w:color w:val="000000" w:themeColor="text1"/>
          <w:highlight w:val="none"/>
          <w14:textFill>
            <w14:solidFill>
              <w14:schemeClr w14:val="tx1"/>
            </w14:solidFill>
          </w14:textFill>
        </w:rPr>
        <w:t>。</w:t>
      </w:r>
    </w:p>
    <w:p w14:paraId="724BFEBC">
      <w:pPr>
        <w:pStyle w:val="109"/>
        <w:snapToGrid w:val="0"/>
        <w:spacing w:before="0" w:after="0" w:line="360" w:lineRule="auto"/>
        <w:ind w:left="0" w:righ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4、联合体的成员方有义务按合同约定履行职责并服从主办方为履行合同而进行的管理。</w:t>
      </w:r>
      <w:r>
        <w:rPr>
          <w:rFonts w:hint="eastAsia" w:ascii="宋体" w:hAnsi="宋体"/>
          <w:color w:val="000000" w:themeColor="text1"/>
          <w:highlight w:val="none"/>
          <w14:textFill>
            <w14:solidFill>
              <w14:schemeClr w14:val="tx1"/>
            </w14:solidFill>
          </w14:textFill>
        </w:rPr>
        <w:t>若成员方无法或未能按约定履行合同要求，主办方有权向甲方提请并经甲方书面同意后更换成员方，但更换后的成员方其资质、能力不得低于原成员方。</w:t>
      </w:r>
    </w:p>
    <w:p w14:paraId="7EFB4334">
      <w:pPr>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bookmarkStart w:id="5" w:name="_Toc351203491"/>
      <w:bookmarkStart w:id="6" w:name="_Toc489865849"/>
      <w:r>
        <w:rPr>
          <w:rFonts w:hint="eastAsia" w:ascii="宋体" w:hAnsi="宋体" w:cs="宋体"/>
          <w:b/>
          <w:color w:val="000000" w:themeColor="text1"/>
          <w:sz w:val="24"/>
          <w:highlight w:val="none"/>
          <w14:textFill>
            <w14:solidFill>
              <w14:schemeClr w14:val="tx1"/>
            </w14:solidFill>
          </w14:textFill>
        </w:rPr>
        <w:t>七、知识产权</w:t>
      </w:r>
    </w:p>
    <w:p w14:paraId="4A1F3E8D">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u w:color="000000"/>
          <w14:textFill>
            <w14:solidFill>
              <w14:schemeClr w14:val="tx1"/>
            </w14:solidFill>
          </w14:textFill>
        </w:rPr>
        <w:t>本协议三方均应保护对方的知识产权，未经对方同意，任何一方均不得对对方的资料及文件擅自修改、复制或向合同三方外的第四人转让或用于本合同项目外的项目。如发生以上的情况，泄密方承担一切由此引起的后果并承担赔偿责任。本条的约定不因本合同的无效而免除。本合同项下的资料的知识产权、素材及成果等均归属所有。丙方承诺，在为甲方提供服务时，不得使用任何属于他人的技术秘密和商业秘密，亦不得实施可能侵犯他人知识产权等权益的行为。若甲方因丙方的上述行为而提供的成果等进行了确认、同意、接收，丙方不得以此为由要求甲方承担任何责任，一切后果均由丙方承担。给甲方造成损失的（包括但不限于直接损失、律师费、保全费、保全担保费、诉讼费、公证费、鉴定费、差旅费等一切合理费用），丙方应承担全部损害赔偿责任。</w:t>
      </w:r>
    </w:p>
    <w:bookmarkEnd w:id="5"/>
    <w:bookmarkEnd w:id="6"/>
    <w:p w14:paraId="4D09B77C">
      <w:pPr>
        <w:pStyle w:val="4"/>
        <w:adjustRightInd w:val="0"/>
        <w:snapToGrid w:val="0"/>
        <w:spacing w:before="0" w:after="0" w:line="360" w:lineRule="auto"/>
        <w:ind w:firstLine="482" w:firstLineChars="200"/>
        <w:rPr>
          <w:rFonts w:ascii="宋体" w:hAnsi="宋体" w:cs="宋体"/>
          <w:bCs w:val="0"/>
          <w:color w:val="000000" w:themeColor="text1"/>
          <w:sz w:val="24"/>
          <w:szCs w:val="24"/>
          <w:highlight w:val="none"/>
          <w14:textFill>
            <w14:solidFill>
              <w14:schemeClr w14:val="tx1"/>
            </w14:solidFill>
          </w14:textFill>
        </w:rPr>
      </w:pPr>
      <w:bookmarkStart w:id="7" w:name="_Toc489865853"/>
      <w:r>
        <w:rPr>
          <w:rFonts w:hint="eastAsia" w:ascii="宋体" w:hAnsi="宋体" w:cs="宋体"/>
          <w:b/>
          <w:bCs/>
          <w:color w:val="000000" w:themeColor="text1"/>
          <w:sz w:val="24"/>
          <w:highlight w:val="none"/>
          <w:lang w:val="en-US" w:eastAsia="zh-CN"/>
          <w14:textFill>
            <w14:solidFill>
              <w14:schemeClr w14:val="tx1"/>
            </w14:solidFill>
          </w14:textFill>
        </w:rPr>
        <w:t>八</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Cs w:val="0"/>
          <w:color w:val="000000" w:themeColor="text1"/>
          <w:sz w:val="24"/>
          <w:szCs w:val="24"/>
          <w:highlight w:val="none"/>
          <w14:textFill>
            <w14:solidFill>
              <w14:schemeClr w14:val="tx1"/>
            </w14:solidFill>
          </w14:textFill>
        </w:rPr>
        <w:t>争议的解决方式</w:t>
      </w:r>
      <w:bookmarkEnd w:id="7"/>
    </w:p>
    <w:p w14:paraId="2185B36B">
      <w:pPr>
        <w:adjustRightInd w:val="0"/>
        <w:snapToGrid w:val="0"/>
        <w:spacing w:line="360" w:lineRule="auto"/>
        <w:ind w:firstLine="480" w:firstLineChars="200"/>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本合同在履行过程中的争议时，三方当事人应友好协商解决，若协商不成，任意一方均可依法向</w:t>
      </w:r>
      <w:r>
        <w:rPr>
          <w:rFonts w:hint="eastAsia" w:ascii="宋体" w:hAnsi="宋体" w:cs="宋体"/>
          <w:snapToGrid w:val="0"/>
          <w:color w:val="000000" w:themeColor="text1"/>
          <w:sz w:val="24"/>
          <w:highlight w:val="none"/>
          <w:lang w:val="en-US" w:eastAsia="zh-CN"/>
          <w14:textFill>
            <w14:solidFill>
              <w14:schemeClr w14:val="tx1"/>
            </w14:solidFill>
          </w14:textFill>
        </w:rPr>
        <w:t>乙方所在地</w:t>
      </w:r>
      <w:r>
        <w:rPr>
          <w:rFonts w:hint="eastAsia" w:ascii="宋体" w:hAnsi="宋体" w:cs="宋体"/>
          <w:snapToGrid w:val="0"/>
          <w:color w:val="000000" w:themeColor="text1"/>
          <w:sz w:val="24"/>
          <w:highlight w:val="none"/>
          <w14:textFill>
            <w14:solidFill>
              <w14:schemeClr w14:val="tx1"/>
            </w14:solidFill>
          </w14:textFill>
        </w:rPr>
        <w:t>广州市白云区人民法院提请诉讼。</w:t>
      </w:r>
      <w:bookmarkStart w:id="8" w:name="_Toc485394986"/>
    </w:p>
    <w:bookmarkEnd w:id="8"/>
    <w:p w14:paraId="32940F03">
      <w:pPr>
        <w:pStyle w:val="4"/>
        <w:adjustRightInd w:val="0"/>
        <w:snapToGrid w:val="0"/>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九</w:t>
      </w:r>
      <w:r>
        <w:rPr>
          <w:rFonts w:hint="eastAsia" w:ascii="宋体" w:hAnsi="宋体" w:cs="宋体"/>
          <w:color w:val="000000" w:themeColor="text1"/>
          <w:sz w:val="24"/>
          <w:szCs w:val="24"/>
          <w:highlight w:val="none"/>
          <w14:textFill>
            <w14:solidFill>
              <w14:schemeClr w14:val="tx1"/>
            </w14:solidFill>
          </w14:textFill>
        </w:rPr>
        <w:t>、其他事项</w:t>
      </w:r>
    </w:p>
    <w:p w14:paraId="2F8077A5">
      <w:pPr>
        <w:adjustRightInd w:val="0"/>
        <w:snapToGrid w:val="0"/>
        <w:spacing w:line="360" w:lineRule="auto"/>
        <w:ind w:firstLine="480" w:firstLineChars="200"/>
        <w:rPr>
          <w:rFonts w:hint="eastAsia" w:ascii="宋体" w:hAnsi="宋体" w:cs="宋体"/>
          <w:snapToGrid w:val="0"/>
          <w:color w:val="000000" w:themeColor="text1"/>
          <w:sz w:val="24"/>
          <w:highlight w:val="none"/>
          <w14:textFill>
            <w14:solidFill>
              <w14:schemeClr w14:val="tx1"/>
            </w14:solidFill>
          </w14:textFill>
        </w:rPr>
      </w:pPr>
      <w:r>
        <w:rPr>
          <w:rFonts w:ascii="宋体" w:hAnsi="宋体" w:cs="宋体"/>
          <w:snapToGrid w:val="0"/>
          <w:color w:val="000000" w:themeColor="text1"/>
          <w:sz w:val="24"/>
          <w:highlight w:val="none"/>
          <w14:textFill>
            <w14:solidFill>
              <w14:schemeClr w14:val="tx1"/>
            </w14:solidFill>
          </w14:textFill>
        </w:rPr>
        <w:t>1、</w:t>
      </w:r>
      <w:r>
        <w:rPr>
          <w:rFonts w:hint="eastAsia" w:ascii="宋体" w:hAnsi="宋体" w:cs="宋体"/>
          <w:snapToGrid w:val="0"/>
          <w:color w:val="000000" w:themeColor="text1"/>
          <w:sz w:val="24"/>
          <w:highlight w:val="none"/>
          <w14:textFill>
            <w14:solidFill>
              <w14:schemeClr w14:val="tx1"/>
            </w14:solidFill>
          </w14:textFill>
        </w:rPr>
        <w:t>三方在本合同履行过程中发出或者提供的所有通知、文件、文书、资料等，均以本合同所列明的对方地址送达。一方如果迁址或者变更电话，应当书面通知对方，未履行书面通知义务的，另一方按原地址邮寄相关材料即视为已履行送达义务。当面交付上述材料的，在交付之时视为送达；以邮寄方式交付的，寄出或者投邮后即视为送达。</w:t>
      </w:r>
    </w:p>
    <w:p w14:paraId="54F7BBB1">
      <w:pPr>
        <w:adjustRightInd w:val="0"/>
        <w:snapToGrid w:val="0"/>
        <w:spacing w:line="360" w:lineRule="auto"/>
        <w:ind w:firstLine="480" w:firstLineChars="20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各方一致确认本合同首部载明的通信地址及联系方式为各方履行合同义务、解决合同争议时接收其他方文件信函或司法机关（法院、仲裁机构）诉讼、仲裁文书的唯一送达地址及联系方式。一方未填写的，以该方注册地为送达地址。各方按照前述地址送达相关文件的，受送达人拒收或邮件退回亦不影响送达的效力。当面送达的，以被接收方签收之日为送达之日；邮寄方式送达的，以邮件发出之日起第三日为送达之日。</w:t>
      </w:r>
    </w:p>
    <w:p w14:paraId="488977ED">
      <w:pPr>
        <w:numPr>
          <w:ilvl w:val="0"/>
          <w:numId w:val="1"/>
        </w:numPr>
        <w:adjustRightInd w:val="0"/>
        <w:snapToGrid w:val="0"/>
        <w:spacing w:line="360" w:lineRule="auto"/>
        <w:ind w:firstLine="480" w:firstLineChars="20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为规范项目建设管理，丙方需遵守乙方《服务供应商不规范行为管理办法（另册）</w:t>
      </w:r>
      <w:r>
        <w:rPr>
          <w:rFonts w:hint="eastAsia" w:ascii="宋体" w:hAnsi="宋体" w:cs="宋体"/>
          <w:snapToGrid w:val="0"/>
          <w:color w:val="000000" w:themeColor="text1"/>
          <w:sz w:val="24"/>
          <w:highlight w:val="none"/>
          <w:lang w:eastAsia="zh-CN"/>
          <w14:textFill>
            <w14:solidFill>
              <w14:schemeClr w14:val="tx1"/>
            </w14:solidFill>
          </w14:textFill>
        </w:rPr>
        <w:t>》</w:t>
      </w:r>
      <w:r>
        <w:rPr>
          <w:rFonts w:hint="eastAsia" w:ascii="宋体" w:hAnsi="宋体" w:cs="宋体"/>
          <w:snapToGrid w:val="0"/>
          <w:color w:val="000000" w:themeColor="text1"/>
          <w:sz w:val="24"/>
          <w:highlight w:val="none"/>
          <w14:textFill>
            <w14:solidFill>
              <w14:schemeClr w14:val="tx1"/>
            </w14:solidFill>
          </w14:textFill>
        </w:rPr>
        <w:t>。</w:t>
      </w:r>
    </w:p>
    <w:p w14:paraId="156106A8">
      <w:pPr>
        <w:adjustRightInd/>
        <w:snapToGrid/>
        <w:spacing w:line="360" w:lineRule="auto"/>
        <w:ind w:firstLine="480" w:firstLineChars="200"/>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auto"/>
          <w:sz w:val="24"/>
          <w:highlight w:val="none"/>
        </w:rPr>
        <w:t>3、本合同签订生效后，在办理第一次请款前，</w:t>
      </w:r>
      <w:r>
        <w:rPr>
          <w:rFonts w:hint="eastAsia" w:ascii="宋体" w:hAnsi="宋体" w:cs="宋体"/>
          <w:snapToGrid w:val="0"/>
          <w:color w:val="auto"/>
          <w:sz w:val="24"/>
          <w:highlight w:val="none"/>
          <w:lang w:val="en-US" w:eastAsia="zh-CN"/>
        </w:rPr>
        <w:t>丙</w:t>
      </w:r>
      <w:r>
        <w:rPr>
          <w:rFonts w:hint="eastAsia" w:ascii="宋体" w:hAnsi="宋体" w:cs="宋体"/>
          <w:snapToGrid w:val="0"/>
          <w:color w:val="auto"/>
          <w:sz w:val="24"/>
          <w:highlight w:val="none"/>
        </w:rPr>
        <w:t>方需提供本合同履约保函，保函金额为合同价的</w:t>
      </w:r>
      <w:r>
        <w:rPr>
          <w:rFonts w:hint="eastAsia" w:ascii="宋体" w:hAnsi="宋体" w:cs="宋体"/>
          <w:snapToGrid w:val="0"/>
          <w:color w:val="auto"/>
          <w:sz w:val="24"/>
          <w:highlight w:val="none"/>
          <w:lang w:eastAsia="zh-CN"/>
        </w:rPr>
        <w:t>1</w:t>
      </w:r>
      <w:r>
        <w:rPr>
          <w:rFonts w:hint="eastAsia" w:ascii="宋体" w:hAnsi="宋体" w:cs="宋体"/>
          <w:snapToGrid w:val="0"/>
          <w:color w:val="auto"/>
          <w:sz w:val="24"/>
          <w:highlight w:val="none"/>
          <w:lang w:val="en-US" w:eastAsia="zh-CN"/>
        </w:rPr>
        <w:t>0</w:t>
      </w:r>
      <w:r>
        <w:rPr>
          <w:rFonts w:hint="eastAsia" w:ascii="宋体" w:hAnsi="宋体" w:cs="宋体"/>
          <w:snapToGrid w:val="0"/>
          <w:color w:val="auto"/>
          <w:sz w:val="24"/>
          <w:highlight w:val="none"/>
        </w:rPr>
        <w:t>%，对开具履约保函的要求由</w:t>
      </w:r>
      <w:r>
        <w:rPr>
          <w:rFonts w:hint="eastAsia" w:ascii="宋体" w:hAnsi="宋体" w:cs="宋体"/>
          <w:snapToGrid w:val="0"/>
          <w:color w:val="auto"/>
          <w:sz w:val="24"/>
          <w:highlight w:val="none"/>
          <w:lang w:val="en-US" w:eastAsia="zh-CN"/>
        </w:rPr>
        <w:t>合同各方</w:t>
      </w:r>
      <w:r>
        <w:rPr>
          <w:rFonts w:hint="eastAsia" w:ascii="宋体" w:hAnsi="宋体" w:cs="宋体"/>
          <w:snapToGrid w:val="0"/>
          <w:color w:val="auto"/>
          <w:sz w:val="24"/>
          <w:highlight w:val="none"/>
        </w:rPr>
        <w:t>另行协商。履约保函到期后，工程未竣工验收的，</w:t>
      </w:r>
      <w:r>
        <w:rPr>
          <w:rFonts w:hint="eastAsia" w:ascii="宋体" w:hAnsi="宋体" w:cs="宋体"/>
          <w:snapToGrid w:val="0"/>
          <w:color w:val="auto"/>
          <w:sz w:val="24"/>
          <w:highlight w:val="none"/>
          <w:lang w:val="en-US" w:eastAsia="zh-CN"/>
        </w:rPr>
        <w:t>丙</w:t>
      </w:r>
      <w:r>
        <w:rPr>
          <w:rFonts w:hint="eastAsia" w:ascii="宋体" w:hAnsi="宋体" w:cs="宋体"/>
          <w:snapToGrid w:val="0"/>
          <w:color w:val="auto"/>
          <w:sz w:val="24"/>
          <w:highlight w:val="none"/>
        </w:rPr>
        <w:t>方应办理续期。否则，甲方拒绝付款。</w:t>
      </w:r>
    </w:p>
    <w:p w14:paraId="0BBBB719">
      <w:pPr>
        <w:adjustRightInd w:val="0"/>
        <w:snapToGrid w:val="0"/>
        <w:spacing w:line="360" w:lineRule="auto"/>
        <w:ind w:firstLine="480" w:firstLineChars="200"/>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lang w:val="en-US" w:eastAsia="zh-CN"/>
          <w14:textFill>
            <w14:solidFill>
              <w14:schemeClr w14:val="tx1"/>
            </w14:solidFill>
          </w14:textFill>
        </w:rPr>
        <w:t>4、</w:t>
      </w:r>
      <w:r>
        <w:rPr>
          <w:rFonts w:ascii="宋体" w:hAnsi="宋体" w:cs="宋体"/>
          <w:snapToGrid w:val="0"/>
          <w:color w:val="000000" w:themeColor="text1"/>
          <w:sz w:val="24"/>
          <w:highlight w:val="none"/>
          <w14:textFill>
            <w14:solidFill>
              <w14:schemeClr w14:val="tx1"/>
            </w14:solidFill>
          </w14:textFill>
        </w:rPr>
        <w:t>本合同未尽事宜，经</w:t>
      </w:r>
      <w:r>
        <w:rPr>
          <w:rFonts w:hint="eastAsia" w:ascii="宋体" w:hAnsi="宋体" w:cs="宋体"/>
          <w:snapToGrid w:val="0"/>
          <w:color w:val="000000" w:themeColor="text1"/>
          <w:sz w:val="24"/>
          <w:highlight w:val="none"/>
          <w14:textFill>
            <w14:solidFill>
              <w14:schemeClr w14:val="tx1"/>
            </w14:solidFill>
          </w14:textFill>
        </w:rPr>
        <w:t>双方协商一致，可签订补充协议，并与本合同具有同等效力。</w:t>
      </w:r>
    </w:p>
    <w:p w14:paraId="1CDC7C1F">
      <w:pPr>
        <w:pStyle w:val="4"/>
        <w:adjustRightInd w:val="0"/>
        <w:snapToGrid w:val="0"/>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九</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合同生效</w:t>
      </w:r>
    </w:p>
    <w:p w14:paraId="6D456D15">
      <w:pPr>
        <w:adjustRightInd w:val="0"/>
        <w:snapToGrid w:val="0"/>
        <w:spacing w:line="360" w:lineRule="auto"/>
        <w:ind w:firstLine="480" w:firstLineChars="200"/>
        <w:rPr>
          <w:rFonts w:ascii="宋体" w:hAnsi="宋体" w:cs="宋体"/>
          <w:snapToGrid w:val="0"/>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本合同自三方法定代表人或其授权代表签字</w:t>
      </w:r>
      <w:r>
        <w:rPr>
          <w:rFonts w:hint="eastAsia" w:ascii="宋体" w:hAnsi="宋体"/>
          <w:color w:val="000000" w:themeColor="text1"/>
          <w:sz w:val="24"/>
          <w:highlight w:val="none"/>
          <w:lang w:val="en-US" w:eastAsia="zh-CN"/>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盖章之日起生效。</w:t>
      </w:r>
    </w:p>
    <w:p w14:paraId="36A315D8">
      <w:pPr>
        <w:adjustRightInd w:val="0"/>
        <w:snapToGrid w:val="0"/>
        <w:spacing w:line="360" w:lineRule="auto"/>
        <w:ind w:firstLine="480" w:firstLineChars="200"/>
        <w:rPr>
          <w:rFonts w:ascii="宋体" w:hAnsi="宋体" w:cs="宋体"/>
          <w:snapToGrid w:val="0"/>
          <w:color w:val="000000" w:themeColor="text1"/>
          <w:sz w:val="24"/>
          <w:highlight w:val="none"/>
          <w14:textFill>
            <w14:solidFill>
              <w14:schemeClr w14:val="tx1"/>
            </w14:solidFill>
          </w14:textFill>
        </w:rPr>
      </w:pPr>
      <w:r>
        <w:rPr>
          <w:rFonts w:ascii="宋体" w:hAnsi="宋体" w:cs="宋体"/>
          <w:snapToGrid w:val="0"/>
          <w:color w:val="000000" w:themeColor="text1"/>
          <w:sz w:val="24"/>
          <w:highlight w:val="none"/>
          <w14:textFill>
            <w14:solidFill>
              <w14:schemeClr w14:val="tx1"/>
            </w14:solidFill>
          </w14:textFill>
        </w:rPr>
        <w:t>1、合同的份数：</w:t>
      </w:r>
      <w:r>
        <w:rPr>
          <w:rFonts w:hint="eastAsia" w:ascii="宋体" w:hAnsi="宋体" w:cs="宋体"/>
          <w:b/>
          <w:snapToGrid w:val="0"/>
          <w:color w:val="000000" w:themeColor="text1"/>
          <w:sz w:val="24"/>
          <w:highlight w:val="none"/>
          <w14:textFill>
            <w14:solidFill>
              <w14:schemeClr w14:val="tx1"/>
            </w14:solidFill>
          </w14:textFill>
        </w:rPr>
        <w:t>正本</w:t>
      </w:r>
      <w:r>
        <w:rPr>
          <w:rFonts w:ascii="宋体" w:hAnsi="宋体" w:cs="宋体"/>
          <w:b/>
          <w:snapToGrid w:val="0"/>
          <w:color w:val="000000" w:themeColor="text1"/>
          <w:sz w:val="24"/>
          <w:highlight w:val="none"/>
          <w:u w:val="single"/>
          <w14:textFill>
            <w14:solidFill>
              <w14:schemeClr w14:val="tx1"/>
            </w14:solidFill>
          </w14:textFill>
        </w:rPr>
        <w:t xml:space="preserve">   </w:t>
      </w:r>
      <w:r>
        <w:rPr>
          <w:rFonts w:hint="eastAsia" w:ascii="宋体" w:hAnsi="宋体" w:cs="宋体"/>
          <w:b/>
          <w:snapToGrid w:val="0"/>
          <w:color w:val="000000" w:themeColor="text1"/>
          <w:sz w:val="24"/>
          <w:highlight w:val="none"/>
          <w:u w:val="single"/>
          <w:lang w:val="en-US" w:eastAsia="zh-CN"/>
          <w14:textFill>
            <w14:solidFill>
              <w14:schemeClr w14:val="tx1"/>
            </w14:solidFill>
          </w14:textFill>
        </w:rPr>
        <w:t>叁</w:t>
      </w:r>
      <w:r>
        <w:rPr>
          <w:rFonts w:hint="eastAsia" w:ascii="宋体" w:hAnsi="宋体" w:cs="宋体"/>
          <w:b/>
          <w:snapToGrid w:val="0"/>
          <w:color w:val="000000" w:themeColor="text1"/>
          <w:sz w:val="24"/>
          <w:highlight w:val="none"/>
          <w:u w:val="single"/>
          <w14:textFill>
            <w14:solidFill>
              <w14:schemeClr w14:val="tx1"/>
            </w14:solidFill>
          </w14:textFill>
        </w:rPr>
        <w:t xml:space="preserve"> </w:t>
      </w:r>
      <w:r>
        <w:rPr>
          <w:rFonts w:ascii="宋体" w:hAnsi="宋体" w:cs="宋体"/>
          <w:b/>
          <w:snapToGrid w:val="0"/>
          <w:color w:val="000000" w:themeColor="text1"/>
          <w:sz w:val="24"/>
          <w:highlight w:val="none"/>
          <w:u w:val="single"/>
          <w14:textFill>
            <w14:solidFill>
              <w14:schemeClr w14:val="tx1"/>
            </w14:solidFill>
          </w14:textFill>
        </w:rPr>
        <w:t xml:space="preserve">  </w:t>
      </w:r>
      <w:r>
        <w:rPr>
          <w:rFonts w:hint="eastAsia" w:ascii="宋体" w:hAnsi="宋体" w:cs="宋体"/>
          <w:b/>
          <w:snapToGrid w:val="0"/>
          <w:color w:val="000000" w:themeColor="text1"/>
          <w:sz w:val="24"/>
          <w:highlight w:val="none"/>
          <w14:textFill>
            <w14:solidFill>
              <w14:schemeClr w14:val="tx1"/>
            </w14:solidFill>
          </w14:textFill>
        </w:rPr>
        <w:t>份，副本</w:t>
      </w:r>
      <w:r>
        <w:rPr>
          <w:rFonts w:ascii="宋体" w:hAnsi="宋体" w:cs="宋体"/>
          <w:b/>
          <w:snapToGrid w:val="0"/>
          <w:color w:val="000000" w:themeColor="text1"/>
          <w:sz w:val="24"/>
          <w:highlight w:val="none"/>
          <w:u w:val="single"/>
          <w14:textFill>
            <w14:solidFill>
              <w14:schemeClr w14:val="tx1"/>
            </w14:solidFill>
          </w14:textFill>
        </w:rPr>
        <w:t xml:space="preserve">   </w:t>
      </w:r>
      <w:r>
        <w:rPr>
          <w:rFonts w:hint="eastAsia" w:ascii="宋体" w:hAnsi="宋体" w:cs="宋体"/>
          <w:b/>
          <w:snapToGrid w:val="0"/>
          <w:color w:val="000000" w:themeColor="text1"/>
          <w:sz w:val="24"/>
          <w:highlight w:val="none"/>
          <w:u w:val="single"/>
          <w:lang w:val="en-US" w:eastAsia="zh-CN"/>
          <w14:textFill>
            <w14:solidFill>
              <w14:schemeClr w14:val="tx1"/>
            </w14:solidFill>
          </w14:textFill>
        </w:rPr>
        <w:t>陆</w:t>
      </w:r>
      <w:r>
        <w:rPr>
          <w:rFonts w:hint="eastAsia" w:ascii="宋体" w:hAnsi="宋体" w:cs="宋体"/>
          <w:b/>
          <w:snapToGrid w:val="0"/>
          <w:color w:val="000000" w:themeColor="text1"/>
          <w:sz w:val="24"/>
          <w:highlight w:val="none"/>
          <w:u w:val="single"/>
          <w14:textFill>
            <w14:solidFill>
              <w14:schemeClr w14:val="tx1"/>
            </w14:solidFill>
          </w14:textFill>
        </w:rPr>
        <w:t xml:space="preserve">  </w:t>
      </w:r>
      <w:r>
        <w:rPr>
          <w:rFonts w:ascii="宋体" w:hAnsi="宋体" w:cs="宋体"/>
          <w:b/>
          <w:snapToGrid w:val="0"/>
          <w:color w:val="000000" w:themeColor="text1"/>
          <w:sz w:val="24"/>
          <w:highlight w:val="none"/>
          <w:u w:val="single"/>
          <w14:textFill>
            <w14:solidFill>
              <w14:schemeClr w14:val="tx1"/>
            </w14:solidFill>
          </w14:textFill>
        </w:rPr>
        <w:t xml:space="preserve"> </w:t>
      </w:r>
      <w:r>
        <w:rPr>
          <w:rFonts w:hint="eastAsia" w:ascii="宋体" w:hAnsi="宋体" w:cs="宋体"/>
          <w:b/>
          <w:snapToGrid w:val="0"/>
          <w:color w:val="000000" w:themeColor="text1"/>
          <w:sz w:val="24"/>
          <w:highlight w:val="none"/>
          <w14:textFill>
            <w14:solidFill>
              <w14:schemeClr w14:val="tx1"/>
            </w14:solidFill>
          </w14:textFill>
        </w:rPr>
        <w:t>份。</w:t>
      </w:r>
    </w:p>
    <w:p w14:paraId="1DDAD89E">
      <w:pPr>
        <w:pStyle w:val="6"/>
        <w:adjustRightInd w:val="0"/>
        <w:snapToGrid w:val="0"/>
        <w:spacing w:line="360" w:lineRule="auto"/>
        <w:ind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sz w:val="24"/>
          <w:szCs w:val="24"/>
          <w:highlight w:val="none"/>
          <w14:textFill>
            <w14:solidFill>
              <w14:schemeClr w14:val="tx1"/>
            </w14:solidFill>
          </w14:textFill>
        </w:rPr>
        <w:t>甲方执</w:t>
      </w:r>
      <w:r>
        <w:rPr>
          <w:rFonts w:hint="eastAsia" w:ascii="宋体" w:hAnsi="宋体" w:cs="宋体"/>
          <w:snapToGrid w:val="0"/>
          <w:color w:val="000000" w:themeColor="text1"/>
          <w:sz w:val="24"/>
          <w:highlight w:val="none"/>
          <w14:textFill>
            <w14:solidFill>
              <w14:schemeClr w14:val="tx1"/>
            </w14:solidFill>
          </w14:textFill>
        </w:rPr>
        <w:t>正本</w:t>
      </w:r>
      <w:r>
        <w:rPr>
          <w:rFonts w:ascii="宋体" w:hAnsi="宋体" w:cs="宋体"/>
          <w:snapToGrid w:val="0"/>
          <w:color w:val="000000" w:themeColor="text1"/>
          <w:sz w:val="24"/>
          <w:highlight w:val="none"/>
          <w:u w:val="single"/>
          <w14:textFill>
            <w14:solidFill>
              <w14:schemeClr w14:val="tx1"/>
            </w14:solidFill>
          </w14:textFill>
        </w:rPr>
        <w:t xml:space="preserve">  </w:t>
      </w:r>
      <w:r>
        <w:rPr>
          <w:rFonts w:hint="eastAsia" w:ascii="宋体" w:hAnsi="宋体" w:cs="宋体"/>
          <w:snapToGrid w:val="0"/>
          <w:color w:val="000000" w:themeColor="text1"/>
          <w:sz w:val="24"/>
          <w:highlight w:val="none"/>
          <w:u w:val="single"/>
          <w14:textFill>
            <w14:solidFill>
              <w14:schemeClr w14:val="tx1"/>
            </w14:solidFill>
          </w14:textFill>
        </w:rPr>
        <w:t xml:space="preserve"> 壹</w:t>
      </w:r>
      <w:r>
        <w:rPr>
          <w:rFonts w:ascii="宋体" w:hAnsi="宋体" w:cs="宋体"/>
          <w:snapToGrid w:val="0"/>
          <w:color w:val="000000" w:themeColor="text1"/>
          <w:sz w:val="24"/>
          <w:highlight w:val="none"/>
          <w:u w:val="single"/>
          <w14:textFill>
            <w14:solidFill>
              <w14:schemeClr w14:val="tx1"/>
            </w14:solidFill>
          </w14:textFill>
        </w:rPr>
        <w:t xml:space="preserve">   </w:t>
      </w:r>
      <w:r>
        <w:rPr>
          <w:rFonts w:hint="eastAsia" w:ascii="宋体" w:hAnsi="宋体" w:cs="宋体"/>
          <w:snapToGrid w:val="0"/>
          <w:color w:val="000000" w:themeColor="text1"/>
          <w:sz w:val="24"/>
          <w:highlight w:val="none"/>
          <w14:textFill>
            <w14:solidFill>
              <w14:schemeClr w14:val="tx1"/>
            </w14:solidFill>
          </w14:textFill>
        </w:rPr>
        <w:t>份，副本</w:t>
      </w:r>
      <w:r>
        <w:rPr>
          <w:rFonts w:ascii="宋体" w:hAnsi="宋体" w:cs="宋体"/>
          <w:snapToGrid w:val="0"/>
          <w:color w:val="000000" w:themeColor="text1"/>
          <w:sz w:val="24"/>
          <w:highlight w:val="none"/>
          <w:u w:val="single"/>
          <w14:textFill>
            <w14:solidFill>
              <w14:schemeClr w14:val="tx1"/>
            </w14:solidFill>
          </w14:textFill>
        </w:rPr>
        <w:t xml:space="preserve">   </w:t>
      </w:r>
      <w:r>
        <w:rPr>
          <w:rFonts w:hint="eastAsia" w:ascii="宋体" w:hAnsi="宋体" w:cs="宋体"/>
          <w:snapToGrid w:val="0"/>
          <w:color w:val="000000" w:themeColor="text1"/>
          <w:sz w:val="24"/>
          <w:highlight w:val="none"/>
          <w:u w:val="single"/>
          <w14:textFill>
            <w14:solidFill>
              <w14:schemeClr w14:val="tx1"/>
            </w14:solidFill>
          </w14:textFill>
        </w:rPr>
        <w:t>贰</w:t>
      </w:r>
      <w:r>
        <w:rPr>
          <w:rFonts w:ascii="宋体" w:hAnsi="宋体" w:cs="宋体"/>
          <w:snapToGrid w:val="0"/>
          <w:color w:val="000000" w:themeColor="text1"/>
          <w:sz w:val="24"/>
          <w:highlight w:val="none"/>
          <w:u w:val="single"/>
          <w14:textFill>
            <w14:solidFill>
              <w14:schemeClr w14:val="tx1"/>
            </w14:solidFill>
          </w14:textFill>
        </w:rPr>
        <w:t xml:space="preserve">   </w:t>
      </w:r>
      <w:r>
        <w:rPr>
          <w:rFonts w:hint="eastAsia" w:ascii="宋体" w:hAnsi="宋体" w:cs="宋体"/>
          <w:snapToGrid w:val="0"/>
          <w:color w:val="000000" w:themeColor="text1"/>
          <w:sz w:val="24"/>
          <w:highlight w:val="none"/>
          <w14:textFill>
            <w14:solidFill>
              <w14:schemeClr w14:val="tx1"/>
            </w14:solidFill>
          </w14:textFill>
        </w:rPr>
        <w:t>份；</w:t>
      </w:r>
    </w:p>
    <w:p w14:paraId="28D40503">
      <w:pPr>
        <w:pStyle w:val="6"/>
        <w:adjustRightInd w:val="0"/>
        <w:snapToGrid w:val="0"/>
        <w:spacing w:line="360" w:lineRule="auto"/>
        <w:ind w:firstLineChars="200"/>
        <w:rPr>
          <w:rFonts w:ascii="宋体" w:hAnsi="宋体" w:cs="宋体"/>
          <w:snapToGrid w:val="0"/>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sz w:val="24"/>
          <w:highlight w:val="none"/>
          <w14:textFill>
            <w14:solidFill>
              <w14:schemeClr w14:val="tx1"/>
            </w14:solidFill>
          </w14:textFill>
        </w:rPr>
        <w:t>乙方执正本</w:t>
      </w:r>
      <w:r>
        <w:rPr>
          <w:rFonts w:ascii="宋体" w:hAnsi="宋体" w:cs="宋体"/>
          <w:snapToGrid w:val="0"/>
          <w:color w:val="000000" w:themeColor="text1"/>
          <w:sz w:val="24"/>
          <w:highlight w:val="none"/>
          <w:u w:val="single"/>
          <w14:textFill>
            <w14:solidFill>
              <w14:schemeClr w14:val="tx1"/>
            </w14:solidFill>
          </w14:textFill>
        </w:rPr>
        <w:t xml:space="preserve">  </w:t>
      </w:r>
      <w:r>
        <w:rPr>
          <w:rFonts w:hint="eastAsia" w:ascii="宋体" w:hAnsi="宋体" w:cs="宋体"/>
          <w:snapToGrid w:val="0"/>
          <w:color w:val="000000" w:themeColor="text1"/>
          <w:sz w:val="24"/>
          <w:highlight w:val="none"/>
          <w:u w:val="single"/>
          <w14:textFill>
            <w14:solidFill>
              <w14:schemeClr w14:val="tx1"/>
            </w14:solidFill>
          </w14:textFill>
        </w:rPr>
        <w:t xml:space="preserve"> 壹</w:t>
      </w:r>
      <w:r>
        <w:rPr>
          <w:rFonts w:ascii="宋体" w:hAnsi="宋体" w:cs="宋体"/>
          <w:snapToGrid w:val="0"/>
          <w:color w:val="000000" w:themeColor="text1"/>
          <w:sz w:val="24"/>
          <w:highlight w:val="none"/>
          <w:u w:val="single"/>
          <w14:textFill>
            <w14:solidFill>
              <w14:schemeClr w14:val="tx1"/>
            </w14:solidFill>
          </w14:textFill>
        </w:rPr>
        <w:t xml:space="preserve"> </w:t>
      </w:r>
      <w:r>
        <w:rPr>
          <w:rFonts w:hint="eastAsia" w:ascii="宋体" w:hAnsi="宋体" w:cs="宋体"/>
          <w:snapToGrid w:val="0"/>
          <w:color w:val="000000" w:themeColor="text1"/>
          <w:sz w:val="24"/>
          <w:highlight w:val="none"/>
          <w:u w:val="single"/>
          <w14:textFill>
            <w14:solidFill>
              <w14:schemeClr w14:val="tx1"/>
            </w14:solidFill>
          </w14:textFill>
        </w:rPr>
        <w:t xml:space="preserve"> </w:t>
      </w:r>
      <w:r>
        <w:rPr>
          <w:rFonts w:ascii="宋体" w:hAnsi="宋体" w:cs="宋体"/>
          <w:snapToGrid w:val="0"/>
          <w:color w:val="000000" w:themeColor="text1"/>
          <w:sz w:val="24"/>
          <w:highlight w:val="none"/>
          <w:u w:val="single"/>
          <w14:textFill>
            <w14:solidFill>
              <w14:schemeClr w14:val="tx1"/>
            </w14:solidFill>
          </w14:textFill>
        </w:rPr>
        <w:t xml:space="preserve"> </w:t>
      </w:r>
      <w:r>
        <w:rPr>
          <w:rFonts w:hint="eastAsia" w:ascii="宋体" w:hAnsi="宋体" w:cs="宋体"/>
          <w:snapToGrid w:val="0"/>
          <w:color w:val="000000" w:themeColor="text1"/>
          <w:sz w:val="24"/>
          <w:highlight w:val="none"/>
          <w14:textFill>
            <w14:solidFill>
              <w14:schemeClr w14:val="tx1"/>
            </w14:solidFill>
          </w14:textFill>
        </w:rPr>
        <w:t>份，副本</w:t>
      </w:r>
      <w:r>
        <w:rPr>
          <w:rFonts w:ascii="宋体" w:hAnsi="宋体" w:cs="宋体"/>
          <w:snapToGrid w:val="0"/>
          <w:color w:val="000000" w:themeColor="text1"/>
          <w:sz w:val="24"/>
          <w:highlight w:val="none"/>
          <w:u w:val="single"/>
          <w14:textFill>
            <w14:solidFill>
              <w14:schemeClr w14:val="tx1"/>
            </w14:solidFill>
          </w14:textFill>
        </w:rPr>
        <w:t xml:space="preserve">   </w:t>
      </w:r>
      <w:r>
        <w:rPr>
          <w:rFonts w:hint="eastAsia" w:ascii="宋体" w:hAnsi="宋体" w:cs="宋体"/>
          <w:snapToGrid w:val="0"/>
          <w:color w:val="000000" w:themeColor="text1"/>
          <w:sz w:val="24"/>
          <w:highlight w:val="none"/>
          <w:u w:val="single"/>
          <w14:textFill>
            <w14:solidFill>
              <w14:schemeClr w14:val="tx1"/>
            </w14:solidFill>
          </w14:textFill>
        </w:rPr>
        <w:t>贰</w:t>
      </w:r>
      <w:r>
        <w:rPr>
          <w:rFonts w:ascii="宋体" w:hAnsi="宋体" w:cs="宋体"/>
          <w:snapToGrid w:val="0"/>
          <w:color w:val="000000" w:themeColor="text1"/>
          <w:sz w:val="24"/>
          <w:highlight w:val="none"/>
          <w:u w:val="single"/>
          <w14:textFill>
            <w14:solidFill>
              <w14:schemeClr w14:val="tx1"/>
            </w14:solidFill>
          </w14:textFill>
        </w:rPr>
        <w:t xml:space="preserve">   </w:t>
      </w:r>
      <w:r>
        <w:rPr>
          <w:rFonts w:hint="eastAsia" w:ascii="宋体" w:hAnsi="宋体" w:cs="宋体"/>
          <w:snapToGrid w:val="0"/>
          <w:color w:val="000000" w:themeColor="text1"/>
          <w:sz w:val="24"/>
          <w:highlight w:val="none"/>
          <w14:textFill>
            <w14:solidFill>
              <w14:schemeClr w14:val="tx1"/>
            </w14:solidFill>
          </w14:textFill>
        </w:rPr>
        <w:t>份；</w:t>
      </w:r>
    </w:p>
    <w:p w14:paraId="1FE388EE">
      <w:pPr>
        <w:pStyle w:val="6"/>
        <w:adjustRightInd w:val="0"/>
        <w:snapToGrid w:val="0"/>
        <w:spacing w:line="360" w:lineRule="auto"/>
        <w:ind w:firstLine="1680" w:firstLineChars="700"/>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丙方执正本</w:t>
      </w:r>
      <w:r>
        <w:rPr>
          <w:rFonts w:ascii="宋体" w:hAnsi="宋体" w:cs="宋体"/>
          <w:snapToGrid w:val="0"/>
          <w:color w:val="000000" w:themeColor="text1"/>
          <w:sz w:val="24"/>
          <w:highlight w:val="none"/>
          <w:u w:val="single"/>
          <w14:textFill>
            <w14:solidFill>
              <w14:schemeClr w14:val="tx1"/>
            </w14:solidFill>
          </w14:textFill>
        </w:rPr>
        <w:t xml:space="preserve">  </w:t>
      </w:r>
      <w:r>
        <w:rPr>
          <w:rFonts w:hint="eastAsia" w:ascii="宋体" w:hAnsi="宋体" w:cs="宋体"/>
          <w:snapToGrid w:val="0"/>
          <w:color w:val="000000" w:themeColor="text1"/>
          <w:sz w:val="24"/>
          <w:highlight w:val="none"/>
          <w:u w:val="single"/>
          <w14:textFill>
            <w14:solidFill>
              <w14:schemeClr w14:val="tx1"/>
            </w14:solidFill>
          </w14:textFill>
        </w:rPr>
        <w:t xml:space="preserve"> 壹</w:t>
      </w:r>
      <w:r>
        <w:rPr>
          <w:rFonts w:ascii="宋体" w:hAnsi="宋体" w:cs="宋体"/>
          <w:snapToGrid w:val="0"/>
          <w:color w:val="000000" w:themeColor="text1"/>
          <w:sz w:val="24"/>
          <w:highlight w:val="none"/>
          <w:u w:val="single"/>
          <w14:textFill>
            <w14:solidFill>
              <w14:schemeClr w14:val="tx1"/>
            </w14:solidFill>
          </w14:textFill>
        </w:rPr>
        <w:t xml:space="preserve"> </w:t>
      </w:r>
      <w:r>
        <w:rPr>
          <w:rFonts w:hint="eastAsia" w:ascii="宋体" w:hAnsi="宋体" w:cs="宋体"/>
          <w:snapToGrid w:val="0"/>
          <w:color w:val="000000" w:themeColor="text1"/>
          <w:sz w:val="24"/>
          <w:highlight w:val="none"/>
          <w:u w:val="single"/>
          <w14:textFill>
            <w14:solidFill>
              <w14:schemeClr w14:val="tx1"/>
            </w14:solidFill>
          </w14:textFill>
        </w:rPr>
        <w:t xml:space="preserve"> </w:t>
      </w:r>
      <w:r>
        <w:rPr>
          <w:rFonts w:ascii="宋体" w:hAnsi="宋体" w:cs="宋体"/>
          <w:snapToGrid w:val="0"/>
          <w:color w:val="000000" w:themeColor="text1"/>
          <w:sz w:val="24"/>
          <w:highlight w:val="none"/>
          <w:u w:val="single"/>
          <w14:textFill>
            <w14:solidFill>
              <w14:schemeClr w14:val="tx1"/>
            </w14:solidFill>
          </w14:textFill>
        </w:rPr>
        <w:t xml:space="preserve"> </w:t>
      </w:r>
      <w:r>
        <w:rPr>
          <w:rFonts w:hint="eastAsia" w:ascii="宋体" w:hAnsi="宋体" w:cs="宋体"/>
          <w:snapToGrid w:val="0"/>
          <w:color w:val="000000" w:themeColor="text1"/>
          <w:sz w:val="24"/>
          <w:highlight w:val="none"/>
          <w14:textFill>
            <w14:solidFill>
              <w14:schemeClr w14:val="tx1"/>
            </w14:solidFill>
          </w14:textFill>
        </w:rPr>
        <w:t>份，副本</w:t>
      </w:r>
      <w:r>
        <w:rPr>
          <w:rFonts w:ascii="宋体" w:hAnsi="宋体" w:cs="宋体"/>
          <w:snapToGrid w:val="0"/>
          <w:color w:val="000000" w:themeColor="text1"/>
          <w:sz w:val="24"/>
          <w:highlight w:val="none"/>
          <w:u w:val="single"/>
          <w14:textFill>
            <w14:solidFill>
              <w14:schemeClr w14:val="tx1"/>
            </w14:solidFill>
          </w14:textFill>
        </w:rPr>
        <w:t xml:space="preserve">   </w:t>
      </w:r>
      <w:r>
        <w:rPr>
          <w:rFonts w:hint="eastAsia" w:ascii="宋体" w:hAnsi="宋体" w:cs="宋体"/>
          <w:snapToGrid w:val="0"/>
          <w:color w:val="000000" w:themeColor="text1"/>
          <w:sz w:val="24"/>
          <w:highlight w:val="none"/>
          <w:u w:val="single"/>
          <w14:textFill>
            <w14:solidFill>
              <w14:schemeClr w14:val="tx1"/>
            </w14:solidFill>
          </w14:textFill>
        </w:rPr>
        <w:t>贰</w:t>
      </w:r>
      <w:r>
        <w:rPr>
          <w:rFonts w:ascii="宋体" w:hAnsi="宋体" w:cs="宋体"/>
          <w:snapToGrid w:val="0"/>
          <w:color w:val="000000" w:themeColor="text1"/>
          <w:sz w:val="24"/>
          <w:highlight w:val="none"/>
          <w:u w:val="single"/>
          <w14:textFill>
            <w14:solidFill>
              <w14:schemeClr w14:val="tx1"/>
            </w14:solidFill>
          </w14:textFill>
        </w:rPr>
        <w:t xml:space="preserve">   </w:t>
      </w:r>
      <w:r>
        <w:rPr>
          <w:rFonts w:hint="eastAsia" w:ascii="宋体" w:hAnsi="宋体" w:cs="宋体"/>
          <w:snapToGrid w:val="0"/>
          <w:color w:val="000000" w:themeColor="text1"/>
          <w:sz w:val="24"/>
          <w:highlight w:val="none"/>
          <w14:textFill>
            <w14:solidFill>
              <w14:schemeClr w14:val="tx1"/>
            </w14:solidFill>
          </w14:textFill>
        </w:rPr>
        <w:t>份；</w:t>
      </w:r>
    </w:p>
    <w:p w14:paraId="5317C02B">
      <w:pPr>
        <w:adjustRightInd w:val="0"/>
        <w:snapToGrid w:val="0"/>
        <w:spacing w:line="360" w:lineRule="auto"/>
        <w:ind w:firstLine="480" w:firstLineChars="200"/>
        <w:rPr>
          <w:rFonts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2、本合同正、副本</w:t>
      </w:r>
      <w:r>
        <w:rPr>
          <w:rFonts w:hint="eastAsia" w:ascii="宋体" w:hAnsi="宋体" w:cs="宋体"/>
          <w:snapToGrid w:val="0"/>
          <w:color w:val="000000" w:themeColor="text1"/>
          <w:sz w:val="24"/>
          <w:highlight w:val="none"/>
          <w:lang w:eastAsia="zh-CN"/>
          <w14:textFill>
            <w14:solidFill>
              <w14:schemeClr w14:val="tx1"/>
            </w14:solidFill>
          </w14:textFill>
        </w:rPr>
        <w:t>具有</w:t>
      </w:r>
      <w:r>
        <w:rPr>
          <w:rFonts w:hint="eastAsia" w:ascii="宋体" w:hAnsi="宋体" w:cs="宋体"/>
          <w:snapToGrid w:val="0"/>
          <w:color w:val="000000" w:themeColor="text1"/>
          <w:sz w:val="24"/>
          <w:highlight w:val="none"/>
          <w14:textFill>
            <w14:solidFill>
              <w14:schemeClr w14:val="tx1"/>
            </w14:solidFill>
          </w14:textFill>
        </w:rPr>
        <w:t>同等法律</w:t>
      </w:r>
      <w:r>
        <w:rPr>
          <w:rFonts w:hint="eastAsia" w:ascii="宋体" w:hAnsi="宋体" w:cs="宋体"/>
          <w:snapToGrid w:val="0"/>
          <w:color w:val="000000" w:themeColor="text1"/>
          <w:sz w:val="24"/>
          <w:highlight w:val="none"/>
          <w:lang w:val="en-US" w:eastAsia="zh-CN"/>
          <w14:textFill>
            <w14:solidFill>
              <w14:schemeClr w14:val="tx1"/>
            </w14:solidFill>
          </w14:textFill>
        </w:rPr>
        <w:t>效力</w:t>
      </w:r>
      <w:r>
        <w:rPr>
          <w:rFonts w:hint="eastAsia" w:ascii="宋体" w:hAnsi="宋体" w:cs="宋体"/>
          <w:snapToGrid w:val="0"/>
          <w:color w:val="000000" w:themeColor="text1"/>
          <w:sz w:val="24"/>
          <w:highlight w:val="none"/>
          <w14:textFill>
            <w14:solidFill>
              <w14:schemeClr w14:val="tx1"/>
            </w14:solidFill>
          </w14:textFill>
        </w:rPr>
        <w:t>，当正、副本不一致时，以正本为准。</w:t>
      </w:r>
    </w:p>
    <w:p w14:paraId="7D7E7C96">
      <w:pPr>
        <w:pStyle w:val="6"/>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（以下无正文）</w:t>
      </w:r>
    </w:p>
    <w:p w14:paraId="2FA2277C">
      <w:pPr>
        <w:numPr>
          <w:ilvl w:val="255"/>
          <w:numId w:val="0"/>
        </w:numPr>
        <w:rPr>
          <w:rFonts w:ascii="宋体" w:hAnsi="宋体"/>
          <w:b/>
          <w:bCs/>
          <w:sz w:val="24"/>
          <w:highlight w:val="none"/>
        </w:rPr>
      </w:pPr>
    </w:p>
    <w:p w14:paraId="7D9375C8">
      <w:pPr>
        <w:pStyle w:val="40"/>
        <w:ind w:firstLine="482"/>
        <w:rPr>
          <w:rFonts w:ascii="宋体" w:hAnsi="宋体"/>
          <w:b/>
          <w:sz w:val="24"/>
          <w:highlight w:val="none"/>
        </w:rPr>
      </w:pPr>
    </w:p>
    <w:p w14:paraId="0D1B0D22">
      <w:pPr>
        <w:pStyle w:val="40"/>
        <w:ind w:firstLine="482"/>
        <w:rPr>
          <w:rFonts w:ascii="宋体" w:hAnsi="宋体"/>
          <w:b/>
          <w:sz w:val="24"/>
          <w:highlight w:val="none"/>
        </w:rPr>
      </w:pPr>
    </w:p>
    <w:p w14:paraId="0683D8E5">
      <w:pPr>
        <w:spacing w:line="240" w:lineRule="auto"/>
        <w:ind w:firstLine="0" w:firstLineChars="0"/>
        <w:rPr>
          <w:rFonts w:hint="eastAsia" w:ascii="宋体" w:hAnsi="宋体"/>
          <w:b/>
          <w:sz w:val="24"/>
          <w:highlight w:val="none"/>
        </w:rPr>
      </w:pPr>
      <w:r>
        <w:rPr>
          <w:rFonts w:hint="eastAsia" w:ascii="宋体" w:hAnsi="宋体"/>
          <w:b/>
          <w:sz w:val="24"/>
          <w:highlight w:val="none"/>
        </w:rPr>
        <w:br w:type="page"/>
      </w:r>
    </w:p>
    <w:p w14:paraId="39A6F244">
      <w:pPr>
        <w:spacing w:line="240" w:lineRule="auto"/>
        <w:ind w:firstLine="482" w:firstLineChars="200"/>
        <w:rPr>
          <w:rFonts w:hint="eastAsia" w:ascii="宋体" w:hAnsi="宋体"/>
          <w:b/>
          <w:sz w:val="24"/>
          <w:highlight w:val="none"/>
          <w:lang w:eastAsia="zh-CN"/>
        </w:rPr>
      </w:pPr>
      <w:r>
        <w:rPr>
          <w:rFonts w:hint="eastAsia" w:ascii="宋体" w:hAnsi="宋体"/>
          <w:b/>
          <w:sz w:val="24"/>
          <w:highlight w:val="none"/>
          <w:lang w:eastAsia="zh-CN"/>
        </w:rPr>
        <w:t>（</w:t>
      </w:r>
      <w:r>
        <w:rPr>
          <w:rFonts w:hint="eastAsia" w:ascii="宋体" w:hAnsi="宋体"/>
          <w:b/>
          <w:sz w:val="24"/>
          <w:highlight w:val="none"/>
          <w:lang w:val="en-US" w:eastAsia="zh-CN"/>
        </w:rPr>
        <w:t>本页为盖章页，无正文</w:t>
      </w:r>
      <w:r>
        <w:rPr>
          <w:rFonts w:hint="eastAsia" w:ascii="宋体" w:hAnsi="宋体"/>
          <w:b/>
          <w:sz w:val="24"/>
          <w:highlight w:val="none"/>
          <w:lang w:eastAsia="zh-CN"/>
        </w:rPr>
        <w:t>）</w:t>
      </w:r>
    </w:p>
    <w:p w14:paraId="1BC5D557">
      <w:pPr>
        <w:spacing w:line="240" w:lineRule="auto"/>
        <w:ind w:firstLine="482" w:firstLineChars="200"/>
        <w:rPr>
          <w:rFonts w:hint="eastAsia" w:ascii="宋体" w:hAnsi="宋体"/>
          <w:b/>
          <w:sz w:val="24"/>
          <w:highlight w:val="none"/>
          <w:lang w:eastAsia="zh-CN"/>
        </w:rPr>
      </w:pPr>
    </w:p>
    <w:p w14:paraId="45BF9158">
      <w:pPr>
        <w:spacing w:line="360" w:lineRule="auto"/>
        <w:ind w:firstLine="482" w:firstLineChars="200"/>
        <w:rPr>
          <w:rFonts w:ascii="宋体" w:hAnsi="宋体"/>
          <w:b/>
          <w:sz w:val="24"/>
          <w:highlight w:val="none"/>
        </w:rPr>
      </w:pPr>
      <w:r>
        <w:rPr>
          <w:rFonts w:hint="eastAsia" w:ascii="宋体" w:hAnsi="宋体"/>
          <w:b/>
          <w:sz w:val="24"/>
          <w:highlight w:val="none"/>
        </w:rPr>
        <w:t>甲方：</w:t>
      </w:r>
      <w:r>
        <w:rPr>
          <w:rFonts w:hint="eastAsia" w:ascii="宋体" w:hAnsi="宋体"/>
          <w:b/>
          <w:sz w:val="24"/>
          <w:highlight w:val="none"/>
          <w:lang w:eastAsia="zh-CN"/>
        </w:rPr>
        <w:t>广州市白云区江高镇人民政府</w:t>
      </w:r>
      <w:r>
        <w:rPr>
          <w:rFonts w:hint="eastAsia" w:ascii="宋体" w:hAnsi="宋体"/>
          <w:b/>
          <w:sz w:val="24"/>
          <w:highlight w:val="none"/>
        </w:rPr>
        <w:t>（</w:t>
      </w:r>
      <w:r>
        <w:rPr>
          <w:rFonts w:hint="eastAsia" w:ascii="宋体" w:hAnsi="宋体"/>
          <w:b/>
          <w:sz w:val="24"/>
          <w:highlight w:val="none"/>
          <w:lang w:eastAsia="zh-CN"/>
        </w:rPr>
        <w:t>盖章</w:t>
      </w:r>
      <w:r>
        <w:rPr>
          <w:rFonts w:hint="eastAsia" w:ascii="宋体" w:hAnsi="宋体"/>
          <w:b/>
          <w:sz w:val="24"/>
          <w:highlight w:val="none"/>
        </w:rPr>
        <w:t>）</w:t>
      </w:r>
      <w:r>
        <w:rPr>
          <w:rFonts w:ascii="宋体" w:hAnsi="宋体"/>
          <w:b/>
          <w:sz w:val="24"/>
          <w:highlight w:val="none"/>
        </w:rPr>
        <w:t xml:space="preserve">                    　           </w:t>
      </w:r>
    </w:p>
    <w:p w14:paraId="135750DF">
      <w:pPr>
        <w:spacing w:line="360" w:lineRule="auto"/>
        <w:ind w:firstLine="482" w:firstLineChars="200"/>
        <w:rPr>
          <w:rFonts w:hint="eastAsia" w:ascii="宋体" w:hAnsi="宋体" w:eastAsia="宋体"/>
          <w:b/>
          <w:sz w:val="24"/>
          <w:highlight w:val="none"/>
          <w:lang w:eastAsia="zh-CN"/>
        </w:rPr>
      </w:pPr>
      <w:r>
        <w:rPr>
          <w:rFonts w:hint="eastAsia" w:ascii="宋体" w:hAnsi="宋体"/>
          <w:b/>
          <w:sz w:val="24"/>
          <w:highlight w:val="none"/>
        </w:rPr>
        <w:t>通讯地址：广州市白云区江高镇江府路1号</w:t>
      </w:r>
    </w:p>
    <w:p w14:paraId="24A3D214">
      <w:pPr>
        <w:spacing w:line="360" w:lineRule="auto"/>
        <w:ind w:firstLine="482" w:firstLineChars="200"/>
        <w:rPr>
          <w:rFonts w:ascii="宋体" w:hAnsi="宋体"/>
          <w:b/>
          <w:sz w:val="24"/>
          <w:highlight w:val="none"/>
        </w:rPr>
      </w:pPr>
      <w:r>
        <w:rPr>
          <w:rFonts w:hint="eastAsia" w:ascii="宋体" w:hAnsi="宋体"/>
          <w:b/>
          <w:sz w:val="24"/>
          <w:highlight w:val="none"/>
        </w:rPr>
        <w:t>法定代表人：</w:t>
      </w:r>
      <w:r>
        <w:rPr>
          <w:rFonts w:ascii="宋体" w:hAnsi="宋体"/>
          <w:b/>
          <w:sz w:val="24"/>
          <w:highlight w:val="none"/>
        </w:rPr>
        <w:t xml:space="preserve">                           </w:t>
      </w:r>
    </w:p>
    <w:p w14:paraId="49B3A783">
      <w:pPr>
        <w:spacing w:line="360" w:lineRule="auto"/>
        <w:ind w:firstLine="482" w:firstLineChars="200"/>
        <w:rPr>
          <w:rFonts w:ascii="宋体" w:hAnsi="宋体"/>
          <w:b/>
          <w:sz w:val="24"/>
          <w:highlight w:val="none"/>
        </w:rPr>
      </w:pPr>
      <w:r>
        <w:rPr>
          <w:rFonts w:hint="eastAsia" w:ascii="宋体" w:hAnsi="宋体"/>
          <w:b/>
          <w:sz w:val="24"/>
          <w:highlight w:val="none"/>
        </w:rPr>
        <w:t>签约代表：</w:t>
      </w:r>
      <w:r>
        <w:rPr>
          <w:rFonts w:ascii="宋体" w:hAnsi="宋体"/>
          <w:b/>
          <w:sz w:val="24"/>
          <w:highlight w:val="none"/>
        </w:rPr>
        <w:t xml:space="preserve">                             </w:t>
      </w:r>
    </w:p>
    <w:p w14:paraId="167F5FD8">
      <w:pPr>
        <w:spacing w:line="360" w:lineRule="auto"/>
        <w:ind w:firstLine="482" w:firstLineChars="200"/>
        <w:rPr>
          <w:rFonts w:ascii="宋体" w:hAnsi="宋体"/>
          <w:b/>
          <w:sz w:val="24"/>
          <w:highlight w:val="none"/>
        </w:rPr>
      </w:pPr>
      <w:r>
        <w:rPr>
          <w:rFonts w:hint="eastAsia" w:ascii="宋体" w:hAnsi="宋体"/>
          <w:b/>
          <w:sz w:val="24"/>
          <w:highlight w:val="none"/>
        </w:rPr>
        <w:t>电话：</w:t>
      </w:r>
    </w:p>
    <w:p w14:paraId="1673F281">
      <w:pPr>
        <w:pStyle w:val="6"/>
        <w:spacing w:line="360" w:lineRule="auto"/>
        <w:ind w:firstLine="0"/>
        <w:rPr>
          <w:rFonts w:ascii="宋体" w:hAnsi="宋体"/>
          <w:b/>
          <w:sz w:val="24"/>
          <w:szCs w:val="24"/>
          <w:highlight w:val="none"/>
        </w:rPr>
      </w:pPr>
    </w:p>
    <w:p w14:paraId="3F4C1C52">
      <w:pPr>
        <w:pStyle w:val="6"/>
        <w:spacing w:line="360" w:lineRule="auto"/>
        <w:ind w:firstLine="0"/>
        <w:rPr>
          <w:rFonts w:ascii="宋体" w:hAnsi="宋体"/>
          <w:b/>
          <w:sz w:val="24"/>
          <w:szCs w:val="24"/>
          <w:highlight w:val="none"/>
        </w:rPr>
      </w:pPr>
    </w:p>
    <w:p w14:paraId="3B8C30F0">
      <w:pPr>
        <w:pStyle w:val="6"/>
        <w:spacing w:line="360" w:lineRule="auto"/>
        <w:ind w:firstLine="0"/>
        <w:rPr>
          <w:rFonts w:ascii="宋体" w:hAnsi="宋体"/>
          <w:b/>
          <w:sz w:val="24"/>
          <w:szCs w:val="24"/>
          <w:highlight w:val="none"/>
        </w:rPr>
      </w:pPr>
    </w:p>
    <w:p w14:paraId="2EB64597">
      <w:pPr>
        <w:pStyle w:val="6"/>
        <w:spacing w:line="360" w:lineRule="auto"/>
        <w:ind w:firstLine="0"/>
        <w:rPr>
          <w:rFonts w:ascii="宋体" w:hAnsi="宋体"/>
          <w:b/>
          <w:sz w:val="24"/>
          <w:szCs w:val="24"/>
          <w:highlight w:val="none"/>
        </w:rPr>
      </w:pPr>
    </w:p>
    <w:p w14:paraId="72D7F624">
      <w:pPr>
        <w:spacing w:line="360" w:lineRule="auto"/>
        <w:ind w:firstLine="482" w:firstLineChars="200"/>
        <w:rPr>
          <w:rFonts w:ascii="宋体" w:hAnsi="宋体"/>
          <w:b/>
          <w:sz w:val="24"/>
          <w:highlight w:val="none"/>
        </w:rPr>
      </w:pPr>
      <w:r>
        <w:rPr>
          <w:rFonts w:hint="eastAsia" w:ascii="宋体" w:hAnsi="宋体"/>
          <w:b/>
          <w:sz w:val="24"/>
          <w:highlight w:val="none"/>
        </w:rPr>
        <w:t>乙方：广州市白云</w:t>
      </w:r>
      <w:r>
        <w:rPr>
          <w:rFonts w:hint="eastAsia" w:ascii="宋体" w:hAnsi="宋体"/>
          <w:b/>
          <w:sz w:val="24"/>
          <w:highlight w:val="none"/>
          <w:lang w:eastAsia="zh-CN"/>
        </w:rPr>
        <w:t>城市建设投资</w:t>
      </w:r>
      <w:r>
        <w:rPr>
          <w:rFonts w:hint="eastAsia" w:ascii="宋体" w:hAnsi="宋体"/>
          <w:b/>
          <w:sz w:val="24"/>
          <w:highlight w:val="none"/>
        </w:rPr>
        <w:t>有限公司（</w:t>
      </w:r>
      <w:r>
        <w:rPr>
          <w:rFonts w:hint="eastAsia" w:ascii="宋体" w:hAnsi="宋体"/>
          <w:b/>
          <w:sz w:val="24"/>
          <w:highlight w:val="none"/>
          <w:lang w:eastAsia="zh-CN"/>
        </w:rPr>
        <w:t>盖章</w:t>
      </w:r>
      <w:r>
        <w:rPr>
          <w:rFonts w:hint="eastAsia" w:ascii="宋体" w:hAnsi="宋体"/>
          <w:b/>
          <w:sz w:val="24"/>
          <w:highlight w:val="none"/>
        </w:rPr>
        <w:t>）</w:t>
      </w:r>
      <w:r>
        <w:rPr>
          <w:rFonts w:ascii="宋体" w:hAnsi="宋体"/>
          <w:b/>
          <w:sz w:val="24"/>
          <w:highlight w:val="none"/>
        </w:rPr>
        <w:t xml:space="preserve">                    　           </w:t>
      </w:r>
    </w:p>
    <w:p w14:paraId="7E471769">
      <w:pPr>
        <w:spacing w:line="360" w:lineRule="auto"/>
        <w:ind w:firstLine="482" w:firstLineChars="200"/>
        <w:rPr>
          <w:rFonts w:hint="eastAsia" w:ascii="宋体" w:hAnsi="宋体" w:eastAsia="宋体"/>
          <w:b/>
          <w:sz w:val="24"/>
          <w:highlight w:val="none"/>
          <w:lang w:eastAsia="zh-CN"/>
        </w:rPr>
      </w:pPr>
      <w:r>
        <w:rPr>
          <w:rFonts w:hint="eastAsia" w:ascii="宋体" w:hAnsi="宋体"/>
          <w:b/>
          <w:sz w:val="24"/>
          <w:highlight w:val="none"/>
        </w:rPr>
        <w:t>通讯地址：广州市白云区齐富路88号C</w:t>
      </w:r>
      <w:r>
        <w:rPr>
          <w:rFonts w:hint="eastAsia" w:ascii="宋体" w:hAnsi="宋体"/>
          <w:b/>
          <w:sz w:val="24"/>
          <w:highlight w:val="none"/>
          <w:lang w:val="en-US" w:eastAsia="zh-CN"/>
        </w:rPr>
        <w:t>座</w:t>
      </w:r>
      <w:r>
        <w:rPr>
          <w:rFonts w:hint="eastAsia" w:ascii="宋体" w:hAnsi="宋体"/>
          <w:b/>
          <w:sz w:val="24"/>
          <w:highlight w:val="none"/>
          <w:lang w:eastAsia="zh-CN"/>
        </w:rPr>
        <w:t>7-8楼</w:t>
      </w:r>
    </w:p>
    <w:p w14:paraId="64D38676">
      <w:pPr>
        <w:spacing w:line="360" w:lineRule="auto"/>
        <w:ind w:firstLine="482" w:firstLineChars="200"/>
        <w:rPr>
          <w:rFonts w:ascii="宋体" w:hAnsi="宋体"/>
          <w:b/>
          <w:sz w:val="24"/>
          <w:highlight w:val="none"/>
        </w:rPr>
      </w:pPr>
      <w:r>
        <w:rPr>
          <w:rFonts w:hint="eastAsia" w:ascii="宋体" w:hAnsi="宋体"/>
          <w:b/>
          <w:sz w:val="24"/>
          <w:highlight w:val="none"/>
        </w:rPr>
        <w:t>法定代表人：</w:t>
      </w:r>
      <w:r>
        <w:rPr>
          <w:rFonts w:ascii="宋体" w:hAnsi="宋体"/>
          <w:b/>
          <w:sz w:val="24"/>
          <w:highlight w:val="none"/>
        </w:rPr>
        <w:t xml:space="preserve">                           </w:t>
      </w:r>
    </w:p>
    <w:p w14:paraId="2F2CE9D6">
      <w:pPr>
        <w:spacing w:line="360" w:lineRule="auto"/>
        <w:ind w:firstLine="482" w:firstLineChars="200"/>
        <w:rPr>
          <w:rFonts w:hint="eastAsia" w:ascii="宋体" w:hAnsi="宋体"/>
          <w:b/>
          <w:sz w:val="24"/>
          <w:highlight w:val="none"/>
        </w:rPr>
      </w:pPr>
      <w:r>
        <w:rPr>
          <w:rFonts w:hint="eastAsia" w:ascii="宋体" w:hAnsi="宋体"/>
          <w:b/>
          <w:sz w:val="24"/>
          <w:highlight w:val="none"/>
        </w:rPr>
        <w:t>签约代表：</w:t>
      </w:r>
    </w:p>
    <w:p w14:paraId="0312A1E4">
      <w:pPr>
        <w:spacing w:line="360" w:lineRule="auto"/>
        <w:ind w:firstLine="482" w:firstLineChars="200"/>
        <w:rPr>
          <w:b/>
          <w:highlight w:val="none"/>
        </w:rPr>
      </w:pPr>
      <w:r>
        <w:rPr>
          <w:rFonts w:hint="eastAsia" w:ascii="宋体" w:hAnsi="宋体"/>
          <w:b/>
          <w:sz w:val="24"/>
          <w:highlight w:val="none"/>
        </w:rPr>
        <w:t>电话：</w:t>
      </w:r>
      <w:r>
        <w:rPr>
          <w:rFonts w:ascii="宋体" w:hAnsi="宋体"/>
          <w:b/>
          <w:sz w:val="24"/>
          <w:highlight w:val="none"/>
        </w:rPr>
        <w:t xml:space="preserve"> </w:t>
      </w:r>
    </w:p>
    <w:p w14:paraId="2DB02C94">
      <w:pPr>
        <w:pStyle w:val="6"/>
        <w:spacing w:line="360" w:lineRule="auto"/>
        <w:ind w:firstLine="0"/>
        <w:rPr>
          <w:highlight w:val="none"/>
        </w:rPr>
      </w:pPr>
    </w:p>
    <w:p w14:paraId="68CDFA03">
      <w:pPr>
        <w:pStyle w:val="6"/>
        <w:spacing w:line="360" w:lineRule="auto"/>
        <w:ind w:firstLine="0"/>
        <w:rPr>
          <w:highlight w:val="none"/>
        </w:rPr>
      </w:pPr>
    </w:p>
    <w:p w14:paraId="1A1D60CA">
      <w:pPr>
        <w:pStyle w:val="6"/>
        <w:spacing w:line="360" w:lineRule="auto"/>
        <w:ind w:firstLine="0"/>
        <w:rPr>
          <w:highlight w:val="none"/>
        </w:rPr>
      </w:pPr>
    </w:p>
    <w:p w14:paraId="3B82DC63">
      <w:pPr>
        <w:pStyle w:val="6"/>
        <w:spacing w:line="360" w:lineRule="auto"/>
        <w:ind w:firstLine="0"/>
        <w:rPr>
          <w:highlight w:val="none"/>
        </w:rPr>
      </w:pPr>
    </w:p>
    <w:p w14:paraId="530C184A">
      <w:pPr>
        <w:spacing w:line="360" w:lineRule="auto"/>
        <w:ind w:left="8222" w:leftChars="200" w:hanging="7802" w:hangingChars="3238"/>
        <w:rPr>
          <w:rFonts w:ascii="宋体" w:hAnsi="宋体"/>
          <w:b/>
          <w:sz w:val="24"/>
          <w:highlight w:val="none"/>
        </w:rPr>
      </w:pPr>
      <w:r>
        <w:rPr>
          <w:rFonts w:hint="eastAsia" w:ascii="宋体" w:hAnsi="宋体"/>
          <w:b/>
          <w:sz w:val="24"/>
          <w:highlight w:val="none"/>
        </w:rPr>
        <w:t>丙方：</w:t>
      </w:r>
      <w:r>
        <w:rPr>
          <w:rFonts w:hint="eastAsia" w:ascii="宋体" w:hAnsi="宋体"/>
          <w:b/>
          <w:sz w:val="24"/>
          <w:highlight w:val="none"/>
          <w:lang w:eastAsia="zh-CN"/>
        </w:rPr>
        <w:t xml:space="preserve">        </w:t>
      </w:r>
      <w:r>
        <w:rPr>
          <w:rFonts w:hint="eastAsia" w:ascii="宋体" w:hAnsi="宋体"/>
          <w:b/>
          <w:sz w:val="24"/>
          <w:highlight w:val="none"/>
        </w:rPr>
        <w:t>（</w:t>
      </w:r>
      <w:r>
        <w:rPr>
          <w:rFonts w:hint="eastAsia" w:ascii="宋体" w:hAnsi="宋体"/>
          <w:b/>
          <w:sz w:val="24"/>
          <w:highlight w:val="none"/>
          <w:lang w:eastAsia="zh-CN"/>
        </w:rPr>
        <w:t>盖章</w:t>
      </w:r>
      <w:r>
        <w:rPr>
          <w:rFonts w:hint="eastAsia" w:ascii="宋体" w:hAnsi="宋体"/>
          <w:b/>
          <w:sz w:val="24"/>
          <w:highlight w:val="none"/>
        </w:rPr>
        <w:t>）</w:t>
      </w:r>
    </w:p>
    <w:p w14:paraId="4DA620A7">
      <w:pPr>
        <w:spacing w:line="360" w:lineRule="auto"/>
        <w:ind w:left="7046" w:leftChars="200" w:hanging="6626" w:hangingChars="2750"/>
        <w:rPr>
          <w:rFonts w:ascii="宋体" w:hAnsi="宋体"/>
          <w:sz w:val="24"/>
          <w:highlight w:val="none"/>
        </w:rPr>
      </w:pPr>
      <w:r>
        <w:rPr>
          <w:rFonts w:hint="eastAsia" w:ascii="宋体" w:hAnsi="宋体"/>
          <w:b/>
          <w:sz w:val="24"/>
          <w:highlight w:val="none"/>
        </w:rPr>
        <w:t>通讯地址：</w:t>
      </w:r>
      <w:r>
        <w:rPr>
          <w:sz w:val="24"/>
          <w:szCs w:val="18"/>
          <w:highlight w:val="none"/>
        </w:rPr>
        <w:t xml:space="preserve">                          </w:t>
      </w:r>
    </w:p>
    <w:p w14:paraId="6B11AAE2">
      <w:pPr>
        <w:spacing w:line="360" w:lineRule="auto"/>
        <w:ind w:left="7046" w:leftChars="200" w:hanging="6626" w:hangingChars="2750"/>
        <w:rPr>
          <w:rFonts w:ascii="宋体" w:hAnsi="宋体"/>
          <w:b/>
          <w:sz w:val="24"/>
          <w:highlight w:val="none"/>
        </w:rPr>
      </w:pPr>
      <w:r>
        <w:rPr>
          <w:rFonts w:hint="eastAsia" w:ascii="宋体" w:hAnsi="宋体"/>
          <w:b/>
          <w:sz w:val="24"/>
          <w:highlight w:val="none"/>
        </w:rPr>
        <w:t>法定代表人：</w:t>
      </w:r>
    </w:p>
    <w:p w14:paraId="79D07297">
      <w:pPr>
        <w:spacing w:line="360" w:lineRule="auto"/>
        <w:ind w:firstLine="422" w:firstLineChars="175"/>
        <w:rPr>
          <w:rFonts w:ascii="宋体" w:hAnsi="宋体"/>
          <w:b/>
          <w:sz w:val="24"/>
          <w:highlight w:val="none"/>
        </w:rPr>
      </w:pPr>
      <w:r>
        <w:rPr>
          <w:rFonts w:hint="eastAsia" w:ascii="宋体" w:hAnsi="宋体"/>
          <w:b/>
          <w:sz w:val="24"/>
          <w:highlight w:val="none"/>
        </w:rPr>
        <w:t>签约代表：　　　　　　　　　　　　　　</w:t>
      </w:r>
      <w:r>
        <w:rPr>
          <w:rFonts w:ascii="宋体" w:hAnsi="宋体"/>
          <w:b/>
          <w:sz w:val="24"/>
          <w:highlight w:val="none"/>
        </w:rPr>
        <w:t xml:space="preserve">  </w:t>
      </w:r>
    </w:p>
    <w:p w14:paraId="6F171CE0">
      <w:pPr>
        <w:spacing w:line="360" w:lineRule="auto"/>
        <w:ind w:firstLine="422" w:firstLineChars="175"/>
        <w:rPr>
          <w:rFonts w:ascii="宋体" w:hAnsi="宋体"/>
          <w:b/>
          <w:sz w:val="24"/>
          <w:highlight w:val="none"/>
        </w:rPr>
      </w:pPr>
      <w:r>
        <w:rPr>
          <w:rFonts w:hint="eastAsia" w:ascii="宋体" w:hAnsi="宋体"/>
          <w:b/>
          <w:sz w:val="24"/>
          <w:highlight w:val="none"/>
        </w:rPr>
        <w:t>电话：</w:t>
      </w:r>
      <w:r>
        <w:rPr>
          <w:rFonts w:ascii="宋体" w:hAnsi="宋体"/>
          <w:b/>
          <w:sz w:val="24"/>
          <w:highlight w:val="none"/>
        </w:rPr>
        <w:t xml:space="preserve"> </w:t>
      </w:r>
    </w:p>
    <w:p w14:paraId="5E21DA06">
      <w:pPr>
        <w:pStyle w:val="40"/>
        <w:ind w:firstLine="482"/>
        <w:rPr>
          <w:rFonts w:ascii="宋体" w:hAnsi="宋体"/>
          <w:b/>
          <w:sz w:val="24"/>
          <w:highlight w:val="none"/>
        </w:rPr>
      </w:pPr>
    </w:p>
    <w:p w14:paraId="5918D0CF">
      <w:pPr>
        <w:pStyle w:val="40"/>
        <w:ind w:firstLine="482"/>
        <w:rPr>
          <w:rFonts w:ascii="宋体" w:hAnsi="宋体"/>
          <w:b/>
          <w:sz w:val="24"/>
          <w:highlight w:val="none"/>
        </w:rPr>
      </w:pPr>
    </w:p>
    <w:p w14:paraId="453511CA">
      <w:pPr>
        <w:numPr>
          <w:ilvl w:val="255"/>
          <w:numId w:val="0"/>
        </w:numPr>
        <w:adjustRightInd w:val="0"/>
        <w:snapToGrid w:val="0"/>
        <w:spacing w:line="360" w:lineRule="auto"/>
        <w:ind w:left="420" w:leftChars="200"/>
        <w:rPr>
          <w:rFonts w:ascii="宋体" w:hAnsi="宋体"/>
          <w:b/>
          <w:bCs/>
          <w:sz w:val="24"/>
          <w:highlight w:val="none"/>
        </w:rPr>
      </w:pPr>
    </w:p>
    <w:p w14:paraId="421F2A3B">
      <w:pPr>
        <w:numPr>
          <w:ilvl w:val="-1"/>
          <w:numId w:val="0"/>
        </w:numPr>
        <w:adjustRightInd/>
        <w:snapToGrid/>
        <w:spacing w:line="240" w:lineRule="auto"/>
        <w:ind w:left="0" w:leftChars="0"/>
        <w:jc w:val="both"/>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br w:type="page"/>
      </w:r>
    </w:p>
    <w:p w14:paraId="02B84313">
      <w:pPr>
        <w:numPr>
          <w:ilvl w:val="255"/>
          <w:numId w:val="0"/>
        </w:numPr>
        <w:adjustRightInd w:val="0"/>
        <w:snapToGrid w:val="0"/>
        <w:spacing w:line="360" w:lineRule="auto"/>
        <w:ind w:left="420" w:leftChars="200"/>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第二部分</w:t>
      </w:r>
      <w:r>
        <w:rPr>
          <w:b/>
          <w:color w:val="000000" w:themeColor="text1"/>
          <w:sz w:val="32"/>
          <w:szCs w:val="32"/>
          <w:highlight w:val="none"/>
          <w14:textFill>
            <w14:solidFill>
              <w14:schemeClr w14:val="tx1"/>
            </w14:solidFill>
          </w14:textFill>
        </w:rPr>
        <w:t xml:space="preserve">  </w:t>
      </w:r>
      <w:bookmarkStart w:id="9" w:name="_Toc286998612"/>
      <w:bookmarkEnd w:id="9"/>
      <w:bookmarkStart w:id="10" w:name="_Toc286999530"/>
      <w:bookmarkEnd w:id="10"/>
      <w:bookmarkStart w:id="11" w:name="_Toc286999642"/>
      <w:bookmarkEnd w:id="11"/>
      <w:bookmarkStart w:id="12" w:name="_Toc286998830"/>
      <w:bookmarkEnd w:id="12"/>
      <w:bookmarkStart w:id="13" w:name="_Toc286998666"/>
      <w:bookmarkEnd w:id="13"/>
      <w:bookmarkStart w:id="14" w:name="_Toc286999627"/>
      <w:bookmarkEnd w:id="14"/>
      <w:bookmarkStart w:id="15" w:name="_Toc286998815"/>
      <w:bookmarkEnd w:id="15"/>
      <w:bookmarkStart w:id="16" w:name="_Toc286999545"/>
      <w:bookmarkEnd w:id="16"/>
      <w:r>
        <w:rPr>
          <w:rFonts w:hint="eastAsia"/>
          <w:b/>
          <w:color w:val="000000" w:themeColor="text1"/>
          <w:sz w:val="32"/>
          <w:szCs w:val="32"/>
          <w:highlight w:val="none"/>
          <w14:textFill>
            <w14:solidFill>
              <w14:schemeClr w14:val="tx1"/>
            </w14:solidFill>
          </w14:textFill>
        </w:rPr>
        <w:t>合同条款</w:t>
      </w:r>
    </w:p>
    <w:p w14:paraId="1443D05A">
      <w:pPr>
        <w:numPr>
          <w:ilvl w:val="255"/>
          <w:numId w:val="0"/>
        </w:numPr>
        <w:adjustRightInd w:val="0"/>
        <w:snapToGrid w:val="0"/>
        <w:spacing w:line="360" w:lineRule="auto"/>
        <w:ind w:left="420" w:leftChars="200"/>
        <w:rPr>
          <w:rFonts w:ascii="宋体" w:hAnsi="宋体"/>
          <w:b/>
          <w:bCs/>
          <w:sz w:val="24"/>
          <w:highlight w:val="none"/>
        </w:rPr>
      </w:pPr>
      <w:r>
        <w:rPr>
          <w:rFonts w:hint="eastAsia" w:ascii="宋体" w:hAnsi="宋体"/>
          <w:b/>
          <w:bCs/>
          <w:sz w:val="24"/>
          <w:highlight w:val="none"/>
        </w:rPr>
        <w:t>一、检测服务内容和要求</w:t>
      </w:r>
    </w:p>
    <w:p w14:paraId="2CC0AA0F">
      <w:pPr>
        <w:tabs>
          <w:tab w:val="left" w:pos="851"/>
        </w:tabs>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1.1 服务内容</w:t>
      </w:r>
    </w:p>
    <w:p w14:paraId="1D69AE3F">
      <w:pPr>
        <w:adjustRightInd w:val="0"/>
        <w:snapToGrid w:val="0"/>
        <w:spacing w:line="360" w:lineRule="auto"/>
        <w:ind w:firstLine="480" w:firstLineChars="200"/>
        <w:rPr>
          <w:rFonts w:ascii="宋体" w:hAnsi="宋体"/>
          <w:sz w:val="24"/>
          <w:highlight w:val="none"/>
        </w:rPr>
      </w:pPr>
      <w:r>
        <w:rPr>
          <w:rFonts w:ascii="宋体" w:hAnsi="宋体"/>
          <w:sz w:val="24"/>
          <w:highlight w:val="none"/>
        </w:rPr>
        <w:t>1.1.1按国家、广东省和广州市相关检测要求和询价文</w:t>
      </w:r>
      <w:r>
        <w:rPr>
          <w:rFonts w:hint="eastAsia" w:ascii="宋体" w:hAnsi="宋体"/>
          <w:sz w:val="24"/>
          <w:highlight w:val="none"/>
          <w:lang w:eastAsia="zh-CN"/>
        </w:rPr>
        <w:t>件</w:t>
      </w:r>
      <w:r>
        <w:rPr>
          <w:rFonts w:ascii="宋体" w:hAnsi="宋体"/>
          <w:sz w:val="24"/>
          <w:highlight w:val="none"/>
        </w:rPr>
        <w:t>进行工程质量检测，并提交符合要求的检测报告；</w:t>
      </w:r>
    </w:p>
    <w:p w14:paraId="7CD59019">
      <w:pPr>
        <w:adjustRightInd w:val="0"/>
        <w:snapToGrid w:val="0"/>
        <w:spacing w:line="360" w:lineRule="auto"/>
        <w:ind w:firstLine="480" w:firstLineChars="200"/>
        <w:rPr>
          <w:rFonts w:ascii="宋体" w:hAnsi="宋体"/>
          <w:sz w:val="24"/>
          <w:highlight w:val="none"/>
        </w:rPr>
      </w:pPr>
      <w:r>
        <w:rPr>
          <w:rFonts w:ascii="宋体" w:hAnsi="宋体"/>
          <w:sz w:val="24"/>
          <w:highlight w:val="none"/>
        </w:rPr>
        <w:t>1.1.2与工程所在行政区域的相关建设行政主管部门和质量监督部门进行检测工作的协调，申报检测方案和技术成果的审批，保证能够通过相关部门认可，确保不因检测工作影响本工程项目的建设进度和竣工验收；</w:t>
      </w:r>
    </w:p>
    <w:p w14:paraId="4E6546F6">
      <w:pPr>
        <w:adjustRightInd w:val="0"/>
        <w:snapToGrid w:val="0"/>
        <w:spacing w:line="360" w:lineRule="auto"/>
        <w:ind w:firstLine="480" w:firstLineChars="200"/>
        <w:rPr>
          <w:rFonts w:ascii="宋体" w:hAnsi="宋体"/>
          <w:sz w:val="24"/>
          <w:highlight w:val="none"/>
        </w:rPr>
      </w:pPr>
      <w:r>
        <w:rPr>
          <w:rFonts w:ascii="宋体" w:hAnsi="宋体"/>
          <w:sz w:val="24"/>
          <w:highlight w:val="none"/>
        </w:rPr>
        <w:t>1.1.3在进行检测任务的过程中与该工程相关的施工单位、乙方、设计单位、咨询单位、建设主管部门和质量监督部门等相关单位的协调工作。</w:t>
      </w:r>
    </w:p>
    <w:p w14:paraId="6B6866A3">
      <w:pPr>
        <w:tabs>
          <w:tab w:val="left" w:pos="851"/>
        </w:tabs>
        <w:adjustRightInd w:val="0"/>
        <w:snapToGrid w:val="0"/>
        <w:spacing w:line="360" w:lineRule="auto"/>
        <w:ind w:firstLine="480" w:firstLineChars="200"/>
        <w:rPr>
          <w:rFonts w:ascii="宋体" w:hAnsi="宋体"/>
          <w:bCs/>
          <w:sz w:val="24"/>
          <w:highlight w:val="none"/>
        </w:rPr>
      </w:pPr>
      <w:r>
        <w:rPr>
          <w:rFonts w:ascii="宋体" w:hAnsi="宋体"/>
          <w:sz w:val="24"/>
          <w:highlight w:val="none"/>
        </w:rPr>
        <w:t>1.1.4</w:t>
      </w:r>
      <w:r>
        <w:rPr>
          <w:rFonts w:hint="eastAsia" w:ascii="宋体" w:hAnsi="宋体"/>
          <w:bCs/>
          <w:sz w:val="24"/>
          <w:highlight w:val="none"/>
        </w:rPr>
        <w:t>检测数据信息须连接市监管系统，并进行传输报送。</w:t>
      </w:r>
    </w:p>
    <w:p w14:paraId="27FE8231">
      <w:pPr>
        <w:tabs>
          <w:tab w:val="left" w:pos="851"/>
        </w:tabs>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1.2检测工程量</w:t>
      </w:r>
    </w:p>
    <w:p w14:paraId="00A345D6">
      <w:pPr>
        <w:adjustRightInd w:val="0"/>
        <w:snapToGrid w:val="0"/>
        <w:spacing w:line="360" w:lineRule="auto"/>
        <w:ind w:firstLine="480" w:firstLineChars="200"/>
        <w:rPr>
          <w:rFonts w:ascii="宋体" w:hAnsi="宋体" w:cs="宋体"/>
          <w:sz w:val="24"/>
          <w:highlight w:val="none"/>
        </w:rPr>
      </w:pPr>
      <w:r>
        <w:rPr>
          <w:rFonts w:ascii="宋体" w:hAnsi="宋体"/>
          <w:bCs/>
          <w:sz w:val="24"/>
          <w:highlight w:val="none"/>
        </w:rPr>
        <w:t>1.2.1</w:t>
      </w:r>
      <w:r>
        <w:rPr>
          <w:rFonts w:hint="eastAsia" w:ascii="宋体" w:hAnsi="宋体"/>
          <w:bCs/>
          <w:sz w:val="24"/>
          <w:highlight w:val="none"/>
        </w:rPr>
        <w:t>广州铁路枢纽东北货车外绕线项目双岗村安置房建设项目第三方检测、监测</w:t>
      </w:r>
      <w:r>
        <w:rPr>
          <w:rFonts w:hint="eastAsia" w:ascii="宋体" w:hAnsi="宋体" w:cs="宋体"/>
          <w:sz w:val="24"/>
          <w:highlight w:val="none"/>
        </w:rPr>
        <w:t>服务，主要包括施工过程中的所有材料设备见证取样检测、地基基础工程检测、主体结构工程现场检测、基坑监测、高支模监测、主体沉降监测及与本项目有关的其他检测、监测内容（具体以检测工程量清单和甲、乙方要求为准，结算的方式详见询价文件和合同约定）；负责编制检测方案等技术资料，并确保成果文件符合有关规范要求及通过行政和监督部门的认可；负责检测数据的有关信息通过广州市建设工程质量检测监管信息网报送；负责协调与检测相关的工作。</w:t>
      </w:r>
    </w:p>
    <w:p w14:paraId="54821FF9">
      <w:pPr>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1.2.2</w:t>
      </w:r>
      <w:r>
        <w:rPr>
          <w:rFonts w:hint="eastAsia" w:ascii="宋体" w:hAnsi="宋体"/>
          <w:bCs/>
          <w:sz w:val="24"/>
          <w:highlight w:val="none"/>
        </w:rPr>
        <w:t>具体检测工程量以审批的检测方案为准，最终检测成果满足项目总体竣工验收的要求。</w:t>
      </w:r>
    </w:p>
    <w:p w14:paraId="70F02628">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1</w:t>
      </w:r>
      <w:r>
        <w:rPr>
          <w:rFonts w:ascii="宋体" w:hAnsi="宋体"/>
          <w:bCs/>
          <w:sz w:val="24"/>
          <w:highlight w:val="none"/>
        </w:rPr>
        <w:t>.2.</w:t>
      </w:r>
      <w:r>
        <w:rPr>
          <w:rFonts w:hint="eastAsia" w:ascii="宋体" w:hAnsi="宋体"/>
          <w:bCs/>
          <w:sz w:val="24"/>
          <w:highlight w:val="none"/>
        </w:rPr>
        <w:t>3</w:t>
      </w:r>
      <w:r>
        <w:rPr>
          <w:rFonts w:ascii="宋体" w:hAnsi="宋体"/>
          <w:bCs/>
          <w:sz w:val="24"/>
          <w:highlight w:val="none"/>
        </w:rPr>
        <w:t>高支模监测方案</w:t>
      </w:r>
      <w:r>
        <w:rPr>
          <w:rFonts w:hint="eastAsia" w:ascii="宋体" w:hAnsi="宋体"/>
          <w:bCs/>
          <w:sz w:val="24"/>
          <w:highlight w:val="none"/>
          <w:lang w:eastAsia="zh-CN"/>
        </w:rPr>
        <w:t>（</w:t>
      </w:r>
      <w:r>
        <w:rPr>
          <w:rFonts w:hint="eastAsia" w:ascii="宋体" w:hAnsi="宋体"/>
          <w:bCs/>
          <w:sz w:val="24"/>
          <w:highlight w:val="none"/>
          <w:lang w:val="en-US" w:eastAsia="zh-CN"/>
        </w:rPr>
        <w:t>如有</w:t>
      </w:r>
      <w:r>
        <w:rPr>
          <w:rFonts w:hint="eastAsia" w:ascii="宋体" w:hAnsi="宋体"/>
          <w:bCs/>
          <w:sz w:val="24"/>
          <w:highlight w:val="none"/>
          <w:lang w:eastAsia="zh-CN"/>
        </w:rPr>
        <w:t>）</w:t>
      </w:r>
      <w:r>
        <w:rPr>
          <w:rFonts w:ascii="宋体" w:hAnsi="宋体"/>
          <w:bCs/>
          <w:sz w:val="24"/>
          <w:highlight w:val="none"/>
        </w:rPr>
        <w:t>必须通过危险性较大专项施工方案专家论证后方可实施</w:t>
      </w:r>
      <w:r>
        <w:rPr>
          <w:rFonts w:hint="eastAsia" w:ascii="宋体" w:hAnsi="宋体"/>
          <w:bCs/>
          <w:sz w:val="24"/>
          <w:highlight w:val="none"/>
        </w:rPr>
        <w:t>。</w:t>
      </w:r>
    </w:p>
    <w:p w14:paraId="03B2148A">
      <w:pPr>
        <w:tabs>
          <w:tab w:val="left" w:pos="851"/>
        </w:tabs>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1.3检测依据</w:t>
      </w:r>
    </w:p>
    <w:p w14:paraId="1E653EB5">
      <w:pPr>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 xml:space="preserve">1.3.1 </w:t>
      </w:r>
      <w:r>
        <w:rPr>
          <w:rFonts w:hint="eastAsia" w:ascii="宋体" w:hAnsi="宋体"/>
          <w:bCs/>
          <w:sz w:val="24"/>
          <w:highlight w:val="none"/>
        </w:rPr>
        <w:t>国家、广东省和广州市的相关规范、有关工程质量检测文件及相关技术要求。</w:t>
      </w:r>
    </w:p>
    <w:p w14:paraId="636BDBB3">
      <w:pPr>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 xml:space="preserve">1.3.2 </w:t>
      </w:r>
      <w:r>
        <w:rPr>
          <w:rFonts w:hint="eastAsia" w:ascii="宋体" w:hAnsi="宋体"/>
          <w:bCs/>
          <w:sz w:val="24"/>
          <w:highlight w:val="none"/>
        </w:rPr>
        <w:t>依据本项目设计文件的要求，本次招标检测、监测技术服务须达到但不限于下列现行主要的中华人民共和国以及省、市或行业的监测技术标准或规范的要求。各文件或规范的要求、标准存在不同的，以较高要求或标准为准，但建设单位或建设管理单位另有要求的除外。</w:t>
      </w:r>
    </w:p>
    <w:p w14:paraId="496370F6">
      <w:pPr>
        <w:adjustRightInd w:val="0"/>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sz w:val="24"/>
          <w:highlight w:val="none"/>
        </w:rPr>
        <w:t>1.3.</w:t>
      </w:r>
      <w:r>
        <w:rPr>
          <w:rFonts w:hint="eastAsia" w:ascii="宋体" w:hAnsi="宋体"/>
          <w:bCs/>
          <w:sz w:val="24"/>
          <w:highlight w:val="none"/>
        </w:rPr>
        <w:t>3甲方提供的设计文件、</w:t>
      </w:r>
      <w:r>
        <w:rPr>
          <w:rFonts w:hint="eastAsia" w:ascii="宋体" w:hAnsi="宋体"/>
          <w:bCs/>
          <w:color w:val="000000" w:themeColor="text1"/>
          <w:sz w:val="24"/>
          <w:highlight w:val="none"/>
          <w14:textFill>
            <w14:solidFill>
              <w14:schemeClr w14:val="tx1"/>
            </w14:solidFill>
          </w14:textFill>
        </w:rPr>
        <w:t>技术资料及相关工程图纸。</w:t>
      </w:r>
    </w:p>
    <w:p w14:paraId="71D98C28">
      <w:pPr>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1.3.</w:t>
      </w:r>
      <w:r>
        <w:rPr>
          <w:rFonts w:hint="eastAsia" w:ascii="宋体" w:hAnsi="宋体"/>
          <w:bCs/>
          <w:sz w:val="24"/>
          <w:highlight w:val="none"/>
        </w:rPr>
        <w:t>4</w:t>
      </w:r>
      <w:r>
        <w:rPr>
          <w:rFonts w:hint="eastAsia" w:ascii="宋体" w:hAnsi="宋体"/>
          <w:sz w:val="24"/>
          <w:highlight w:val="none"/>
        </w:rPr>
        <w:t>有关行政主管部门或甲方的指令。</w:t>
      </w:r>
    </w:p>
    <w:p w14:paraId="5D866DDD">
      <w:pPr>
        <w:tabs>
          <w:tab w:val="left" w:pos="851"/>
        </w:tabs>
        <w:adjustRightInd w:val="0"/>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1.4质量及报告要求</w:t>
      </w:r>
    </w:p>
    <w:p w14:paraId="7A96C2F1">
      <w:pPr>
        <w:pStyle w:val="14"/>
        <w:tabs>
          <w:tab w:val="left" w:pos="851"/>
        </w:tabs>
        <w:adjustRightInd w:val="0"/>
        <w:snapToGrid w:val="0"/>
        <w:spacing w:line="360" w:lineRule="auto"/>
        <w:ind w:firstLine="480" w:firstLineChars="200"/>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1.4.1</w:t>
      </w:r>
      <w:r>
        <w:rPr>
          <w:rFonts w:hint="eastAsia" w:ascii="宋体" w:hAnsi="宋体"/>
          <w:bCs/>
          <w:color w:val="000000" w:themeColor="text1"/>
          <w:highlight w:val="none"/>
          <w14:textFill>
            <w14:solidFill>
              <w14:schemeClr w14:val="tx1"/>
            </w14:solidFill>
          </w14:textFill>
        </w:rPr>
        <w:t>（</w:t>
      </w:r>
      <w:r>
        <w:rPr>
          <w:rFonts w:ascii="宋体" w:hAnsi="宋体"/>
          <w:bCs/>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各项检测按前述技术规范要求进行，丙方应自行配备足够、合格的仪器设备。仪器设备必须在检定</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校准有效期内</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并在检定</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校准有效期满后进行检定</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校准，各仪器设备都必须严格按要求标有明显的标志。丙方应对检测数据</w:t>
      </w:r>
      <w:r>
        <w:rPr>
          <w:rFonts w:hint="eastAsia"/>
          <w:color w:val="000000" w:themeColor="text1"/>
          <w:highlight w:val="none"/>
          <w14:textFill>
            <w14:solidFill>
              <w14:schemeClr w14:val="tx1"/>
            </w14:solidFill>
          </w14:textFill>
        </w:rPr>
        <w:t>的及时性、准确性、可靠性、完整</w:t>
      </w:r>
      <w:r>
        <w:rPr>
          <w:rFonts w:hint="eastAsia" w:asciiTheme="minorEastAsia" w:hAnsiTheme="minorEastAsia" w:eastAsiaTheme="minorEastAsia" w:cstheme="minorEastAsia"/>
          <w:color w:val="000000" w:themeColor="text1"/>
          <w:highlight w:val="none"/>
          <w14:textFill>
            <w14:solidFill>
              <w14:schemeClr w14:val="tx1"/>
            </w14:solidFill>
          </w14:textFill>
        </w:rPr>
        <w:t>性、合法性负责。（2）丙方应根据甲、乙方的通知，及时组织人员进行检测。（3）丙方</w:t>
      </w:r>
      <w:r>
        <w:rPr>
          <w:rFonts w:hint="eastAsia"/>
          <w:color w:val="000000" w:themeColor="text1"/>
          <w:highlight w:val="none"/>
          <w14:textFill>
            <w14:solidFill>
              <w14:schemeClr w14:val="tx1"/>
            </w14:solidFill>
          </w14:textFill>
        </w:rPr>
        <w:t>应根据合同约定及甲、乙方的要求</w:t>
      </w:r>
      <w:r>
        <w:rPr>
          <w:rFonts w:hint="eastAsia" w:ascii="宋体" w:hAnsi="宋体"/>
          <w:color w:val="000000" w:themeColor="text1"/>
          <w:highlight w:val="none"/>
          <w14:textFill>
            <w14:solidFill>
              <w14:schemeClr w14:val="tx1"/>
            </w14:solidFill>
          </w14:textFill>
        </w:rPr>
        <w:t>及时提交</w:t>
      </w:r>
      <w:r>
        <w:rPr>
          <w:rFonts w:hint="eastAsia" w:ascii="宋体" w:hAnsi="宋体"/>
          <w:color w:val="000000" w:themeColor="text1"/>
          <w:highlight w:val="none"/>
          <w:lang w:val="en-US" w:eastAsia="zh-CN"/>
          <w14:textFill>
            <w14:solidFill>
              <w14:schemeClr w14:val="tx1"/>
            </w14:solidFill>
          </w14:textFill>
        </w:rPr>
        <w:t>检测</w:t>
      </w:r>
      <w:r>
        <w:rPr>
          <w:rFonts w:hint="eastAsia" w:ascii="宋体" w:hAnsi="宋体"/>
          <w:color w:val="000000" w:themeColor="text1"/>
          <w:highlight w:val="none"/>
          <w14:textFill>
            <w14:solidFill>
              <w14:schemeClr w14:val="tx1"/>
            </w14:solidFill>
          </w14:textFill>
        </w:rPr>
        <w:t>报告。</w:t>
      </w:r>
      <w:r>
        <w:rPr>
          <w:color w:val="000000" w:themeColor="text1"/>
          <w:highlight w:val="none"/>
          <w14:textFill>
            <w14:solidFill>
              <w14:schemeClr w14:val="tx1"/>
            </w14:solidFill>
          </w14:textFill>
        </w:rPr>
        <w:t xml:space="preserve"> </w:t>
      </w:r>
    </w:p>
    <w:p w14:paraId="52CCC825">
      <w:pPr>
        <w:adjustRightInd w:val="0"/>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1.4.2</w:t>
      </w:r>
      <w:r>
        <w:rPr>
          <w:rFonts w:hint="eastAsia" w:ascii="宋体" w:hAnsi="宋体"/>
          <w:bCs/>
          <w:color w:val="000000" w:themeColor="text1"/>
          <w:sz w:val="24"/>
          <w:highlight w:val="none"/>
          <w14:textFill>
            <w14:solidFill>
              <w14:schemeClr w14:val="tx1"/>
            </w14:solidFill>
          </w14:textFill>
        </w:rPr>
        <w:t>按相关规范要求编写成果报告。</w:t>
      </w:r>
      <w:r>
        <w:rPr>
          <w:rFonts w:hint="eastAsia" w:ascii="宋体" w:hAnsi="宋体"/>
          <w:color w:val="000000" w:themeColor="text1"/>
          <w:sz w:val="24"/>
          <w:highlight w:val="none"/>
          <w14:textFill>
            <w14:solidFill>
              <w14:schemeClr w14:val="tx1"/>
            </w14:solidFill>
          </w14:textFill>
        </w:rPr>
        <w:t>根据行业标准和甲、乙方的要求编写检测报告，在甲、乙方要求的时间内提供符合甲、乙方要求的检测报告。</w:t>
      </w:r>
    </w:p>
    <w:p w14:paraId="62509E6A">
      <w:pPr>
        <w:adjustRightInd w:val="0"/>
        <w:snapToGrid w:val="0"/>
        <w:spacing w:line="360" w:lineRule="auto"/>
        <w:ind w:firstLine="480" w:firstLineChars="200"/>
        <w:rPr>
          <w:rFonts w:hint="default" w:ascii="宋体" w:hAnsi="宋体" w:cs="Times New Roman"/>
          <w:bCs/>
          <w:sz w:val="24"/>
          <w:highlight w:val="none"/>
        </w:rPr>
      </w:pPr>
      <w:r>
        <w:rPr>
          <w:rFonts w:ascii="宋体" w:hAnsi="宋体"/>
          <w:bCs/>
          <w:sz w:val="24"/>
          <w:highlight w:val="none"/>
        </w:rPr>
        <w:t>1.4.</w:t>
      </w:r>
      <w:r>
        <w:rPr>
          <w:rFonts w:hint="eastAsia" w:ascii="宋体" w:hAnsi="宋体"/>
          <w:bCs/>
          <w:sz w:val="24"/>
          <w:highlight w:val="none"/>
        </w:rPr>
        <w:t>3</w:t>
      </w:r>
      <w:r>
        <w:rPr>
          <w:rFonts w:ascii="宋体" w:hAnsi="宋体"/>
          <w:bCs/>
          <w:sz w:val="24"/>
          <w:highlight w:val="none"/>
        </w:rPr>
        <w:t>提交合格检测报告成果文件</w:t>
      </w:r>
      <w:r>
        <w:rPr>
          <w:rFonts w:hint="eastAsia" w:ascii="宋体" w:hAnsi="宋体"/>
          <w:bCs/>
          <w:sz w:val="24"/>
          <w:highlight w:val="none"/>
        </w:rPr>
        <w:t>一式</w:t>
      </w:r>
      <w:r>
        <w:rPr>
          <w:rFonts w:ascii="宋体" w:hAnsi="宋体"/>
          <w:bCs/>
          <w:sz w:val="24"/>
          <w:highlight w:val="none"/>
          <w:u w:val="single"/>
        </w:rPr>
        <w:t xml:space="preserve"> </w:t>
      </w:r>
      <w:r>
        <w:rPr>
          <w:rFonts w:hint="eastAsia" w:ascii="宋体" w:hAnsi="宋体"/>
          <w:bCs/>
          <w:sz w:val="24"/>
          <w:highlight w:val="none"/>
          <w:u w:val="single"/>
        </w:rPr>
        <w:t>陆</w:t>
      </w:r>
      <w:r>
        <w:rPr>
          <w:rFonts w:ascii="宋体" w:hAnsi="宋体"/>
          <w:bCs/>
          <w:sz w:val="24"/>
          <w:highlight w:val="none"/>
          <w:u w:val="single"/>
        </w:rPr>
        <w:t xml:space="preserve"> </w:t>
      </w:r>
      <w:r>
        <w:rPr>
          <w:rFonts w:hint="eastAsia" w:ascii="宋体" w:hAnsi="宋体"/>
          <w:bCs/>
          <w:sz w:val="24"/>
          <w:highlight w:val="none"/>
        </w:rPr>
        <w:t>份，电子文件</w:t>
      </w:r>
      <w:r>
        <w:rPr>
          <w:rFonts w:hint="eastAsia" w:ascii="宋体" w:hAnsi="宋体"/>
          <w:bCs/>
          <w:sz w:val="24"/>
          <w:highlight w:val="none"/>
          <w:u w:val="single"/>
        </w:rPr>
        <w:t xml:space="preserve"> 贰 </w:t>
      </w:r>
      <w:r>
        <w:rPr>
          <w:rFonts w:hint="eastAsia" w:ascii="宋体" w:hAnsi="宋体"/>
          <w:bCs/>
          <w:sz w:val="24"/>
          <w:highlight w:val="none"/>
        </w:rPr>
        <w:t>份。检测报告应详细记载检测监测项目、检测监测依据、检测监测鉴定结论等与被检测项目相关的内容，检测监测报告成果及电子文件应加</w:t>
      </w:r>
      <w:r>
        <w:rPr>
          <w:rFonts w:hint="default" w:ascii="宋体" w:hAnsi="宋体" w:cs="Times New Roman"/>
          <w:bCs/>
          <w:sz w:val="24"/>
          <w:highlight w:val="none"/>
        </w:rPr>
        <w:t>盖乙方相应合法有效检测专用章。</w:t>
      </w:r>
    </w:p>
    <w:p w14:paraId="13BC894C">
      <w:pPr>
        <w:adjustRightInd w:val="0"/>
        <w:snapToGrid w:val="0"/>
        <w:spacing w:line="360" w:lineRule="auto"/>
        <w:ind w:firstLine="480" w:firstLineChars="200"/>
        <w:rPr>
          <w:rFonts w:hint="eastAsia" w:ascii="宋体" w:hAnsi="宋体" w:cs="Times New Roman"/>
          <w:bCs/>
          <w:sz w:val="24"/>
          <w:highlight w:val="none"/>
        </w:rPr>
      </w:pPr>
      <w:r>
        <w:rPr>
          <w:rFonts w:hint="eastAsia" w:ascii="宋体" w:hAnsi="宋体" w:cs="Times New Roman"/>
          <w:bCs/>
          <w:sz w:val="24"/>
          <w:highlight w:val="none"/>
        </w:rPr>
        <w:t>1.4.4</w:t>
      </w:r>
      <w:r>
        <w:rPr>
          <w:rFonts w:hint="default" w:ascii="宋体" w:hAnsi="宋体" w:cs="Times New Roman"/>
          <w:bCs/>
          <w:sz w:val="24"/>
          <w:highlight w:val="none"/>
        </w:rPr>
        <w:t>为配合甲、乙方办理中间验收时，丙方应无条件提供报告</w:t>
      </w:r>
      <w:r>
        <w:rPr>
          <w:rFonts w:hint="eastAsia" w:ascii="宋体" w:hAnsi="宋体" w:cs="Times New Roman"/>
          <w:bCs/>
          <w:sz w:val="24"/>
          <w:highlight w:val="none"/>
          <w:u w:val="none"/>
        </w:rPr>
        <w:t>2</w:t>
      </w:r>
      <w:r>
        <w:rPr>
          <w:rFonts w:hint="default" w:ascii="宋体" w:hAnsi="宋体" w:cs="Times New Roman"/>
          <w:bCs/>
          <w:sz w:val="24"/>
          <w:highlight w:val="none"/>
        </w:rPr>
        <w:t>份。</w:t>
      </w:r>
    </w:p>
    <w:p w14:paraId="0AB7FEBE">
      <w:pPr>
        <w:adjustRightInd w:val="0"/>
        <w:snapToGrid w:val="0"/>
        <w:spacing w:line="360" w:lineRule="auto"/>
        <w:ind w:firstLine="480" w:firstLineChars="200"/>
        <w:rPr>
          <w:rFonts w:hint="eastAsia" w:ascii="宋体" w:hAnsi="宋体" w:cs="Times New Roman"/>
          <w:bCs/>
          <w:sz w:val="24"/>
          <w:highlight w:val="none"/>
        </w:rPr>
      </w:pPr>
      <w:r>
        <w:rPr>
          <w:rFonts w:hint="eastAsia" w:ascii="宋体" w:hAnsi="宋体" w:cs="Times New Roman"/>
          <w:bCs/>
          <w:sz w:val="24"/>
          <w:highlight w:val="none"/>
        </w:rPr>
        <w:t>1.4.</w:t>
      </w:r>
      <w:r>
        <w:rPr>
          <w:rFonts w:hint="eastAsia" w:ascii="宋体" w:hAnsi="宋体" w:cs="Times New Roman"/>
          <w:bCs/>
          <w:sz w:val="24"/>
          <w:highlight w:val="none"/>
          <w:lang w:val="en-US" w:eastAsia="zh-CN"/>
        </w:rPr>
        <w:t>5</w:t>
      </w:r>
      <w:r>
        <w:rPr>
          <w:rFonts w:hint="default" w:ascii="宋体" w:hAnsi="宋体" w:cs="Times New Roman"/>
          <w:bCs/>
          <w:sz w:val="24"/>
          <w:highlight w:val="none"/>
        </w:rPr>
        <w:t>关于“防雷检测、环境检测、消防检测等其他检测、监测内容”的要求：丙方应配合甲、乙方办理本项目以上项目的相关审核、验收手续，并应确保可一次性通过相关主管部门验收并完成验收手续。如本项目首次办理但未通过相关验收手续的，对于后期为了符合主管部门认可的验收手续而产生的费用和工期损失（包括但不限于施工整改、再次办理验收产生的费用和工期损失等），由丙方负责。</w:t>
      </w:r>
    </w:p>
    <w:p w14:paraId="307EBD72">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二、履行期限、地点和方式</w:t>
      </w:r>
    </w:p>
    <w:p w14:paraId="29B0BC88">
      <w:pPr>
        <w:adjustRightInd w:val="0"/>
        <w:snapToGrid w:val="0"/>
        <w:spacing w:line="360" w:lineRule="auto"/>
        <w:ind w:firstLine="480" w:firstLineChars="200"/>
        <w:rPr>
          <w:rFonts w:ascii="宋体" w:hAnsi="宋体"/>
          <w:sz w:val="24"/>
          <w:highlight w:val="none"/>
        </w:rPr>
      </w:pPr>
      <w:r>
        <w:rPr>
          <w:rFonts w:ascii="宋体" w:hAnsi="宋体"/>
          <w:sz w:val="24"/>
          <w:highlight w:val="none"/>
        </w:rPr>
        <w:t>2.1项目地点：</w:t>
      </w:r>
      <w:r>
        <w:rPr>
          <w:rFonts w:ascii="宋体" w:hAnsi="宋体"/>
          <w:sz w:val="24"/>
          <w:highlight w:val="none"/>
          <w:u w:val="single"/>
        </w:rPr>
        <w:t xml:space="preserve"> </w:t>
      </w:r>
      <w:r>
        <w:rPr>
          <w:rFonts w:hint="eastAsia" w:ascii="宋体" w:hAnsi="宋体"/>
          <w:sz w:val="24"/>
          <w:highlight w:val="none"/>
          <w:u w:val="single"/>
        </w:rPr>
        <w:t>广州市白云区</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w:t>
      </w:r>
    </w:p>
    <w:p w14:paraId="2021FF87">
      <w:pPr>
        <w:adjustRightInd w:val="0"/>
        <w:snapToGrid w:val="0"/>
        <w:spacing w:line="360" w:lineRule="auto"/>
        <w:ind w:firstLine="480" w:firstLineChars="200"/>
        <w:rPr>
          <w:rFonts w:ascii="宋体" w:hAnsi="宋体"/>
          <w:sz w:val="24"/>
          <w:highlight w:val="none"/>
        </w:rPr>
      </w:pPr>
      <w:r>
        <w:rPr>
          <w:rFonts w:ascii="宋体" w:hAnsi="宋体"/>
          <w:sz w:val="24"/>
          <w:highlight w:val="none"/>
        </w:rPr>
        <w:t>2.2</w:t>
      </w:r>
      <w:r>
        <w:rPr>
          <w:rFonts w:hint="eastAsia" w:ascii="宋体" w:hAnsi="宋体"/>
          <w:sz w:val="24"/>
          <w:highlight w:val="none"/>
        </w:rPr>
        <w:t>需进行现场检测的项目，进场检测时间由乙方暂定并提前</w:t>
      </w:r>
      <w:r>
        <w:rPr>
          <w:rFonts w:ascii="宋体" w:hAnsi="宋体"/>
          <w:sz w:val="24"/>
          <w:highlight w:val="none"/>
        </w:rPr>
        <w:t>24小时通知丙方。因雨、台风、道路阻隔、不可抗力或</w:t>
      </w:r>
      <w:r>
        <w:rPr>
          <w:rFonts w:hint="eastAsia" w:ascii="宋体" w:hAnsi="宋体"/>
          <w:sz w:val="24"/>
          <w:highlight w:val="none"/>
          <w:lang w:eastAsia="zh-CN"/>
        </w:rPr>
        <w:t>其他</w:t>
      </w:r>
      <w:r>
        <w:rPr>
          <w:rFonts w:ascii="宋体" w:hAnsi="宋体"/>
          <w:sz w:val="24"/>
          <w:highlight w:val="none"/>
        </w:rPr>
        <w:t>外部因素影响、或现场不具备检测条件等，经乙方书面确认，丙方进场日期顺延。</w:t>
      </w:r>
    </w:p>
    <w:p w14:paraId="52D419B7">
      <w:pPr>
        <w:adjustRightInd w:val="0"/>
        <w:snapToGrid w:val="0"/>
        <w:spacing w:line="360" w:lineRule="auto"/>
        <w:ind w:firstLine="480" w:firstLineChars="200"/>
        <w:rPr>
          <w:rFonts w:ascii="宋体" w:hAnsi="宋体"/>
          <w:sz w:val="24"/>
          <w:highlight w:val="none"/>
        </w:rPr>
      </w:pPr>
      <w:r>
        <w:rPr>
          <w:rFonts w:ascii="宋体" w:hAnsi="宋体"/>
          <w:sz w:val="24"/>
          <w:highlight w:val="none"/>
        </w:rPr>
        <w:t>2.3履行期限：</w:t>
      </w:r>
      <w:r>
        <w:rPr>
          <w:rFonts w:hint="eastAsia" w:ascii="宋体" w:hAnsi="宋体"/>
          <w:sz w:val="24"/>
          <w:highlight w:val="none"/>
        </w:rPr>
        <w:t>自本项目中标通知书发出之日起至所有检测、监测服务项目完成，服务周期必须满足实际施工及验收工作要求。检测进度以满足施工进度、工程中间验收和竣工验收为准</w:t>
      </w:r>
      <w:r>
        <w:rPr>
          <w:rFonts w:hint="eastAsia" w:ascii="宋体" w:hAnsi="宋体"/>
          <w:sz w:val="24"/>
          <w:highlight w:val="none"/>
          <w:lang w:eastAsia="zh-CN"/>
        </w:rPr>
        <w:t>，</w:t>
      </w:r>
      <w:r>
        <w:rPr>
          <w:rFonts w:hint="eastAsia" w:ascii="宋体" w:hAnsi="宋体"/>
          <w:color w:val="000000" w:themeColor="text1"/>
          <w:sz w:val="24"/>
          <w:highlight w:val="none"/>
          <w:u w:val="single"/>
          <w:lang w:val="en-US" w:eastAsia="zh-CN"/>
          <w14:textFill>
            <w14:solidFill>
              <w14:schemeClr w14:val="tx1"/>
            </w14:solidFill>
          </w14:textFill>
        </w:rPr>
        <w:t>检测进度不得因此导致</w:t>
      </w:r>
      <w:r>
        <w:rPr>
          <w:rFonts w:hint="eastAsia" w:ascii="宋体" w:hAnsi="宋体"/>
          <w:color w:val="000000" w:themeColor="text1"/>
          <w:sz w:val="24"/>
          <w:highlight w:val="none"/>
          <w:u w:val="single"/>
          <w14:textFill>
            <w14:solidFill>
              <w14:schemeClr w14:val="tx1"/>
            </w14:solidFill>
          </w14:textFill>
        </w:rPr>
        <w:t>施工进度、工程中间验收和竣工验收</w:t>
      </w:r>
      <w:r>
        <w:rPr>
          <w:rFonts w:hint="eastAsia" w:ascii="宋体" w:hAnsi="宋体"/>
          <w:color w:val="000000" w:themeColor="text1"/>
          <w:sz w:val="24"/>
          <w:highlight w:val="none"/>
          <w:u w:val="single"/>
          <w:lang w:val="en-US" w:eastAsia="zh-CN"/>
          <w14:textFill>
            <w14:solidFill>
              <w14:schemeClr w14:val="tx1"/>
            </w14:solidFill>
          </w14:textFill>
        </w:rPr>
        <w:t>延后</w:t>
      </w:r>
      <w:r>
        <w:rPr>
          <w:rFonts w:hint="eastAsia" w:ascii="宋体" w:hAnsi="宋体"/>
          <w:sz w:val="24"/>
          <w:highlight w:val="none"/>
        </w:rPr>
        <w:t>。</w:t>
      </w:r>
    </w:p>
    <w:p w14:paraId="2F6E0CC4">
      <w:pPr>
        <w:adjustRightInd w:val="0"/>
        <w:snapToGrid w:val="0"/>
        <w:spacing w:line="360" w:lineRule="auto"/>
        <w:ind w:firstLine="480" w:firstLineChars="200"/>
        <w:rPr>
          <w:rFonts w:ascii="宋体" w:hAnsi="宋体"/>
          <w:b/>
          <w:sz w:val="24"/>
          <w:highlight w:val="none"/>
        </w:rPr>
      </w:pPr>
      <w:r>
        <w:rPr>
          <w:rFonts w:ascii="宋体" w:hAnsi="宋体"/>
          <w:sz w:val="24"/>
          <w:highlight w:val="none"/>
        </w:rPr>
        <w:t>2.4报告的交付方式：丙方在出具正式检测报告后通知并送达</w:t>
      </w:r>
      <w:r>
        <w:rPr>
          <w:rFonts w:hint="eastAsia" w:ascii="宋体" w:hAnsi="宋体"/>
          <w:sz w:val="24"/>
          <w:highlight w:val="none"/>
        </w:rPr>
        <w:t>甲、</w:t>
      </w:r>
      <w:r>
        <w:rPr>
          <w:rFonts w:ascii="宋体" w:hAnsi="宋体"/>
          <w:sz w:val="24"/>
          <w:highlight w:val="none"/>
        </w:rPr>
        <w:t>乙方签收。</w:t>
      </w:r>
    </w:p>
    <w:p w14:paraId="4C4EE2F8">
      <w:pPr>
        <w:adjustRightInd w:val="0"/>
        <w:snapToGrid w:val="0"/>
        <w:spacing w:line="360" w:lineRule="auto"/>
        <w:ind w:firstLine="482" w:firstLineChars="200"/>
        <w:rPr>
          <w:rFonts w:ascii="宋体" w:hAnsi="宋体"/>
          <w:bCs/>
          <w:sz w:val="24"/>
          <w:highlight w:val="none"/>
        </w:rPr>
      </w:pPr>
      <w:r>
        <w:rPr>
          <w:rFonts w:hint="eastAsia" w:ascii="宋体" w:hAnsi="宋体"/>
          <w:b/>
          <w:sz w:val="24"/>
          <w:highlight w:val="none"/>
        </w:rPr>
        <w:t>三、三方</w:t>
      </w:r>
      <w:r>
        <w:rPr>
          <w:rFonts w:hint="eastAsia" w:ascii="宋体" w:hAnsi="宋体"/>
          <w:b/>
          <w:bCs/>
          <w:sz w:val="24"/>
          <w:highlight w:val="none"/>
        </w:rPr>
        <w:t>责任和权利</w:t>
      </w:r>
    </w:p>
    <w:p w14:paraId="05D4061D">
      <w:pPr>
        <w:tabs>
          <w:tab w:val="left" w:pos="851"/>
        </w:tabs>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3.1甲方责任和权利</w:t>
      </w:r>
    </w:p>
    <w:p w14:paraId="591EA20E">
      <w:pPr>
        <w:tabs>
          <w:tab w:val="left" w:pos="851"/>
        </w:tabs>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3.1.1依据本合同约定支付丙方服务费。</w:t>
      </w:r>
    </w:p>
    <w:p w14:paraId="5740DD54">
      <w:pPr>
        <w:tabs>
          <w:tab w:val="left" w:pos="851"/>
        </w:tabs>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3.1.2根据乙方丙方要求为</w:t>
      </w:r>
      <w:r>
        <w:rPr>
          <w:rFonts w:hint="eastAsia" w:ascii="宋体" w:hAnsi="宋体"/>
          <w:bCs/>
          <w:sz w:val="24"/>
          <w:highlight w:val="none"/>
        </w:rPr>
        <w:t>本服务项目的实施提供必要的协助。</w:t>
      </w:r>
    </w:p>
    <w:p w14:paraId="55CEF8AB">
      <w:pPr>
        <w:tabs>
          <w:tab w:val="left" w:pos="851"/>
        </w:tabs>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3.1.3对</w:t>
      </w:r>
      <w:r>
        <w:rPr>
          <w:rFonts w:hint="eastAsia" w:ascii="宋体" w:hAnsi="宋体"/>
          <w:bCs/>
          <w:sz w:val="24"/>
          <w:highlight w:val="none"/>
        </w:rPr>
        <w:t>本服务项目具有监督、检查和要求各方履行本合同的权利。</w:t>
      </w:r>
    </w:p>
    <w:p w14:paraId="44C17EA0">
      <w:pPr>
        <w:tabs>
          <w:tab w:val="left" w:pos="851"/>
        </w:tabs>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3.2乙方责任和权利</w:t>
      </w:r>
    </w:p>
    <w:p w14:paraId="047F9856">
      <w:pPr>
        <w:tabs>
          <w:tab w:val="left" w:pos="993"/>
        </w:tabs>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3.2.1</w:t>
      </w:r>
      <w:r>
        <w:rPr>
          <w:rFonts w:hint="eastAsia" w:ascii="宋体" w:hAnsi="宋体"/>
          <w:sz w:val="24"/>
          <w:highlight w:val="none"/>
        </w:rPr>
        <w:t>通知甲方和监理单位</w:t>
      </w:r>
      <w:r>
        <w:rPr>
          <w:rFonts w:hint="eastAsia" w:ascii="宋体" w:hAnsi="宋体"/>
          <w:bCs/>
          <w:sz w:val="24"/>
          <w:highlight w:val="none"/>
        </w:rPr>
        <w:t>、</w:t>
      </w:r>
      <w:r>
        <w:rPr>
          <w:rFonts w:hint="eastAsia" w:ascii="宋体" w:hAnsi="宋体"/>
          <w:sz w:val="24"/>
          <w:highlight w:val="none"/>
        </w:rPr>
        <w:t>施工单位本服务项目的检测单位为丙方</w:t>
      </w:r>
      <w:r>
        <w:rPr>
          <w:rFonts w:hint="eastAsia" w:ascii="宋体" w:hAnsi="宋体"/>
          <w:sz w:val="24"/>
          <w:highlight w:val="none"/>
          <w:lang w:val="en-US" w:eastAsia="zh-CN"/>
        </w:rPr>
        <w:t>的联系方式</w:t>
      </w:r>
      <w:r>
        <w:rPr>
          <w:rFonts w:hint="eastAsia" w:ascii="宋体" w:hAnsi="宋体"/>
          <w:bCs/>
          <w:sz w:val="24"/>
          <w:highlight w:val="none"/>
        </w:rPr>
        <w:t>。</w:t>
      </w:r>
    </w:p>
    <w:p w14:paraId="47B75AC0">
      <w:pPr>
        <w:tabs>
          <w:tab w:val="left" w:pos="993"/>
        </w:tabs>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3.2.2在丙方进场前提供检测所必须的技术资料</w:t>
      </w:r>
      <w:r>
        <w:rPr>
          <w:rFonts w:hint="eastAsia" w:ascii="宋体" w:hAnsi="宋体"/>
          <w:bCs/>
          <w:sz w:val="24"/>
          <w:highlight w:val="none"/>
        </w:rPr>
        <w:t>。对检测有特别技术要求的，应以书面形式提出。</w:t>
      </w:r>
    </w:p>
    <w:p w14:paraId="03C88CB4">
      <w:pPr>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3.2.3协调丙方与现场各方关系，为检测提供必要的便利条件。负责清场工作，与</w:t>
      </w:r>
      <w:r>
        <w:rPr>
          <w:rFonts w:hint="eastAsia" w:ascii="宋体" w:hAnsi="宋体"/>
          <w:bCs/>
          <w:sz w:val="24"/>
          <w:highlight w:val="none"/>
        </w:rPr>
        <w:t>检验无关的人员不得进入。</w:t>
      </w:r>
    </w:p>
    <w:p w14:paraId="74C858D1">
      <w:pPr>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3.2.</w:t>
      </w:r>
      <w:r>
        <w:rPr>
          <w:rFonts w:hint="eastAsia" w:ascii="宋体" w:hAnsi="宋体"/>
          <w:bCs/>
          <w:sz w:val="24"/>
          <w:highlight w:val="none"/>
          <w:lang w:val="en-US" w:eastAsia="zh-CN"/>
        </w:rPr>
        <w:t>4</w:t>
      </w:r>
      <w:r>
        <w:rPr>
          <w:rFonts w:ascii="宋体" w:hAnsi="宋体"/>
          <w:bCs/>
          <w:sz w:val="24"/>
          <w:highlight w:val="none"/>
        </w:rPr>
        <w:t>指定专人对丙方的现场检测作旁站</w:t>
      </w:r>
      <w:r>
        <w:rPr>
          <w:rFonts w:hint="eastAsia" w:ascii="宋体" w:hAnsi="宋体"/>
          <w:bCs/>
          <w:sz w:val="24"/>
          <w:highlight w:val="none"/>
        </w:rPr>
        <w:t>式监督</w:t>
      </w:r>
      <w:r>
        <w:rPr>
          <w:rFonts w:hint="eastAsia" w:ascii="宋体" w:hAnsi="宋体"/>
          <w:bCs/>
          <w:sz w:val="24"/>
          <w:highlight w:val="none"/>
          <w:lang w:eastAsia="zh-CN"/>
        </w:rPr>
        <w:t>，</w:t>
      </w:r>
      <w:r>
        <w:rPr>
          <w:rFonts w:ascii="宋体" w:hAnsi="宋体"/>
          <w:bCs/>
          <w:sz w:val="24"/>
          <w:highlight w:val="none"/>
        </w:rPr>
        <w:t>并在退场前</w:t>
      </w:r>
      <w:r>
        <w:rPr>
          <w:rFonts w:hint="eastAsia" w:ascii="宋体" w:hAnsi="宋体"/>
          <w:sz w:val="24"/>
          <w:highlight w:val="none"/>
        </w:rPr>
        <w:t>在“技术服务项目完工签证”上</w:t>
      </w:r>
      <w:r>
        <w:rPr>
          <w:rFonts w:hint="eastAsia" w:ascii="宋体" w:hAnsi="宋体"/>
          <w:bCs/>
          <w:sz w:val="24"/>
          <w:highlight w:val="none"/>
        </w:rPr>
        <w:t>确认完成工作量。</w:t>
      </w:r>
    </w:p>
    <w:p w14:paraId="79D8A124">
      <w:pPr>
        <w:adjustRightInd w:val="0"/>
        <w:snapToGrid w:val="0"/>
        <w:spacing w:line="360" w:lineRule="auto"/>
        <w:ind w:firstLine="480" w:firstLineChars="200"/>
        <w:rPr>
          <w:rFonts w:ascii="宋体" w:hAnsi="宋体"/>
          <w:sz w:val="24"/>
          <w:highlight w:val="none"/>
        </w:rPr>
      </w:pPr>
      <w:r>
        <w:rPr>
          <w:rFonts w:ascii="宋体" w:hAnsi="宋体"/>
          <w:bCs/>
          <w:sz w:val="24"/>
          <w:highlight w:val="none"/>
        </w:rPr>
        <w:t>3.2.</w:t>
      </w:r>
      <w:r>
        <w:rPr>
          <w:rFonts w:hint="eastAsia" w:ascii="宋体" w:hAnsi="宋体"/>
          <w:bCs/>
          <w:sz w:val="24"/>
          <w:highlight w:val="none"/>
          <w:lang w:val="en-US" w:eastAsia="zh-CN"/>
        </w:rPr>
        <w:t>5</w:t>
      </w:r>
      <w:r>
        <w:rPr>
          <w:rFonts w:hint="eastAsia" w:ascii="宋体" w:hAnsi="宋体"/>
          <w:sz w:val="24"/>
          <w:highlight w:val="none"/>
        </w:rPr>
        <w:t>有权要求丙方更换不履行合同职责和违反有关规定的检测人员，更换的检测人员的资质仍应得到乙方认可。乙方有权对给甲、乙方造成不良影响或工程损失的检测人员，进行批评、警告、罚款或要求调离本项目；对触犯法律的，依法追究其法律责任。</w:t>
      </w:r>
    </w:p>
    <w:p w14:paraId="454BBAF4">
      <w:pPr>
        <w:adjustRightInd w:val="0"/>
        <w:snapToGrid w:val="0"/>
        <w:spacing w:line="360" w:lineRule="auto"/>
        <w:ind w:firstLine="480" w:firstLineChars="200"/>
        <w:rPr>
          <w:rFonts w:ascii="宋体" w:hAnsi="宋体"/>
          <w:sz w:val="24"/>
          <w:highlight w:val="none"/>
        </w:rPr>
      </w:pPr>
      <w:r>
        <w:rPr>
          <w:rFonts w:ascii="宋体" w:hAnsi="宋体"/>
          <w:sz w:val="24"/>
          <w:highlight w:val="none"/>
        </w:rPr>
        <w:t>3.2.</w:t>
      </w:r>
      <w:r>
        <w:rPr>
          <w:rFonts w:hint="eastAsia" w:ascii="宋体" w:hAnsi="宋体"/>
          <w:sz w:val="24"/>
          <w:highlight w:val="none"/>
          <w:lang w:val="en-US" w:eastAsia="zh-CN"/>
        </w:rPr>
        <w:t>6</w:t>
      </w:r>
      <w:r>
        <w:rPr>
          <w:rFonts w:hint="eastAsia" w:ascii="宋体" w:hAnsi="宋体"/>
          <w:bCs/>
          <w:sz w:val="24"/>
          <w:highlight w:val="none"/>
        </w:rPr>
        <w:t>对于丙方违反合同或相关检测规范规定检测的，乙方指定的监督人员有权停止丙方检测工程，对停止检测工作造成的损失由丙方全部承担。</w:t>
      </w:r>
    </w:p>
    <w:p w14:paraId="0C8D9A4B">
      <w:pPr>
        <w:adjustRightInd w:val="0"/>
        <w:snapToGrid w:val="0"/>
        <w:spacing w:line="360" w:lineRule="auto"/>
        <w:ind w:firstLine="480" w:firstLineChars="200"/>
        <w:rPr>
          <w:rFonts w:ascii="宋体" w:hAnsi="宋体"/>
          <w:sz w:val="24"/>
          <w:highlight w:val="none"/>
        </w:rPr>
      </w:pPr>
      <w:r>
        <w:rPr>
          <w:rFonts w:ascii="宋体" w:hAnsi="宋体"/>
          <w:sz w:val="24"/>
          <w:highlight w:val="none"/>
        </w:rPr>
        <w:t>3.2.</w:t>
      </w:r>
      <w:r>
        <w:rPr>
          <w:rFonts w:hint="eastAsia" w:ascii="宋体" w:hAnsi="宋体"/>
          <w:sz w:val="24"/>
          <w:highlight w:val="none"/>
          <w:lang w:val="en-US" w:eastAsia="zh-CN"/>
        </w:rPr>
        <w:t>7</w:t>
      </w:r>
      <w:r>
        <w:rPr>
          <w:rFonts w:ascii="宋体" w:hAnsi="宋体"/>
          <w:sz w:val="24"/>
          <w:highlight w:val="none"/>
        </w:rPr>
        <w:t>指定授权代表</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为本服务项目的事务协调人，联系手机号码</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。更换该代表或变更其授权时，必须提前</w:t>
      </w:r>
      <w:r>
        <w:rPr>
          <w:rFonts w:ascii="宋体" w:hAnsi="宋体"/>
          <w:sz w:val="24"/>
          <w:highlight w:val="none"/>
        </w:rPr>
        <w:t>7天</w:t>
      </w:r>
      <w:r>
        <w:rPr>
          <w:rFonts w:hint="eastAsia" w:ascii="宋体" w:hAnsi="宋体"/>
          <w:sz w:val="24"/>
          <w:highlight w:val="none"/>
          <w:lang w:val="en-US" w:eastAsia="zh-CN"/>
        </w:rPr>
        <w:t>书面</w:t>
      </w:r>
      <w:r>
        <w:rPr>
          <w:rFonts w:ascii="宋体" w:hAnsi="宋体"/>
          <w:sz w:val="24"/>
          <w:highlight w:val="none"/>
        </w:rPr>
        <w:t>通知丙方。</w:t>
      </w:r>
    </w:p>
    <w:p w14:paraId="097AFE88">
      <w:pPr>
        <w:adjustRightInd w:val="0"/>
        <w:snapToGrid w:val="0"/>
        <w:spacing w:line="360" w:lineRule="auto"/>
        <w:ind w:firstLine="480" w:firstLineChars="200"/>
        <w:rPr>
          <w:rFonts w:ascii="宋体" w:hAnsi="宋体"/>
          <w:sz w:val="24"/>
          <w:highlight w:val="none"/>
        </w:rPr>
      </w:pPr>
      <w:r>
        <w:rPr>
          <w:rFonts w:ascii="宋体" w:hAnsi="宋体"/>
          <w:sz w:val="24"/>
          <w:highlight w:val="none"/>
        </w:rPr>
        <w:t>3.3丙方责任和权利</w:t>
      </w:r>
    </w:p>
    <w:p w14:paraId="42EAEE64">
      <w:pPr>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 xml:space="preserve">3.3.1 </w:t>
      </w:r>
      <w:r>
        <w:rPr>
          <w:rFonts w:hint="eastAsia" w:ascii="宋体" w:hAnsi="宋体"/>
          <w:sz w:val="24"/>
          <w:highlight w:val="none"/>
        </w:rPr>
        <w:t>丙方必须按照本合同约定的形式、范围与内容履行与项目有关的检测服务。各检测项目进场前应提交经设计单位、乙方和质量监督部门审批通过的检测方案（包含检测计划），检测服务严格按照检测方案进行，未经同意不得擅自更改。</w:t>
      </w:r>
    </w:p>
    <w:p w14:paraId="0221AB17">
      <w:pPr>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 xml:space="preserve">3.3.2 </w:t>
      </w:r>
      <w:r>
        <w:rPr>
          <w:rFonts w:hint="eastAsia" w:ascii="宋体" w:hAnsi="宋体"/>
          <w:bCs/>
          <w:sz w:val="24"/>
          <w:highlight w:val="none"/>
        </w:rPr>
        <w:t>提供检测仪器设备，独立完成仪器设备安装及场内中转、进退场。保证检测计量器具在计量检定有效周期内。</w:t>
      </w:r>
    </w:p>
    <w:p w14:paraId="70177BFA">
      <w:pPr>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 xml:space="preserve">3.3.3 </w:t>
      </w:r>
      <w:r>
        <w:rPr>
          <w:rFonts w:hint="eastAsia" w:ascii="宋体" w:hAnsi="宋体"/>
          <w:bCs/>
          <w:sz w:val="24"/>
          <w:highlight w:val="none"/>
        </w:rPr>
        <w:t>保证检测人员具备检测资格，保证持有的检测资质满足地方管理要求。</w:t>
      </w:r>
      <w:r>
        <w:rPr>
          <w:rFonts w:hint="eastAsia" w:ascii="宋体" w:hAnsi="宋体"/>
          <w:sz w:val="24"/>
          <w:highlight w:val="none"/>
        </w:rPr>
        <w:t>其全部检测人员的资格在报价文件中详细描述并得到甲、乙方的认可。检测人员必须如实按附件</w:t>
      </w:r>
      <w:r>
        <w:rPr>
          <w:rFonts w:ascii="宋体" w:hAnsi="宋体"/>
          <w:sz w:val="24"/>
          <w:highlight w:val="none"/>
        </w:rPr>
        <w:t>5组建人员组织架构配备，未经乙方同意不得擅自更换变更检测人员，否则，乙方有权调整检测工作量，丙方按合同金额</w:t>
      </w:r>
      <w:r>
        <w:rPr>
          <w:rFonts w:hint="eastAsia" w:ascii="宋体" w:hAnsi="宋体"/>
          <w:sz w:val="24"/>
          <w:highlight w:val="none"/>
          <w:lang w:val="en-US" w:eastAsia="zh-CN"/>
        </w:rPr>
        <w:t>3</w:t>
      </w:r>
      <w:r>
        <w:rPr>
          <w:rFonts w:ascii="宋体" w:hAnsi="宋体"/>
          <w:sz w:val="24"/>
          <w:highlight w:val="none"/>
        </w:rPr>
        <w:t>%向</w:t>
      </w:r>
      <w:r>
        <w:rPr>
          <w:rFonts w:hint="eastAsia" w:ascii="宋体" w:hAnsi="宋体"/>
          <w:sz w:val="24"/>
          <w:highlight w:val="none"/>
        </w:rPr>
        <w:t>甲、乙方承担违约责任。</w:t>
      </w:r>
    </w:p>
    <w:p w14:paraId="6322CA05">
      <w:pPr>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 xml:space="preserve">3.3.4 </w:t>
      </w:r>
      <w:r>
        <w:rPr>
          <w:rFonts w:hint="eastAsia" w:ascii="宋体" w:hAnsi="宋体"/>
          <w:bCs/>
          <w:sz w:val="24"/>
          <w:highlight w:val="none"/>
        </w:rPr>
        <w:t>保证检测的公正性、准确性、及时性，保证检测工作符合合同约定及现行规范要求。检测报告盖广东省质量技术监督局核准的计量认证合格“</w:t>
      </w:r>
      <w:r>
        <w:rPr>
          <w:rFonts w:ascii="宋体" w:hAnsi="宋体"/>
          <w:bCs/>
          <w:sz w:val="24"/>
          <w:highlight w:val="none"/>
        </w:rPr>
        <w:t>CMA”标志。检测单位对所提交的报告及技术数据负责，提交的检测结果报告应具有法定效力。</w:t>
      </w:r>
    </w:p>
    <w:p w14:paraId="2288EC99">
      <w:pPr>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3.3.5检验检测工作需</w:t>
      </w:r>
      <w:r>
        <w:rPr>
          <w:rFonts w:hint="eastAsia" w:ascii="宋体" w:hAnsi="宋体"/>
          <w:bCs/>
          <w:sz w:val="24"/>
          <w:highlight w:val="none"/>
        </w:rPr>
        <w:t>在接到</w:t>
      </w:r>
      <w:r>
        <w:rPr>
          <w:rFonts w:ascii="宋体" w:hAnsi="宋体"/>
          <w:bCs/>
          <w:sz w:val="24"/>
          <w:highlight w:val="none"/>
        </w:rPr>
        <w:t>乙方</w:t>
      </w:r>
      <w:r>
        <w:rPr>
          <w:rFonts w:hint="eastAsia" w:ascii="宋体" w:hAnsi="宋体"/>
          <w:bCs/>
          <w:sz w:val="24"/>
          <w:highlight w:val="none"/>
        </w:rPr>
        <w:t>通知的</w:t>
      </w:r>
      <w:r>
        <w:rPr>
          <w:rFonts w:ascii="宋体" w:hAnsi="宋体"/>
          <w:bCs/>
          <w:sz w:val="24"/>
          <w:highlight w:val="none"/>
        </w:rPr>
        <w:t>24小时内到场检测，并在乙方指定的时间内按质量完成，不影响工程其他工序的实施。</w:t>
      </w:r>
      <w:r>
        <w:rPr>
          <w:rFonts w:hint="eastAsia" w:ascii="宋体" w:hAnsi="宋体"/>
          <w:sz w:val="24"/>
          <w:highlight w:val="none"/>
        </w:rPr>
        <w:t>自行解决提供履行服务所必须的工作设施，其费用已列入本合同暂定金额，甲、乙方不另行支付相关费用。</w:t>
      </w:r>
    </w:p>
    <w:p w14:paraId="3D8EFB51">
      <w:pPr>
        <w:adjustRightInd w:val="0"/>
        <w:snapToGrid w:val="0"/>
        <w:spacing w:line="360" w:lineRule="auto"/>
        <w:ind w:firstLine="480" w:firstLineChars="200"/>
        <w:rPr>
          <w:rFonts w:ascii="宋体" w:hAnsi="宋体"/>
          <w:bCs/>
          <w:sz w:val="24"/>
          <w:highlight w:val="none"/>
        </w:rPr>
      </w:pPr>
      <w:r>
        <w:rPr>
          <w:rFonts w:ascii="宋体" w:hAnsi="宋体"/>
          <w:sz w:val="24"/>
          <w:highlight w:val="none"/>
        </w:rPr>
        <w:t>3.3.6在完成检测</w:t>
      </w:r>
      <w:r>
        <w:rPr>
          <w:rFonts w:hint="eastAsia" w:ascii="宋体" w:hAnsi="宋体"/>
          <w:sz w:val="24"/>
          <w:highlight w:val="none"/>
        </w:rPr>
        <w:t>工作的</w:t>
      </w:r>
      <w:r>
        <w:rPr>
          <w:rFonts w:ascii="宋体" w:hAnsi="宋体"/>
          <w:sz w:val="24"/>
          <w:highlight w:val="none"/>
        </w:rPr>
        <w:t>1天内（</w:t>
      </w:r>
      <w:r>
        <w:rPr>
          <w:rFonts w:hint="eastAsia" w:ascii="宋体" w:hAnsi="宋体" w:cs="宋体"/>
          <w:sz w:val="24"/>
          <w:highlight w:val="none"/>
        </w:rPr>
        <w:t>钻芯检测</w:t>
      </w:r>
      <w:r>
        <w:rPr>
          <w:rFonts w:ascii="宋体" w:hAnsi="宋体" w:cs="宋体"/>
          <w:sz w:val="24"/>
          <w:highlight w:val="none"/>
        </w:rPr>
        <w:t>7天内</w:t>
      </w:r>
      <w:r>
        <w:rPr>
          <w:rFonts w:hint="eastAsia" w:ascii="宋体" w:hAnsi="宋体"/>
          <w:sz w:val="24"/>
          <w:highlight w:val="none"/>
        </w:rPr>
        <w:t>），将检测初步结果通知现场监理人员；完成检测项目的</w:t>
      </w:r>
      <w:r>
        <w:rPr>
          <w:rFonts w:ascii="宋体" w:hAnsi="宋体"/>
          <w:sz w:val="24"/>
          <w:highlight w:val="none"/>
        </w:rPr>
        <w:t>3天内（</w:t>
      </w:r>
      <w:r>
        <w:rPr>
          <w:rFonts w:hint="eastAsia" w:ascii="宋体" w:hAnsi="宋体" w:cs="宋体"/>
          <w:sz w:val="24"/>
          <w:highlight w:val="none"/>
        </w:rPr>
        <w:t>钻芯检测</w:t>
      </w:r>
      <w:r>
        <w:rPr>
          <w:rFonts w:ascii="宋体" w:hAnsi="宋体" w:cs="宋体"/>
          <w:sz w:val="24"/>
          <w:highlight w:val="none"/>
        </w:rPr>
        <w:t>12天内</w:t>
      </w:r>
      <w:r>
        <w:rPr>
          <w:rFonts w:hint="eastAsia" w:ascii="宋体" w:hAnsi="宋体"/>
          <w:sz w:val="24"/>
          <w:highlight w:val="none"/>
        </w:rPr>
        <w:t>），出具检测检验报告，报告一式十份。</w:t>
      </w:r>
    </w:p>
    <w:p w14:paraId="2768D941">
      <w:pPr>
        <w:pStyle w:val="76"/>
        <w:adjustRightInd w:val="0"/>
        <w:snapToGrid w:val="0"/>
        <w:spacing w:line="360" w:lineRule="auto"/>
        <w:ind w:firstLine="480" w:firstLineChars="200"/>
        <w:rPr>
          <w:rFonts w:ascii="宋体" w:hAnsi="宋体"/>
          <w:sz w:val="24"/>
          <w:highlight w:val="none"/>
        </w:rPr>
      </w:pPr>
      <w:r>
        <w:rPr>
          <w:rFonts w:ascii="宋体" w:hAnsi="宋体"/>
          <w:sz w:val="24"/>
          <w:szCs w:val="24"/>
          <w:highlight w:val="none"/>
        </w:rPr>
        <w:t>3.3.7</w:t>
      </w:r>
      <w:r>
        <w:rPr>
          <w:rFonts w:hint="eastAsia" w:ascii="宋体" w:hAnsi="宋体"/>
          <w:sz w:val="24"/>
          <w:szCs w:val="24"/>
          <w:highlight w:val="none"/>
        </w:rPr>
        <w:t>由于丙方原因造成工程检测返工或增加工作量，甲方不另支付费用。</w:t>
      </w:r>
      <w:r>
        <w:rPr>
          <w:rFonts w:hint="eastAsia" w:ascii="宋体" w:hAnsi="宋体"/>
          <w:sz w:val="24"/>
          <w:highlight w:val="none"/>
        </w:rPr>
        <w:t>检测过程中发现工程质量异常的，必须立即上报乙方；因丙方未及时上报情况，而造成安全事故的，丙方应承担相应全部责任并赔偿相应损失。丙方对在检测范围内一切事项负有安全保障义务，在检测范围内发生的安全事故责任均自行承担。</w:t>
      </w:r>
    </w:p>
    <w:p w14:paraId="7130E081">
      <w:pPr>
        <w:pStyle w:val="76"/>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3.3.8</w:t>
      </w:r>
      <w:r>
        <w:rPr>
          <w:rFonts w:hint="eastAsia" w:ascii="宋体" w:hAnsi="宋体"/>
          <w:sz w:val="24"/>
          <w:szCs w:val="24"/>
          <w:highlight w:val="none"/>
        </w:rPr>
        <w:t>不得将本检测合同规定的义务、责任和权利予以转让。没有乙方的书面同意，丙方不得将检测服务的任何部分以任何形式进行分包或转包。丙方为联合体的，应在本合同附联合体协议书，并明确合同主办方。</w:t>
      </w:r>
    </w:p>
    <w:p w14:paraId="56A12A60">
      <w:pPr>
        <w:adjustRightInd w:val="0"/>
        <w:snapToGrid w:val="0"/>
        <w:spacing w:line="360" w:lineRule="auto"/>
        <w:ind w:firstLine="480" w:firstLineChars="200"/>
        <w:rPr>
          <w:rFonts w:ascii="宋体" w:hAnsi="宋体"/>
          <w:sz w:val="24"/>
          <w:highlight w:val="none"/>
        </w:rPr>
      </w:pPr>
      <w:r>
        <w:rPr>
          <w:rFonts w:ascii="宋体" w:hAnsi="宋体"/>
          <w:kern w:val="0"/>
          <w:sz w:val="24"/>
          <w:highlight w:val="none"/>
        </w:rPr>
        <w:t>3.3.9</w:t>
      </w:r>
      <w:r>
        <w:rPr>
          <w:rFonts w:hint="eastAsia" w:ascii="宋体" w:hAnsi="宋体"/>
          <w:sz w:val="24"/>
          <w:highlight w:val="none"/>
        </w:rPr>
        <w:t>由于丙方原因造成的停工、返工、窝工，由丙方自行承担全部责任，不得向甲、乙方收取其他费用。</w:t>
      </w:r>
    </w:p>
    <w:p w14:paraId="2744C526">
      <w:pPr>
        <w:adjustRightInd w:val="0"/>
        <w:snapToGrid w:val="0"/>
        <w:spacing w:line="360" w:lineRule="auto"/>
        <w:ind w:firstLine="480" w:firstLineChars="200"/>
        <w:rPr>
          <w:rFonts w:ascii="宋体" w:hAnsi="宋体"/>
          <w:sz w:val="24"/>
          <w:highlight w:val="none"/>
        </w:rPr>
      </w:pPr>
      <w:r>
        <w:rPr>
          <w:rFonts w:ascii="宋体" w:hAnsi="宋体"/>
          <w:sz w:val="24"/>
          <w:highlight w:val="none"/>
        </w:rPr>
        <w:t>3.3.10</w:t>
      </w:r>
      <w:r>
        <w:rPr>
          <w:rFonts w:hint="eastAsia" w:ascii="宋体" w:hAnsi="宋体"/>
          <w:sz w:val="24"/>
          <w:highlight w:val="none"/>
        </w:rPr>
        <w:t>检测服务履行完毕后，丙方需在乙方确定的退场日内退场，丙方应保证场内秩序及物品完好。</w:t>
      </w:r>
    </w:p>
    <w:p w14:paraId="01315018">
      <w:pPr>
        <w:pStyle w:val="76"/>
        <w:adjustRightInd w:val="0"/>
        <w:snapToGrid w:val="0"/>
        <w:spacing w:line="360" w:lineRule="auto"/>
        <w:ind w:firstLine="480" w:firstLineChars="200"/>
        <w:rPr>
          <w:rFonts w:ascii="宋体" w:hAnsi="宋体"/>
          <w:sz w:val="24"/>
          <w:highlight w:val="none"/>
        </w:rPr>
      </w:pPr>
      <w:r>
        <w:rPr>
          <w:rFonts w:ascii="宋体" w:hAnsi="宋体"/>
          <w:sz w:val="24"/>
          <w:szCs w:val="24"/>
          <w:highlight w:val="none"/>
        </w:rPr>
        <w:t>3.3.11</w:t>
      </w:r>
      <w:r>
        <w:rPr>
          <w:rFonts w:hint="eastAsia" w:ascii="宋体" w:hAnsi="宋体"/>
          <w:sz w:val="24"/>
          <w:highlight w:val="none"/>
        </w:rPr>
        <w:t>为了履行检测服务，丙方指定一名授权代表与乙方的授权代表建立工作联系，本工程授权代表为</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，身份证号码：</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，联系手机号码：</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。更换该代表或变更其授权时，必须提前</w:t>
      </w:r>
      <w:r>
        <w:rPr>
          <w:rFonts w:ascii="宋体" w:hAnsi="宋体"/>
          <w:sz w:val="24"/>
          <w:highlight w:val="none"/>
        </w:rPr>
        <w:t>7</w:t>
      </w:r>
      <w:r>
        <w:rPr>
          <w:rFonts w:hint="eastAsia" w:ascii="宋体" w:hAnsi="宋体"/>
          <w:sz w:val="24"/>
          <w:highlight w:val="none"/>
        </w:rPr>
        <w:t>天通知乙方。</w:t>
      </w:r>
    </w:p>
    <w:p w14:paraId="495AEC5F">
      <w:pPr>
        <w:pStyle w:val="76"/>
        <w:adjustRightInd w:val="0"/>
        <w:snapToGrid w:val="0"/>
        <w:spacing w:line="360" w:lineRule="auto"/>
        <w:ind w:firstLine="480" w:firstLineChars="200"/>
        <w:rPr>
          <w:rFonts w:ascii="宋体" w:hAnsi="宋体"/>
          <w:sz w:val="24"/>
          <w:highlight w:val="none"/>
        </w:rPr>
      </w:pPr>
      <w:r>
        <w:rPr>
          <w:rFonts w:ascii="宋体" w:hAnsi="宋体"/>
          <w:sz w:val="24"/>
          <w:highlight w:val="none"/>
        </w:rPr>
        <w:t>3.3.12</w:t>
      </w:r>
      <w:r>
        <w:rPr>
          <w:rFonts w:hint="eastAsia" w:ascii="宋体" w:hAnsi="宋体"/>
          <w:sz w:val="24"/>
          <w:highlight w:val="none"/>
        </w:rPr>
        <w:t>工程桩施工期间，丙方负责安排专人在施工现场，协助并指导声波透射管预埋，以便达到超声波检测要求。</w:t>
      </w:r>
    </w:p>
    <w:p w14:paraId="5EB10CA0">
      <w:pPr>
        <w:pStyle w:val="76"/>
        <w:adjustRightInd w:val="0"/>
        <w:snapToGrid w:val="0"/>
        <w:spacing w:line="360" w:lineRule="auto"/>
        <w:ind w:firstLine="480" w:firstLineChars="200"/>
        <w:rPr>
          <w:rFonts w:ascii="宋体" w:hAnsi="宋体"/>
          <w:sz w:val="24"/>
          <w:highlight w:val="none"/>
        </w:rPr>
      </w:pPr>
      <w:r>
        <w:rPr>
          <w:rFonts w:ascii="宋体" w:hAnsi="宋体"/>
          <w:sz w:val="24"/>
          <w:highlight w:val="none"/>
        </w:rPr>
        <w:t>3.3.13</w:t>
      </w:r>
      <w:r>
        <w:rPr>
          <w:rFonts w:hint="eastAsia" w:ascii="宋体" w:hAnsi="宋体"/>
          <w:sz w:val="24"/>
          <w:highlight w:val="none"/>
        </w:rPr>
        <w:t>丙方自行为本单位参与本项目检测的检测人员办理意外伤害保险。</w:t>
      </w:r>
    </w:p>
    <w:p w14:paraId="1AA3FF9F">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四、验收标准</w:t>
      </w:r>
    </w:p>
    <w:p w14:paraId="5C0A2189">
      <w:pPr>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t>4.1按照国家、广东省和广州市有关检测验收规范及有关文件的规定，检测成果满足项目中间验收和总体竣工验收的要求。</w:t>
      </w:r>
    </w:p>
    <w:p w14:paraId="71AED325">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五、检测费及支付方式</w:t>
      </w:r>
    </w:p>
    <w:p w14:paraId="5E180D74">
      <w:pPr>
        <w:pStyle w:val="76"/>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5.1检测服务费用</w:t>
      </w:r>
    </w:p>
    <w:p w14:paraId="039238B2">
      <w:pPr>
        <w:pStyle w:val="76"/>
        <w:adjustRightInd w:val="0"/>
        <w:snapToGrid w:val="0"/>
        <w:spacing w:line="360" w:lineRule="auto"/>
        <w:ind w:firstLine="480" w:firstLineChars="200"/>
        <w:rPr>
          <w:rFonts w:ascii="宋体" w:hAnsi="宋体"/>
          <w:sz w:val="24"/>
          <w:szCs w:val="24"/>
          <w:highlight w:val="none"/>
        </w:rPr>
      </w:pPr>
      <w:r>
        <w:rPr>
          <w:rFonts w:ascii="宋体" w:hAnsi="宋体"/>
          <w:bCs/>
          <w:sz w:val="24"/>
          <w:highlight w:val="none"/>
        </w:rPr>
        <w:t xml:space="preserve">5.1.1 </w:t>
      </w:r>
      <w:r>
        <w:rPr>
          <w:rFonts w:hint="eastAsia" w:ascii="宋体" w:hAnsi="宋体"/>
          <w:bCs/>
          <w:sz w:val="24"/>
          <w:highlight w:val="none"/>
        </w:rPr>
        <w:t>本项目的</w:t>
      </w:r>
      <w:r>
        <w:rPr>
          <w:rFonts w:hint="eastAsia" w:ascii="宋体" w:hAnsi="宋体"/>
          <w:bCs/>
          <w:sz w:val="24"/>
          <w:highlight w:val="none"/>
          <w:lang w:val="en-US" w:eastAsia="zh-CN"/>
        </w:rPr>
        <w:t>第三方</w:t>
      </w:r>
      <w:r>
        <w:rPr>
          <w:rFonts w:hint="eastAsia" w:ascii="宋体" w:hAnsi="宋体"/>
          <w:bCs/>
          <w:sz w:val="24"/>
          <w:highlight w:val="none"/>
        </w:rPr>
        <w:t>检测服务费暂定</w:t>
      </w:r>
      <w:r>
        <w:rPr>
          <w:rFonts w:hint="eastAsia" w:ascii="宋体" w:hAnsi="宋体"/>
          <w:bCs/>
          <w:sz w:val="24"/>
          <w:highlight w:val="none"/>
          <w:lang w:val="en-US" w:eastAsia="zh-CN"/>
        </w:rPr>
        <w:t>含税</w:t>
      </w:r>
      <w:r>
        <w:rPr>
          <w:rFonts w:hint="eastAsia" w:ascii="宋体" w:hAnsi="宋体"/>
          <w:bCs/>
          <w:sz w:val="24"/>
          <w:highlight w:val="none"/>
        </w:rPr>
        <w:t>合同价为¥</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bCs/>
          <w:sz w:val="24"/>
          <w:highlight w:val="none"/>
        </w:rPr>
        <w:t>元</w:t>
      </w:r>
      <w:r>
        <w:rPr>
          <w:rFonts w:hint="eastAsia" w:ascii="宋体" w:hAnsi="宋体"/>
          <w:sz w:val="24"/>
          <w:szCs w:val="24"/>
          <w:highlight w:val="none"/>
        </w:rPr>
        <w:t>（大写：</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szCs w:val="24"/>
          <w:highlight w:val="none"/>
        </w:rPr>
        <w:t>），包括但不限于人工费、材料费、机械设备费、检测检验费、测点埋设和损坏修复费、各项措施费（包括但不限于安全文明施工、临水临电安装机械设备进出场、工作面清理及整理、检测配载、疏干排水、工作搭架、工作棚及焊接等相关费用）、报告编写费、配合协调费、工程保险费、风险费、管理费、规费、利润、税金等所有的一切相关费用</w:t>
      </w:r>
      <w:r>
        <w:rPr>
          <w:rFonts w:hint="eastAsia" w:ascii="宋体" w:hAnsi="宋体"/>
          <w:bCs/>
          <w:sz w:val="24"/>
          <w:highlight w:val="none"/>
        </w:rPr>
        <w:t>。检测服务费用按照询价文件、报价文件及本合同约定，</w:t>
      </w:r>
      <w:r>
        <w:rPr>
          <w:rFonts w:hint="eastAsia" w:ascii="宋体" w:hAnsi="宋体"/>
          <w:sz w:val="24"/>
          <w:szCs w:val="24"/>
          <w:highlight w:val="none"/>
        </w:rPr>
        <w:t>采用工程量清单计价办法计算。检测服务费用结算标准：检测工作量按经确认的实际数量计算，中标的项目综合单价固定不变（</w:t>
      </w:r>
      <w:r>
        <w:rPr>
          <w:rFonts w:hint="eastAsia" w:ascii="宋体" w:hAnsi="宋体"/>
          <w:sz w:val="24"/>
          <w:szCs w:val="24"/>
          <w:highlight w:val="none"/>
          <w:lang w:val="en-US" w:eastAsia="zh-CN"/>
        </w:rPr>
        <w:t>综合单价按</w:t>
      </w:r>
      <w:r>
        <w:rPr>
          <w:rFonts w:hint="eastAsia" w:ascii="宋体" w:hAnsi="宋体"/>
          <w:sz w:val="24"/>
          <w:szCs w:val="24"/>
          <w:highlight w:val="none"/>
        </w:rPr>
        <w:t>附件</w:t>
      </w:r>
      <w:r>
        <w:rPr>
          <w:rFonts w:ascii="宋体" w:hAnsi="宋体"/>
          <w:sz w:val="24"/>
          <w:szCs w:val="24"/>
          <w:highlight w:val="none"/>
        </w:rPr>
        <w:t>4</w:t>
      </w:r>
      <w:r>
        <w:rPr>
          <w:rFonts w:hint="eastAsia" w:ascii="宋体" w:hAnsi="宋体"/>
          <w:sz w:val="24"/>
          <w:szCs w:val="24"/>
          <w:highlight w:val="none"/>
          <w:lang w:val="en-US" w:eastAsia="zh-CN"/>
        </w:rPr>
        <w:t>投标报价固定不变</w:t>
      </w:r>
      <w:r>
        <w:rPr>
          <w:rFonts w:ascii="宋体" w:hAnsi="宋体"/>
          <w:sz w:val="24"/>
          <w:szCs w:val="24"/>
          <w:highlight w:val="none"/>
        </w:rPr>
        <w:t>）。</w:t>
      </w:r>
    </w:p>
    <w:p w14:paraId="74F2DB05">
      <w:pPr>
        <w:pStyle w:val="76"/>
        <w:adjustRightInd w:val="0"/>
        <w:snapToGrid w:val="0"/>
        <w:spacing w:line="360" w:lineRule="auto"/>
        <w:ind w:firstLine="480" w:firstLineChars="200"/>
        <w:rPr>
          <w:rFonts w:ascii="宋体" w:hAnsi="宋体"/>
          <w:sz w:val="24"/>
          <w:highlight w:val="none"/>
        </w:rPr>
      </w:pPr>
      <w:r>
        <w:rPr>
          <w:rFonts w:ascii="宋体" w:hAnsi="宋体"/>
          <w:sz w:val="24"/>
          <w:szCs w:val="24"/>
          <w:highlight w:val="none"/>
        </w:rPr>
        <w:t>5.1.2丙方提交检测成果文件，工程通过初步验收后30</w:t>
      </w:r>
      <w:r>
        <w:rPr>
          <w:rFonts w:hint="eastAsia" w:ascii="宋体" w:hAnsi="宋体"/>
          <w:sz w:val="24"/>
          <w:szCs w:val="24"/>
          <w:highlight w:val="none"/>
        </w:rPr>
        <w:t>日历天内办理</w:t>
      </w:r>
      <w:r>
        <w:rPr>
          <w:rFonts w:hint="eastAsia" w:ascii="宋体" w:hAnsi="宋体"/>
          <w:sz w:val="24"/>
          <w:szCs w:val="24"/>
          <w:highlight w:val="none"/>
          <w:lang w:val="en-US" w:eastAsia="zh-CN"/>
        </w:rPr>
        <w:t>最终</w:t>
      </w:r>
      <w:r>
        <w:rPr>
          <w:rFonts w:hint="eastAsia" w:ascii="宋体" w:hAnsi="宋体"/>
          <w:sz w:val="24"/>
          <w:szCs w:val="24"/>
          <w:highlight w:val="none"/>
        </w:rPr>
        <w:t>结算。结算方式按中标综合单价乘以实际完成检测量（实际完成检测量需有现场确认的原始凭证，否则不予计量；未经乙方批准增加检测量的，不予确认和计量）。</w:t>
      </w:r>
      <w:r>
        <w:rPr>
          <w:rFonts w:hint="eastAsia" w:ascii="宋体" w:hAnsi="宋体" w:cs="宋体"/>
          <w:bCs/>
          <w:sz w:val="24"/>
          <w:szCs w:val="24"/>
          <w:highlight w:val="none"/>
        </w:rPr>
        <w:t>结算价大于合同价的110%，则合同价的110%为本合同服务项目的最终结算价</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丙方同意结算价以</w:t>
      </w:r>
      <w:r>
        <w:rPr>
          <w:rFonts w:hint="eastAsia" w:ascii="宋体" w:hAnsi="宋体" w:cs="宋体"/>
          <w:bCs/>
          <w:sz w:val="24"/>
          <w:szCs w:val="24"/>
          <w:highlight w:val="none"/>
        </w:rPr>
        <w:t>合同价的110%</w:t>
      </w:r>
      <w:r>
        <w:rPr>
          <w:rFonts w:hint="eastAsia" w:ascii="宋体" w:hAnsi="宋体" w:cs="宋体"/>
          <w:bCs/>
          <w:sz w:val="24"/>
          <w:szCs w:val="24"/>
          <w:highlight w:val="none"/>
          <w:lang w:val="en-US" w:eastAsia="zh-CN"/>
        </w:rPr>
        <w:t>为限，就超出部分不收取任何费用</w:t>
      </w:r>
      <w:r>
        <w:rPr>
          <w:rFonts w:hint="eastAsia" w:ascii="宋体" w:hAnsi="宋体" w:cs="宋体"/>
          <w:bCs/>
          <w:sz w:val="24"/>
          <w:szCs w:val="24"/>
          <w:highlight w:val="none"/>
        </w:rPr>
        <w:t>。</w:t>
      </w:r>
      <w:r>
        <w:rPr>
          <w:rFonts w:hint="eastAsia" w:ascii="宋体" w:hAnsi="宋体"/>
          <w:sz w:val="24"/>
          <w:szCs w:val="24"/>
          <w:highlight w:val="none"/>
        </w:rPr>
        <w:t>结算须经</w:t>
      </w:r>
      <w:r>
        <w:rPr>
          <w:rFonts w:hint="eastAsia" w:ascii="宋体" w:hAnsi="宋体"/>
          <w:sz w:val="24"/>
          <w:szCs w:val="24"/>
          <w:highlight w:val="none"/>
          <w:lang w:val="en-US" w:eastAsia="zh-CN"/>
        </w:rPr>
        <w:t>监理单位、</w:t>
      </w:r>
      <w:r>
        <w:rPr>
          <w:rFonts w:hint="eastAsia" w:ascii="宋体" w:hAnsi="宋体"/>
          <w:sz w:val="24"/>
          <w:szCs w:val="24"/>
          <w:highlight w:val="none"/>
        </w:rPr>
        <w:t>乙方审核，甲方审批确认，需相关主管部门审定的，以其审核为准。</w:t>
      </w:r>
    </w:p>
    <w:p w14:paraId="63A30483">
      <w:pPr>
        <w:pStyle w:val="76"/>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5.2检测服务费用支付方式和时间</w:t>
      </w:r>
    </w:p>
    <w:p w14:paraId="6CF3BDA1">
      <w:pPr>
        <w:pStyle w:val="76"/>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5.2.1检测服务费用按月支付。检测的计量和支付证书经</w:t>
      </w:r>
      <w:r>
        <w:rPr>
          <w:rFonts w:hint="eastAsia" w:ascii="宋体" w:hAnsi="宋体"/>
          <w:sz w:val="24"/>
          <w:szCs w:val="24"/>
          <w:highlight w:val="none"/>
        </w:rPr>
        <w:t>监理单位及乙方审核、甲方审批确认无异议以后</w:t>
      </w:r>
      <w:r>
        <w:rPr>
          <w:rFonts w:ascii="宋体" w:hAnsi="宋体"/>
          <w:sz w:val="24"/>
          <w:szCs w:val="24"/>
          <w:highlight w:val="none"/>
        </w:rPr>
        <w:t>15个工作日内，甲方支付当期完成量的检测服务费的</w:t>
      </w:r>
      <w:r>
        <w:rPr>
          <w:rFonts w:hint="eastAsia" w:ascii="宋体" w:hAnsi="宋体"/>
          <w:sz w:val="24"/>
          <w:szCs w:val="24"/>
          <w:highlight w:val="none"/>
          <w:lang w:val="en-US" w:eastAsia="zh-CN"/>
        </w:rPr>
        <w:t>70</w:t>
      </w:r>
      <w:r>
        <w:rPr>
          <w:rFonts w:ascii="宋体" w:hAnsi="宋体"/>
          <w:sz w:val="24"/>
          <w:szCs w:val="24"/>
          <w:highlight w:val="none"/>
        </w:rPr>
        <w:t>%，</w:t>
      </w:r>
      <w:r>
        <w:rPr>
          <w:rFonts w:hint="eastAsia" w:ascii="宋体" w:hAnsi="宋体"/>
          <w:sz w:val="24"/>
          <w:highlight w:val="none"/>
        </w:rPr>
        <w:t>且累计支付不超过暂定合同价的</w:t>
      </w:r>
      <w:r>
        <w:rPr>
          <w:rFonts w:hint="eastAsia" w:ascii="宋体" w:hAnsi="宋体"/>
          <w:sz w:val="24"/>
          <w:highlight w:val="none"/>
          <w:lang w:val="en-US" w:eastAsia="zh-CN"/>
        </w:rPr>
        <w:t>70</w:t>
      </w:r>
      <w:r>
        <w:rPr>
          <w:rFonts w:hint="eastAsia" w:ascii="宋体" w:hAnsi="宋体"/>
          <w:sz w:val="24"/>
          <w:highlight w:val="none"/>
        </w:rPr>
        <w:t>％</w:t>
      </w:r>
      <w:r>
        <w:rPr>
          <w:rFonts w:hint="eastAsia" w:ascii="宋体" w:hAnsi="宋体"/>
          <w:sz w:val="24"/>
          <w:szCs w:val="24"/>
          <w:highlight w:val="none"/>
        </w:rPr>
        <w:t>。</w:t>
      </w:r>
      <w:r>
        <w:rPr>
          <w:rFonts w:ascii="宋体" w:hAnsi="宋体"/>
          <w:sz w:val="24"/>
          <w:szCs w:val="24"/>
          <w:highlight w:val="none"/>
        </w:rPr>
        <w:t xml:space="preserve"> </w:t>
      </w:r>
    </w:p>
    <w:p w14:paraId="6037F70F">
      <w:pPr>
        <w:pStyle w:val="76"/>
        <w:adjustRightInd w:val="0"/>
        <w:snapToGrid w:val="0"/>
        <w:spacing w:line="360" w:lineRule="auto"/>
        <w:ind w:firstLine="480" w:firstLineChars="200"/>
        <w:rPr>
          <w:rFonts w:ascii="宋体" w:hAnsi="宋体"/>
          <w:sz w:val="24"/>
          <w:szCs w:val="24"/>
          <w:highlight w:val="none"/>
        </w:rPr>
      </w:pPr>
      <w:r>
        <w:rPr>
          <w:rFonts w:ascii="宋体" w:hAnsi="宋体"/>
          <w:sz w:val="24"/>
          <w:highlight w:val="none"/>
        </w:rPr>
        <w:t>5.2.2</w:t>
      </w:r>
      <w:r>
        <w:rPr>
          <w:rFonts w:hint="eastAsia" w:ascii="宋体" w:hAnsi="宋体"/>
          <w:sz w:val="24"/>
          <w:highlight w:val="none"/>
        </w:rPr>
        <w:t>工程竣工验收通过后，15个工作日内提交结算资料，经甲方、乙方确认后支付至结算价的100%。</w:t>
      </w:r>
    </w:p>
    <w:p w14:paraId="6AF90A5F">
      <w:pPr>
        <w:adjustRightInd w:val="0"/>
        <w:snapToGrid w:val="0"/>
        <w:spacing w:line="360" w:lineRule="auto"/>
        <w:ind w:firstLine="482" w:firstLineChars="200"/>
        <w:rPr>
          <w:rFonts w:ascii="宋体" w:hAnsi="宋体"/>
          <w:b/>
          <w:bCs/>
          <w:sz w:val="24"/>
          <w:highlight w:val="none"/>
        </w:rPr>
      </w:pPr>
      <w:r>
        <w:rPr>
          <w:rFonts w:hint="eastAsia" w:ascii="宋体" w:hAnsi="宋体"/>
          <w:b/>
          <w:bCs/>
          <w:sz w:val="24"/>
          <w:highlight w:val="none"/>
        </w:rPr>
        <w:t>六、检测工程量增减</w:t>
      </w:r>
    </w:p>
    <w:p w14:paraId="68CE1C5C">
      <w:pPr>
        <w:pStyle w:val="76"/>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6.1在实施过程中，只有发生了下列情况之一或另有约定的，可作为新增或减少检测项目进行计算</w:t>
      </w:r>
      <w:r>
        <w:rPr>
          <w:rFonts w:hint="eastAsia" w:ascii="宋体" w:hAnsi="宋体"/>
          <w:sz w:val="24"/>
          <w:szCs w:val="24"/>
          <w:highlight w:val="none"/>
        </w:rPr>
        <w:t>：</w:t>
      </w:r>
    </w:p>
    <w:p w14:paraId="46ED4FB4">
      <w:pPr>
        <w:pStyle w:val="76"/>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6.1.1经乙方确认超出或减少本合同约定承包范围的检测项目；</w:t>
      </w:r>
    </w:p>
    <w:p w14:paraId="1CC4F99D">
      <w:pPr>
        <w:pStyle w:val="76"/>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6.1.2经乙方同意另行委托的其他项目的检测工程。</w:t>
      </w:r>
    </w:p>
    <w:p w14:paraId="7B890D05">
      <w:pPr>
        <w:pStyle w:val="76"/>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6.2新增工程计价按如下计算办法依次取用：</w:t>
      </w:r>
    </w:p>
    <w:p w14:paraId="20510639">
      <w:pPr>
        <w:pStyle w:val="76"/>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6.2.1工程量清单已有的项目则沿用；</w:t>
      </w:r>
    </w:p>
    <w:p w14:paraId="006D6087">
      <w:pPr>
        <w:pStyle w:val="76"/>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6.2.2工程量清单有相近的项目的单价采用换算方式套用；</w:t>
      </w:r>
    </w:p>
    <w:p w14:paraId="12A7865C">
      <w:pPr>
        <w:pStyle w:val="76"/>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6.2.3不属上述情况的新增检测量，单价可参照《广东省房屋建筑和市政工程质量安全检测收费指导价》（粤</w:t>
      </w:r>
      <w:r>
        <w:rPr>
          <w:rFonts w:hint="eastAsia" w:ascii="宋体" w:hAnsi="宋体"/>
          <w:sz w:val="24"/>
          <w:szCs w:val="24"/>
          <w:highlight w:val="none"/>
        </w:rPr>
        <w:t>建检协</w:t>
      </w:r>
      <w:r>
        <w:rPr>
          <w:rFonts w:ascii="宋体" w:hAnsi="宋体"/>
          <w:sz w:val="24"/>
          <w:szCs w:val="24"/>
          <w:highlight w:val="none"/>
        </w:rPr>
        <w:t>[2015]8号文）、广东省物价局《关于建筑工程质量检测收费问题的复函》（粤价函［2004］428号）</w:t>
      </w:r>
      <w:r>
        <w:rPr>
          <w:rFonts w:hint="eastAsia" w:ascii="宋体" w:hAnsi="宋体"/>
          <w:sz w:val="24"/>
          <w:szCs w:val="24"/>
          <w:highlight w:val="none"/>
        </w:rPr>
        <w:t>的有关的</w:t>
      </w:r>
      <w:r>
        <w:rPr>
          <w:rFonts w:hint="eastAsia" w:ascii="宋体" w:hAnsi="宋体"/>
          <w:sz w:val="24"/>
          <w:szCs w:val="24"/>
          <w:highlight w:val="none"/>
          <w:lang w:eastAsia="zh-CN"/>
        </w:rPr>
        <w:t>第三方检测</w:t>
      </w:r>
      <w:r>
        <w:rPr>
          <w:rFonts w:hint="eastAsia" w:ascii="宋体" w:hAnsi="宋体"/>
          <w:sz w:val="24"/>
          <w:szCs w:val="24"/>
          <w:highlight w:val="none"/>
        </w:rPr>
        <w:t>收费规定等计算，并下浮2</w:t>
      </w:r>
      <w:r>
        <w:rPr>
          <w:rFonts w:ascii="宋体" w:hAnsi="宋体"/>
          <w:sz w:val="24"/>
          <w:szCs w:val="24"/>
          <w:highlight w:val="none"/>
        </w:rPr>
        <w:t>0</w:t>
      </w:r>
      <w:r>
        <w:rPr>
          <w:rFonts w:hint="eastAsia" w:ascii="宋体" w:hAnsi="宋体"/>
          <w:sz w:val="24"/>
          <w:szCs w:val="24"/>
          <w:highlight w:val="none"/>
        </w:rPr>
        <w:t>%计算，同时结合市场价格经三方协商确定。</w:t>
      </w:r>
    </w:p>
    <w:p w14:paraId="53E01DD5">
      <w:pPr>
        <w:pStyle w:val="76"/>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6.3新增检测量由乙方确定丙方实施的，丙方不得推诿。乙方确定减少检测量的，丙方应调整检测方案，甲方不支付减少工程量的检测费用及由此引起的丙方损失，且中标综合单价固定不变，不因工程量的减少而调整。</w:t>
      </w:r>
    </w:p>
    <w:p w14:paraId="511773BB">
      <w:pPr>
        <w:pStyle w:val="76"/>
        <w:adjustRightInd w:val="0"/>
        <w:snapToGrid w:val="0"/>
        <w:spacing w:line="360" w:lineRule="auto"/>
        <w:ind w:firstLine="480" w:firstLineChars="200"/>
        <w:rPr>
          <w:sz w:val="24"/>
          <w:szCs w:val="24"/>
          <w:highlight w:val="none"/>
        </w:rPr>
      </w:pPr>
      <w:r>
        <w:rPr>
          <w:rFonts w:ascii="宋体" w:hAnsi="宋体"/>
          <w:sz w:val="24"/>
          <w:szCs w:val="24"/>
          <w:highlight w:val="none"/>
        </w:rPr>
        <w:t>6.4</w:t>
      </w:r>
      <w:r>
        <w:rPr>
          <w:rFonts w:hint="eastAsia"/>
          <w:sz w:val="24"/>
          <w:szCs w:val="24"/>
          <w:highlight w:val="none"/>
        </w:rPr>
        <w:t>累计新增工程量检测费用若超过合同价的</w:t>
      </w:r>
      <w:r>
        <w:rPr>
          <w:rFonts w:hint="eastAsia" w:ascii="宋体" w:hAnsi="宋体" w:eastAsia="宋体" w:cs="宋体"/>
          <w:sz w:val="24"/>
          <w:szCs w:val="24"/>
          <w:highlight w:val="none"/>
        </w:rPr>
        <w:t>10%</w:t>
      </w:r>
      <w:r>
        <w:rPr>
          <w:rFonts w:hint="eastAsia"/>
          <w:sz w:val="24"/>
          <w:szCs w:val="24"/>
          <w:highlight w:val="none"/>
        </w:rPr>
        <w:t>的，须经甲、乙方书面批准后，丙方才能实施，否则甲方不予计量和支付所对应的检测费用。</w:t>
      </w:r>
    </w:p>
    <w:p w14:paraId="7F035974">
      <w:pPr>
        <w:adjustRightInd w:val="0"/>
        <w:snapToGrid w:val="0"/>
        <w:spacing w:line="360" w:lineRule="auto"/>
        <w:ind w:firstLine="482" w:firstLineChars="200"/>
        <w:rPr>
          <w:rFonts w:ascii="宋体" w:hAnsi="宋体"/>
          <w:sz w:val="24"/>
          <w:highlight w:val="none"/>
        </w:rPr>
      </w:pPr>
      <w:r>
        <w:rPr>
          <w:rFonts w:hint="eastAsia" w:ascii="宋体" w:hAnsi="宋体"/>
          <w:b/>
          <w:bCs/>
          <w:sz w:val="24"/>
          <w:highlight w:val="none"/>
        </w:rPr>
        <w:t>七、工程检验检测</w:t>
      </w:r>
      <w:r>
        <w:rPr>
          <w:rFonts w:hint="eastAsia"/>
          <w:b/>
          <w:bCs/>
          <w:sz w:val="24"/>
          <w:highlight w:val="none"/>
        </w:rPr>
        <w:t>项目</w:t>
      </w:r>
      <w:r>
        <w:rPr>
          <w:rFonts w:hint="eastAsia" w:ascii="宋体" w:hAnsi="宋体"/>
          <w:b/>
          <w:bCs/>
          <w:sz w:val="24"/>
          <w:highlight w:val="none"/>
        </w:rPr>
        <w:t>综合管理</w:t>
      </w:r>
      <w:r>
        <w:rPr>
          <w:rFonts w:hint="eastAsia"/>
          <w:b/>
          <w:bCs/>
          <w:sz w:val="24"/>
          <w:highlight w:val="none"/>
        </w:rPr>
        <w:t>规定</w:t>
      </w:r>
    </w:p>
    <w:p w14:paraId="07DDD9FF">
      <w:pPr>
        <w:pStyle w:val="76"/>
        <w:adjustRightInd w:val="0"/>
        <w:snapToGrid w:val="0"/>
        <w:spacing w:line="360" w:lineRule="auto"/>
        <w:ind w:firstLine="480" w:firstLineChars="200"/>
        <w:rPr>
          <w:rFonts w:ascii="宋体" w:hAnsi="宋体"/>
          <w:sz w:val="24"/>
          <w:szCs w:val="24"/>
          <w:highlight w:val="none"/>
        </w:rPr>
      </w:pPr>
      <w:r>
        <w:rPr>
          <w:rFonts w:ascii="宋体" w:hAnsi="宋体"/>
          <w:sz w:val="24"/>
          <w:highlight w:val="none"/>
        </w:rPr>
        <w:t>7.1</w:t>
      </w:r>
      <w:r>
        <w:rPr>
          <w:rFonts w:hint="eastAsia" w:ascii="宋体" w:hAnsi="宋体"/>
          <w:bCs/>
          <w:sz w:val="24"/>
          <w:szCs w:val="24"/>
          <w:highlight w:val="none"/>
        </w:rPr>
        <w:t>工程检验检测</w:t>
      </w:r>
      <w:r>
        <w:rPr>
          <w:rFonts w:hint="eastAsia"/>
          <w:bCs/>
          <w:sz w:val="24"/>
          <w:szCs w:val="24"/>
          <w:highlight w:val="none"/>
        </w:rPr>
        <w:t>项目</w:t>
      </w:r>
      <w:r>
        <w:rPr>
          <w:rFonts w:hint="eastAsia" w:ascii="宋体" w:hAnsi="宋体"/>
          <w:bCs/>
          <w:sz w:val="24"/>
          <w:szCs w:val="24"/>
          <w:highlight w:val="none"/>
        </w:rPr>
        <w:t>综合管理</w:t>
      </w:r>
      <w:r>
        <w:rPr>
          <w:rFonts w:hint="eastAsia"/>
          <w:bCs/>
          <w:sz w:val="24"/>
          <w:szCs w:val="24"/>
          <w:highlight w:val="none"/>
        </w:rPr>
        <w:t>规定</w:t>
      </w:r>
      <w:r>
        <w:rPr>
          <w:rFonts w:hint="eastAsia" w:ascii="宋体" w:hAnsi="宋体"/>
          <w:sz w:val="24"/>
          <w:szCs w:val="24"/>
          <w:highlight w:val="none"/>
        </w:rPr>
        <w:t>详见附件</w:t>
      </w:r>
      <w:r>
        <w:rPr>
          <w:rFonts w:ascii="宋体" w:hAnsi="宋体"/>
          <w:sz w:val="24"/>
          <w:szCs w:val="24"/>
          <w:highlight w:val="none"/>
        </w:rPr>
        <w:t>1；</w:t>
      </w:r>
    </w:p>
    <w:p w14:paraId="2650B0B3">
      <w:pPr>
        <w:pStyle w:val="76"/>
        <w:adjustRightInd w:val="0"/>
        <w:snapToGrid w:val="0"/>
        <w:spacing w:line="360" w:lineRule="auto"/>
        <w:ind w:firstLine="480" w:firstLineChars="200"/>
        <w:rPr>
          <w:rFonts w:ascii="宋体" w:hAnsi="宋体"/>
          <w:sz w:val="24"/>
          <w:szCs w:val="24"/>
          <w:highlight w:val="none"/>
        </w:rPr>
      </w:pPr>
      <w:r>
        <w:rPr>
          <w:rFonts w:ascii="宋体" w:hAnsi="宋体"/>
          <w:sz w:val="24"/>
          <w:highlight w:val="none"/>
        </w:rPr>
        <w:t>7.2</w:t>
      </w:r>
      <w:r>
        <w:rPr>
          <w:rFonts w:hint="eastAsia" w:ascii="宋体" w:hAnsi="宋体"/>
          <w:sz w:val="24"/>
          <w:szCs w:val="24"/>
          <w:highlight w:val="none"/>
        </w:rPr>
        <w:t>丙方承诺遵守甲方和乙方所制订的针对本建设项目管理的各项制度、规定，这些管理制度、规定必须符合下列原则：</w:t>
      </w:r>
    </w:p>
    <w:p w14:paraId="79B822D9">
      <w:pPr>
        <w:pStyle w:val="76"/>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7.2.1符合国家、广东省、广州市的有关法律法规、规范和标准；</w:t>
      </w:r>
    </w:p>
    <w:p w14:paraId="2ED93433">
      <w:pPr>
        <w:pStyle w:val="76"/>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7.2.2符合对本合同工程进行有效管理的基本精神和要求；</w:t>
      </w:r>
    </w:p>
    <w:p w14:paraId="227A0D99">
      <w:pPr>
        <w:adjustRightInd w:val="0"/>
        <w:snapToGrid w:val="0"/>
        <w:spacing w:line="360" w:lineRule="auto"/>
        <w:ind w:firstLine="480" w:firstLineChars="200"/>
        <w:rPr>
          <w:rFonts w:ascii="宋体" w:hAnsi="宋体"/>
          <w:b/>
          <w:sz w:val="24"/>
          <w:highlight w:val="none"/>
        </w:rPr>
      </w:pPr>
      <w:r>
        <w:rPr>
          <w:rFonts w:ascii="宋体" w:hAnsi="宋体"/>
          <w:sz w:val="24"/>
          <w:highlight w:val="none"/>
        </w:rPr>
        <w:t>7.2.3为确保工程质量、进度、安全文明施工</w:t>
      </w:r>
      <w:r>
        <w:rPr>
          <w:rFonts w:hint="eastAsia" w:ascii="宋体" w:hAnsi="宋体"/>
          <w:sz w:val="24"/>
          <w:highlight w:val="none"/>
          <w:lang w:eastAsia="zh-CN"/>
        </w:rPr>
        <w:t>管理</w:t>
      </w:r>
      <w:r>
        <w:rPr>
          <w:rFonts w:hint="eastAsia" w:ascii="宋体" w:hAnsi="宋体"/>
          <w:sz w:val="24"/>
          <w:highlight w:val="none"/>
        </w:rPr>
        <w:t>必须服从现场统一管理。</w:t>
      </w:r>
    </w:p>
    <w:p w14:paraId="3BECEE3F">
      <w:pPr>
        <w:adjustRightInd w:val="0"/>
        <w:snapToGrid w:val="0"/>
        <w:spacing w:line="360" w:lineRule="auto"/>
        <w:ind w:firstLine="482" w:firstLineChars="200"/>
        <w:rPr>
          <w:rFonts w:ascii="宋体" w:hAnsi="宋体"/>
          <w:b/>
          <w:bCs/>
          <w:sz w:val="24"/>
          <w:highlight w:val="none"/>
        </w:rPr>
      </w:pPr>
      <w:r>
        <w:rPr>
          <w:rFonts w:hint="eastAsia" w:ascii="宋体" w:hAnsi="宋体"/>
          <w:b/>
          <w:sz w:val="24"/>
          <w:highlight w:val="none"/>
        </w:rPr>
        <w:t>八、</w:t>
      </w:r>
      <w:r>
        <w:rPr>
          <w:rFonts w:hint="eastAsia" w:ascii="宋体" w:hAnsi="宋体"/>
          <w:b/>
          <w:bCs/>
          <w:sz w:val="24"/>
          <w:highlight w:val="none"/>
        </w:rPr>
        <w:t>违约责任：</w:t>
      </w:r>
    </w:p>
    <w:p w14:paraId="3C98A2F7">
      <w:pPr>
        <w:adjustRightInd w:val="0"/>
        <w:snapToGrid w:val="0"/>
        <w:spacing w:line="360" w:lineRule="auto"/>
        <w:ind w:firstLine="480" w:firstLineChars="200"/>
        <w:rPr>
          <w:rFonts w:ascii="宋体" w:hAnsi="宋体"/>
          <w:sz w:val="24"/>
          <w:highlight w:val="none"/>
        </w:rPr>
      </w:pPr>
      <w:r>
        <w:rPr>
          <w:rFonts w:ascii="宋体" w:hAnsi="宋体"/>
          <w:sz w:val="24"/>
          <w:highlight w:val="none"/>
        </w:rPr>
        <w:t>8.1甲、乙方违约责任</w:t>
      </w:r>
    </w:p>
    <w:p w14:paraId="220245E8">
      <w:pPr>
        <w:adjustRightInd w:val="0"/>
        <w:snapToGrid w:val="0"/>
        <w:spacing w:line="360" w:lineRule="auto"/>
        <w:ind w:firstLine="480" w:firstLineChars="200"/>
        <w:rPr>
          <w:rFonts w:ascii="宋体" w:hAnsi="宋体"/>
          <w:sz w:val="24"/>
          <w:highlight w:val="none"/>
        </w:rPr>
      </w:pPr>
      <w:r>
        <w:rPr>
          <w:rFonts w:ascii="宋体" w:hAnsi="宋体"/>
          <w:sz w:val="24"/>
          <w:highlight w:val="none"/>
        </w:rPr>
        <w:t>8.1.1甲方违反合同约定逾期30</w:t>
      </w:r>
      <w:r>
        <w:rPr>
          <w:rFonts w:hint="eastAsia" w:ascii="宋体" w:hAnsi="宋体"/>
          <w:sz w:val="24"/>
          <w:highlight w:val="none"/>
        </w:rPr>
        <w:t>工作日支付检测费，应向丙方支付当期应付</w:t>
      </w:r>
      <w:r>
        <w:rPr>
          <w:rFonts w:hint="eastAsia" w:ascii="宋体" w:hAnsi="宋体"/>
          <w:sz w:val="24"/>
          <w:highlight w:val="none"/>
          <w:lang w:val="en-US" w:eastAsia="zh-CN"/>
        </w:rPr>
        <w:t>未付</w:t>
      </w:r>
      <w:r>
        <w:rPr>
          <w:rFonts w:hint="eastAsia" w:ascii="宋体" w:hAnsi="宋体"/>
          <w:sz w:val="24"/>
          <w:highlight w:val="none"/>
        </w:rPr>
        <w:t>款额</w:t>
      </w:r>
      <w:r>
        <w:rPr>
          <w:rFonts w:ascii="宋体" w:hAnsi="宋体"/>
          <w:sz w:val="24"/>
          <w:highlight w:val="none"/>
        </w:rPr>
        <w:t>5‰的违约金。</w:t>
      </w:r>
    </w:p>
    <w:p w14:paraId="06CEF467">
      <w:pPr>
        <w:adjustRightInd w:val="0"/>
        <w:snapToGrid w:val="0"/>
        <w:spacing w:line="360" w:lineRule="auto"/>
        <w:ind w:firstLine="480" w:firstLineChars="200"/>
        <w:rPr>
          <w:rFonts w:ascii="宋体" w:hAnsi="宋体"/>
          <w:sz w:val="24"/>
          <w:highlight w:val="none"/>
        </w:rPr>
      </w:pPr>
      <w:r>
        <w:rPr>
          <w:rFonts w:ascii="宋体" w:hAnsi="宋体"/>
          <w:sz w:val="24"/>
          <w:highlight w:val="none"/>
        </w:rPr>
        <w:t>8.1.2丙方进场后未</w:t>
      </w:r>
      <w:r>
        <w:rPr>
          <w:rFonts w:hint="eastAsia" w:ascii="宋体" w:hAnsi="宋体"/>
          <w:sz w:val="24"/>
          <w:highlight w:val="none"/>
        </w:rPr>
        <w:t>开始进行检测</w:t>
      </w:r>
      <w:r>
        <w:rPr>
          <w:rFonts w:hint="eastAsia" w:ascii="宋体" w:hAnsi="宋体"/>
          <w:sz w:val="24"/>
          <w:highlight w:val="none"/>
          <w:lang w:val="en-US" w:eastAsia="zh-CN"/>
        </w:rPr>
        <w:t>前</w:t>
      </w:r>
      <w:r>
        <w:rPr>
          <w:rFonts w:hint="eastAsia" w:ascii="宋体" w:hAnsi="宋体"/>
          <w:sz w:val="24"/>
          <w:highlight w:val="none"/>
        </w:rPr>
        <w:t>，甲方或乙方</w:t>
      </w:r>
      <w:r>
        <w:rPr>
          <w:rFonts w:hint="eastAsia" w:ascii="宋体" w:hAnsi="宋体"/>
          <w:sz w:val="24"/>
          <w:highlight w:val="none"/>
          <w:lang w:val="en-US" w:eastAsia="zh-CN"/>
        </w:rPr>
        <w:t>有权</w:t>
      </w:r>
      <w:r>
        <w:rPr>
          <w:rFonts w:hint="eastAsia" w:ascii="宋体" w:hAnsi="宋体"/>
          <w:sz w:val="24"/>
          <w:highlight w:val="none"/>
        </w:rPr>
        <w:t>提出解除合同的，甲方应赔偿丙方进退场费用</w:t>
      </w:r>
      <w:r>
        <w:rPr>
          <w:rFonts w:hint="eastAsia" w:ascii="宋体" w:hAnsi="宋体"/>
          <w:sz w:val="24"/>
          <w:highlight w:val="none"/>
          <w:lang w:eastAsia="zh-CN"/>
        </w:rPr>
        <w:t>，</w:t>
      </w:r>
      <w:r>
        <w:rPr>
          <w:rFonts w:hint="eastAsia" w:ascii="宋体" w:hAnsi="宋体"/>
          <w:sz w:val="24"/>
          <w:highlight w:val="none"/>
          <w:lang w:val="en-US" w:eastAsia="zh-CN"/>
        </w:rPr>
        <w:t>进退场费用</w:t>
      </w:r>
      <w:r>
        <w:rPr>
          <w:rFonts w:ascii="宋体" w:hAnsi="宋体"/>
          <w:sz w:val="24"/>
          <w:szCs w:val="24"/>
          <w:highlight w:val="none"/>
        </w:rPr>
        <w:t>可参照《广东省房屋建筑和市政工程质量安全检测收费指导价》（粤</w:t>
      </w:r>
      <w:r>
        <w:rPr>
          <w:rFonts w:hint="eastAsia" w:ascii="宋体" w:hAnsi="宋体"/>
          <w:sz w:val="24"/>
          <w:szCs w:val="24"/>
          <w:highlight w:val="none"/>
        </w:rPr>
        <w:t>建检协</w:t>
      </w:r>
      <w:r>
        <w:rPr>
          <w:rFonts w:ascii="宋体" w:hAnsi="宋体"/>
          <w:sz w:val="24"/>
          <w:szCs w:val="24"/>
          <w:highlight w:val="none"/>
        </w:rPr>
        <w:t>[2015]8号文）、广东省物价局《关于建筑工程质量检测收费问题的复函》（粤价函［2004］428号）</w:t>
      </w:r>
      <w:r>
        <w:rPr>
          <w:rFonts w:hint="eastAsia" w:ascii="宋体" w:hAnsi="宋体"/>
          <w:sz w:val="24"/>
          <w:szCs w:val="24"/>
          <w:highlight w:val="none"/>
        </w:rPr>
        <w:t>的有关的</w:t>
      </w:r>
      <w:r>
        <w:rPr>
          <w:rFonts w:hint="eastAsia" w:ascii="宋体" w:hAnsi="宋体"/>
          <w:sz w:val="24"/>
          <w:szCs w:val="24"/>
          <w:highlight w:val="none"/>
          <w:lang w:eastAsia="zh-CN"/>
        </w:rPr>
        <w:t>第三方检测</w:t>
      </w:r>
      <w:r>
        <w:rPr>
          <w:rFonts w:hint="eastAsia" w:ascii="宋体" w:hAnsi="宋体"/>
          <w:sz w:val="24"/>
          <w:szCs w:val="24"/>
          <w:highlight w:val="none"/>
        </w:rPr>
        <w:t>收费规定</w:t>
      </w:r>
      <w:r>
        <w:rPr>
          <w:rFonts w:hint="eastAsia" w:ascii="宋体" w:hAnsi="宋体"/>
          <w:sz w:val="24"/>
          <w:szCs w:val="24"/>
          <w:highlight w:val="none"/>
          <w:lang w:eastAsia="zh-CN"/>
        </w:rPr>
        <w:t>、</w:t>
      </w:r>
      <w:r>
        <w:rPr>
          <w:rFonts w:hint="eastAsia" w:ascii="宋体" w:hAnsi="宋体"/>
          <w:sz w:val="24"/>
          <w:szCs w:val="24"/>
          <w:highlight w:val="none"/>
        </w:rPr>
        <w:t>并下浮2</w:t>
      </w:r>
      <w:r>
        <w:rPr>
          <w:rFonts w:ascii="宋体" w:hAnsi="宋体"/>
          <w:sz w:val="24"/>
          <w:szCs w:val="24"/>
          <w:highlight w:val="none"/>
        </w:rPr>
        <w:t>0</w:t>
      </w:r>
      <w:r>
        <w:rPr>
          <w:rFonts w:hint="eastAsia" w:ascii="宋体" w:hAnsi="宋体"/>
          <w:sz w:val="24"/>
          <w:szCs w:val="24"/>
          <w:highlight w:val="none"/>
        </w:rPr>
        <w:t>%计算，同时结合市场价格经三方协商确定</w:t>
      </w:r>
      <w:r>
        <w:rPr>
          <w:rFonts w:hint="eastAsia" w:ascii="宋体" w:hAnsi="宋体"/>
          <w:sz w:val="24"/>
          <w:highlight w:val="none"/>
        </w:rPr>
        <w:t>。</w:t>
      </w:r>
    </w:p>
    <w:p w14:paraId="0951F751">
      <w:pPr>
        <w:adjustRightInd w:val="0"/>
        <w:snapToGrid w:val="0"/>
        <w:spacing w:line="360" w:lineRule="auto"/>
        <w:ind w:firstLine="480" w:firstLineChars="200"/>
        <w:rPr>
          <w:rFonts w:ascii="宋体" w:hAnsi="宋体"/>
          <w:sz w:val="24"/>
          <w:highlight w:val="none"/>
        </w:rPr>
      </w:pPr>
      <w:r>
        <w:rPr>
          <w:rFonts w:ascii="宋体" w:hAnsi="宋体"/>
          <w:sz w:val="24"/>
          <w:highlight w:val="none"/>
        </w:rPr>
        <w:t>8.1.</w:t>
      </w:r>
      <w:r>
        <w:rPr>
          <w:rFonts w:hint="eastAsia" w:ascii="宋体" w:hAnsi="宋体"/>
          <w:sz w:val="24"/>
          <w:highlight w:val="none"/>
        </w:rPr>
        <w:t>3</w:t>
      </w:r>
      <w:r>
        <w:rPr>
          <w:rFonts w:hint="eastAsia" w:ascii="宋体" w:hAnsi="宋体"/>
          <w:bCs/>
          <w:sz w:val="24"/>
          <w:highlight w:val="none"/>
        </w:rPr>
        <w:t>未经丙方书面同意，甲、乙方不得将检测结果直接或间接用于其它项目、工程之中，否则，丙方有权追究甲、乙方责任。</w:t>
      </w:r>
    </w:p>
    <w:p w14:paraId="6676D1A1">
      <w:pPr>
        <w:adjustRightInd w:val="0"/>
        <w:snapToGrid w:val="0"/>
        <w:spacing w:line="360" w:lineRule="auto"/>
        <w:ind w:firstLine="480" w:firstLineChars="200"/>
        <w:rPr>
          <w:rFonts w:ascii="宋体" w:hAnsi="宋体"/>
          <w:sz w:val="24"/>
          <w:highlight w:val="none"/>
        </w:rPr>
      </w:pPr>
      <w:r>
        <w:rPr>
          <w:rFonts w:ascii="宋体" w:hAnsi="宋体"/>
          <w:sz w:val="24"/>
          <w:highlight w:val="none"/>
        </w:rPr>
        <w:t>8.2丙方违约责任</w:t>
      </w:r>
    </w:p>
    <w:p w14:paraId="193BE144">
      <w:pPr>
        <w:adjustRightInd w:val="0"/>
        <w:snapToGrid w:val="0"/>
        <w:spacing w:line="360" w:lineRule="auto"/>
        <w:ind w:firstLine="480" w:firstLineChars="200"/>
        <w:rPr>
          <w:rFonts w:ascii="宋体" w:hAnsi="宋体"/>
          <w:sz w:val="24"/>
          <w:highlight w:val="none"/>
        </w:rPr>
      </w:pPr>
      <w:r>
        <w:rPr>
          <w:rFonts w:ascii="宋体" w:hAnsi="宋体"/>
          <w:sz w:val="24"/>
          <w:highlight w:val="none"/>
        </w:rPr>
        <w:t>8.2.1丙方未按检测报告成果要求及合同第</w:t>
      </w:r>
      <w:r>
        <w:rPr>
          <w:rFonts w:hint="eastAsia" w:ascii="宋体" w:hAnsi="宋体"/>
          <w:sz w:val="24"/>
          <w:highlight w:val="none"/>
          <w:lang w:val="en-US" w:eastAsia="zh-CN"/>
        </w:rPr>
        <w:t>二</w:t>
      </w:r>
      <w:r>
        <w:rPr>
          <w:rFonts w:ascii="宋体" w:hAnsi="宋体"/>
          <w:sz w:val="24"/>
          <w:highlight w:val="none"/>
        </w:rPr>
        <w:t>条第</w:t>
      </w:r>
      <w:r>
        <w:rPr>
          <w:rFonts w:hint="eastAsia" w:ascii="宋体" w:hAnsi="宋体"/>
          <w:sz w:val="24"/>
          <w:highlight w:val="none"/>
          <w:lang w:eastAsia="zh-CN"/>
        </w:rPr>
        <w:t>3</w:t>
      </w:r>
      <w:r>
        <w:rPr>
          <w:rFonts w:ascii="宋体" w:hAnsi="宋体"/>
          <w:sz w:val="24"/>
          <w:highlight w:val="none"/>
        </w:rPr>
        <w:t>款提供检测报告的，</w:t>
      </w:r>
      <w:r>
        <w:rPr>
          <w:rFonts w:hint="eastAsia" w:ascii="宋体" w:hAnsi="宋体"/>
          <w:sz w:val="24"/>
          <w:highlight w:val="none"/>
        </w:rPr>
        <w:t>应</w:t>
      </w:r>
      <w:r>
        <w:rPr>
          <w:rFonts w:ascii="宋体" w:hAnsi="宋体"/>
          <w:sz w:val="24"/>
          <w:highlight w:val="none"/>
        </w:rPr>
        <w:t>向甲方支付合同</w:t>
      </w:r>
      <w:r>
        <w:rPr>
          <w:rFonts w:hint="eastAsia" w:ascii="宋体" w:hAnsi="宋体"/>
          <w:sz w:val="24"/>
          <w:highlight w:val="none"/>
        </w:rPr>
        <w:t>暂定</w:t>
      </w:r>
      <w:r>
        <w:rPr>
          <w:rFonts w:ascii="宋体" w:hAnsi="宋体"/>
          <w:sz w:val="24"/>
          <w:highlight w:val="none"/>
        </w:rPr>
        <w:t>总价10%的违约金并退回已收费用。</w:t>
      </w:r>
    </w:p>
    <w:p w14:paraId="4DF3D8BF">
      <w:pPr>
        <w:adjustRightInd w:val="0"/>
        <w:snapToGrid w:val="0"/>
        <w:spacing w:line="360" w:lineRule="auto"/>
        <w:ind w:firstLine="480" w:firstLineChars="200"/>
        <w:rPr>
          <w:rFonts w:ascii="宋体" w:hAnsi="宋体"/>
          <w:sz w:val="24"/>
          <w:highlight w:val="none"/>
        </w:rPr>
      </w:pPr>
      <w:r>
        <w:rPr>
          <w:rFonts w:ascii="宋体" w:hAnsi="宋体"/>
          <w:sz w:val="24"/>
          <w:highlight w:val="none"/>
        </w:rPr>
        <w:t>8.2.2丙方违反本合同规定，造成甲、乙方损失的，丙方赔偿全部损失并承担相应法律责任。</w:t>
      </w:r>
    </w:p>
    <w:p w14:paraId="2E156AED">
      <w:pPr>
        <w:adjustRightInd w:val="0"/>
        <w:snapToGrid w:val="0"/>
        <w:spacing w:line="360" w:lineRule="auto"/>
        <w:ind w:firstLine="480" w:firstLineChars="200"/>
        <w:rPr>
          <w:rFonts w:ascii="宋体" w:hAnsi="宋体"/>
          <w:sz w:val="24"/>
          <w:highlight w:val="none"/>
        </w:rPr>
      </w:pPr>
      <w:r>
        <w:rPr>
          <w:rFonts w:ascii="宋体" w:hAnsi="宋体"/>
          <w:sz w:val="24"/>
          <w:highlight w:val="none"/>
        </w:rPr>
        <w:t>8.2.3丙方按乙方提供的资料已出具检测报告后，乙方发现提交的检测资料有误而要求更改检测报告的，责任由丙方承担。</w:t>
      </w:r>
    </w:p>
    <w:p w14:paraId="1F24D505">
      <w:pPr>
        <w:adjustRightInd w:val="0"/>
        <w:snapToGrid w:val="0"/>
        <w:spacing w:line="360" w:lineRule="auto"/>
        <w:ind w:firstLine="480" w:firstLineChars="200"/>
        <w:rPr>
          <w:rFonts w:hint="default" w:ascii="宋体" w:hAnsi="宋体" w:eastAsia="宋体"/>
          <w:sz w:val="24"/>
          <w:highlight w:val="none"/>
          <w:lang w:val="en-US" w:eastAsia="zh-CN"/>
        </w:rPr>
      </w:pPr>
      <w:r>
        <w:rPr>
          <w:rFonts w:ascii="宋体" w:hAnsi="宋体"/>
          <w:sz w:val="24"/>
          <w:highlight w:val="none"/>
        </w:rPr>
        <w:t>8.2.4丙方未在规定的时间内到达现场进行检测的，则每</w:t>
      </w:r>
      <w:r>
        <w:rPr>
          <w:rFonts w:hint="eastAsia" w:ascii="宋体" w:hAnsi="宋体"/>
          <w:sz w:val="24"/>
          <w:highlight w:val="none"/>
        </w:rPr>
        <w:t>延迟一天在当期进度款中扣罚</w:t>
      </w:r>
      <w:r>
        <w:rPr>
          <w:rFonts w:ascii="宋体" w:hAnsi="宋体"/>
          <w:sz w:val="24"/>
          <w:highlight w:val="none"/>
          <w:u w:val="single"/>
        </w:rPr>
        <w:t>1000</w:t>
      </w:r>
      <w:r>
        <w:rPr>
          <w:rFonts w:hint="eastAsia" w:ascii="宋体" w:hAnsi="宋体"/>
          <w:sz w:val="24"/>
          <w:highlight w:val="none"/>
        </w:rPr>
        <w:t>元</w:t>
      </w:r>
      <w:r>
        <w:rPr>
          <w:rFonts w:ascii="宋体" w:hAnsi="宋体"/>
          <w:sz w:val="24"/>
          <w:highlight w:val="none"/>
        </w:rPr>
        <w:t xml:space="preserve">/天。未按本合同约定时间提交各检测项目的检测初步结果、中间检测检验报告和最终成果报告，将按 </w:t>
      </w:r>
      <w:r>
        <w:rPr>
          <w:rFonts w:ascii="宋体" w:hAnsi="宋体"/>
          <w:sz w:val="24"/>
          <w:highlight w:val="none"/>
          <w:u w:val="single"/>
        </w:rPr>
        <w:t>1000</w:t>
      </w:r>
      <w:r>
        <w:rPr>
          <w:rFonts w:hint="eastAsia" w:ascii="宋体" w:hAnsi="宋体"/>
          <w:sz w:val="24"/>
          <w:highlight w:val="none"/>
        </w:rPr>
        <w:t>元/天在当期进度款中予以处罚。</w:t>
      </w:r>
    </w:p>
    <w:p w14:paraId="6908D96D">
      <w:pPr>
        <w:adjustRightInd w:val="0"/>
        <w:snapToGrid w:val="0"/>
        <w:spacing w:line="360" w:lineRule="auto"/>
        <w:ind w:firstLine="480" w:firstLineChars="200"/>
        <w:rPr>
          <w:rFonts w:ascii="宋体" w:hAnsi="宋体"/>
          <w:sz w:val="24"/>
          <w:highlight w:val="none"/>
        </w:rPr>
      </w:pPr>
      <w:r>
        <w:rPr>
          <w:rFonts w:ascii="宋体" w:hAnsi="宋体"/>
          <w:sz w:val="24"/>
          <w:highlight w:val="none"/>
        </w:rPr>
        <w:t>8.2.5</w:t>
      </w:r>
      <w:r>
        <w:rPr>
          <w:rFonts w:hint="eastAsia" w:ascii="宋体" w:hAnsi="宋体"/>
          <w:sz w:val="24"/>
          <w:highlight w:val="none"/>
        </w:rPr>
        <w:t>各检测项目进场前丙方未提交经批准的检测方案，除按</w:t>
      </w:r>
      <w:r>
        <w:rPr>
          <w:rFonts w:ascii="宋体" w:hAnsi="宋体"/>
          <w:sz w:val="24"/>
          <w:highlight w:val="none"/>
        </w:rPr>
        <w:t>8.2.4款进行处罚外，造成甲、乙方损失的</w:t>
      </w:r>
      <w:r>
        <w:rPr>
          <w:rFonts w:hint="eastAsia" w:ascii="宋体" w:hAnsi="宋体"/>
          <w:sz w:val="24"/>
          <w:highlight w:val="none"/>
          <w:lang w:eastAsia="zh-CN"/>
        </w:rPr>
        <w:t>（</w:t>
      </w:r>
      <w:r>
        <w:rPr>
          <w:rFonts w:hint="eastAsia" w:ascii="宋体" w:hAnsi="宋体"/>
          <w:sz w:val="24"/>
          <w:highlight w:val="none"/>
        </w:rPr>
        <w:t>包括但不限于直接损失、律师费、保全费、保全担保费、诉讼费、公证费、鉴定费、差旅费等一切合理费用）</w:t>
      </w:r>
      <w:r>
        <w:rPr>
          <w:rFonts w:ascii="宋体" w:hAnsi="宋体"/>
          <w:sz w:val="24"/>
          <w:highlight w:val="none"/>
        </w:rPr>
        <w:t>，丙方应承担</w:t>
      </w:r>
      <w:r>
        <w:rPr>
          <w:rFonts w:hint="eastAsia" w:ascii="宋体" w:hAnsi="宋体"/>
          <w:sz w:val="24"/>
          <w:highlight w:val="none"/>
          <w:lang w:val="en-US" w:eastAsia="zh-CN"/>
        </w:rPr>
        <w:t>全部</w:t>
      </w:r>
      <w:r>
        <w:rPr>
          <w:rFonts w:ascii="宋体" w:hAnsi="宋体"/>
          <w:sz w:val="24"/>
          <w:highlight w:val="none"/>
        </w:rPr>
        <w:t>赔偿责任。</w:t>
      </w:r>
    </w:p>
    <w:p w14:paraId="3999476A">
      <w:pPr>
        <w:adjustRightInd w:val="0"/>
        <w:snapToGrid w:val="0"/>
        <w:spacing w:line="360" w:lineRule="auto"/>
        <w:ind w:firstLine="480" w:firstLineChars="200"/>
        <w:rPr>
          <w:rFonts w:ascii="宋体" w:hAnsi="宋体"/>
          <w:sz w:val="24"/>
          <w:highlight w:val="none"/>
        </w:rPr>
      </w:pPr>
      <w:r>
        <w:rPr>
          <w:rFonts w:ascii="宋体" w:hAnsi="宋体"/>
          <w:sz w:val="24"/>
          <w:highlight w:val="none"/>
        </w:rPr>
        <w:t>8.2.6工程实施发生紧急情况需丙方协助的，丙方收到甲方或乙方通知后，2</w:t>
      </w:r>
      <w:r>
        <w:rPr>
          <w:rFonts w:hint="eastAsia" w:ascii="宋体" w:hAnsi="宋体"/>
          <w:sz w:val="24"/>
          <w:highlight w:val="none"/>
        </w:rPr>
        <w:t>个小时内必须派专人赶至施工现场。未在规定时间内到场的，丙方支付</w:t>
      </w:r>
      <w:r>
        <w:rPr>
          <w:rFonts w:ascii="宋体" w:hAnsi="宋体"/>
          <w:sz w:val="24"/>
          <w:highlight w:val="none"/>
          <w:u w:val="single"/>
        </w:rPr>
        <w:t>5000</w:t>
      </w:r>
      <w:r>
        <w:rPr>
          <w:rFonts w:hint="eastAsia" w:ascii="宋体" w:hAnsi="宋体"/>
          <w:sz w:val="24"/>
          <w:highlight w:val="none"/>
        </w:rPr>
        <w:t>元</w:t>
      </w:r>
      <w:r>
        <w:rPr>
          <w:rFonts w:ascii="宋体" w:hAnsi="宋体"/>
          <w:sz w:val="24"/>
          <w:highlight w:val="none"/>
        </w:rPr>
        <w:t>/</w:t>
      </w:r>
      <w:r>
        <w:rPr>
          <w:rFonts w:hint="eastAsia" w:ascii="宋体" w:hAnsi="宋体"/>
          <w:sz w:val="24"/>
          <w:highlight w:val="none"/>
        </w:rPr>
        <w:t>次的违约金，违约金在进度款中扣除。丙方未在通知时间内到场造成损失的（包括但不限于直接损失、律师费、保全费、保全担保费、诉讼费、公证费、鉴定费、差旅费等一切合理费用），丙方应承担全部赔偿责任。</w:t>
      </w:r>
    </w:p>
    <w:p w14:paraId="381EB4D0">
      <w:pPr>
        <w:adjustRightInd w:val="0"/>
        <w:snapToGrid w:val="0"/>
        <w:spacing w:line="360" w:lineRule="auto"/>
        <w:ind w:firstLine="480" w:firstLineChars="200"/>
        <w:rPr>
          <w:rFonts w:ascii="宋体" w:hAnsi="宋体"/>
          <w:sz w:val="24"/>
          <w:highlight w:val="none"/>
        </w:rPr>
      </w:pPr>
      <w:r>
        <w:rPr>
          <w:rFonts w:ascii="宋体" w:hAnsi="宋体"/>
          <w:sz w:val="24"/>
          <w:highlight w:val="none"/>
        </w:rPr>
        <w:t>8.2.7未经</w:t>
      </w:r>
      <w:r>
        <w:rPr>
          <w:rFonts w:hint="eastAsia" w:ascii="宋体" w:hAnsi="宋体"/>
          <w:sz w:val="24"/>
          <w:highlight w:val="none"/>
        </w:rPr>
        <w:t>甲、乙方的书面同意，丙方不得泄露与本服务项目有关的任何信息和资料，否则，承担相应责任和损失（包括但不限于直接损失、律师费、保全费、保全担保费、诉讼费、公证费、鉴定费、差旅费等一切合理费用）。</w:t>
      </w:r>
    </w:p>
    <w:p w14:paraId="3A55EE22">
      <w:pPr>
        <w:adjustRightInd w:val="0"/>
        <w:snapToGrid w:val="0"/>
        <w:spacing w:line="360" w:lineRule="auto"/>
        <w:ind w:firstLine="480" w:firstLineChars="200"/>
        <w:rPr>
          <w:rFonts w:ascii="宋体" w:hAnsi="宋体"/>
          <w:sz w:val="24"/>
          <w:highlight w:val="none"/>
        </w:rPr>
      </w:pPr>
      <w:r>
        <w:rPr>
          <w:rFonts w:ascii="宋体" w:hAnsi="宋体"/>
          <w:sz w:val="24"/>
          <w:highlight w:val="none"/>
        </w:rPr>
        <w:t>8.2.8</w:t>
      </w:r>
      <w:r>
        <w:rPr>
          <w:rFonts w:hint="eastAsia" w:ascii="宋体" w:hAnsi="宋体"/>
          <w:sz w:val="24"/>
          <w:highlight w:val="none"/>
        </w:rPr>
        <w:t>丙方</w:t>
      </w:r>
      <w:r>
        <w:rPr>
          <w:rFonts w:ascii="宋体" w:hAnsi="宋体"/>
          <w:sz w:val="24"/>
          <w:highlight w:val="none"/>
        </w:rPr>
        <w:t>将本检测合同规定的义务、责任和权利予以转让，或者没有乙方的书面同意，将检测服务的部分或全部予以分包、转包的，甲、乙方有权解除合同，丙方应赔偿因解除合同造成甲、</w:t>
      </w:r>
      <w:r>
        <w:rPr>
          <w:rFonts w:hint="eastAsia" w:ascii="宋体" w:hAnsi="宋体"/>
          <w:sz w:val="24"/>
          <w:highlight w:val="none"/>
        </w:rPr>
        <w:t>乙方所有损失（包括但不限于直接损失、律师费、保全费、保全担保费、诉讼费、公证费、鉴定费、差旅费等一切合理费用），丙方应承担全部赔偿责任</w:t>
      </w:r>
      <w:r>
        <w:rPr>
          <w:rFonts w:hint="eastAsia" w:ascii="宋体" w:hAnsi="宋体"/>
          <w:sz w:val="24"/>
          <w:highlight w:val="none"/>
          <w:lang w:eastAsia="zh-CN"/>
        </w:rPr>
        <w:t>。</w:t>
      </w:r>
    </w:p>
    <w:p w14:paraId="08C600FD">
      <w:pPr>
        <w:adjustRightInd w:val="0"/>
        <w:snapToGrid w:val="0"/>
        <w:spacing w:line="360" w:lineRule="auto"/>
        <w:ind w:firstLine="480" w:firstLineChars="200"/>
        <w:rPr>
          <w:rFonts w:ascii="宋体" w:hAnsi="宋体"/>
          <w:sz w:val="24"/>
          <w:highlight w:val="none"/>
        </w:rPr>
      </w:pPr>
      <w:r>
        <w:rPr>
          <w:rFonts w:ascii="宋体" w:hAnsi="宋体"/>
          <w:sz w:val="24"/>
          <w:highlight w:val="none"/>
        </w:rPr>
        <w:t>8.2.9因丙方检测工作或检测成果问题导致工程延期竣工验收的，丙方向甲方承担合同</w:t>
      </w:r>
      <w:r>
        <w:rPr>
          <w:rFonts w:hint="eastAsia" w:ascii="宋体" w:hAnsi="宋体"/>
          <w:sz w:val="24"/>
          <w:highlight w:val="none"/>
        </w:rPr>
        <w:t>暂定</w:t>
      </w:r>
      <w:r>
        <w:rPr>
          <w:rFonts w:ascii="宋体" w:hAnsi="宋体"/>
          <w:sz w:val="24"/>
          <w:highlight w:val="none"/>
        </w:rPr>
        <w:t>总价10%违约金，</w:t>
      </w:r>
      <w:r>
        <w:rPr>
          <w:rFonts w:hint="eastAsia" w:ascii="宋体" w:hAnsi="宋体"/>
          <w:sz w:val="24"/>
          <w:highlight w:val="none"/>
        </w:rPr>
        <w:t>违约金不足以赔偿由此给</w:t>
      </w:r>
      <w:r>
        <w:rPr>
          <w:rFonts w:ascii="宋体" w:hAnsi="宋体"/>
          <w:sz w:val="24"/>
          <w:highlight w:val="none"/>
        </w:rPr>
        <w:t>甲方</w:t>
      </w:r>
      <w:r>
        <w:rPr>
          <w:rFonts w:hint="eastAsia" w:ascii="宋体" w:hAnsi="宋体"/>
          <w:sz w:val="24"/>
          <w:highlight w:val="none"/>
        </w:rPr>
        <w:t>造成的</w:t>
      </w:r>
      <w:r>
        <w:rPr>
          <w:rFonts w:ascii="宋体" w:hAnsi="宋体"/>
          <w:sz w:val="24"/>
          <w:highlight w:val="none"/>
        </w:rPr>
        <w:t>损失的，</w:t>
      </w:r>
      <w:r>
        <w:rPr>
          <w:rFonts w:hint="eastAsia" w:ascii="宋体" w:hAnsi="宋体"/>
          <w:sz w:val="24"/>
          <w:highlight w:val="none"/>
        </w:rPr>
        <w:t>丙方还应补足</w:t>
      </w:r>
      <w:r>
        <w:rPr>
          <w:rFonts w:ascii="宋体" w:hAnsi="宋体"/>
          <w:sz w:val="24"/>
          <w:highlight w:val="none"/>
        </w:rPr>
        <w:t>。</w:t>
      </w:r>
    </w:p>
    <w:p w14:paraId="0B7CC391">
      <w:pPr>
        <w:adjustRightInd w:val="0"/>
        <w:snapToGrid w:val="0"/>
        <w:spacing w:line="360" w:lineRule="auto"/>
        <w:ind w:firstLine="480" w:firstLineChars="200"/>
        <w:rPr>
          <w:rFonts w:ascii="宋体" w:hAnsi="宋体"/>
          <w:sz w:val="24"/>
          <w:highlight w:val="none"/>
        </w:rPr>
      </w:pPr>
      <w:r>
        <w:rPr>
          <w:rFonts w:ascii="宋体" w:hAnsi="宋体"/>
          <w:sz w:val="24"/>
          <w:highlight w:val="none"/>
        </w:rPr>
        <w:t>8.2.10因丙方原因导致检测工作返工、窝工、增加工程量的，丙方应向甲方承担违约责任</w:t>
      </w:r>
      <w:r>
        <w:rPr>
          <w:rFonts w:hint="eastAsia" w:ascii="宋体" w:hAnsi="宋体"/>
          <w:sz w:val="24"/>
          <w:highlight w:val="none"/>
          <w:lang w:eastAsia="zh-CN"/>
        </w:rPr>
        <w:t>，</w:t>
      </w:r>
      <w:r>
        <w:rPr>
          <w:rFonts w:hint="eastAsia" w:ascii="宋体" w:hAnsi="宋体"/>
          <w:sz w:val="24"/>
          <w:highlight w:val="none"/>
          <w:lang w:val="en-US" w:eastAsia="zh-CN"/>
        </w:rPr>
        <w:t>且甲方、乙方不予支付额外费用</w:t>
      </w:r>
      <w:r>
        <w:rPr>
          <w:rFonts w:ascii="宋体" w:hAnsi="宋体"/>
          <w:sz w:val="24"/>
          <w:highlight w:val="none"/>
        </w:rPr>
        <w:t>。</w:t>
      </w:r>
    </w:p>
    <w:p w14:paraId="201AECAD">
      <w:pPr>
        <w:adjustRightInd w:val="0"/>
        <w:snapToGrid w:val="0"/>
        <w:spacing w:line="360" w:lineRule="auto"/>
        <w:ind w:firstLine="480" w:firstLineChars="200"/>
        <w:rPr>
          <w:rFonts w:ascii="宋体" w:hAnsi="宋体"/>
          <w:sz w:val="24"/>
          <w:highlight w:val="none"/>
        </w:rPr>
      </w:pPr>
      <w:r>
        <w:rPr>
          <w:rFonts w:ascii="宋体" w:hAnsi="宋体"/>
          <w:sz w:val="24"/>
          <w:highlight w:val="none"/>
        </w:rPr>
        <w:t>8.2.11丙方应保证检测报告、检测结论合法有效，如因检测报告、检测结论造成甲、乙方损失的</w:t>
      </w:r>
      <w:r>
        <w:rPr>
          <w:rFonts w:hint="eastAsia" w:ascii="宋体" w:hAnsi="宋体"/>
          <w:sz w:val="24"/>
          <w:highlight w:val="none"/>
        </w:rPr>
        <w:t>（包括但不限于直接损失、律师费、保全费、保全担保费、诉讼费、公证费、鉴定费、差旅费等一切合理费用）</w:t>
      </w:r>
      <w:r>
        <w:rPr>
          <w:rFonts w:ascii="宋体" w:hAnsi="宋体"/>
          <w:sz w:val="24"/>
          <w:highlight w:val="none"/>
        </w:rPr>
        <w:t>，丙方应承担其全部损失。</w:t>
      </w:r>
    </w:p>
    <w:p w14:paraId="122ED468">
      <w:pPr>
        <w:adjustRightInd w:val="0"/>
        <w:snapToGrid w:val="0"/>
        <w:spacing w:line="360" w:lineRule="auto"/>
        <w:ind w:firstLine="480" w:firstLineChars="200"/>
        <w:rPr>
          <w:rFonts w:ascii="宋体" w:hAnsi="宋体"/>
          <w:sz w:val="24"/>
          <w:highlight w:val="none"/>
        </w:rPr>
      </w:pPr>
      <w:r>
        <w:rPr>
          <w:rFonts w:ascii="宋体" w:hAnsi="宋体"/>
          <w:sz w:val="24"/>
          <w:highlight w:val="none"/>
        </w:rPr>
        <w:t>8.2.12丙方必须严格按照提交的检测方案</w:t>
      </w:r>
      <w:r>
        <w:rPr>
          <w:rFonts w:hint="eastAsia" w:ascii="宋体" w:hAnsi="宋体"/>
          <w:sz w:val="24"/>
          <w:highlight w:val="none"/>
        </w:rPr>
        <w:t>（含检测计划）进行检测服务，如丙方未经乙方同意擅自改变检测方案（含检测计划），所造成的损失均由丙方承担（包括但不限于直接损失、律师费、保全费、保全担保费、诉讼费、公证费、鉴定费、差旅费等一切合理费用），丙方应承担全部赔偿责任</w:t>
      </w:r>
      <w:r>
        <w:rPr>
          <w:rFonts w:hint="eastAsia" w:ascii="宋体" w:hAnsi="宋体"/>
          <w:sz w:val="24"/>
          <w:highlight w:val="none"/>
          <w:lang w:eastAsia="zh-CN"/>
        </w:rPr>
        <w:t>。</w:t>
      </w:r>
    </w:p>
    <w:p w14:paraId="5F48EB3E">
      <w:pPr>
        <w:adjustRightInd w:val="0"/>
        <w:snapToGrid w:val="0"/>
        <w:spacing w:line="360" w:lineRule="auto"/>
        <w:ind w:firstLine="480" w:firstLineChars="200"/>
        <w:rPr>
          <w:rFonts w:ascii="宋体" w:hAnsi="宋体"/>
          <w:sz w:val="24"/>
          <w:highlight w:val="none"/>
        </w:rPr>
      </w:pPr>
      <w:r>
        <w:rPr>
          <w:rFonts w:ascii="宋体" w:hAnsi="宋体"/>
          <w:sz w:val="24"/>
          <w:highlight w:val="none"/>
        </w:rPr>
        <w:t>8.2.13丙方未经乙方同意擅自更换约定检测人员的，对其出具的检测报告，甲、乙方</w:t>
      </w:r>
      <w:r>
        <w:rPr>
          <w:rFonts w:hint="eastAsia" w:ascii="宋体" w:hAnsi="宋体"/>
          <w:sz w:val="24"/>
          <w:highlight w:val="none"/>
        </w:rPr>
        <w:t>可</w:t>
      </w:r>
      <w:r>
        <w:rPr>
          <w:rFonts w:ascii="宋体" w:hAnsi="宋体"/>
          <w:sz w:val="24"/>
          <w:highlight w:val="none"/>
        </w:rPr>
        <w:t>不予以认可，由此产生重新检测的费用以及延期后果均由丙方承担。</w:t>
      </w:r>
    </w:p>
    <w:p w14:paraId="27C39622">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九、组成合同文件及解释顺序</w:t>
      </w:r>
    </w:p>
    <w:p w14:paraId="3994A163">
      <w:pPr>
        <w:pStyle w:val="76"/>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.1合同实施期间三方签订的补充或修正文件；</w:t>
      </w:r>
    </w:p>
    <w:p w14:paraId="0424E013">
      <w:pPr>
        <w:pStyle w:val="76"/>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.2本合同条款；</w:t>
      </w:r>
    </w:p>
    <w:p w14:paraId="35CB3B3E">
      <w:pPr>
        <w:pStyle w:val="76"/>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.3</w:t>
      </w:r>
      <w:r>
        <w:rPr>
          <w:rFonts w:hint="eastAsia" w:ascii="宋体" w:hAnsi="宋体"/>
          <w:sz w:val="24"/>
          <w:szCs w:val="24"/>
          <w:highlight w:val="none"/>
          <w:lang w:val="en-US" w:eastAsia="zh-CN"/>
        </w:rPr>
        <w:t>委托函/中标通知书</w:t>
      </w:r>
      <w:r>
        <w:rPr>
          <w:rFonts w:hint="eastAsia" w:ascii="宋体" w:hAnsi="宋体"/>
          <w:sz w:val="24"/>
          <w:szCs w:val="24"/>
          <w:highlight w:val="none"/>
        </w:rPr>
        <w:t>；</w:t>
      </w:r>
      <w:r>
        <w:rPr>
          <w:rFonts w:ascii="宋体" w:hAnsi="宋体"/>
          <w:sz w:val="24"/>
          <w:szCs w:val="24"/>
          <w:highlight w:val="none"/>
        </w:rPr>
        <w:tab/>
      </w:r>
    </w:p>
    <w:p w14:paraId="5060372E">
      <w:pPr>
        <w:pStyle w:val="76"/>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.4</w:t>
      </w:r>
      <w:r>
        <w:rPr>
          <w:rFonts w:hint="eastAsia" w:ascii="宋体" w:hAnsi="宋体"/>
          <w:sz w:val="24"/>
          <w:szCs w:val="24"/>
          <w:highlight w:val="none"/>
        </w:rPr>
        <w:t>报价文件及其附件；</w:t>
      </w:r>
    </w:p>
    <w:p w14:paraId="586BC899">
      <w:pPr>
        <w:pStyle w:val="76"/>
        <w:adjustRightInd w:val="0"/>
        <w:snapToGrid w:val="0"/>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9</w:t>
      </w:r>
      <w:r>
        <w:rPr>
          <w:rFonts w:ascii="宋体" w:hAnsi="宋体"/>
          <w:sz w:val="24"/>
          <w:szCs w:val="24"/>
          <w:highlight w:val="none"/>
        </w:rPr>
        <w:t>.5</w:t>
      </w:r>
      <w:r>
        <w:rPr>
          <w:rFonts w:hint="eastAsia" w:ascii="宋体" w:hAnsi="宋体"/>
          <w:sz w:val="24"/>
          <w:szCs w:val="24"/>
          <w:highlight w:val="none"/>
        </w:rPr>
        <w:t>招标文件（含答疑资料）或询价文件（含答疑资料）</w:t>
      </w:r>
      <w:r>
        <w:rPr>
          <w:rFonts w:hint="eastAsia" w:ascii="宋体" w:hAnsi="宋体"/>
          <w:sz w:val="24"/>
          <w:szCs w:val="24"/>
          <w:highlight w:val="none"/>
          <w:lang w:eastAsia="zh-CN"/>
        </w:rPr>
        <w:t>；</w:t>
      </w:r>
    </w:p>
    <w:p w14:paraId="3E2EC754">
      <w:pPr>
        <w:pStyle w:val="76"/>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.6</w:t>
      </w:r>
      <w:r>
        <w:rPr>
          <w:rFonts w:hint="eastAsia" w:ascii="宋体" w:hAnsi="宋体"/>
          <w:sz w:val="24"/>
          <w:szCs w:val="24"/>
          <w:highlight w:val="none"/>
        </w:rPr>
        <w:t>有关检验检测规范；</w:t>
      </w:r>
    </w:p>
    <w:p w14:paraId="33DA44D4">
      <w:pPr>
        <w:pStyle w:val="76"/>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.7</w:t>
      </w:r>
      <w:r>
        <w:rPr>
          <w:rFonts w:hint="eastAsia" w:ascii="宋体" w:hAnsi="宋体"/>
          <w:sz w:val="24"/>
          <w:szCs w:val="24"/>
          <w:highlight w:val="none"/>
        </w:rPr>
        <w:t>技术条件；</w:t>
      </w:r>
    </w:p>
    <w:p w14:paraId="7CAE0290">
      <w:pPr>
        <w:pStyle w:val="76"/>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.8</w:t>
      </w:r>
      <w:r>
        <w:rPr>
          <w:rFonts w:hint="eastAsia" w:ascii="宋体" w:hAnsi="宋体"/>
          <w:sz w:val="24"/>
          <w:szCs w:val="24"/>
          <w:highlight w:val="none"/>
        </w:rPr>
        <w:t>图纸；</w:t>
      </w:r>
    </w:p>
    <w:p w14:paraId="7D2B8E3F">
      <w:pPr>
        <w:pStyle w:val="76"/>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9已标价的工程量清单；</w:t>
      </w:r>
    </w:p>
    <w:p w14:paraId="465EB2E5">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9</w:t>
      </w:r>
      <w:r>
        <w:rPr>
          <w:rFonts w:ascii="宋体" w:hAnsi="宋体"/>
          <w:sz w:val="24"/>
          <w:highlight w:val="none"/>
        </w:rPr>
        <w:t>.10组成合同的其他文件。</w:t>
      </w:r>
    </w:p>
    <w:p w14:paraId="51C59C31">
      <w:pPr>
        <w:pStyle w:val="76"/>
        <w:adjustRightInd w:val="0"/>
        <w:snapToGrid w:val="0"/>
        <w:spacing w:line="360" w:lineRule="auto"/>
        <w:ind w:firstLine="482" w:firstLineChars="200"/>
        <w:rPr>
          <w:rFonts w:ascii="宋体" w:hAnsi="宋体"/>
          <w:b/>
          <w:sz w:val="24"/>
          <w:szCs w:val="24"/>
          <w:highlight w:val="none"/>
        </w:rPr>
      </w:pPr>
    </w:p>
    <w:p w14:paraId="427A5B60">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附件：</w:t>
      </w:r>
      <w:r>
        <w:rPr>
          <w:rFonts w:ascii="宋体" w:hAnsi="宋体"/>
          <w:sz w:val="24"/>
          <w:highlight w:val="none"/>
        </w:rPr>
        <w:t>1.</w:t>
      </w:r>
      <w:r>
        <w:rPr>
          <w:rFonts w:hint="eastAsia" w:ascii="宋体" w:hAnsi="宋体"/>
          <w:bCs/>
          <w:sz w:val="24"/>
          <w:highlight w:val="none"/>
        </w:rPr>
        <w:t>工程检验检测</w:t>
      </w:r>
      <w:r>
        <w:rPr>
          <w:rFonts w:hint="eastAsia"/>
          <w:bCs/>
          <w:sz w:val="24"/>
          <w:highlight w:val="none"/>
        </w:rPr>
        <w:t>项目</w:t>
      </w:r>
      <w:r>
        <w:rPr>
          <w:rFonts w:hint="eastAsia" w:ascii="宋体" w:hAnsi="宋体"/>
          <w:bCs/>
          <w:sz w:val="24"/>
          <w:highlight w:val="none"/>
        </w:rPr>
        <w:t>综合管理</w:t>
      </w:r>
      <w:r>
        <w:rPr>
          <w:rFonts w:hint="eastAsia"/>
          <w:bCs/>
          <w:sz w:val="24"/>
          <w:highlight w:val="none"/>
        </w:rPr>
        <w:t>规定</w:t>
      </w:r>
      <w:r>
        <w:rPr>
          <w:rFonts w:hint="eastAsia" w:ascii="宋体" w:hAnsi="宋体"/>
          <w:sz w:val="24"/>
          <w:highlight w:val="none"/>
        </w:rPr>
        <w:t>；</w:t>
      </w:r>
    </w:p>
    <w:p w14:paraId="7CFB0CE8">
      <w:pPr>
        <w:adjustRightInd w:val="0"/>
        <w:snapToGrid w:val="0"/>
        <w:spacing w:line="360" w:lineRule="auto"/>
        <w:ind w:firstLine="1200" w:firstLineChars="500"/>
        <w:rPr>
          <w:rFonts w:ascii="宋体" w:hAnsi="宋体"/>
          <w:sz w:val="24"/>
          <w:highlight w:val="none"/>
        </w:rPr>
      </w:pPr>
      <w:r>
        <w:rPr>
          <w:rFonts w:ascii="宋体" w:hAnsi="宋体"/>
          <w:sz w:val="24"/>
          <w:highlight w:val="none"/>
        </w:rPr>
        <w:t>2.廉政合同；</w:t>
      </w:r>
    </w:p>
    <w:p w14:paraId="63B1180E">
      <w:pPr>
        <w:adjustRightInd w:val="0"/>
        <w:snapToGrid w:val="0"/>
        <w:spacing w:line="360" w:lineRule="auto"/>
        <w:ind w:firstLine="1200" w:firstLineChars="500"/>
        <w:rPr>
          <w:rFonts w:ascii="宋体" w:hAnsi="宋体"/>
          <w:sz w:val="24"/>
          <w:highlight w:val="none"/>
        </w:rPr>
      </w:pPr>
      <w:r>
        <w:rPr>
          <w:rFonts w:ascii="宋体" w:hAnsi="宋体"/>
          <w:sz w:val="24"/>
          <w:highlight w:val="none"/>
        </w:rPr>
        <w:t>3.</w:t>
      </w:r>
      <w:r>
        <w:rPr>
          <w:rFonts w:hint="eastAsia" w:ascii="宋体" w:hAnsi="宋体"/>
          <w:sz w:val="24"/>
          <w:szCs w:val="24"/>
          <w:highlight w:val="none"/>
          <w:lang w:val="en-US" w:eastAsia="zh-CN"/>
        </w:rPr>
        <w:t>中标通知书</w:t>
      </w:r>
      <w:r>
        <w:rPr>
          <w:rFonts w:hint="eastAsia" w:ascii="宋体" w:hAnsi="宋体"/>
          <w:sz w:val="24"/>
          <w:highlight w:val="none"/>
        </w:rPr>
        <w:t>；</w:t>
      </w:r>
    </w:p>
    <w:p w14:paraId="4088DB7D">
      <w:pPr>
        <w:adjustRightInd w:val="0"/>
        <w:snapToGrid w:val="0"/>
        <w:spacing w:line="360" w:lineRule="auto"/>
        <w:ind w:firstLine="1200" w:firstLineChars="500"/>
        <w:rPr>
          <w:rFonts w:ascii="宋体" w:hAnsi="宋体"/>
          <w:sz w:val="24"/>
          <w:highlight w:val="none"/>
        </w:rPr>
      </w:pPr>
      <w:r>
        <w:rPr>
          <w:rFonts w:ascii="宋体" w:hAnsi="宋体"/>
          <w:sz w:val="24"/>
          <w:highlight w:val="none"/>
        </w:rPr>
        <w:t>4.工程量清单；</w:t>
      </w:r>
    </w:p>
    <w:p w14:paraId="1D2665AF">
      <w:pPr>
        <w:adjustRightInd w:val="0"/>
        <w:snapToGrid w:val="0"/>
        <w:spacing w:line="360" w:lineRule="auto"/>
        <w:ind w:firstLine="1200" w:firstLineChars="500"/>
        <w:rPr>
          <w:rFonts w:hint="eastAsia" w:ascii="宋体" w:hAnsi="宋体"/>
          <w:sz w:val="24"/>
          <w:highlight w:val="none"/>
          <w:lang w:eastAsia="zh-CN"/>
        </w:rPr>
      </w:pPr>
      <w:r>
        <w:rPr>
          <w:rFonts w:ascii="宋体" w:hAnsi="宋体"/>
          <w:sz w:val="24"/>
          <w:highlight w:val="none"/>
        </w:rPr>
        <w:t>5.</w:t>
      </w:r>
      <w:r>
        <w:rPr>
          <w:rFonts w:hint="eastAsia" w:ascii="宋体" w:hAnsi="宋体"/>
          <w:sz w:val="24"/>
          <w:highlight w:val="none"/>
          <w:lang w:eastAsia="zh-CN"/>
        </w:rPr>
        <w:t>第三方检测</w:t>
      </w:r>
      <w:r>
        <w:rPr>
          <w:rFonts w:hint="eastAsia" w:ascii="宋体" w:hAnsi="宋体"/>
          <w:sz w:val="24"/>
          <w:highlight w:val="none"/>
        </w:rPr>
        <w:t>人员架构表</w:t>
      </w:r>
      <w:r>
        <w:rPr>
          <w:rFonts w:hint="eastAsia" w:ascii="宋体" w:hAnsi="宋体"/>
          <w:sz w:val="24"/>
          <w:highlight w:val="none"/>
          <w:lang w:eastAsia="zh-CN"/>
        </w:rPr>
        <w:t>；</w:t>
      </w:r>
    </w:p>
    <w:p w14:paraId="702B6656">
      <w:pPr>
        <w:adjustRightInd w:val="0"/>
        <w:snapToGrid w:val="0"/>
        <w:spacing w:line="360" w:lineRule="auto"/>
        <w:ind w:firstLine="1200" w:firstLineChars="500"/>
        <w:rPr>
          <w:rFonts w:hint="eastAsia" w:ascii="宋体" w:hAnsi="宋体" w:eastAsia="宋体"/>
          <w:sz w:val="24"/>
          <w:highlight w:val="none"/>
          <w:lang w:eastAsia="zh-CN"/>
        </w:rPr>
      </w:pPr>
      <w:r>
        <w:rPr>
          <w:rFonts w:hint="eastAsia" w:ascii="宋体" w:hAnsi="宋体"/>
          <w:sz w:val="24"/>
          <w:highlight w:val="none"/>
          <w:lang w:val="en-US" w:eastAsia="zh-CN"/>
        </w:rPr>
        <w:t>6.履约担保</w:t>
      </w:r>
    </w:p>
    <w:p w14:paraId="4B1C7A43">
      <w:pPr>
        <w:pageBreakBefore/>
        <w:spacing w:line="440" w:lineRule="exact"/>
        <w:outlineLvl w:val="0"/>
        <w:rPr>
          <w:rFonts w:ascii="宋体" w:hAnsi="宋体"/>
          <w:b/>
          <w:bCs/>
          <w:sz w:val="24"/>
          <w:highlight w:val="none"/>
        </w:rPr>
      </w:pPr>
      <w:r>
        <w:rPr>
          <w:rFonts w:hint="eastAsia" w:ascii="宋体" w:hAnsi="宋体"/>
          <w:b/>
          <w:bCs/>
          <w:sz w:val="24"/>
          <w:highlight w:val="none"/>
        </w:rPr>
        <w:t>附件</w:t>
      </w:r>
      <w:r>
        <w:rPr>
          <w:rFonts w:ascii="宋体" w:hAnsi="宋体"/>
          <w:b/>
          <w:bCs/>
          <w:sz w:val="24"/>
          <w:highlight w:val="none"/>
        </w:rPr>
        <w:t>1</w:t>
      </w:r>
    </w:p>
    <w:p w14:paraId="65F0551F">
      <w:pPr>
        <w:pStyle w:val="76"/>
        <w:spacing w:line="360" w:lineRule="auto"/>
        <w:ind w:firstLine="200"/>
        <w:jc w:val="center"/>
        <w:rPr>
          <w:b/>
          <w:bCs/>
          <w:sz w:val="24"/>
          <w:szCs w:val="24"/>
          <w:highlight w:val="none"/>
        </w:rPr>
      </w:pPr>
      <w:r>
        <w:rPr>
          <w:rFonts w:hint="eastAsia" w:ascii="宋体" w:hAnsi="宋体"/>
          <w:b/>
          <w:bCs/>
          <w:sz w:val="24"/>
          <w:szCs w:val="24"/>
          <w:highlight w:val="none"/>
        </w:rPr>
        <w:t>工程检验检测</w:t>
      </w:r>
      <w:r>
        <w:rPr>
          <w:rFonts w:hint="eastAsia"/>
          <w:b/>
          <w:bCs/>
          <w:sz w:val="24"/>
          <w:szCs w:val="24"/>
          <w:highlight w:val="none"/>
        </w:rPr>
        <w:t>项目</w:t>
      </w:r>
      <w:r>
        <w:rPr>
          <w:rFonts w:hint="eastAsia" w:ascii="宋体" w:hAnsi="宋体"/>
          <w:b/>
          <w:bCs/>
          <w:sz w:val="24"/>
          <w:szCs w:val="24"/>
          <w:highlight w:val="none"/>
        </w:rPr>
        <w:t>综合管理</w:t>
      </w:r>
      <w:r>
        <w:rPr>
          <w:rFonts w:hint="eastAsia"/>
          <w:b/>
          <w:bCs/>
          <w:sz w:val="24"/>
          <w:szCs w:val="24"/>
          <w:highlight w:val="none"/>
        </w:rPr>
        <w:t>规定</w:t>
      </w:r>
    </w:p>
    <w:p w14:paraId="5DD8584C">
      <w:pPr>
        <w:pStyle w:val="76"/>
        <w:spacing w:line="360" w:lineRule="auto"/>
        <w:ind w:firstLine="200"/>
        <w:jc w:val="center"/>
        <w:rPr>
          <w:b/>
          <w:bCs/>
          <w:sz w:val="24"/>
          <w:szCs w:val="24"/>
          <w:highlight w:val="none"/>
        </w:rPr>
      </w:pPr>
    </w:p>
    <w:p w14:paraId="366ADE4A">
      <w:pPr>
        <w:pStyle w:val="76"/>
        <w:adjustRightInd w:val="0"/>
        <w:spacing w:line="360" w:lineRule="auto"/>
        <w:ind w:firstLine="482" w:firstLineChars="200"/>
        <w:rPr>
          <w:rFonts w:ascii="宋体" w:hAnsi="宋体"/>
          <w:b/>
          <w:bCs/>
          <w:sz w:val="24"/>
          <w:szCs w:val="24"/>
          <w:highlight w:val="none"/>
        </w:rPr>
      </w:pPr>
      <w:r>
        <w:rPr>
          <w:rFonts w:ascii="宋体" w:hAnsi="宋体"/>
          <w:b/>
          <w:bCs/>
          <w:sz w:val="24"/>
          <w:szCs w:val="24"/>
          <w:highlight w:val="none"/>
        </w:rPr>
        <w:t>1.关于人员配置和进场检测</w:t>
      </w:r>
    </w:p>
    <w:p w14:paraId="0924E53B">
      <w:pPr>
        <w:pStyle w:val="76"/>
        <w:adjustRightInd w:val="0"/>
        <w:spacing w:line="360" w:lineRule="auto"/>
        <w:ind w:firstLine="480" w:firstLineChars="200"/>
        <w:rPr>
          <w:rFonts w:ascii="宋体" w:hAnsi="宋体"/>
          <w:sz w:val="24"/>
          <w:szCs w:val="24"/>
          <w:highlight w:val="none"/>
        </w:rPr>
      </w:pPr>
      <w:r>
        <w:rPr>
          <w:rFonts w:ascii="宋体" w:hAnsi="宋体"/>
          <w:sz w:val="24"/>
          <w:szCs w:val="24"/>
          <w:highlight w:val="none"/>
        </w:rPr>
        <w:t>1.1</w:t>
      </w:r>
      <w:r>
        <w:rPr>
          <w:rFonts w:hint="eastAsia" w:ascii="宋体" w:hAnsi="宋体"/>
          <w:sz w:val="24"/>
          <w:szCs w:val="24"/>
          <w:highlight w:val="none"/>
          <w:lang w:val="en-US" w:eastAsia="zh-CN"/>
        </w:rPr>
        <w:t xml:space="preserve"> </w:t>
      </w:r>
      <w:r>
        <w:rPr>
          <w:rFonts w:ascii="宋体" w:hAnsi="宋体"/>
          <w:sz w:val="24"/>
          <w:szCs w:val="24"/>
          <w:highlight w:val="none"/>
        </w:rPr>
        <w:t>检测单位应在合同签署后，检测项目实施前将拟投入本工程的检验检测人员名册、资质证明、各人分管项目编制成册（附姓名、近期照片、身份证、手机号码），一式三份报甲方、乙方备案。以上管理人员姓名、近期照片、身份证、手机号码须上墙公布，随时接受检查。服务本工程的人员须与</w:t>
      </w:r>
      <w:r>
        <w:rPr>
          <w:rFonts w:hint="eastAsia" w:ascii="宋体" w:hAnsi="宋体"/>
          <w:sz w:val="24"/>
          <w:szCs w:val="24"/>
          <w:highlight w:val="none"/>
        </w:rPr>
        <w:t>附件</w:t>
      </w:r>
      <w:r>
        <w:rPr>
          <w:rFonts w:ascii="宋体" w:hAnsi="宋体"/>
          <w:sz w:val="24"/>
          <w:szCs w:val="24"/>
          <w:highlight w:val="none"/>
        </w:rPr>
        <w:t>5</w:t>
      </w:r>
      <w:r>
        <w:rPr>
          <w:rFonts w:hint="eastAsia" w:ascii="宋体" w:hAnsi="宋体"/>
          <w:sz w:val="24"/>
          <w:szCs w:val="24"/>
          <w:highlight w:val="none"/>
        </w:rPr>
        <w:t>承诺人员相符并随时接受乙方检查。</w:t>
      </w:r>
    </w:p>
    <w:p w14:paraId="66F27286">
      <w:pPr>
        <w:pStyle w:val="76"/>
        <w:adjustRightInd w:val="0"/>
        <w:spacing w:line="360" w:lineRule="auto"/>
        <w:ind w:firstLine="480" w:firstLineChars="200"/>
        <w:rPr>
          <w:rFonts w:ascii="宋体" w:hAnsi="宋体"/>
          <w:sz w:val="24"/>
          <w:szCs w:val="24"/>
          <w:highlight w:val="none"/>
        </w:rPr>
      </w:pPr>
      <w:r>
        <w:rPr>
          <w:rFonts w:hint="eastAsia" w:ascii="宋体" w:hAnsi="宋体"/>
          <w:sz w:val="24"/>
          <w:szCs w:val="24"/>
          <w:highlight w:val="none"/>
        </w:rPr>
        <w:t>若项目负责人（项目经理）与附件</w:t>
      </w:r>
      <w:r>
        <w:rPr>
          <w:rFonts w:ascii="宋体" w:hAnsi="宋体"/>
          <w:sz w:val="24"/>
          <w:szCs w:val="24"/>
          <w:highlight w:val="none"/>
        </w:rPr>
        <w:t>5不一致或每月要求参加会议累计未到</w:t>
      </w:r>
      <w:r>
        <w:rPr>
          <w:sz w:val="24"/>
          <w:szCs w:val="24"/>
          <w:highlight w:val="none"/>
        </w:rPr>
        <w:t>3</w:t>
      </w:r>
      <w:r>
        <w:rPr>
          <w:rFonts w:hint="eastAsia" w:ascii="宋体" w:hAnsi="宋体"/>
          <w:sz w:val="24"/>
          <w:szCs w:val="24"/>
          <w:highlight w:val="none"/>
        </w:rPr>
        <w:t>次（注：参加会议次数以出示身份证为准），乙方</w:t>
      </w:r>
      <w:r>
        <w:rPr>
          <w:rFonts w:hint="eastAsia"/>
          <w:sz w:val="24"/>
          <w:szCs w:val="24"/>
          <w:highlight w:val="none"/>
        </w:rPr>
        <w:t>有权按人民币</w:t>
      </w:r>
      <w:r>
        <w:rPr>
          <w:rFonts w:ascii="宋体" w:hAnsi="宋体"/>
          <w:sz w:val="24"/>
          <w:szCs w:val="24"/>
          <w:highlight w:val="none"/>
        </w:rPr>
        <w:t>1千</w:t>
      </w:r>
      <w:r>
        <w:rPr>
          <w:rFonts w:hint="eastAsia"/>
          <w:sz w:val="24"/>
          <w:szCs w:val="24"/>
          <w:highlight w:val="none"/>
        </w:rPr>
        <w:t>元每人次对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，并在当期进度款中扣减，且乙方保留向建设行政主管部门报告项目负责人不良行为（不能履约）以及请求停止检测单位年度备案权利</w:t>
      </w:r>
      <w:r>
        <w:rPr>
          <w:rFonts w:hint="eastAsia"/>
          <w:sz w:val="24"/>
          <w:szCs w:val="24"/>
          <w:highlight w:val="none"/>
        </w:rPr>
        <w:t>。</w:t>
      </w:r>
    </w:p>
    <w:p w14:paraId="2E5BD297">
      <w:pPr>
        <w:pStyle w:val="76"/>
        <w:adjustRightInd w:val="0"/>
        <w:spacing w:line="360" w:lineRule="auto"/>
        <w:ind w:firstLine="480" w:firstLineChars="200"/>
        <w:rPr>
          <w:rFonts w:ascii="宋体" w:hAnsi="宋体"/>
          <w:sz w:val="24"/>
          <w:szCs w:val="24"/>
          <w:highlight w:val="none"/>
        </w:rPr>
      </w:pPr>
      <w:r>
        <w:rPr>
          <w:rFonts w:hint="eastAsia" w:ascii="宋体" w:hAnsi="宋体"/>
          <w:sz w:val="24"/>
          <w:szCs w:val="24"/>
          <w:highlight w:val="none"/>
        </w:rPr>
        <w:t>若项目技术负责人（项目总工）与附件</w:t>
      </w:r>
      <w:r>
        <w:rPr>
          <w:rFonts w:ascii="宋体" w:hAnsi="宋体"/>
          <w:sz w:val="24"/>
          <w:szCs w:val="24"/>
          <w:highlight w:val="none"/>
        </w:rPr>
        <w:t>5</w:t>
      </w:r>
      <w:r>
        <w:rPr>
          <w:rFonts w:hint="eastAsia" w:ascii="宋体" w:hAnsi="宋体"/>
          <w:sz w:val="24"/>
          <w:szCs w:val="24"/>
          <w:highlight w:val="none"/>
        </w:rPr>
        <w:t>不一致或每月要求参加会议累计未到</w:t>
      </w:r>
      <w:r>
        <w:rPr>
          <w:sz w:val="24"/>
          <w:szCs w:val="24"/>
          <w:highlight w:val="none"/>
        </w:rPr>
        <w:t>3</w:t>
      </w:r>
      <w:r>
        <w:rPr>
          <w:rFonts w:hint="eastAsia" w:ascii="宋体" w:hAnsi="宋体"/>
          <w:sz w:val="24"/>
          <w:szCs w:val="24"/>
          <w:highlight w:val="none"/>
        </w:rPr>
        <w:t>次（注：参加会议次数以出示身份证为准），乙方</w:t>
      </w:r>
      <w:r>
        <w:rPr>
          <w:rFonts w:hint="eastAsia"/>
          <w:sz w:val="24"/>
          <w:szCs w:val="24"/>
          <w:highlight w:val="none"/>
        </w:rPr>
        <w:t>有权按人民币</w:t>
      </w:r>
      <w:r>
        <w:rPr>
          <w:rFonts w:ascii="宋体" w:hAnsi="宋体"/>
          <w:sz w:val="24"/>
          <w:szCs w:val="24"/>
          <w:highlight w:val="none"/>
        </w:rPr>
        <w:t>1万</w:t>
      </w:r>
      <w:r>
        <w:rPr>
          <w:rFonts w:hint="eastAsia"/>
          <w:sz w:val="24"/>
          <w:szCs w:val="24"/>
          <w:highlight w:val="none"/>
        </w:rPr>
        <w:t>元每人次对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w:t>
      </w:r>
      <w:r>
        <w:rPr>
          <w:rFonts w:hint="eastAsia"/>
          <w:sz w:val="24"/>
          <w:szCs w:val="24"/>
          <w:highlight w:val="none"/>
        </w:rPr>
        <w:t>。</w:t>
      </w:r>
    </w:p>
    <w:p w14:paraId="70697420">
      <w:pPr>
        <w:pStyle w:val="76"/>
        <w:adjustRightInd w:val="0"/>
        <w:spacing w:line="360" w:lineRule="auto"/>
        <w:ind w:firstLine="480" w:firstLineChars="200"/>
        <w:rPr>
          <w:rFonts w:ascii="宋体" w:hAnsi="宋体"/>
          <w:sz w:val="24"/>
          <w:szCs w:val="24"/>
          <w:highlight w:val="none"/>
        </w:rPr>
      </w:pPr>
      <w:r>
        <w:rPr>
          <w:rFonts w:ascii="宋体" w:hAnsi="宋体"/>
          <w:sz w:val="24"/>
          <w:szCs w:val="24"/>
          <w:highlight w:val="none"/>
        </w:rPr>
        <w:t>1.2</w:t>
      </w:r>
      <w:r>
        <w:rPr>
          <w:rFonts w:hint="eastAsia" w:ascii="宋体" w:hAnsi="宋体"/>
          <w:sz w:val="24"/>
          <w:szCs w:val="24"/>
          <w:highlight w:val="none"/>
          <w:lang w:val="en-US" w:eastAsia="zh-CN"/>
        </w:rPr>
        <w:t xml:space="preserve"> </w:t>
      </w:r>
      <w:r>
        <w:rPr>
          <w:rFonts w:ascii="宋体" w:hAnsi="宋体"/>
          <w:sz w:val="24"/>
          <w:szCs w:val="24"/>
          <w:highlight w:val="none"/>
        </w:rPr>
        <w:t>因特殊情况必须中途更换人员，检验检测单位须以书面形式说明原因</w:t>
      </w:r>
      <w:r>
        <w:rPr>
          <w:rFonts w:hint="eastAsia"/>
          <w:sz w:val="24"/>
          <w:szCs w:val="24"/>
          <w:highlight w:val="none"/>
        </w:rPr>
        <w:t>，</w:t>
      </w:r>
      <w:r>
        <w:rPr>
          <w:rFonts w:hint="eastAsia" w:ascii="宋体" w:hAnsi="宋体"/>
          <w:sz w:val="24"/>
          <w:szCs w:val="24"/>
          <w:highlight w:val="none"/>
        </w:rPr>
        <w:t>且替换人员资历不得低于被替换人员，</w:t>
      </w:r>
      <w:r>
        <w:rPr>
          <w:rFonts w:hint="eastAsia"/>
          <w:sz w:val="24"/>
          <w:szCs w:val="24"/>
          <w:highlight w:val="none"/>
        </w:rPr>
        <w:t>经甲方和乙方</w:t>
      </w:r>
      <w:r>
        <w:rPr>
          <w:rFonts w:hint="eastAsia" w:ascii="宋体" w:hAnsi="宋体"/>
          <w:sz w:val="24"/>
          <w:szCs w:val="24"/>
          <w:highlight w:val="none"/>
        </w:rPr>
        <w:t>审批同意后更换。如在未知会或未取得</w:t>
      </w:r>
      <w:r>
        <w:rPr>
          <w:rFonts w:hint="eastAsia"/>
          <w:sz w:val="24"/>
          <w:szCs w:val="24"/>
          <w:highlight w:val="none"/>
        </w:rPr>
        <w:t>甲方和乙方</w:t>
      </w:r>
      <w:r>
        <w:rPr>
          <w:rFonts w:hint="eastAsia" w:ascii="宋体" w:hAnsi="宋体"/>
          <w:sz w:val="24"/>
          <w:szCs w:val="24"/>
          <w:highlight w:val="none"/>
        </w:rPr>
        <w:t>批准的情况下，检测单位私自更换服务人员，一经查实，</w:t>
      </w:r>
      <w:r>
        <w:rPr>
          <w:rFonts w:hint="eastAsia"/>
          <w:sz w:val="24"/>
          <w:szCs w:val="24"/>
          <w:highlight w:val="none"/>
        </w:rPr>
        <w:t>乙方</w:t>
      </w:r>
      <w:r>
        <w:rPr>
          <w:rFonts w:hint="eastAsia" w:ascii="宋体" w:hAnsi="宋体"/>
          <w:sz w:val="24"/>
          <w:szCs w:val="24"/>
          <w:highlight w:val="none"/>
        </w:rPr>
        <w:t>有权按</w:t>
      </w:r>
      <w:r>
        <w:rPr>
          <w:rFonts w:hint="eastAsia"/>
          <w:sz w:val="24"/>
          <w:szCs w:val="24"/>
          <w:highlight w:val="none"/>
        </w:rPr>
        <w:t>人民币</w:t>
      </w:r>
      <w:r>
        <w:rPr>
          <w:rFonts w:ascii="宋体" w:hAnsi="宋体"/>
          <w:sz w:val="24"/>
          <w:szCs w:val="24"/>
          <w:highlight w:val="none"/>
        </w:rPr>
        <w:t>3万</w:t>
      </w:r>
      <w:r>
        <w:rPr>
          <w:rFonts w:hint="eastAsia"/>
          <w:sz w:val="24"/>
          <w:szCs w:val="24"/>
          <w:highlight w:val="none"/>
        </w:rPr>
        <w:t>元</w:t>
      </w:r>
      <w:r>
        <w:rPr>
          <w:rFonts w:hint="eastAsia" w:ascii="宋体" w:hAnsi="宋体"/>
          <w:sz w:val="24"/>
          <w:szCs w:val="24"/>
          <w:highlight w:val="none"/>
        </w:rPr>
        <w:t>每人次</w:t>
      </w:r>
      <w:r>
        <w:rPr>
          <w:rFonts w:hint="eastAsia"/>
          <w:sz w:val="24"/>
          <w:szCs w:val="24"/>
          <w:highlight w:val="none"/>
        </w:rPr>
        <w:t>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w:t>
      </w:r>
    </w:p>
    <w:p w14:paraId="4E71E486">
      <w:pPr>
        <w:pStyle w:val="76"/>
        <w:adjustRightInd w:val="0"/>
        <w:spacing w:line="360" w:lineRule="auto"/>
        <w:ind w:firstLine="480" w:firstLineChars="200"/>
        <w:rPr>
          <w:rFonts w:ascii="宋体" w:hAnsi="宋体"/>
          <w:sz w:val="24"/>
          <w:szCs w:val="24"/>
          <w:highlight w:val="none"/>
        </w:rPr>
      </w:pPr>
      <w:r>
        <w:rPr>
          <w:rFonts w:ascii="宋体" w:hAnsi="宋体"/>
          <w:sz w:val="24"/>
          <w:szCs w:val="24"/>
          <w:highlight w:val="none"/>
        </w:rPr>
        <w:t>1.3</w:t>
      </w:r>
      <w:r>
        <w:rPr>
          <w:rFonts w:hint="eastAsia" w:ascii="宋体" w:hAnsi="宋体"/>
          <w:sz w:val="24"/>
          <w:szCs w:val="24"/>
          <w:highlight w:val="none"/>
          <w:lang w:val="en-US" w:eastAsia="zh-CN"/>
        </w:rPr>
        <w:t xml:space="preserve"> </w:t>
      </w:r>
      <w:r>
        <w:rPr>
          <w:rFonts w:hint="eastAsia" w:ascii="宋体" w:hAnsi="宋体"/>
          <w:sz w:val="24"/>
          <w:szCs w:val="24"/>
          <w:highlight w:val="none"/>
        </w:rPr>
        <w:t>检验检测服务人员进入施工现场必须佩戴胸卡以备检查。同时应穿戴相应的安全防护用品，服从施工现场的安全管理。</w:t>
      </w:r>
    </w:p>
    <w:p w14:paraId="4014435E">
      <w:pPr>
        <w:pStyle w:val="76"/>
        <w:adjustRightInd w:val="0"/>
        <w:spacing w:line="360" w:lineRule="auto"/>
        <w:ind w:firstLine="482" w:firstLineChars="200"/>
        <w:rPr>
          <w:rFonts w:ascii="宋体" w:hAnsi="宋体"/>
          <w:b/>
          <w:bCs/>
          <w:sz w:val="24"/>
          <w:szCs w:val="24"/>
          <w:highlight w:val="none"/>
        </w:rPr>
      </w:pPr>
      <w:r>
        <w:rPr>
          <w:rFonts w:ascii="宋体" w:hAnsi="宋体"/>
          <w:b/>
          <w:bCs/>
          <w:sz w:val="24"/>
          <w:szCs w:val="24"/>
          <w:highlight w:val="none"/>
        </w:rPr>
        <w:t>2.关于检测的实施</w:t>
      </w:r>
    </w:p>
    <w:p w14:paraId="705D2AB5">
      <w:pPr>
        <w:pStyle w:val="76"/>
        <w:adjustRightInd w:val="0"/>
        <w:spacing w:line="360" w:lineRule="auto"/>
        <w:ind w:firstLine="480" w:firstLineChars="20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lang w:val="en-US" w:eastAsia="zh-CN"/>
        </w:rPr>
        <w:t>.</w:t>
      </w:r>
      <w:r>
        <w:rPr>
          <w:rFonts w:ascii="宋体" w:hAnsi="宋体"/>
          <w:sz w:val="24"/>
          <w:szCs w:val="24"/>
          <w:highlight w:val="none"/>
        </w:rPr>
        <w:t>1</w:t>
      </w:r>
      <w:r>
        <w:rPr>
          <w:rFonts w:hint="eastAsia" w:ascii="宋体" w:hAnsi="宋体"/>
          <w:sz w:val="24"/>
          <w:szCs w:val="24"/>
          <w:highlight w:val="none"/>
          <w:lang w:val="en-US" w:eastAsia="zh-CN"/>
        </w:rPr>
        <w:t xml:space="preserve"> </w:t>
      </w:r>
      <w:r>
        <w:rPr>
          <w:rFonts w:ascii="宋体" w:hAnsi="宋体"/>
          <w:sz w:val="24"/>
          <w:szCs w:val="24"/>
          <w:highlight w:val="none"/>
        </w:rPr>
        <w:t>甲、乙方有义务也有责任要求施工单位为检验检测单位提供相对良好的现场检测环境，如：便利的进出场道路，安全的检测场地、相关的技术资料。</w:t>
      </w:r>
    </w:p>
    <w:p w14:paraId="1B071F46">
      <w:pPr>
        <w:pStyle w:val="76"/>
        <w:adjustRightInd w:val="0"/>
        <w:spacing w:line="360" w:lineRule="auto"/>
        <w:ind w:firstLine="480" w:firstLineChars="20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lang w:val="en-US" w:eastAsia="zh-CN"/>
        </w:rPr>
        <w:t>.</w:t>
      </w:r>
      <w:r>
        <w:rPr>
          <w:rFonts w:ascii="宋体" w:hAnsi="宋体"/>
          <w:sz w:val="24"/>
          <w:szCs w:val="24"/>
          <w:highlight w:val="none"/>
        </w:rPr>
        <w:t>2</w:t>
      </w:r>
      <w:r>
        <w:rPr>
          <w:rFonts w:hint="eastAsia" w:ascii="宋体" w:hAnsi="宋体"/>
          <w:sz w:val="24"/>
          <w:szCs w:val="24"/>
          <w:highlight w:val="none"/>
          <w:lang w:val="en-US" w:eastAsia="zh-CN"/>
        </w:rPr>
        <w:t xml:space="preserve"> </w:t>
      </w:r>
      <w:r>
        <w:rPr>
          <w:rFonts w:ascii="宋体" w:hAnsi="宋体"/>
          <w:sz w:val="24"/>
          <w:szCs w:val="24"/>
          <w:highlight w:val="none"/>
        </w:rPr>
        <w:t>检验检测单位不得以任何形式要求施工单位无偿完成本属于检验检测费用包括的某些前期准备工作。如确需施工单位配合提供人力、材料、设备的，应知会甲方、乙方，并且施工单位的配合措施应是代价合理的有偿服务，如检验检测单位违反本条规定，</w:t>
      </w:r>
      <w:r>
        <w:rPr>
          <w:rFonts w:hint="eastAsia"/>
          <w:sz w:val="24"/>
          <w:szCs w:val="24"/>
          <w:highlight w:val="none"/>
        </w:rPr>
        <w:t>甲方</w:t>
      </w:r>
      <w:r>
        <w:rPr>
          <w:rFonts w:hint="eastAsia" w:ascii="宋体" w:hAnsi="宋体"/>
          <w:sz w:val="24"/>
          <w:szCs w:val="24"/>
          <w:highlight w:val="none"/>
        </w:rPr>
        <w:t>有权扣除该次该项全部服务费用，且有权从检测单位所得检测费用中支付给施工单位作为补偿。</w:t>
      </w:r>
    </w:p>
    <w:p w14:paraId="11E1AF51">
      <w:pPr>
        <w:pStyle w:val="76"/>
        <w:adjustRightInd w:val="0"/>
        <w:spacing w:line="360" w:lineRule="auto"/>
        <w:ind w:firstLine="480" w:firstLineChars="20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lang w:val="en-US" w:eastAsia="zh-CN"/>
        </w:rPr>
        <w:t>.</w:t>
      </w:r>
      <w:r>
        <w:rPr>
          <w:rFonts w:ascii="宋体" w:hAnsi="宋体"/>
          <w:sz w:val="24"/>
          <w:szCs w:val="24"/>
          <w:highlight w:val="none"/>
        </w:rPr>
        <w:t>3</w:t>
      </w:r>
      <w:r>
        <w:rPr>
          <w:rFonts w:hint="eastAsia" w:ascii="宋体" w:hAnsi="宋体"/>
          <w:sz w:val="24"/>
          <w:szCs w:val="24"/>
          <w:highlight w:val="none"/>
          <w:lang w:val="en-US" w:eastAsia="zh-CN"/>
        </w:rPr>
        <w:t xml:space="preserve"> </w:t>
      </w:r>
      <w:r>
        <w:rPr>
          <w:rFonts w:ascii="宋体" w:hAnsi="宋体"/>
          <w:sz w:val="24"/>
          <w:szCs w:val="24"/>
          <w:highlight w:val="none"/>
        </w:rPr>
        <w:t>检测单位须按照</w:t>
      </w:r>
      <w:r>
        <w:rPr>
          <w:rFonts w:hint="eastAsia"/>
          <w:sz w:val="24"/>
          <w:szCs w:val="24"/>
          <w:highlight w:val="none"/>
        </w:rPr>
        <w:t>甲、乙方</w:t>
      </w:r>
      <w:r>
        <w:rPr>
          <w:rFonts w:hint="eastAsia" w:ascii="宋体" w:hAnsi="宋体"/>
          <w:sz w:val="24"/>
          <w:szCs w:val="24"/>
          <w:highlight w:val="none"/>
        </w:rPr>
        <w:t>指定的时间内及时、有效地完成相应检测任务。如属人员、设备、材料等投入不足等原因导致迟滞工程进度的，</w:t>
      </w:r>
      <w:r>
        <w:rPr>
          <w:rFonts w:hint="eastAsia"/>
          <w:sz w:val="24"/>
          <w:szCs w:val="24"/>
          <w:highlight w:val="none"/>
        </w:rPr>
        <w:t>甲、乙方</w:t>
      </w:r>
      <w:r>
        <w:rPr>
          <w:rFonts w:hint="eastAsia" w:ascii="宋体" w:hAnsi="宋体"/>
          <w:sz w:val="24"/>
          <w:szCs w:val="24"/>
          <w:highlight w:val="none"/>
        </w:rPr>
        <w:t>有权另行委托具有同等资质条件的检测单位实施剩余检测工作，发生费用在合同款内扣除抵付。</w:t>
      </w:r>
    </w:p>
    <w:p w14:paraId="399A9EF9">
      <w:pPr>
        <w:pStyle w:val="76"/>
        <w:adjustRightInd w:val="0"/>
        <w:spacing w:line="360" w:lineRule="auto"/>
        <w:ind w:firstLine="482" w:firstLineChars="200"/>
        <w:rPr>
          <w:rFonts w:ascii="宋体" w:hAnsi="宋体"/>
          <w:b/>
          <w:bCs/>
          <w:sz w:val="24"/>
          <w:szCs w:val="24"/>
          <w:highlight w:val="none"/>
        </w:rPr>
      </w:pPr>
      <w:r>
        <w:rPr>
          <w:rFonts w:ascii="宋体" w:hAnsi="宋体"/>
          <w:b/>
          <w:bCs/>
          <w:sz w:val="24"/>
          <w:szCs w:val="24"/>
          <w:highlight w:val="none"/>
        </w:rPr>
        <w:t>3.关于检测报告的提交和真实性</w:t>
      </w:r>
    </w:p>
    <w:p w14:paraId="140FF3D6">
      <w:pPr>
        <w:pStyle w:val="76"/>
        <w:adjustRightInd w:val="0"/>
        <w:spacing w:line="360" w:lineRule="auto"/>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lang w:val="en-US" w:eastAsia="zh-CN"/>
        </w:rPr>
        <w:t>.</w:t>
      </w:r>
      <w:r>
        <w:rPr>
          <w:rFonts w:ascii="宋体" w:hAnsi="宋体"/>
          <w:sz w:val="24"/>
          <w:szCs w:val="24"/>
          <w:highlight w:val="none"/>
        </w:rPr>
        <w:t>1</w:t>
      </w:r>
      <w:r>
        <w:rPr>
          <w:rFonts w:hint="eastAsia" w:ascii="宋体" w:hAnsi="宋体"/>
          <w:sz w:val="24"/>
          <w:szCs w:val="24"/>
          <w:highlight w:val="none"/>
          <w:lang w:val="en-US" w:eastAsia="zh-CN"/>
        </w:rPr>
        <w:t xml:space="preserve"> </w:t>
      </w:r>
      <w:r>
        <w:rPr>
          <w:rFonts w:ascii="宋体" w:hAnsi="宋体"/>
          <w:sz w:val="24"/>
          <w:szCs w:val="24"/>
          <w:highlight w:val="none"/>
        </w:rPr>
        <w:t>检测单位应按合同条款中相关规定及时提交检测结果或检验报告给乙方签验。如因不能及时提交检测成果而导致工程后续工作或中间验收不能及时进行，</w:t>
      </w:r>
      <w:r>
        <w:rPr>
          <w:rFonts w:hint="eastAsia"/>
          <w:sz w:val="24"/>
          <w:szCs w:val="24"/>
          <w:highlight w:val="none"/>
        </w:rPr>
        <w:t>甲、乙方</w:t>
      </w:r>
      <w:r>
        <w:rPr>
          <w:rFonts w:hint="eastAsia" w:ascii="宋体" w:hAnsi="宋体"/>
          <w:sz w:val="24"/>
          <w:szCs w:val="24"/>
          <w:highlight w:val="none"/>
        </w:rPr>
        <w:t>有权按</w:t>
      </w:r>
      <w:r>
        <w:rPr>
          <w:rFonts w:ascii="宋体" w:hAnsi="宋体"/>
          <w:sz w:val="24"/>
          <w:szCs w:val="24"/>
          <w:highlight w:val="none"/>
        </w:rPr>
        <w:t>3万元每次进行处罚并保留向建设行政主管部门报告其不良行为的权利。</w:t>
      </w:r>
    </w:p>
    <w:p w14:paraId="1D91CDB0">
      <w:pPr>
        <w:pStyle w:val="76"/>
        <w:adjustRightInd w:val="0"/>
        <w:spacing w:line="360" w:lineRule="auto"/>
        <w:ind w:firstLine="480" w:firstLineChars="200"/>
        <w:rPr>
          <w:rFonts w:ascii="宋体" w:hAnsi="宋体"/>
          <w:sz w:val="24"/>
          <w:szCs w:val="24"/>
          <w:highlight w:val="none"/>
        </w:rPr>
      </w:pPr>
      <w:r>
        <w:rPr>
          <w:rFonts w:ascii="宋体" w:hAnsi="宋体"/>
          <w:sz w:val="24"/>
          <w:highlight w:val="none"/>
        </w:rPr>
        <w:t>3</w:t>
      </w:r>
      <w:r>
        <w:rPr>
          <w:rFonts w:hint="eastAsia" w:ascii="宋体" w:hAnsi="宋体"/>
          <w:sz w:val="24"/>
          <w:highlight w:val="none"/>
          <w:lang w:val="en-US" w:eastAsia="zh-CN"/>
        </w:rPr>
        <w:t>.</w:t>
      </w:r>
      <w:r>
        <w:rPr>
          <w:rFonts w:ascii="宋体" w:hAnsi="宋体"/>
          <w:sz w:val="24"/>
          <w:highlight w:val="none"/>
        </w:rPr>
        <w:t>2</w:t>
      </w:r>
      <w:r>
        <w:rPr>
          <w:rFonts w:hint="eastAsia" w:ascii="宋体" w:hAnsi="宋体"/>
          <w:sz w:val="24"/>
          <w:highlight w:val="none"/>
          <w:lang w:val="en-US" w:eastAsia="zh-CN"/>
        </w:rPr>
        <w:t xml:space="preserve"> </w:t>
      </w:r>
      <w:r>
        <w:rPr>
          <w:rFonts w:ascii="宋体" w:hAnsi="宋体"/>
          <w:sz w:val="24"/>
          <w:highlight w:val="none"/>
        </w:rPr>
        <w:t>检测单位须向</w:t>
      </w:r>
      <w:r>
        <w:rPr>
          <w:rFonts w:hint="eastAsia"/>
          <w:sz w:val="24"/>
          <w:highlight w:val="none"/>
        </w:rPr>
        <w:t>甲、乙方</w:t>
      </w:r>
      <w:r>
        <w:rPr>
          <w:rFonts w:hint="eastAsia" w:ascii="宋体" w:hAnsi="宋体"/>
          <w:sz w:val="24"/>
          <w:highlight w:val="none"/>
        </w:rPr>
        <w:t>提交完整书面检测报告，否则</w:t>
      </w:r>
      <w:r>
        <w:rPr>
          <w:rFonts w:hint="eastAsia"/>
          <w:sz w:val="24"/>
          <w:highlight w:val="none"/>
        </w:rPr>
        <w:t>甲方</w:t>
      </w:r>
      <w:r>
        <w:rPr>
          <w:rFonts w:hint="eastAsia" w:ascii="宋体" w:hAnsi="宋体"/>
          <w:sz w:val="24"/>
          <w:highlight w:val="none"/>
        </w:rPr>
        <w:t>有权不支付检测费</w:t>
      </w:r>
    </w:p>
    <w:p w14:paraId="486CB920">
      <w:pPr>
        <w:pStyle w:val="76"/>
        <w:adjustRightInd w:val="0"/>
        <w:spacing w:line="360" w:lineRule="auto"/>
        <w:ind w:firstLine="480" w:firstLineChars="200"/>
        <w:rPr>
          <w:highlight w:val="none"/>
        </w:rPr>
      </w:pPr>
      <w:r>
        <w:rPr>
          <w:rFonts w:ascii="宋体" w:hAnsi="宋体"/>
          <w:sz w:val="24"/>
          <w:highlight w:val="none"/>
        </w:rPr>
        <w:t>3</w:t>
      </w:r>
      <w:r>
        <w:rPr>
          <w:rFonts w:hint="eastAsia" w:ascii="宋体" w:hAnsi="宋体"/>
          <w:sz w:val="24"/>
          <w:highlight w:val="none"/>
          <w:lang w:val="en-US" w:eastAsia="zh-CN"/>
        </w:rPr>
        <w:t>.</w:t>
      </w:r>
      <w:r>
        <w:rPr>
          <w:rFonts w:ascii="宋体" w:hAnsi="宋体"/>
          <w:sz w:val="24"/>
          <w:highlight w:val="none"/>
        </w:rPr>
        <w:t>3</w:t>
      </w:r>
      <w:r>
        <w:rPr>
          <w:rFonts w:hint="eastAsia" w:ascii="宋体" w:hAnsi="宋体"/>
          <w:sz w:val="24"/>
          <w:highlight w:val="none"/>
          <w:lang w:val="en-US" w:eastAsia="zh-CN"/>
        </w:rPr>
        <w:t xml:space="preserve"> </w:t>
      </w:r>
      <w:r>
        <w:rPr>
          <w:rFonts w:hint="eastAsia" w:ascii="宋体" w:hAnsi="宋体"/>
          <w:sz w:val="24"/>
          <w:highlight w:val="none"/>
        </w:rPr>
        <w:t>检测单位提交的检验报告必须真实、有效。如有弄虚作假行为，一经查实，</w:t>
      </w:r>
      <w:r>
        <w:rPr>
          <w:rFonts w:hint="eastAsia"/>
          <w:sz w:val="24"/>
          <w:highlight w:val="none"/>
        </w:rPr>
        <w:t>甲、乙方</w:t>
      </w:r>
      <w:r>
        <w:rPr>
          <w:rFonts w:hint="eastAsia" w:ascii="宋体" w:hAnsi="宋体"/>
          <w:sz w:val="24"/>
          <w:highlight w:val="none"/>
        </w:rPr>
        <w:t>将有权单方面解除合同，所完工作不予确认，并保留上报建设行政主管部门取消检测单位资质的权利。</w:t>
      </w:r>
    </w:p>
    <w:p w14:paraId="0496C374">
      <w:pPr>
        <w:pageBreakBefore/>
        <w:spacing w:line="440" w:lineRule="exact"/>
        <w:outlineLvl w:val="0"/>
        <w:rPr>
          <w:rFonts w:ascii="宋体" w:hAnsi="宋体"/>
          <w:b/>
          <w:bCs/>
          <w:sz w:val="24"/>
          <w:highlight w:val="none"/>
        </w:rPr>
      </w:pPr>
      <w:r>
        <w:rPr>
          <w:rFonts w:hint="eastAsia" w:ascii="宋体" w:hAnsi="宋体"/>
          <w:b/>
          <w:bCs/>
          <w:sz w:val="24"/>
          <w:highlight w:val="none"/>
        </w:rPr>
        <w:t>附件</w:t>
      </w:r>
      <w:r>
        <w:rPr>
          <w:rFonts w:ascii="宋体" w:hAnsi="宋体"/>
          <w:b/>
          <w:bCs/>
          <w:sz w:val="24"/>
          <w:highlight w:val="none"/>
        </w:rPr>
        <w:t>2</w:t>
      </w:r>
    </w:p>
    <w:p w14:paraId="59AE4428">
      <w:pPr>
        <w:snapToGrid w:val="0"/>
        <w:spacing w:before="0" w:beforeLines="0" w:after="0" w:afterLines="0" w:line="480" w:lineRule="auto"/>
        <w:jc w:val="center"/>
        <w:outlineLvl w:val="1"/>
        <w:rPr>
          <w:rFonts w:ascii="宋体" w:hAnsi="宋体"/>
          <w:b/>
          <w:sz w:val="32"/>
          <w:szCs w:val="32"/>
          <w:highlight w:val="none"/>
        </w:rPr>
      </w:pPr>
      <w:r>
        <w:rPr>
          <w:rFonts w:hint="eastAsia" w:ascii="宋体" w:hAnsi="宋体"/>
          <w:b/>
          <w:sz w:val="32"/>
          <w:szCs w:val="32"/>
          <w:highlight w:val="none"/>
        </w:rPr>
        <w:t>廉政合同</w:t>
      </w:r>
    </w:p>
    <w:p w14:paraId="5E69DE84">
      <w:pPr>
        <w:snapToGrid w:val="0"/>
        <w:spacing w:line="360" w:lineRule="auto"/>
        <w:ind w:firstLine="482" w:firstLineChars="200"/>
        <w:rPr>
          <w:rFonts w:ascii="宋体" w:hAnsi="宋体"/>
          <w:b/>
          <w:sz w:val="24"/>
          <w:highlight w:val="none"/>
          <w:u w:val="single"/>
        </w:rPr>
      </w:pPr>
      <w:r>
        <w:rPr>
          <w:rFonts w:hint="eastAsia" w:ascii="宋体" w:hAnsi="宋体"/>
          <w:b/>
          <w:sz w:val="24"/>
          <w:highlight w:val="none"/>
        </w:rPr>
        <w:t>建设单位（甲方）：</w:t>
      </w:r>
      <w:r>
        <w:rPr>
          <w:rFonts w:hint="eastAsia" w:ascii="宋体" w:hAnsi="宋体"/>
          <w:b/>
          <w:sz w:val="24"/>
          <w:highlight w:val="none"/>
          <w:u w:val="single"/>
          <w:lang w:eastAsia="zh-CN"/>
        </w:rPr>
        <w:t>广州市白云区江高镇人民政府</w:t>
      </w:r>
      <w:r>
        <w:rPr>
          <w:rFonts w:ascii="宋体" w:hAnsi="宋体"/>
          <w:b/>
          <w:sz w:val="24"/>
          <w:highlight w:val="none"/>
          <w:u w:val="single"/>
        </w:rPr>
        <w:t xml:space="preserve">                       </w:t>
      </w:r>
      <w:r>
        <w:rPr>
          <w:rFonts w:hint="eastAsia" w:ascii="宋体" w:hAnsi="宋体"/>
          <w:b/>
          <w:sz w:val="24"/>
          <w:highlight w:val="none"/>
          <w:u w:val="single"/>
          <w:lang w:val="en-US" w:eastAsia="zh-CN"/>
        </w:rPr>
        <w:t xml:space="preserve">                     </w:t>
      </w:r>
      <w:r>
        <w:rPr>
          <w:rFonts w:ascii="宋体" w:hAnsi="宋体"/>
          <w:b/>
          <w:sz w:val="24"/>
          <w:highlight w:val="none"/>
          <w:u w:val="single"/>
        </w:rPr>
        <w:t xml:space="preserve">      </w:t>
      </w:r>
    </w:p>
    <w:p w14:paraId="40458502">
      <w:pPr>
        <w:snapToGrid w:val="0"/>
        <w:spacing w:line="360" w:lineRule="auto"/>
        <w:ind w:firstLine="482" w:firstLineChars="200"/>
        <w:rPr>
          <w:rFonts w:ascii="宋体" w:hAnsi="宋体"/>
          <w:b/>
          <w:sz w:val="24"/>
          <w:highlight w:val="none"/>
          <w:u w:val="single"/>
        </w:rPr>
      </w:pPr>
      <w:r>
        <w:rPr>
          <w:rFonts w:hint="eastAsia" w:ascii="宋体" w:hAnsi="宋体"/>
          <w:b/>
          <w:sz w:val="24"/>
          <w:highlight w:val="none"/>
        </w:rPr>
        <w:t>工程建设管理单位（乙方）：</w:t>
      </w:r>
      <w:r>
        <w:rPr>
          <w:rFonts w:hint="eastAsia" w:ascii="宋体" w:hAnsi="宋体"/>
          <w:b/>
          <w:sz w:val="24"/>
          <w:highlight w:val="none"/>
          <w:u w:val="single"/>
        </w:rPr>
        <w:t>广州市白云</w:t>
      </w:r>
      <w:r>
        <w:rPr>
          <w:rFonts w:hint="eastAsia" w:ascii="宋体" w:hAnsi="宋体"/>
          <w:b/>
          <w:sz w:val="24"/>
          <w:highlight w:val="none"/>
          <w:u w:val="single"/>
          <w:lang w:eastAsia="zh-CN"/>
        </w:rPr>
        <w:t>城市建设投资</w:t>
      </w:r>
      <w:r>
        <w:rPr>
          <w:rFonts w:hint="eastAsia" w:ascii="宋体" w:hAnsi="宋体"/>
          <w:b/>
          <w:sz w:val="24"/>
          <w:highlight w:val="none"/>
          <w:u w:val="single"/>
        </w:rPr>
        <w:t>有限公司</w:t>
      </w:r>
      <w:r>
        <w:rPr>
          <w:rFonts w:ascii="宋体" w:hAnsi="宋体"/>
          <w:b/>
          <w:sz w:val="24"/>
          <w:highlight w:val="none"/>
          <w:u w:val="single"/>
        </w:rPr>
        <w:t xml:space="preserve">                   </w:t>
      </w:r>
    </w:p>
    <w:p w14:paraId="0F7378A8">
      <w:pPr>
        <w:snapToGrid w:val="0"/>
        <w:spacing w:line="360" w:lineRule="auto"/>
        <w:ind w:firstLine="479" w:firstLineChars="199"/>
        <w:rPr>
          <w:rFonts w:ascii="宋体" w:hAnsi="宋体"/>
          <w:b/>
          <w:sz w:val="24"/>
          <w:highlight w:val="none"/>
          <w:u w:val="single"/>
        </w:rPr>
      </w:pPr>
      <w:r>
        <w:rPr>
          <w:rFonts w:hint="eastAsia" w:ascii="宋体" w:hAnsi="宋体"/>
          <w:b/>
          <w:sz w:val="24"/>
          <w:highlight w:val="none"/>
        </w:rPr>
        <w:t>检测单位（丙方）：</w:t>
      </w:r>
      <w:r>
        <w:rPr>
          <w:rFonts w:hint="eastAsia" w:ascii="宋体" w:hAnsi="宋体"/>
          <w:b/>
          <w:sz w:val="24"/>
          <w:highlight w:val="none"/>
          <w:u w:val="single"/>
          <w:lang w:eastAsia="zh-CN"/>
        </w:rPr>
        <w:t xml:space="preserve">        </w:t>
      </w:r>
      <w:r>
        <w:rPr>
          <w:rFonts w:ascii="宋体" w:hAnsi="宋体"/>
          <w:b/>
          <w:sz w:val="24"/>
          <w:highlight w:val="none"/>
          <w:u w:val="single"/>
        </w:rPr>
        <w:t xml:space="preserve">                 </w:t>
      </w:r>
      <w:r>
        <w:rPr>
          <w:rFonts w:hint="eastAsia" w:ascii="宋体" w:hAnsi="宋体"/>
          <w:b/>
          <w:sz w:val="24"/>
          <w:highlight w:val="none"/>
          <w:u w:val="single"/>
          <w:lang w:val="en-US" w:eastAsia="zh-CN"/>
        </w:rPr>
        <w:t xml:space="preserve">                          </w:t>
      </w:r>
      <w:r>
        <w:rPr>
          <w:rFonts w:ascii="宋体" w:hAnsi="宋体"/>
          <w:b/>
          <w:sz w:val="24"/>
          <w:highlight w:val="none"/>
          <w:u w:val="single"/>
        </w:rPr>
        <w:t xml:space="preserve">       </w:t>
      </w:r>
    </w:p>
    <w:p w14:paraId="40CD7BB2">
      <w:pPr>
        <w:adjustRightInd w:val="0"/>
        <w:snapToGrid w:val="0"/>
        <w:spacing w:line="360" w:lineRule="auto"/>
        <w:ind w:firstLine="480" w:firstLineChars="200"/>
        <w:rPr>
          <w:rFonts w:ascii="宋体"/>
          <w:sz w:val="24"/>
          <w:highlight w:val="none"/>
        </w:rPr>
      </w:pPr>
      <w:r>
        <w:rPr>
          <w:rFonts w:hint="eastAsia" w:ascii="宋体" w:hAnsi="宋体"/>
          <w:sz w:val="24"/>
          <w:highlight w:val="none"/>
        </w:rPr>
        <w:t>根据国家、省工程建设和廉政建设的有关规定，为做好合同工程的廉政建设，保证工程质量与施工安全，提高建设资金的有效使用和投资效益，甲方、乙方和检测单位就加强合同工程的廉政建设，订立本合同。</w:t>
      </w:r>
    </w:p>
    <w:p w14:paraId="624AA999">
      <w:pPr>
        <w:adjustRightInd w:val="0"/>
        <w:snapToGrid w:val="0"/>
        <w:spacing w:line="360" w:lineRule="auto"/>
        <w:ind w:firstLine="480" w:firstLineChars="200"/>
        <w:outlineLvl w:val="1"/>
        <w:rPr>
          <w:rFonts w:ascii="宋体"/>
          <w:bCs/>
          <w:sz w:val="24"/>
          <w:highlight w:val="none"/>
        </w:rPr>
      </w:pPr>
      <w:r>
        <w:rPr>
          <w:rFonts w:ascii="宋体" w:hAnsi="宋体"/>
          <w:bCs/>
          <w:sz w:val="24"/>
          <w:highlight w:val="none"/>
        </w:rPr>
        <w:t xml:space="preserve">1 </w:t>
      </w:r>
      <w:r>
        <w:rPr>
          <w:rFonts w:hint="eastAsia" w:ascii="宋体" w:hAnsi="宋体"/>
          <w:bCs/>
          <w:sz w:val="24"/>
          <w:highlight w:val="none"/>
        </w:rPr>
        <w:t>三方权利和义务</w:t>
      </w:r>
    </w:p>
    <w:p w14:paraId="48AE844B">
      <w:pPr>
        <w:adjustRightInd w:val="0"/>
        <w:snapToGrid w:val="0"/>
        <w:spacing w:line="360" w:lineRule="auto"/>
        <w:ind w:firstLine="480" w:firstLineChars="200"/>
        <w:rPr>
          <w:rFonts w:ascii="宋体"/>
          <w:sz w:val="24"/>
          <w:highlight w:val="none"/>
        </w:rPr>
      </w:pPr>
      <w:r>
        <w:rPr>
          <w:rFonts w:ascii="宋体" w:hAnsi="宋体"/>
          <w:sz w:val="24"/>
          <w:highlight w:val="none"/>
        </w:rPr>
        <w:t xml:space="preserve">1.1 </w:t>
      </w:r>
      <w:r>
        <w:rPr>
          <w:rFonts w:hint="eastAsia" w:ascii="宋体" w:hAnsi="宋体"/>
          <w:sz w:val="24"/>
          <w:highlight w:val="none"/>
        </w:rPr>
        <w:t>严格遵守国家有关法律法规的规定。</w:t>
      </w:r>
    </w:p>
    <w:p w14:paraId="475CE496">
      <w:pPr>
        <w:adjustRightInd w:val="0"/>
        <w:snapToGrid w:val="0"/>
        <w:spacing w:line="360" w:lineRule="auto"/>
        <w:ind w:firstLine="480" w:firstLineChars="200"/>
        <w:rPr>
          <w:rFonts w:ascii="宋体"/>
          <w:sz w:val="24"/>
          <w:highlight w:val="none"/>
        </w:rPr>
      </w:pPr>
      <w:r>
        <w:rPr>
          <w:rFonts w:ascii="宋体" w:hAnsi="宋体"/>
          <w:sz w:val="24"/>
          <w:highlight w:val="none"/>
        </w:rPr>
        <w:t xml:space="preserve">1.2 </w:t>
      </w:r>
      <w:r>
        <w:rPr>
          <w:rFonts w:hint="eastAsia" w:ascii="宋体" w:hAnsi="宋体"/>
          <w:sz w:val="24"/>
          <w:highlight w:val="none"/>
        </w:rPr>
        <w:t>严格执行一切合同文件，自觉按合同办事。</w:t>
      </w:r>
    </w:p>
    <w:p w14:paraId="25BC4C2A">
      <w:pPr>
        <w:adjustRightInd w:val="0"/>
        <w:snapToGrid w:val="0"/>
        <w:spacing w:line="360" w:lineRule="auto"/>
        <w:ind w:firstLine="480" w:firstLineChars="200"/>
        <w:rPr>
          <w:rFonts w:ascii="宋体"/>
          <w:sz w:val="24"/>
          <w:highlight w:val="none"/>
        </w:rPr>
      </w:pPr>
      <w:r>
        <w:rPr>
          <w:rFonts w:ascii="宋体" w:hAnsi="宋体"/>
          <w:sz w:val="24"/>
          <w:highlight w:val="none"/>
        </w:rPr>
        <w:t xml:space="preserve">1.3 </w:t>
      </w:r>
      <w:r>
        <w:rPr>
          <w:rFonts w:hint="eastAsia" w:ascii="宋体" w:hAnsi="宋体"/>
          <w:sz w:val="24"/>
          <w:highlight w:val="none"/>
        </w:rPr>
        <w:t>三方的业务活动坚持公平、公开、公正和诚信的原则（法律认定的商业秘密和合同文件另有规定除外），不得损害国家和集体利益，不得违反工程建设管理规章制度。</w:t>
      </w:r>
    </w:p>
    <w:p w14:paraId="5C6CBBBE">
      <w:pPr>
        <w:adjustRightInd w:val="0"/>
        <w:snapToGrid w:val="0"/>
        <w:spacing w:line="360" w:lineRule="auto"/>
        <w:ind w:firstLine="480" w:firstLineChars="200"/>
        <w:rPr>
          <w:rFonts w:ascii="宋体"/>
          <w:sz w:val="24"/>
          <w:highlight w:val="none"/>
        </w:rPr>
      </w:pPr>
      <w:r>
        <w:rPr>
          <w:rFonts w:ascii="宋体" w:hAnsi="宋体"/>
          <w:sz w:val="24"/>
          <w:highlight w:val="none"/>
        </w:rPr>
        <w:t xml:space="preserve">1.4 </w:t>
      </w:r>
      <w:r>
        <w:rPr>
          <w:rFonts w:hint="eastAsia" w:ascii="宋体" w:hAnsi="宋体"/>
          <w:sz w:val="24"/>
          <w:highlight w:val="none"/>
        </w:rPr>
        <w:t>建立健全廉政制度，开展廉政教育，设立廉政告示牌，公布举报电话，监督并认真查处违法违纪行为。</w:t>
      </w:r>
    </w:p>
    <w:p w14:paraId="03767CC5">
      <w:pPr>
        <w:adjustRightInd w:val="0"/>
        <w:snapToGrid w:val="0"/>
        <w:spacing w:line="360" w:lineRule="auto"/>
        <w:ind w:firstLine="480" w:firstLineChars="200"/>
        <w:rPr>
          <w:rFonts w:ascii="宋体"/>
          <w:sz w:val="24"/>
          <w:highlight w:val="none"/>
        </w:rPr>
      </w:pPr>
      <w:r>
        <w:rPr>
          <w:rFonts w:ascii="宋体" w:hAnsi="宋体"/>
          <w:sz w:val="24"/>
          <w:highlight w:val="none"/>
        </w:rPr>
        <w:t xml:space="preserve">1.5 </w:t>
      </w:r>
      <w:r>
        <w:rPr>
          <w:rFonts w:hint="eastAsia" w:ascii="宋体" w:hAnsi="宋体"/>
          <w:sz w:val="24"/>
          <w:highlight w:val="none"/>
        </w:rPr>
        <w:t>发现对方在业务活动中有违反廉政建设规定的行为，应及时给予提醒和纠正。</w:t>
      </w:r>
    </w:p>
    <w:p w14:paraId="79FFE4D2">
      <w:pPr>
        <w:adjustRightInd w:val="0"/>
        <w:snapToGrid w:val="0"/>
        <w:spacing w:line="360" w:lineRule="auto"/>
        <w:ind w:firstLine="480" w:firstLineChars="200"/>
        <w:rPr>
          <w:rFonts w:ascii="宋体"/>
          <w:bCs/>
          <w:sz w:val="24"/>
          <w:highlight w:val="none"/>
        </w:rPr>
      </w:pPr>
      <w:r>
        <w:rPr>
          <w:rFonts w:ascii="宋体" w:hAnsi="宋体"/>
          <w:sz w:val="24"/>
          <w:highlight w:val="none"/>
        </w:rPr>
        <w:t xml:space="preserve">1.6 </w:t>
      </w:r>
      <w:r>
        <w:rPr>
          <w:rFonts w:hint="eastAsia" w:ascii="宋体" w:hAnsi="宋体"/>
          <w:sz w:val="24"/>
          <w:highlight w:val="none"/>
        </w:rPr>
        <w:t>发现对方严重违反合同的行为，有向其上级部门举报、建议给予处理并要求告知处理结果的权利。</w:t>
      </w:r>
    </w:p>
    <w:p w14:paraId="41813A15">
      <w:pPr>
        <w:adjustRightInd w:val="0"/>
        <w:snapToGrid w:val="0"/>
        <w:spacing w:line="360" w:lineRule="auto"/>
        <w:ind w:firstLine="480" w:firstLineChars="200"/>
        <w:outlineLvl w:val="1"/>
        <w:rPr>
          <w:rFonts w:ascii="宋体" w:hAnsi="宋体"/>
          <w:bCs/>
          <w:sz w:val="24"/>
          <w:highlight w:val="none"/>
        </w:rPr>
      </w:pPr>
      <w:r>
        <w:rPr>
          <w:rFonts w:ascii="宋体" w:hAnsi="宋体"/>
          <w:bCs/>
          <w:sz w:val="24"/>
          <w:highlight w:val="none"/>
        </w:rPr>
        <w:t xml:space="preserve">2 </w:t>
      </w:r>
      <w:r>
        <w:rPr>
          <w:rFonts w:hint="eastAsia" w:ascii="宋体" w:hAnsi="宋体"/>
          <w:bCs/>
          <w:sz w:val="24"/>
          <w:highlight w:val="none"/>
        </w:rPr>
        <w:t>甲方和乙方义务</w:t>
      </w:r>
    </w:p>
    <w:p w14:paraId="7590D8B7">
      <w:pPr>
        <w:adjustRightInd w:val="0"/>
        <w:snapToGrid w:val="0"/>
        <w:spacing w:line="360" w:lineRule="auto"/>
        <w:ind w:firstLine="480" w:firstLineChars="200"/>
        <w:rPr>
          <w:rFonts w:ascii="宋体"/>
          <w:sz w:val="24"/>
          <w:highlight w:val="none"/>
        </w:rPr>
      </w:pPr>
      <w:r>
        <w:rPr>
          <w:rFonts w:ascii="宋体" w:hAnsi="宋体"/>
          <w:sz w:val="24"/>
          <w:highlight w:val="none"/>
        </w:rPr>
        <w:t xml:space="preserve">2.1 </w:t>
      </w:r>
      <w:r>
        <w:rPr>
          <w:rFonts w:hint="eastAsia" w:ascii="宋体" w:hAnsi="宋体"/>
          <w:bCs/>
          <w:sz w:val="24"/>
          <w:highlight w:val="none"/>
        </w:rPr>
        <w:t>甲方</w:t>
      </w:r>
      <w:r>
        <w:rPr>
          <w:rFonts w:hint="eastAsia" w:ascii="宋体" w:hAnsi="宋体"/>
          <w:sz w:val="24"/>
          <w:highlight w:val="none"/>
        </w:rPr>
        <w:t>和乙方及其工作人员不得索要或接受检测单位的礼金、有价证券和贵重物品，不得在检测单位报销任何应由甲方或工作人员个人支付的费用等。</w:t>
      </w:r>
    </w:p>
    <w:p w14:paraId="183A9668">
      <w:pPr>
        <w:adjustRightInd w:val="0"/>
        <w:snapToGrid w:val="0"/>
        <w:spacing w:line="360" w:lineRule="auto"/>
        <w:ind w:firstLine="480" w:firstLineChars="200"/>
        <w:rPr>
          <w:rFonts w:ascii="宋体"/>
          <w:sz w:val="24"/>
          <w:highlight w:val="none"/>
        </w:rPr>
      </w:pPr>
      <w:r>
        <w:rPr>
          <w:rFonts w:ascii="宋体" w:hAnsi="宋体"/>
          <w:sz w:val="24"/>
          <w:highlight w:val="none"/>
        </w:rPr>
        <w:t xml:space="preserve">2.2 </w:t>
      </w:r>
      <w:r>
        <w:rPr>
          <w:rFonts w:hint="eastAsia" w:ascii="宋体" w:hAnsi="宋体"/>
          <w:bCs/>
          <w:sz w:val="24"/>
          <w:highlight w:val="none"/>
        </w:rPr>
        <w:t>甲方</w:t>
      </w:r>
      <w:r>
        <w:rPr>
          <w:rFonts w:hint="eastAsia" w:ascii="宋体" w:hAnsi="宋体"/>
          <w:sz w:val="24"/>
          <w:highlight w:val="none"/>
        </w:rPr>
        <w:t>和乙方及其工作人员不得参加检测单位安排的宴请（工作餐除外）和娱乐活动；不得接受检测单位提供的通讯工具、交通工具和高档办公用品等。</w:t>
      </w:r>
    </w:p>
    <w:p w14:paraId="1EAC5352">
      <w:pPr>
        <w:adjustRightInd w:val="0"/>
        <w:snapToGrid w:val="0"/>
        <w:spacing w:line="360" w:lineRule="auto"/>
        <w:ind w:firstLine="480" w:firstLineChars="200"/>
        <w:rPr>
          <w:rFonts w:ascii="宋体"/>
          <w:sz w:val="24"/>
          <w:highlight w:val="none"/>
        </w:rPr>
      </w:pPr>
      <w:r>
        <w:rPr>
          <w:rFonts w:ascii="宋体" w:hAnsi="宋体"/>
          <w:sz w:val="24"/>
          <w:highlight w:val="none"/>
        </w:rPr>
        <w:t xml:space="preserve">2.3 </w:t>
      </w:r>
      <w:r>
        <w:rPr>
          <w:rFonts w:hint="eastAsia" w:ascii="宋体" w:hAnsi="宋体"/>
          <w:sz w:val="24"/>
          <w:highlight w:val="none"/>
        </w:rPr>
        <w:t>甲方和乙方及其工作人员不得要求或者接受检测单位为其住房装修、婚丧嫁娶活动、配偶子女的工作安排以及出国出境、旅游等提供方便等。</w:t>
      </w:r>
    </w:p>
    <w:p w14:paraId="457B31C2">
      <w:pPr>
        <w:adjustRightInd w:val="0"/>
        <w:snapToGrid w:val="0"/>
        <w:spacing w:line="360" w:lineRule="auto"/>
        <w:ind w:firstLine="480" w:firstLineChars="200"/>
        <w:rPr>
          <w:rFonts w:ascii="宋体"/>
          <w:sz w:val="24"/>
          <w:highlight w:val="none"/>
        </w:rPr>
      </w:pPr>
      <w:r>
        <w:rPr>
          <w:rFonts w:ascii="宋体" w:hAnsi="宋体"/>
          <w:sz w:val="24"/>
          <w:highlight w:val="none"/>
        </w:rPr>
        <w:t xml:space="preserve">2.4 </w:t>
      </w:r>
      <w:r>
        <w:rPr>
          <w:rFonts w:hint="eastAsia" w:ascii="宋体" w:hAnsi="宋体"/>
          <w:sz w:val="24"/>
          <w:highlight w:val="none"/>
        </w:rPr>
        <w:t>甲方和乙方及其工作人员及其配偶、子女不得从事与甲方有关的工程材料设备供应、工程分包、劳务等经济活动。</w:t>
      </w:r>
    </w:p>
    <w:p w14:paraId="5E333B75">
      <w:pPr>
        <w:adjustRightInd w:val="0"/>
        <w:snapToGrid w:val="0"/>
        <w:spacing w:line="360" w:lineRule="auto"/>
        <w:ind w:firstLine="480" w:firstLineChars="200"/>
        <w:rPr>
          <w:rFonts w:ascii="宋体"/>
          <w:sz w:val="24"/>
          <w:highlight w:val="none"/>
        </w:rPr>
      </w:pPr>
      <w:r>
        <w:rPr>
          <w:rFonts w:ascii="宋体" w:hAnsi="宋体"/>
          <w:sz w:val="24"/>
          <w:highlight w:val="none"/>
        </w:rPr>
        <w:t xml:space="preserve">2.5 </w:t>
      </w:r>
      <w:r>
        <w:rPr>
          <w:rFonts w:hint="eastAsia" w:ascii="宋体" w:hAnsi="宋体"/>
          <w:sz w:val="24"/>
          <w:highlight w:val="none"/>
        </w:rPr>
        <w:t>甲方和乙方及其工作人员不得以任何理由向检测单位推荐分包单位或推销材料，不得要求检测单位购买合同约定外的材料和设备。</w:t>
      </w:r>
    </w:p>
    <w:p w14:paraId="53B8CEAC">
      <w:pPr>
        <w:adjustRightInd w:val="0"/>
        <w:snapToGrid w:val="0"/>
        <w:spacing w:line="360" w:lineRule="auto"/>
        <w:ind w:firstLine="480" w:firstLineChars="200"/>
        <w:rPr>
          <w:rFonts w:ascii="宋体"/>
          <w:bCs/>
          <w:sz w:val="24"/>
          <w:highlight w:val="none"/>
        </w:rPr>
      </w:pPr>
      <w:r>
        <w:rPr>
          <w:rFonts w:ascii="宋体" w:hAnsi="宋体"/>
          <w:sz w:val="24"/>
          <w:highlight w:val="none"/>
        </w:rPr>
        <w:t xml:space="preserve">2.6 </w:t>
      </w:r>
      <w:r>
        <w:rPr>
          <w:rFonts w:hint="eastAsia" w:ascii="宋体" w:hAnsi="宋体"/>
          <w:sz w:val="24"/>
          <w:highlight w:val="none"/>
        </w:rPr>
        <w:t>甲方和乙方及其工作人员要秉公办事，不准营私舞弊，不准利用职权从事各种个人有偿中介活动和安排个人施工队伍。</w:t>
      </w:r>
    </w:p>
    <w:p w14:paraId="63025FEE">
      <w:pPr>
        <w:adjustRightInd w:val="0"/>
        <w:snapToGrid w:val="0"/>
        <w:spacing w:line="360" w:lineRule="auto"/>
        <w:ind w:firstLine="480" w:firstLineChars="200"/>
        <w:outlineLvl w:val="1"/>
        <w:rPr>
          <w:rFonts w:ascii="宋体" w:hAnsi="宋体"/>
          <w:bCs/>
          <w:sz w:val="24"/>
          <w:highlight w:val="none"/>
        </w:rPr>
      </w:pPr>
      <w:r>
        <w:rPr>
          <w:rFonts w:ascii="宋体" w:hAnsi="宋体"/>
          <w:bCs/>
          <w:sz w:val="24"/>
          <w:highlight w:val="none"/>
        </w:rPr>
        <w:t xml:space="preserve">3 </w:t>
      </w:r>
      <w:r>
        <w:rPr>
          <w:rFonts w:hint="eastAsia" w:ascii="宋体" w:hAnsi="宋体"/>
          <w:bCs/>
          <w:sz w:val="24"/>
          <w:highlight w:val="none"/>
        </w:rPr>
        <w:t>检测单位义务</w:t>
      </w:r>
    </w:p>
    <w:p w14:paraId="3EBF936D">
      <w:pPr>
        <w:adjustRightInd w:val="0"/>
        <w:snapToGrid w:val="0"/>
        <w:spacing w:line="360" w:lineRule="auto"/>
        <w:ind w:firstLine="480" w:firstLineChars="200"/>
        <w:rPr>
          <w:rFonts w:ascii="宋体"/>
          <w:sz w:val="24"/>
          <w:highlight w:val="none"/>
        </w:rPr>
      </w:pPr>
      <w:r>
        <w:rPr>
          <w:rFonts w:ascii="宋体" w:hAnsi="宋体"/>
          <w:sz w:val="24"/>
          <w:highlight w:val="none"/>
        </w:rPr>
        <w:t xml:space="preserve">3.1 </w:t>
      </w:r>
      <w:r>
        <w:rPr>
          <w:rFonts w:hint="eastAsia" w:ascii="宋体" w:hAnsi="宋体"/>
          <w:sz w:val="24"/>
          <w:highlight w:val="none"/>
        </w:rPr>
        <w:t>检测单位不得以任何理由向甲方和乙方及其工作人员行贿或馈赠礼金、有价证券、贵重礼品。</w:t>
      </w:r>
    </w:p>
    <w:p w14:paraId="7ABE2A00">
      <w:pPr>
        <w:adjustRightInd w:val="0"/>
        <w:snapToGrid w:val="0"/>
        <w:spacing w:line="360" w:lineRule="auto"/>
        <w:ind w:firstLine="480" w:firstLineChars="200"/>
        <w:rPr>
          <w:rFonts w:ascii="宋体"/>
          <w:sz w:val="24"/>
          <w:highlight w:val="none"/>
        </w:rPr>
      </w:pPr>
      <w:r>
        <w:rPr>
          <w:rFonts w:ascii="宋体" w:hAnsi="宋体"/>
          <w:sz w:val="24"/>
          <w:highlight w:val="none"/>
        </w:rPr>
        <w:t xml:space="preserve">3.2 </w:t>
      </w:r>
      <w:r>
        <w:rPr>
          <w:rFonts w:hint="eastAsia" w:ascii="宋体" w:hAnsi="宋体"/>
          <w:sz w:val="24"/>
          <w:highlight w:val="none"/>
        </w:rPr>
        <w:t>检测单位不得以任何名义为甲方和乙方及其工作人员报销应由甲方或工作人员个人支付的任何费用。</w:t>
      </w:r>
    </w:p>
    <w:p w14:paraId="5B67E5EE">
      <w:pPr>
        <w:adjustRightInd w:val="0"/>
        <w:snapToGrid w:val="0"/>
        <w:spacing w:line="360" w:lineRule="auto"/>
        <w:ind w:firstLine="480" w:firstLineChars="200"/>
        <w:rPr>
          <w:rFonts w:ascii="宋体"/>
          <w:sz w:val="24"/>
          <w:highlight w:val="none"/>
        </w:rPr>
      </w:pPr>
      <w:r>
        <w:rPr>
          <w:rFonts w:ascii="宋体" w:hAnsi="宋体"/>
          <w:sz w:val="24"/>
          <w:highlight w:val="none"/>
        </w:rPr>
        <w:t xml:space="preserve">3.3 </w:t>
      </w:r>
      <w:r>
        <w:rPr>
          <w:rFonts w:hint="eastAsia" w:ascii="宋体" w:hAnsi="宋体"/>
          <w:sz w:val="24"/>
          <w:highlight w:val="none"/>
        </w:rPr>
        <w:t>检测单位不得以任何理由安排甲方和乙方及其工作人员参加宴请（工作餐除外）及娱乐活动。</w:t>
      </w:r>
    </w:p>
    <w:p w14:paraId="2DC1B5A3">
      <w:pPr>
        <w:adjustRightInd w:val="0"/>
        <w:snapToGrid w:val="0"/>
        <w:spacing w:line="360" w:lineRule="auto"/>
        <w:ind w:firstLine="480" w:firstLineChars="200"/>
        <w:rPr>
          <w:rFonts w:ascii="宋体"/>
          <w:bCs/>
          <w:sz w:val="24"/>
          <w:highlight w:val="none"/>
        </w:rPr>
      </w:pPr>
      <w:r>
        <w:rPr>
          <w:rFonts w:ascii="宋体" w:hAnsi="宋体"/>
          <w:sz w:val="24"/>
          <w:highlight w:val="none"/>
        </w:rPr>
        <w:t xml:space="preserve">3.4 </w:t>
      </w:r>
      <w:r>
        <w:rPr>
          <w:rFonts w:hint="eastAsia" w:ascii="宋体" w:hAnsi="宋体"/>
          <w:sz w:val="24"/>
          <w:highlight w:val="none"/>
        </w:rPr>
        <w:t>检测单位不得为甲方和乙方购置或提供高档通讯工具和高档办公用品等。</w:t>
      </w:r>
    </w:p>
    <w:p w14:paraId="5C3BC5A7">
      <w:pPr>
        <w:adjustRightInd w:val="0"/>
        <w:snapToGrid w:val="0"/>
        <w:spacing w:line="360" w:lineRule="auto"/>
        <w:ind w:firstLine="480" w:firstLineChars="200"/>
        <w:outlineLvl w:val="1"/>
        <w:rPr>
          <w:rFonts w:ascii="宋体" w:hAnsi="宋体"/>
          <w:bCs/>
          <w:sz w:val="24"/>
          <w:highlight w:val="none"/>
        </w:rPr>
      </w:pPr>
      <w:r>
        <w:rPr>
          <w:rFonts w:ascii="宋体" w:hAnsi="宋体"/>
          <w:bCs/>
          <w:sz w:val="24"/>
          <w:highlight w:val="none"/>
        </w:rPr>
        <w:t xml:space="preserve">4 </w:t>
      </w:r>
      <w:r>
        <w:rPr>
          <w:rFonts w:hint="eastAsia" w:ascii="宋体" w:hAnsi="宋体"/>
          <w:bCs/>
          <w:sz w:val="24"/>
          <w:highlight w:val="none"/>
        </w:rPr>
        <w:t>违约责任</w:t>
      </w:r>
    </w:p>
    <w:p w14:paraId="26900B0D">
      <w:pPr>
        <w:adjustRightInd w:val="0"/>
        <w:snapToGrid w:val="0"/>
        <w:spacing w:line="360" w:lineRule="auto"/>
        <w:ind w:firstLine="480" w:firstLineChars="200"/>
        <w:rPr>
          <w:rFonts w:ascii="宋体"/>
          <w:sz w:val="24"/>
          <w:highlight w:val="none"/>
        </w:rPr>
      </w:pPr>
      <w:r>
        <w:rPr>
          <w:rFonts w:ascii="宋体" w:hAnsi="宋体"/>
          <w:sz w:val="24"/>
          <w:highlight w:val="none"/>
        </w:rPr>
        <w:t xml:space="preserve">4.1 </w:t>
      </w:r>
      <w:r>
        <w:rPr>
          <w:rFonts w:hint="eastAsia" w:ascii="宋体" w:hAnsi="宋体"/>
          <w:sz w:val="24"/>
          <w:highlight w:val="none"/>
        </w:rPr>
        <w:t>甲方和乙方及其工作人员违反本合同第</w:t>
      </w:r>
      <w:r>
        <w:rPr>
          <w:rFonts w:ascii="宋体" w:hAnsi="宋体"/>
          <w:sz w:val="24"/>
          <w:highlight w:val="none"/>
        </w:rPr>
        <w:t>1</w:t>
      </w:r>
      <w:r>
        <w:rPr>
          <w:rFonts w:hint="eastAsia" w:ascii="宋体" w:hAnsi="宋体"/>
          <w:sz w:val="24"/>
          <w:highlight w:val="none"/>
        </w:rPr>
        <w:t>条和第</w:t>
      </w:r>
      <w:r>
        <w:rPr>
          <w:rFonts w:ascii="宋体" w:hAnsi="宋体"/>
          <w:sz w:val="24"/>
          <w:highlight w:val="none"/>
        </w:rPr>
        <w:t>2</w:t>
      </w:r>
      <w:r>
        <w:rPr>
          <w:rFonts w:hint="eastAsia" w:ascii="宋体" w:hAnsi="宋体"/>
          <w:sz w:val="24"/>
          <w:highlight w:val="none"/>
        </w:rPr>
        <w:t>条规定，应依据有关规定给予廉政建设规定的处分；涉嫌犯罪的，移交司法机关追究刑事责任；给检测单位造成经济损失的，应予赔偿。</w:t>
      </w:r>
    </w:p>
    <w:p w14:paraId="546E13DF">
      <w:pPr>
        <w:adjustRightInd w:val="0"/>
        <w:snapToGrid w:val="0"/>
        <w:spacing w:line="360" w:lineRule="auto"/>
        <w:ind w:firstLine="480" w:firstLineChars="200"/>
        <w:rPr>
          <w:rFonts w:ascii="宋体"/>
          <w:sz w:val="24"/>
          <w:highlight w:val="none"/>
        </w:rPr>
      </w:pPr>
      <w:r>
        <w:rPr>
          <w:rFonts w:ascii="宋体" w:hAnsi="宋体"/>
          <w:sz w:val="24"/>
          <w:highlight w:val="none"/>
        </w:rPr>
        <w:t xml:space="preserve">4.2 </w:t>
      </w:r>
      <w:r>
        <w:rPr>
          <w:rFonts w:hint="eastAsia" w:ascii="宋体" w:hAnsi="宋体"/>
          <w:sz w:val="24"/>
          <w:highlight w:val="none"/>
        </w:rPr>
        <w:t>检测单位及其工作人员违反本合同第</w:t>
      </w:r>
      <w:r>
        <w:rPr>
          <w:rFonts w:ascii="宋体" w:hAnsi="宋体"/>
          <w:sz w:val="24"/>
          <w:highlight w:val="none"/>
        </w:rPr>
        <w:t>1</w:t>
      </w:r>
      <w:r>
        <w:rPr>
          <w:rFonts w:hint="eastAsia" w:ascii="宋体" w:hAnsi="宋体"/>
          <w:sz w:val="24"/>
          <w:highlight w:val="none"/>
        </w:rPr>
        <w:t>条和第</w:t>
      </w:r>
      <w:r>
        <w:rPr>
          <w:rFonts w:ascii="宋体" w:hAnsi="宋体"/>
          <w:sz w:val="24"/>
          <w:highlight w:val="none"/>
        </w:rPr>
        <w:t>3</w:t>
      </w:r>
      <w:r>
        <w:rPr>
          <w:rFonts w:hint="eastAsia" w:ascii="宋体" w:hAnsi="宋体"/>
          <w:sz w:val="24"/>
          <w:highlight w:val="none"/>
        </w:rPr>
        <w:t>条规定，应依据有关规定给予廉政建设规定的处分；给建设单位和乙方造成经济损失的，应予赔偿；情节严重的，由建设主管部门给予检测单位一至三年内不得进入工程建设市场的处罚。</w:t>
      </w:r>
    </w:p>
    <w:p w14:paraId="5E792CF6">
      <w:pPr>
        <w:adjustRightInd w:val="0"/>
        <w:snapToGrid w:val="0"/>
        <w:spacing w:line="360" w:lineRule="auto"/>
        <w:ind w:firstLine="480" w:firstLineChars="200"/>
        <w:outlineLvl w:val="1"/>
        <w:rPr>
          <w:rFonts w:ascii="宋体" w:hAnsi="宋体"/>
          <w:bCs/>
          <w:sz w:val="24"/>
          <w:highlight w:val="none"/>
        </w:rPr>
      </w:pPr>
      <w:r>
        <w:rPr>
          <w:rFonts w:ascii="宋体" w:hAnsi="宋体"/>
          <w:bCs/>
          <w:sz w:val="24"/>
          <w:highlight w:val="none"/>
        </w:rPr>
        <w:t xml:space="preserve">5 </w:t>
      </w:r>
      <w:r>
        <w:rPr>
          <w:rFonts w:hint="eastAsia" w:ascii="宋体" w:hAnsi="宋体"/>
          <w:bCs/>
          <w:sz w:val="24"/>
          <w:highlight w:val="none"/>
        </w:rPr>
        <w:t>三方约定</w:t>
      </w:r>
    </w:p>
    <w:p w14:paraId="5DFE3075">
      <w:pPr>
        <w:pStyle w:val="87"/>
        <w:adjustRightInd w:val="0"/>
        <w:snapToGrid w:val="0"/>
        <w:spacing w:after="0" w:line="360" w:lineRule="auto"/>
        <w:ind w:left="0" w:leftChars="0" w:firstLine="480" w:firstLineChars="200"/>
        <w:rPr>
          <w:rFonts w:hAnsi="宋体"/>
          <w:sz w:val="24"/>
          <w:highlight w:val="none"/>
        </w:rPr>
      </w:pPr>
      <w:r>
        <w:rPr>
          <w:rFonts w:hint="eastAsia" w:hAnsi="宋体"/>
          <w:sz w:val="24"/>
          <w:highlight w:val="none"/>
        </w:rPr>
        <w:t>本合同由三方或其上级部门负责监督执行，并由三方或其上级部门相互约请对本合同执行情况进行检查。</w:t>
      </w:r>
    </w:p>
    <w:p w14:paraId="3C066BF9">
      <w:pPr>
        <w:adjustRightInd w:val="0"/>
        <w:snapToGrid w:val="0"/>
        <w:spacing w:line="360" w:lineRule="auto"/>
        <w:ind w:firstLine="480" w:firstLineChars="200"/>
        <w:outlineLvl w:val="1"/>
        <w:rPr>
          <w:rFonts w:ascii="宋体" w:hAnsi="宋体"/>
          <w:bCs/>
          <w:sz w:val="24"/>
          <w:highlight w:val="none"/>
        </w:rPr>
      </w:pPr>
      <w:r>
        <w:rPr>
          <w:rFonts w:ascii="宋体" w:hAnsi="宋体"/>
          <w:bCs/>
          <w:sz w:val="24"/>
          <w:highlight w:val="none"/>
        </w:rPr>
        <w:t xml:space="preserve">6 </w:t>
      </w:r>
      <w:r>
        <w:rPr>
          <w:rFonts w:hint="eastAsia" w:ascii="宋体" w:hAnsi="宋体"/>
          <w:bCs/>
          <w:sz w:val="24"/>
          <w:highlight w:val="none"/>
        </w:rPr>
        <w:t>合同生效</w:t>
      </w:r>
    </w:p>
    <w:p w14:paraId="31FE69BA">
      <w:pPr>
        <w:adjustRightInd w:val="0"/>
        <w:snapToGrid w:val="0"/>
        <w:spacing w:line="360" w:lineRule="auto"/>
        <w:ind w:firstLine="480" w:firstLineChars="200"/>
        <w:rPr>
          <w:rFonts w:ascii="宋体"/>
          <w:bCs/>
          <w:sz w:val="24"/>
          <w:highlight w:val="none"/>
        </w:rPr>
      </w:pPr>
      <w:r>
        <w:rPr>
          <w:rFonts w:hint="eastAsia" w:ascii="宋体" w:hAnsi="宋体"/>
          <w:sz w:val="24"/>
          <w:highlight w:val="none"/>
        </w:rPr>
        <w:t>本合同的有效期自三方签署之日起至该工程竣工验收合格之日止。</w:t>
      </w:r>
    </w:p>
    <w:p w14:paraId="68B40417">
      <w:pPr>
        <w:adjustRightInd w:val="0"/>
        <w:snapToGrid w:val="0"/>
        <w:spacing w:line="360" w:lineRule="auto"/>
        <w:ind w:firstLine="480" w:firstLineChars="200"/>
        <w:outlineLvl w:val="1"/>
        <w:rPr>
          <w:rFonts w:ascii="宋体" w:hAnsi="宋体"/>
          <w:bCs/>
          <w:sz w:val="24"/>
          <w:highlight w:val="none"/>
        </w:rPr>
      </w:pPr>
      <w:r>
        <w:rPr>
          <w:rFonts w:ascii="宋体" w:hAnsi="宋体"/>
          <w:bCs/>
          <w:sz w:val="24"/>
          <w:highlight w:val="none"/>
        </w:rPr>
        <w:t xml:space="preserve">7 </w:t>
      </w:r>
      <w:r>
        <w:rPr>
          <w:rFonts w:hint="eastAsia" w:ascii="宋体" w:hAnsi="宋体"/>
          <w:bCs/>
          <w:sz w:val="24"/>
          <w:highlight w:val="none"/>
        </w:rPr>
        <w:t>合同法律效力</w:t>
      </w:r>
    </w:p>
    <w:p w14:paraId="59CB782E">
      <w:pPr>
        <w:adjustRightInd w:val="0"/>
        <w:snapToGrid w:val="0"/>
        <w:spacing w:line="360" w:lineRule="auto"/>
        <w:ind w:firstLine="480" w:firstLineChars="200"/>
        <w:rPr>
          <w:sz w:val="24"/>
          <w:highlight w:val="none"/>
        </w:rPr>
      </w:pPr>
      <w:r>
        <w:rPr>
          <w:rFonts w:hint="eastAsia"/>
          <w:sz w:val="24"/>
          <w:highlight w:val="none"/>
        </w:rPr>
        <w:t>本合同作为广州铁路枢纽东北货车外绕线项目双岗村安置房建设项目第三方检测、监测</w:t>
      </w:r>
      <w:r>
        <w:rPr>
          <w:rFonts w:hint="eastAsia" w:hAnsi="宋体"/>
          <w:sz w:val="24"/>
          <w:highlight w:val="none"/>
        </w:rPr>
        <w:t>服务合同的附件，与本第三方检测</w:t>
      </w:r>
      <w:r>
        <w:rPr>
          <w:rFonts w:hint="eastAsia" w:hAnsi="宋体"/>
          <w:sz w:val="24"/>
          <w:highlight w:val="none"/>
          <w:lang w:eastAsia="zh-CN"/>
        </w:rPr>
        <w:t>、</w:t>
      </w:r>
      <w:r>
        <w:rPr>
          <w:rFonts w:hint="eastAsia" w:hAnsi="宋体"/>
          <w:sz w:val="24"/>
          <w:highlight w:val="none"/>
          <w:lang w:val="en-US" w:eastAsia="zh-CN"/>
        </w:rPr>
        <w:t>监测</w:t>
      </w:r>
      <w:r>
        <w:rPr>
          <w:rFonts w:hint="eastAsia" w:hAnsi="宋体"/>
          <w:sz w:val="24"/>
          <w:highlight w:val="none"/>
        </w:rPr>
        <w:t>服务合同具有同等的法律效力，经</w:t>
      </w:r>
      <w:r>
        <w:rPr>
          <w:rFonts w:hint="eastAsia"/>
          <w:sz w:val="24"/>
          <w:highlight w:val="none"/>
        </w:rPr>
        <w:t>三方签署后生效。</w:t>
      </w:r>
    </w:p>
    <w:p w14:paraId="1407131A">
      <w:pPr>
        <w:adjustRightInd w:val="0"/>
        <w:snapToGrid w:val="0"/>
        <w:spacing w:line="360" w:lineRule="auto"/>
        <w:ind w:firstLine="480" w:firstLineChars="200"/>
        <w:rPr>
          <w:rFonts w:ascii="宋体"/>
          <w:sz w:val="24"/>
          <w:highlight w:val="none"/>
        </w:rPr>
      </w:pPr>
      <w:r>
        <w:rPr>
          <w:rFonts w:hint="eastAsia" w:ascii="宋体"/>
          <w:sz w:val="24"/>
          <w:highlight w:val="none"/>
        </w:rPr>
        <w:t>（以下无正文）</w:t>
      </w:r>
    </w:p>
    <w:p w14:paraId="6F056448">
      <w:pPr>
        <w:spacing w:line="360" w:lineRule="auto"/>
        <w:rPr>
          <w:rFonts w:ascii="宋体"/>
          <w:sz w:val="24"/>
          <w:highlight w:val="none"/>
        </w:rPr>
      </w:pPr>
    </w:p>
    <w:p w14:paraId="53AD47B0">
      <w:pPr>
        <w:spacing w:line="240" w:lineRule="auto"/>
        <w:ind w:firstLine="0" w:firstLineChars="0"/>
        <w:rPr>
          <w:rFonts w:hint="eastAsia" w:ascii="宋体" w:hAnsi="宋体"/>
          <w:b/>
          <w:sz w:val="24"/>
          <w:highlight w:val="none"/>
        </w:rPr>
      </w:pPr>
      <w:r>
        <w:rPr>
          <w:rFonts w:hint="eastAsia" w:ascii="宋体" w:hAnsi="宋体"/>
          <w:b/>
          <w:sz w:val="24"/>
          <w:highlight w:val="none"/>
        </w:rPr>
        <w:br w:type="page"/>
      </w:r>
    </w:p>
    <w:p w14:paraId="2EF7CD65">
      <w:pPr>
        <w:spacing w:line="360" w:lineRule="auto"/>
        <w:ind w:firstLine="482" w:firstLineChars="200"/>
        <w:rPr>
          <w:rFonts w:ascii="宋体" w:hAnsi="宋体"/>
          <w:b/>
          <w:sz w:val="24"/>
          <w:highlight w:val="none"/>
        </w:rPr>
      </w:pPr>
      <w:r>
        <w:rPr>
          <w:rFonts w:hint="eastAsia" w:ascii="宋体" w:hAnsi="宋体"/>
          <w:b/>
          <w:sz w:val="24"/>
          <w:highlight w:val="none"/>
        </w:rPr>
        <w:t>（本页为签署页</w:t>
      </w:r>
      <w:r>
        <w:rPr>
          <w:rFonts w:hint="eastAsia" w:ascii="宋体" w:hAnsi="宋体"/>
          <w:b/>
          <w:sz w:val="24"/>
          <w:highlight w:val="none"/>
          <w:lang w:eastAsia="zh-CN"/>
        </w:rPr>
        <w:t>，</w:t>
      </w:r>
      <w:r>
        <w:rPr>
          <w:rFonts w:hint="eastAsia" w:ascii="宋体" w:hAnsi="宋体"/>
          <w:b/>
          <w:sz w:val="24"/>
          <w:highlight w:val="none"/>
          <w:lang w:val="en-US" w:eastAsia="zh-CN"/>
        </w:rPr>
        <w:t>无正文</w:t>
      </w:r>
      <w:r>
        <w:rPr>
          <w:rFonts w:hint="eastAsia" w:ascii="宋体" w:hAnsi="宋体"/>
          <w:b/>
          <w:sz w:val="24"/>
          <w:highlight w:val="none"/>
        </w:rPr>
        <w:t>）</w:t>
      </w:r>
    </w:p>
    <w:p w14:paraId="5D5E4382">
      <w:pPr>
        <w:pStyle w:val="40"/>
        <w:ind w:firstLine="482"/>
        <w:rPr>
          <w:rFonts w:ascii="宋体" w:hAnsi="宋体"/>
          <w:b/>
          <w:sz w:val="24"/>
          <w:highlight w:val="none"/>
        </w:rPr>
      </w:pPr>
    </w:p>
    <w:p w14:paraId="3A58EC52">
      <w:pPr>
        <w:pStyle w:val="40"/>
        <w:ind w:firstLine="482"/>
        <w:rPr>
          <w:rFonts w:ascii="宋体" w:hAnsi="宋体"/>
          <w:b/>
          <w:sz w:val="24"/>
          <w:highlight w:val="none"/>
        </w:rPr>
      </w:pPr>
    </w:p>
    <w:p w14:paraId="07F01D76">
      <w:pPr>
        <w:spacing w:line="360" w:lineRule="auto"/>
        <w:ind w:firstLine="482" w:firstLineChars="200"/>
        <w:rPr>
          <w:rFonts w:ascii="宋体" w:hAnsi="宋体"/>
          <w:b/>
          <w:sz w:val="24"/>
          <w:highlight w:val="none"/>
        </w:rPr>
      </w:pPr>
      <w:r>
        <w:rPr>
          <w:rFonts w:hint="eastAsia" w:ascii="宋体" w:hAnsi="宋体"/>
          <w:b/>
          <w:sz w:val="24"/>
          <w:highlight w:val="none"/>
        </w:rPr>
        <w:t>甲方：</w:t>
      </w:r>
      <w:r>
        <w:rPr>
          <w:rFonts w:hint="eastAsia" w:ascii="宋体" w:hAnsi="宋体"/>
          <w:b/>
          <w:sz w:val="24"/>
          <w:highlight w:val="none"/>
          <w:lang w:eastAsia="zh-CN"/>
        </w:rPr>
        <w:t>广州市白云区江高镇人民政府</w:t>
      </w:r>
      <w:r>
        <w:rPr>
          <w:rFonts w:hint="eastAsia" w:ascii="宋体" w:hAnsi="宋体"/>
          <w:b/>
          <w:sz w:val="24"/>
          <w:highlight w:val="none"/>
        </w:rPr>
        <w:t>（</w:t>
      </w:r>
      <w:r>
        <w:rPr>
          <w:rFonts w:hint="eastAsia" w:ascii="宋体" w:hAnsi="宋体"/>
          <w:b/>
          <w:sz w:val="24"/>
          <w:highlight w:val="none"/>
          <w:lang w:eastAsia="zh-CN"/>
        </w:rPr>
        <w:t>盖章</w:t>
      </w:r>
      <w:r>
        <w:rPr>
          <w:rFonts w:hint="eastAsia" w:ascii="宋体" w:hAnsi="宋体"/>
          <w:b/>
          <w:sz w:val="24"/>
          <w:highlight w:val="none"/>
        </w:rPr>
        <w:t>）</w:t>
      </w:r>
      <w:r>
        <w:rPr>
          <w:rFonts w:ascii="宋体" w:hAnsi="宋体"/>
          <w:b/>
          <w:sz w:val="24"/>
          <w:highlight w:val="none"/>
        </w:rPr>
        <w:t xml:space="preserve">                    　           </w:t>
      </w:r>
    </w:p>
    <w:p w14:paraId="6DED1278">
      <w:pPr>
        <w:spacing w:line="360" w:lineRule="auto"/>
        <w:ind w:firstLine="482" w:firstLineChars="200"/>
        <w:rPr>
          <w:rFonts w:hint="eastAsia" w:ascii="宋体" w:hAnsi="宋体" w:eastAsia="宋体"/>
          <w:b/>
          <w:sz w:val="24"/>
          <w:highlight w:val="none"/>
          <w:lang w:eastAsia="zh-CN"/>
        </w:rPr>
      </w:pPr>
      <w:r>
        <w:rPr>
          <w:rFonts w:hint="eastAsia" w:ascii="宋体" w:hAnsi="宋体"/>
          <w:b/>
          <w:sz w:val="24"/>
          <w:highlight w:val="none"/>
        </w:rPr>
        <w:t>通讯地址：广州市白云区江高镇江府路1号</w:t>
      </w:r>
    </w:p>
    <w:p w14:paraId="5DFB5589">
      <w:pPr>
        <w:spacing w:line="360" w:lineRule="auto"/>
        <w:ind w:firstLine="482" w:firstLineChars="200"/>
        <w:rPr>
          <w:rFonts w:ascii="宋体" w:hAnsi="宋体"/>
          <w:b/>
          <w:sz w:val="24"/>
          <w:highlight w:val="none"/>
        </w:rPr>
      </w:pPr>
      <w:r>
        <w:rPr>
          <w:rFonts w:hint="eastAsia" w:ascii="宋体" w:hAnsi="宋体"/>
          <w:b/>
          <w:sz w:val="24"/>
          <w:highlight w:val="none"/>
        </w:rPr>
        <w:t>法定代表人：</w:t>
      </w:r>
      <w:r>
        <w:rPr>
          <w:rFonts w:ascii="宋体" w:hAnsi="宋体"/>
          <w:b/>
          <w:sz w:val="24"/>
          <w:highlight w:val="none"/>
        </w:rPr>
        <w:t xml:space="preserve">                           </w:t>
      </w:r>
    </w:p>
    <w:p w14:paraId="13402849">
      <w:pPr>
        <w:spacing w:line="360" w:lineRule="auto"/>
        <w:ind w:firstLine="482" w:firstLineChars="200"/>
        <w:rPr>
          <w:rFonts w:ascii="宋体" w:hAnsi="宋体"/>
          <w:b/>
          <w:sz w:val="24"/>
          <w:highlight w:val="none"/>
        </w:rPr>
      </w:pPr>
      <w:r>
        <w:rPr>
          <w:rFonts w:hint="eastAsia" w:ascii="宋体" w:hAnsi="宋体"/>
          <w:b/>
          <w:sz w:val="24"/>
          <w:highlight w:val="none"/>
        </w:rPr>
        <w:t>签约代表：</w:t>
      </w:r>
      <w:r>
        <w:rPr>
          <w:rFonts w:ascii="宋体" w:hAnsi="宋体"/>
          <w:b/>
          <w:sz w:val="24"/>
          <w:highlight w:val="none"/>
        </w:rPr>
        <w:t xml:space="preserve">                             </w:t>
      </w:r>
    </w:p>
    <w:p w14:paraId="67E9F130">
      <w:pPr>
        <w:spacing w:line="360" w:lineRule="auto"/>
        <w:ind w:firstLine="482" w:firstLineChars="200"/>
        <w:rPr>
          <w:rFonts w:ascii="宋体" w:hAnsi="宋体"/>
          <w:b/>
          <w:sz w:val="24"/>
          <w:highlight w:val="none"/>
        </w:rPr>
      </w:pPr>
      <w:r>
        <w:rPr>
          <w:rFonts w:hint="eastAsia" w:ascii="宋体" w:hAnsi="宋体"/>
          <w:b/>
          <w:sz w:val="24"/>
          <w:highlight w:val="none"/>
        </w:rPr>
        <w:t>电话：</w:t>
      </w:r>
    </w:p>
    <w:p w14:paraId="6F8F192C">
      <w:pPr>
        <w:pStyle w:val="6"/>
        <w:spacing w:line="360" w:lineRule="auto"/>
        <w:ind w:firstLine="0"/>
        <w:rPr>
          <w:rFonts w:ascii="宋体" w:hAnsi="宋体"/>
          <w:b/>
          <w:sz w:val="24"/>
          <w:szCs w:val="24"/>
          <w:highlight w:val="none"/>
        </w:rPr>
      </w:pPr>
    </w:p>
    <w:p w14:paraId="46C41ADF">
      <w:pPr>
        <w:pStyle w:val="6"/>
        <w:spacing w:line="360" w:lineRule="auto"/>
        <w:ind w:firstLine="0"/>
        <w:rPr>
          <w:rFonts w:ascii="宋体" w:hAnsi="宋体"/>
          <w:b/>
          <w:sz w:val="24"/>
          <w:szCs w:val="24"/>
          <w:highlight w:val="none"/>
        </w:rPr>
      </w:pPr>
    </w:p>
    <w:p w14:paraId="62335B83">
      <w:pPr>
        <w:pStyle w:val="6"/>
        <w:spacing w:line="360" w:lineRule="auto"/>
        <w:ind w:firstLine="0"/>
        <w:rPr>
          <w:rFonts w:ascii="宋体" w:hAnsi="宋体"/>
          <w:b/>
          <w:sz w:val="24"/>
          <w:szCs w:val="24"/>
          <w:highlight w:val="none"/>
        </w:rPr>
      </w:pPr>
    </w:p>
    <w:p w14:paraId="1D17EE97">
      <w:pPr>
        <w:pStyle w:val="6"/>
        <w:spacing w:line="360" w:lineRule="auto"/>
        <w:ind w:firstLine="0"/>
        <w:rPr>
          <w:rFonts w:ascii="宋体" w:hAnsi="宋体"/>
          <w:b/>
          <w:sz w:val="24"/>
          <w:szCs w:val="24"/>
          <w:highlight w:val="none"/>
        </w:rPr>
      </w:pPr>
    </w:p>
    <w:p w14:paraId="4E03B079">
      <w:pPr>
        <w:spacing w:line="360" w:lineRule="auto"/>
        <w:ind w:firstLine="482" w:firstLineChars="200"/>
        <w:rPr>
          <w:rFonts w:ascii="宋体" w:hAnsi="宋体"/>
          <w:b/>
          <w:sz w:val="24"/>
          <w:highlight w:val="none"/>
        </w:rPr>
      </w:pPr>
      <w:r>
        <w:rPr>
          <w:rFonts w:hint="eastAsia" w:ascii="宋体" w:hAnsi="宋体"/>
          <w:b/>
          <w:sz w:val="24"/>
          <w:highlight w:val="none"/>
        </w:rPr>
        <w:t>乙方：广州市白云</w:t>
      </w:r>
      <w:r>
        <w:rPr>
          <w:rFonts w:hint="eastAsia" w:ascii="宋体" w:hAnsi="宋体"/>
          <w:b/>
          <w:sz w:val="24"/>
          <w:highlight w:val="none"/>
          <w:lang w:eastAsia="zh-CN"/>
        </w:rPr>
        <w:t>城市建设投资</w:t>
      </w:r>
      <w:r>
        <w:rPr>
          <w:rFonts w:hint="eastAsia" w:ascii="宋体" w:hAnsi="宋体"/>
          <w:b/>
          <w:sz w:val="24"/>
          <w:highlight w:val="none"/>
        </w:rPr>
        <w:t>有限公司（</w:t>
      </w:r>
      <w:r>
        <w:rPr>
          <w:rFonts w:hint="eastAsia" w:ascii="宋体" w:hAnsi="宋体"/>
          <w:b/>
          <w:sz w:val="24"/>
          <w:highlight w:val="none"/>
          <w:lang w:eastAsia="zh-CN"/>
        </w:rPr>
        <w:t>盖章</w:t>
      </w:r>
      <w:r>
        <w:rPr>
          <w:rFonts w:hint="eastAsia" w:ascii="宋体" w:hAnsi="宋体"/>
          <w:b/>
          <w:sz w:val="24"/>
          <w:highlight w:val="none"/>
        </w:rPr>
        <w:t>）</w:t>
      </w:r>
      <w:r>
        <w:rPr>
          <w:rFonts w:ascii="宋体" w:hAnsi="宋体"/>
          <w:b/>
          <w:sz w:val="24"/>
          <w:highlight w:val="none"/>
        </w:rPr>
        <w:t xml:space="preserve">                    　           </w:t>
      </w:r>
    </w:p>
    <w:p w14:paraId="2C34530B">
      <w:pPr>
        <w:spacing w:line="360" w:lineRule="auto"/>
        <w:ind w:firstLine="482" w:firstLineChars="200"/>
        <w:rPr>
          <w:rFonts w:hint="eastAsia" w:ascii="宋体" w:hAnsi="宋体" w:eastAsia="宋体"/>
          <w:b/>
          <w:sz w:val="24"/>
          <w:highlight w:val="none"/>
          <w:lang w:eastAsia="zh-CN"/>
        </w:rPr>
      </w:pPr>
      <w:r>
        <w:rPr>
          <w:rFonts w:hint="eastAsia" w:ascii="宋体" w:hAnsi="宋体"/>
          <w:b/>
          <w:sz w:val="24"/>
          <w:highlight w:val="none"/>
        </w:rPr>
        <w:t>通讯地址：广州市白云区齐富路88号</w:t>
      </w:r>
      <w:r>
        <w:rPr>
          <w:rFonts w:hint="eastAsia" w:ascii="宋体" w:hAnsi="宋体"/>
          <w:b/>
          <w:sz w:val="24"/>
          <w:highlight w:val="none"/>
          <w:lang w:eastAsia="zh-CN"/>
        </w:rPr>
        <w:t>C座7-8楼</w:t>
      </w:r>
    </w:p>
    <w:p w14:paraId="129CCA8F">
      <w:pPr>
        <w:spacing w:line="360" w:lineRule="auto"/>
        <w:ind w:firstLine="482" w:firstLineChars="200"/>
        <w:rPr>
          <w:rFonts w:ascii="宋体" w:hAnsi="宋体"/>
          <w:b/>
          <w:sz w:val="24"/>
          <w:highlight w:val="none"/>
        </w:rPr>
      </w:pPr>
      <w:r>
        <w:rPr>
          <w:rFonts w:hint="eastAsia" w:ascii="宋体" w:hAnsi="宋体"/>
          <w:b/>
          <w:sz w:val="24"/>
          <w:highlight w:val="none"/>
        </w:rPr>
        <w:t>法定代表人：</w:t>
      </w:r>
      <w:r>
        <w:rPr>
          <w:rFonts w:ascii="宋体" w:hAnsi="宋体"/>
          <w:b/>
          <w:sz w:val="24"/>
          <w:highlight w:val="none"/>
        </w:rPr>
        <w:t xml:space="preserve">                           </w:t>
      </w:r>
    </w:p>
    <w:p w14:paraId="6D7B1495">
      <w:pPr>
        <w:spacing w:line="360" w:lineRule="auto"/>
        <w:ind w:firstLine="482" w:firstLineChars="200"/>
        <w:rPr>
          <w:rFonts w:hint="eastAsia" w:ascii="宋体" w:hAnsi="宋体"/>
          <w:b/>
          <w:sz w:val="24"/>
          <w:highlight w:val="none"/>
        </w:rPr>
      </w:pPr>
      <w:r>
        <w:rPr>
          <w:rFonts w:hint="eastAsia" w:ascii="宋体" w:hAnsi="宋体"/>
          <w:b/>
          <w:sz w:val="24"/>
          <w:highlight w:val="none"/>
        </w:rPr>
        <w:t>签约代表：</w:t>
      </w:r>
    </w:p>
    <w:p w14:paraId="2753D65D">
      <w:pPr>
        <w:spacing w:line="360" w:lineRule="auto"/>
        <w:ind w:firstLine="482" w:firstLineChars="200"/>
        <w:rPr>
          <w:b/>
          <w:highlight w:val="none"/>
        </w:rPr>
      </w:pPr>
      <w:r>
        <w:rPr>
          <w:rFonts w:hint="eastAsia" w:ascii="宋体" w:hAnsi="宋体"/>
          <w:b/>
          <w:sz w:val="24"/>
          <w:highlight w:val="none"/>
        </w:rPr>
        <w:t>电话：</w:t>
      </w:r>
      <w:r>
        <w:rPr>
          <w:rFonts w:ascii="宋体" w:hAnsi="宋体"/>
          <w:b/>
          <w:sz w:val="24"/>
          <w:highlight w:val="none"/>
        </w:rPr>
        <w:t xml:space="preserve"> </w:t>
      </w:r>
    </w:p>
    <w:p w14:paraId="5373B154">
      <w:pPr>
        <w:pStyle w:val="6"/>
        <w:spacing w:line="360" w:lineRule="auto"/>
        <w:ind w:firstLine="0"/>
        <w:rPr>
          <w:highlight w:val="none"/>
        </w:rPr>
      </w:pPr>
    </w:p>
    <w:p w14:paraId="100CFCA6">
      <w:pPr>
        <w:pStyle w:val="6"/>
        <w:spacing w:line="360" w:lineRule="auto"/>
        <w:ind w:firstLine="0"/>
        <w:rPr>
          <w:highlight w:val="none"/>
        </w:rPr>
      </w:pPr>
    </w:p>
    <w:p w14:paraId="0F37300C">
      <w:pPr>
        <w:pStyle w:val="6"/>
        <w:spacing w:line="360" w:lineRule="auto"/>
        <w:ind w:firstLine="0"/>
        <w:rPr>
          <w:highlight w:val="none"/>
        </w:rPr>
      </w:pPr>
    </w:p>
    <w:p w14:paraId="0DB3BD15">
      <w:pPr>
        <w:pStyle w:val="6"/>
        <w:spacing w:line="360" w:lineRule="auto"/>
        <w:ind w:firstLine="0"/>
        <w:rPr>
          <w:highlight w:val="none"/>
        </w:rPr>
      </w:pPr>
    </w:p>
    <w:p w14:paraId="5E807C32">
      <w:pPr>
        <w:spacing w:line="360" w:lineRule="auto"/>
        <w:ind w:left="8222" w:leftChars="200" w:hanging="7802" w:hangingChars="3238"/>
        <w:rPr>
          <w:rFonts w:ascii="宋体" w:hAnsi="宋体"/>
          <w:b/>
          <w:sz w:val="24"/>
          <w:highlight w:val="none"/>
        </w:rPr>
      </w:pPr>
      <w:r>
        <w:rPr>
          <w:rFonts w:hint="eastAsia" w:ascii="宋体" w:hAnsi="宋体"/>
          <w:b/>
          <w:sz w:val="24"/>
          <w:highlight w:val="none"/>
        </w:rPr>
        <w:t>丙方：</w:t>
      </w:r>
      <w:r>
        <w:rPr>
          <w:rFonts w:hint="eastAsia" w:ascii="宋体" w:hAnsi="宋体"/>
          <w:b/>
          <w:sz w:val="24"/>
          <w:highlight w:val="none"/>
          <w:lang w:eastAsia="zh-CN"/>
        </w:rPr>
        <w:t xml:space="preserve">        </w:t>
      </w:r>
      <w:r>
        <w:rPr>
          <w:rFonts w:hint="eastAsia" w:ascii="宋体" w:hAnsi="宋体"/>
          <w:b/>
          <w:sz w:val="24"/>
          <w:highlight w:val="none"/>
        </w:rPr>
        <w:t>（</w:t>
      </w:r>
      <w:r>
        <w:rPr>
          <w:rFonts w:hint="eastAsia" w:ascii="宋体" w:hAnsi="宋体"/>
          <w:b/>
          <w:sz w:val="24"/>
          <w:highlight w:val="none"/>
          <w:lang w:eastAsia="zh-CN"/>
        </w:rPr>
        <w:t>盖章</w:t>
      </w:r>
      <w:r>
        <w:rPr>
          <w:rFonts w:hint="eastAsia" w:ascii="宋体" w:hAnsi="宋体"/>
          <w:b/>
          <w:sz w:val="24"/>
          <w:highlight w:val="none"/>
        </w:rPr>
        <w:t>）</w:t>
      </w:r>
    </w:p>
    <w:p w14:paraId="175DF4BD">
      <w:pPr>
        <w:spacing w:line="360" w:lineRule="auto"/>
        <w:ind w:left="7046" w:leftChars="200" w:hanging="6626" w:hangingChars="2750"/>
        <w:rPr>
          <w:rFonts w:ascii="宋体" w:hAnsi="宋体"/>
          <w:sz w:val="24"/>
          <w:highlight w:val="none"/>
        </w:rPr>
      </w:pPr>
      <w:r>
        <w:rPr>
          <w:rFonts w:hint="eastAsia" w:ascii="宋体" w:hAnsi="宋体"/>
          <w:b/>
          <w:sz w:val="24"/>
          <w:highlight w:val="none"/>
        </w:rPr>
        <w:t>通讯地址：</w:t>
      </w:r>
      <w:r>
        <w:rPr>
          <w:sz w:val="24"/>
          <w:szCs w:val="18"/>
          <w:highlight w:val="none"/>
        </w:rPr>
        <w:t xml:space="preserve">                          </w:t>
      </w:r>
    </w:p>
    <w:p w14:paraId="0BECE8F7">
      <w:pPr>
        <w:spacing w:line="360" w:lineRule="auto"/>
        <w:ind w:left="7046" w:leftChars="200" w:hanging="6626" w:hangingChars="2750"/>
        <w:rPr>
          <w:rFonts w:ascii="宋体" w:hAnsi="宋体"/>
          <w:b/>
          <w:sz w:val="24"/>
          <w:highlight w:val="none"/>
        </w:rPr>
      </w:pPr>
      <w:r>
        <w:rPr>
          <w:rFonts w:hint="eastAsia" w:ascii="宋体" w:hAnsi="宋体"/>
          <w:b/>
          <w:sz w:val="24"/>
          <w:highlight w:val="none"/>
        </w:rPr>
        <w:t>法定代表人：</w:t>
      </w:r>
    </w:p>
    <w:p w14:paraId="72E1ED22">
      <w:pPr>
        <w:spacing w:line="360" w:lineRule="auto"/>
        <w:ind w:firstLine="422" w:firstLineChars="175"/>
        <w:rPr>
          <w:rFonts w:ascii="宋体" w:hAnsi="宋体"/>
          <w:b/>
          <w:sz w:val="24"/>
          <w:highlight w:val="none"/>
        </w:rPr>
      </w:pPr>
      <w:r>
        <w:rPr>
          <w:rFonts w:hint="eastAsia" w:ascii="宋体" w:hAnsi="宋体"/>
          <w:b/>
          <w:sz w:val="24"/>
          <w:highlight w:val="none"/>
        </w:rPr>
        <w:t>签约代表：　　　　　　　　　　　　　　</w:t>
      </w:r>
      <w:r>
        <w:rPr>
          <w:rFonts w:ascii="宋体" w:hAnsi="宋体"/>
          <w:b/>
          <w:sz w:val="24"/>
          <w:highlight w:val="none"/>
        </w:rPr>
        <w:t xml:space="preserve">  </w:t>
      </w:r>
    </w:p>
    <w:p w14:paraId="317116F8">
      <w:pPr>
        <w:spacing w:line="360" w:lineRule="auto"/>
        <w:ind w:firstLine="422" w:firstLineChars="175"/>
        <w:rPr>
          <w:rFonts w:ascii="宋体" w:hAnsi="宋体"/>
          <w:b/>
          <w:sz w:val="24"/>
          <w:highlight w:val="none"/>
        </w:rPr>
      </w:pPr>
      <w:r>
        <w:rPr>
          <w:rFonts w:hint="eastAsia" w:ascii="宋体" w:hAnsi="宋体"/>
          <w:b/>
          <w:sz w:val="24"/>
          <w:highlight w:val="none"/>
        </w:rPr>
        <w:t>电话：</w:t>
      </w:r>
      <w:r>
        <w:rPr>
          <w:rFonts w:ascii="宋体" w:hAnsi="宋体"/>
          <w:b/>
          <w:sz w:val="24"/>
          <w:highlight w:val="none"/>
        </w:rPr>
        <w:t xml:space="preserve"> </w:t>
      </w:r>
    </w:p>
    <w:p w14:paraId="54A84669">
      <w:pPr>
        <w:pStyle w:val="40"/>
        <w:ind w:firstLine="482"/>
        <w:rPr>
          <w:rFonts w:ascii="宋体" w:hAnsi="宋体"/>
          <w:b/>
          <w:sz w:val="24"/>
          <w:highlight w:val="none"/>
        </w:rPr>
      </w:pPr>
    </w:p>
    <w:p w14:paraId="1A192C5B">
      <w:pPr>
        <w:pStyle w:val="40"/>
        <w:ind w:firstLine="482"/>
        <w:rPr>
          <w:rFonts w:ascii="宋体" w:hAnsi="宋体"/>
          <w:b/>
          <w:sz w:val="24"/>
          <w:highlight w:val="none"/>
        </w:rPr>
      </w:pPr>
    </w:p>
    <w:p w14:paraId="363DC6DB">
      <w:pPr>
        <w:pStyle w:val="40"/>
        <w:ind w:firstLine="482"/>
        <w:rPr>
          <w:rFonts w:ascii="宋体" w:hAnsi="宋体"/>
          <w:b/>
          <w:sz w:val="24"/>
          <w:highlight w:val="none"/>
        </w:rPr>
      </w:pPr>
    </w:p>
    <w:p w14:paraId="78342D46">
      <w:pPr>
        <w:spacing w:line="360" w:lineRule="auto"/>
        <w:rPr>
          <w:rFonts w:ascii="楷体_GB2312" w:hAnsi="宋体"/>
          <w:b/>
          <w:sz w:val="24"/>
          <w:highlight w:val="none"/>
        </w:rPr>
      </w:pPr>
    </w:p>
    <w:p w14:paraId="560F7FAB">
      <w:pPr>
        <w:pageBreakBefore/>
        <w:spacing w:line="440" w:lineRule="exact"/>
        <w:outlineLvl w:val="0"/>
        <w:rPr>
          <w:rFonts w:ascii="宋体" w:hAnsi="宋体"/>
          <w:sz w:val="24"/>
          <w:highlight w:val="none"/>
        </w:rPr>
      </w:pPr>
      <w:r>
        <w:rPr>
          <w:rFonts w:hint="eastAsia" w:ascii="宋体" w:hAnsi="宋体"/>
          <w:b/>
          <w:bCs/>
          <w:sz w:val="24"/>
          <w:highlight w:val="none"/>
        </w:rPr>
        <w:t>附件</w:t>
      </w:r>
      <w:r>
        <w:rPr>
          <w:rFonts w:ascii="宋体" w:hAnsi="宋体"/>
          <w:b/>
          <w:bCs/>
          <w:sz w:val="24"/>
          <w:highlight w:val="none"/>
        </w:rPr>
        <w:t xml:space="preserve">3    </w:t>
      </w:r>
      <w:r>
        <w:rPr>
          <w:rFonts w:ascii="宋体" w:hAnsi="宋体"/>
          <w:sz w:val="24"/>
          <w:highlight w:val="none"/>
        </w:rPr>
        <w:t xml:space="preserve">                  </w:t>
      </w:r>
    </w:p>
    <w:p w14:paraId="27FAA534">
      <w:pPr>
        <w:spacing w:line="360" w:lineRule="auto"/>
        <w:jc w:val="center"/>
        <w:rPr>
          <w:rFonts w:hint="eastAsia" w:ascii="宋体" w:hAnsi="宋体"/>
          <w:b/>
          <w:bCs/>
          <w:sz w:val="24"/>
          <w:highlight w:val="none"/>
          <w:lang w:val="en-US" w:eastAsia="zh-CN"/>
        </w:rPr>
      </w:pPr>
      <w:r>
        <w:rPr>
          <w:rFonts w:hint="eastAsia" w:ascii="宋体" w:hAnsi="宋体"/>
          <w:sz w:val="24"/>
          <w:szCs w:val="24"/>
          <w:highlight w:val="none"/>
          <w:lang w:val="en-US" w:eastAsia="zh-CN"/>
        </w:rPr>
        <w:t>中标通知书</w:t>
      </w:r>
    </w:p>
    <w:p w14:paraId="77D5BB7C">
      <w:pPr>
        <w:spacing w:line="360" w:lineRule="auto"/>
        <w:jc w:val="center"/>
        <w:rPr>
          <w:highlight w:val="none"/>
        </w:rPr>
        <w:sectPr>
          <w:headerReference r:id="rId7" w:type="first"/>
          <w:footerReference r:id="rId8" w:type="first"/>
          <w:pgSz w:w="11906" w:h="16838"/>
          <w:pgMar w:top="1440" w:right="1440" w:bottom="1440" w:left="1440" w:header="851" w:footer="992" w:gutter="0"/>
          <w:cols w:space="720" w:num="1"/>
          <w:titlePg/>
          <w:docGrid w:type="lines" w:linePitch="312" w:charSpace="0"/>
        </w:sectPr>
      </w:pPr>
    </w:p>
    <w:p w14:paraId="6B069D21">
      <w:pPr>
        <w:pageBreakBefore w:val="0"/>
        <w:spacing w:line="360" w:lineRule="auto"/>
        <w:jc w:val="left"/>
        <w:outlineLvl w:val="9"/>
        <w:rPr>
          <w:rFonts w:ascii="宋体" w:hAnsi="宋体"/>
          <w:b/>
          <w:bCs/>
          <w:sz w:val="24"/>
          <w:highlight w:val="none"/>
        </w:rPr>
      </w:pPr>
      <w:r>
        <w:rPr>
          <w:rFonts w:hint="eastAsia" w:ascii="宋体" w:hAnsi="宋体"/>
          <w:b/>
          <w:bCs/>
          <w:sz w:val="24"/>
          <w:highlight w:val="none"/>
        </w:rPr>
        <w:t>附件</w:t>
      </w:r>
      <w:r>
        <w:rPr>
          <w:rFonts w:ascii="宋体" w:hAnsi="宋体"/>
          <w:b/>
          <w:bCs/>
          <w:sz w:val="24"/>
          <w:highlight w:val="none"/>
        </w:rPr>
        <w:t>4</w:t>
      </w:r>
    </w:p>
    <w:p w14:paraId="6FC470E8">
      <w:pPr>
        <w:jc w:val="center"/>
        <w:rPr>
          <w:rFonts w:hint="eastAsia" w:ascii="宋体" w:hAnsi="宋体"/>
          <w:b/>
          <w:bCs/>
          <w:sz w:val="24"/>
          <w:highlight w:val="none"/>
        </w:rPr>
      </w:pPr>
      <w:r>
        <w:rPr>
          <w:rFonts w:hint="eastAsia" w:ascii="宋体" w:hAnsi="宋体"/>
          <w:b/>
          <w:bCs/>
          <w:sz w:val="24"/>
          <w:highlight w:val="none"/>
        </w:rPr>
        <w:t>工程量清单</w:t>
      </w:r>
    </w:p>
    <w:p w14:paraId="7F9DD5F7">
      <w:pPr>
        <w:pStyle w:val="14"/>
        <w:rPr>
          <w:highlight w:val="none"/>
        </w:rPr>
      </w:pPr>
    </w:p>
    <w:p w14:paraId="2691323B">
      <w:pPr>
        <w:pStyle w:val="107"/>
        <w:widowControl w:val="0"/>
        <w:spacing w:before="0" w:after="0" w:line="360" w:lineRule="auto"/>
        <w:jc w:val="center"/>
        <w:textAlignment w:val="auto"/>
        <w:rPr>
          <w:rFonts w:hint="eastAsia" w:eastAsia="宋体" w:cs="宋体"/>
          <w:bCs/>
          <w:kern w:val="2"/>
          <w:highlight w:val="none"/>
          <w:lang w:eastAsia="zh-CN"/>
        </w:rPr>
        <w:sectPr>
          <w:headerReference r:id="rId10" w:type="first"/>
          <w:headerReference r:id="rId9" w:type="default"/>
          <w:pgSz w:w="16838" w:h="11906" w:orient="landscape"/>
          <w:pgMar w:top="720" w:right="720" w:bottom="720" w:left="720" w:header="0" w:footer="510" w:gutter="0"/>
          <w:cols w:space="720" w:num="1"/>
          <w:titlePg/>
          <w:docGrid w:type="lines" w:linePitch="312" w:charSpace="0"/>
        </w:sectPr>
      </w:pPr>
    </w:p>
    <w:p w14:paraId="3A663137">
      <w:pPr>
        <w:pageBreakBefore/>
        <w:spacing w:line="440" w:lineRule="exact"/>
        <w:outlineLvl w:val="0"/>
        <w:rPr>
          <w:rFonts w:cs="宋体" w:asciiTheme="minorEastAsia" w:hAnsiTheme="minorEastAsia" w:eastAsiaTheme="minorEastAsia"/>
          <w:b/>
          <w:highlight w:val="none"/>
        </w:rPr>
      </w:pPr>
      <w:r>
        <w:rPr>
          <w:rFonts w:hint="eastAsia" w:cs="宋体" w:asciiTheme="minorEastAsia" w:hAnsiTheme="minorEastAsia" w:eastAsiaTheme="minorEastAsia"/>
          <w:b/>
          <w:sz w:val="24"/>
          <w:highlight w:val="none"/>
        </w:rPr>
        <w:t>附件</w:t>
      </w:r>
      <w:r>
        <w:rPr>
          <w:rFonts w:cs="宋体" w:asciiTheme="minorEastAsia" w:hAnsiTheme="minorEastAsia" w:eastAsiaTheme="minorEastAsia"/>
          <w:b/>
          <w:sz w:val="24"/>
          <w:highlight w:val="none"/>
        </w:rPr>
        <w:t>5：</w:t>
      </w:r>
    </w:p>
    <w:p w14:paraId="659BBC7A">
      <w:pPr>
        <w:pStyle w:val="28"/>
        <w:tabs>
          <w:tab w:val="center" w:pos="4649"/>
          <w:tab w:val="left" w:pos="6433"/>
        </w:tabs>
        <w:spacing w:before="0" w:after="0"/>
        <w:jc w:val="both"/>
        <w:outlineLvl w:val="9"/>
        <w:rPr>
          <w:rFonts w:ascii="宋体" w:hAnsi="宋体" w:cs="宋体"/>
          <w:kern w:val="2"/>
          <w:highlight w:val="none"/>
        </w:rPr>
      </w:pPr>
      <w:r>
        <w:rPr>
          <w:rFonts w:ascii="宋体" w:hAnsi="宋体" w:cs="宋体"/>
          <w:highlight w:val="none"/>
        </w:rPr>
        <w:tab/>
      </w:r>
      <w:bookmarkStart w:id="17" w:name="_Toc25547"/>
      <w:r>
        <w:rPr>
          <w:rFonts w:hint="eastAsia" w:ascii="宋体" w:hAnsi="宋体" w:cs="宋体"/>
          <w:kern w:val="2"/>
          <w:sz w:val="28"/>
          <w:szCs w:val="36"/>
          <w:highlight w:val="none"/>
          <w:lang w:eastAsia="zh-CN"/>
        </w:rPr>
        <w:t>第三方检测、</w:t>
      </w:r>
      <w:r>
        <w:rPr>
          <w:rFonts w:hint="eastAsia" w:ascii="宋体" w:hAnsi="宋体" w:cs="宋体"/>
          <w:kern w:val="2"/>
          <w:sz w:val="28"/>
          <w:szCs w:val="36"/>
          <w:highlight w:val="none"/>
          <w:lang w:val="en-US" w:eastAsia="zh-CN"/>
        </w:rPr>
        <w:t>监测投标</w:t>
      </w:r>
      <w:r>
        <w:rPr>
          <w:rFonts w:hint="eastAsia" w:ascii="宋体" w:hAnsi="宋体" w:cs="宋体"/>
          <w:kern w:val="2"/>
          <w:sz w:val="28"/>
          <w:szCs w:val="36"/>
          <w:highlight w:val="none"/>
        </w:rPr>
        <w:t>人员组织架构表</w:t>
      </w:r>
      <w:bookmarkEnd w:id="17"/>
      <w:r>
        <w:rPr>
          <w:rFonts w:ascii="宋体" w:hAnsi="宋体" w:cs="宋体"/>
          <w:kern w:val="2"/>
          <w:sz w:val="28"/>
          <w:szCs w:val="36"/>
          <w:highlight w:val="none"/>
        </w:rPr>
        <w:tab/>
      </w:r>
    </w:p>
    <w:tbl>
      <w:tblPr>
        <w:tblStyle w:val="3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493"/>
        <w:gridCol w:w="1483"/>
        <w:gridCol w:w="2533"/>
        <w:gridCol w:w="1467"/>
        <w:gridCol w:w="1774"/>
      </w:tblGrid>
      <w:tr w14:paraId="35AA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D959B1D">
            <w:pPr>
              <w:keepNext w:val="0"/>
              <w:keepLines w:val="0"/>
              <w:suppressLineNumbers w:val="0"/>
              <w:spacing w:before="0" w:beforeAutospacing="0" w:after="0" w:afterAutospacing="0" w:line="280" w:lineRule="exact"/>
              <w:ind w:left="0" w:right="0"/>
              <w:jc w:val="center"/>
              <w:rPr>
                <w:rFonts w:hint="default" w:ascii="宋体" w:hAnsi="宋体" w:cs="宋体"/>
                <w:sz w:val="24"/>
                <w:highlight w:val="none"/>
              </w:rPr>
            </w:pPr>
            <w:bookmarkStart w:id="18" w:name="_Hlk44942048"/>
            <w:r>
              <w:rPr>
                <w:rFonts w:hint="eastAsia" w:ascii="宋体" w:hAnsi="宋体" w:cs="宋体"/>
                <w:sz w:val="24"/>
                <w:highlight w:val="none"/>
              </w:rPr>
              <w:t>序号</w:t>
            </w:r>
          </w:p>
        </w:tc>
        <w:tc>
          <w:tcPr>
            <w:tcW w:w="1493" w:type="dxa"/>
            <w:tcBorders>
              <w:top w:val="single" w:color="auto" w:sz="4" w:space="0"/>
              <w:left w:val="single" w:color="auto" w:sz="4" w:space="0"/>
              <w:bottom w:val="single" w:color="auto" w:sz="4" w:space="0"/>
              <w:right w:val="single" w:color="auto" w:sz="4" w:space="0"/>
            </w:tcBorders>
            <w:vAlign w:val="center"/>
          </w:tcPr>
          <w:p w14:paraId="538F888F">
            <w:pPr>
              <w:keepNext w:val="0"/>
              <w:keepLines w:val="0"/>
              <w:suppressLineNumbers w:val="0"/>
              <w:spacing w:before="0" w:beforeAutospacing="0" w:after="0" w:afterAutospacing="0" w:line="280" w:lineRule="exact"/>
              <w:ind w:left="0" w:right="0"/>
              <w:jc w:val="center"/>
              <w:rPr>
                <w:rFonts w:hint="default" w:ascii="宋体" w:hAnsi="宋体" w:cs="宋体"/>
                <w:sz w:val="24"/>
                <w:highlight w:val="none"/>
              </w:rPr>
            </w:pPr>
            <w:r>
              <w:rPr>
                <w:rFonts w:hint="eastAsia" w:ascii="宋体" w:hAnsi="宋体" w:cs="宋体"/>
                <w:sz w:val="24"/>
                <w:highlight w:val="none"/>
              </w:rPr>
              <w:t>专业</w:t>
            </w:r>
          </w:p>
        </w:tc>
        <w:tc>
          <w:tcPr>
            <w:tcW w:w="1483" w:type="dxa"/>
            <w:tcBorders>
              <w:top w:val="single" w:color="auto" w:sz="4" w:space="0"/>
              <w:left w:val="single" w:color="auto" w:sz="4" w:space="0"/>
              <w:bottom w:val="single" w:color="auto" w:sz="4" w:space="0"/>
              <w:right w:val="single" w:color="auto" w:sz="4" w:space="0"/>
            </w:tcBorders>
            <w:vAlign w:val="center"/>
          </w:tcPr>
          <w:p w14:paraId="0B38CF53">
            <w:pPr>
              <w:keepNext w:val="0"/>
              <w:keepLines w:val="0"/>
              <w:suppressLineNumbers w:val="0"/>
              <w:spacing w:before="0" w:beforeAutospacing="0" w:after="0" w:afterAutospacing="0" w:line="280" w:lineRule="exact"/>
              <w:ind w:left="0" w:right="0"/>
              <w:jc w:val="center"/>
              <w:rPr>
                <w:rFonts w:hint="default" w:ascii="宋体" w:hAnsi="宋体" w:cs="宋体"/>
                <w:sz w:val="24"/>
                <w:highlight w:val="none"/>
              </w:rPr>
            </w:pPr>
            <w:r>
              <w:rPr>
                <w:rFonts w:hint="eastAsia" w:ascii="宋体" w:hAnsi="宋体" w:cs="宋体"/>
                <w:sz w:val="24"/>
                <w:highlight w:val="none"/>
              </w:rPr>
              <w:t>姓名</w:t>
            </w:r>
          </w:p>
        </w:tc>
        <w:tc>
          <w:tcPr>
            <w:tcW w:w="2533" w:type="dxa"/>
            <w:tcBorders>
              <w:top w:val="single" w:color="auto" w:sz="4" w:space="0"/>
              <w:left w:val="single" w:color="auto" w:sz="4" w:space="0"/>
              <w:bottom w:val="single" w:color="auto" w:sz="4" w:space="0"/>
              <w:right w:val="single" w:color="auto" w:sz="4" w:space="0"/>
            </w:tcBorders>
            <w:vAlign w:val="center"/>
          </w:tcPr>
          <w:p w14:paraId="75ED4329">
            <w:pPr>
              <w:keepNext w:val="0"/>
              <w:keepLines w:val="0"/>
              <w:suppressLineNumbers w:val="0"/>
              <w:spacing w:before="0" w:beforeAutospacing="0" w:after="0" w:afterAutospacing="0" w:line="280" w:lineRule="exact"/>
              <w:ind w:left="0" w:right="0"/>
              <w:jc w:val="center"/>
              <w:rPr>
                <w:rFonts w:hint="default" w:ascii="宋体" w:hAnsi="宋体" w:cs="宋体"/>
                <w:sz w:val="24"/>
                <w:highlight w:val="none"/>
              </w:rPr>
            </w:pPr>
            <w:r>
              <w:rPr>
                <w:rFonts w:hint="eastAsia" w:ascii="宋体" w:hAnsi="宋体" w:cs="宋体"/>
                <w:sz w:val="24"/>
                <w:highlight w:val="none"/>
              </w:rPr>
              <w:t>职称</w:t>
            </w:r>
            <w:r>
              <w:rPr>
                <w:rFonts w:hint="default" w:ascii="宋体" w:hAnsi="宋体" w:cs="宋体"/>
                <w:sz w:val="24"/>
                <w:highlight w:val="none"/>
              </w:rPr>
              <w:t>/执业资格</w:t>
            </w:r>
          </w:p>
        </w:tc>
        <w:tc>
          <w:tcPr>
            <w:tcW w:w="1467" w:type="dxa"/>
            <w:tcBorders>
              <w:top w:val="single" w:color="auto" w:sz="4" w:space="0"/>
              <w:left w:val="single" w:color="auto" w:sz="4" w:space="0"/>
              <w:bottom w:val="single" w:color="auto" w:sz="4" w:space="0"/>
              <w:right w:val="single" w:color="auto" w:sz="4" w:space="0"/>
            </w:tcBorders>
            <w:vAlign w:val="center"/>
          </w:tcPr>
          <w:p w14:paraId="184BD37F">
            <w:pPr>
              <w:keepNext w:val="0"/>
              <w:keepLines w:val="0"/>
              <w:suppressLineNumbers w:val="0"/>
              <w:spacing w:before="0" w:beforeAutospacing="0" w:after="0" w:afterAutospacing="0" w:line="280" w:lineRule="exact"/>
              <w:ind w:left="0" w:right="0"/>
              <w:jc w:val="center"/>
              <w:rPr>
                <w:rFonts w:hint="default" w:ascii="宋体" w:hAnsi="宋体" w:cs="宋体"/>
                <w:sz w:val="24"/>
                <w:highlight w:val="none"/>
              </w:rPr>
            </w:pPr>
            <w:r>
              <w:rPr>
                <w:rFonts w:hint="eastAsia" w:ascii="宋体" w:hAnsi="宋体" w:cs="宋体"/>
                <w:sz w:val="24"/>
                <w:highlight w:val="none"/>
              </w:rPr>
              <w:t>职务</w:t>
            </w:r>
          </w:p>
        </w:tc>
        <w:tc>
          <w:tcPr>
            <w:tcW w:w="1774" w:type="dxa"/>
            <w:tcBorders>
              <w:top w:val="single" w:color="auto" w:sz="4" w:space="0"/>
              <w:left w:val="single" w:color="auto" w:sz="4" w:space="0"/>
              <w:bottom w:val="single" w:color="auto" w:sz="4" w:space="0"/>
              <w:right w:val="single" w:color="auto" w:sz="4" w:space="0"/>
            </w:tcBorders>
            <w:vAlign w:val="center"/>
          </w:tcPr>
          <w:p w14:paraId="093BC8F2">
            <w:pPr>
              <w:keepNext w:val="0"/>
              <w:keepLines w:val="0"/>
              <w:suppressLineNumbers w:val="0"/>
              <w:spacing w:before="0" w:beforeAutospacing="0" w:after="0" w:afterAutospacing="0" w:line="280" w:lineRule="exact"/>
              <w:ind w:left="0" w:right="0"/>
              <w:jc w:val="center"/>
              <w:rPr>
                <w:rFonts w:hint="default" w:ascii="宋体" w:hAnsi="宋体" w:cs="宋体"/>
                <w:sz w:val="24"/>
                <w:highlight w:val="none"/>
              </w:rPr>
            </w:pPr>
            <w:r>
              <w:rPr>
                <w:rFonts w:hint="eastAsia" w:ascii="宋体" w:hAnsi="宋体" w:cs="宋体"/>
                <w:sz w:val="24"/>
                <w:highlight w:val="none"/>
              </w:rPr>
              <w:t>联系电话</w:t>
            </w:r>
          </w:p>
        </w:tc>
      </w:tr>
      <w:tr w14:paraId="1BC1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717CF4E">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1</w:t>
            </w:r>
          </w:p>
        </w:tc>
        <w:tc>
          <w:tcPr>
            <w:tcW w:w="1493" w:type="dxa"/>
            <w:tcBorders>
              <w:top w:val="single" w:color="auto" w:sz="4" w:space="0"/>
              <w:left w:val="single" w:color="auto" w:sz="4" w:space="0"/>
              <w:bottom w:val="single" w:color="auto" w:sz="4" w:space="0"/>
              <w:right w:val="single" w:color="auto" w:sz="4" w:space="0"/>
            </w:tcBorders>
            <w:vAlign w:val="center"/>
          </w:tcPr>
          <w:p w14:paraId="5DB67F65">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 w:val="24"/>
                <w:szCs w:val="24"/>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16A1BECC">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eastAsiaTheme="minorEastAsia"/>
                <w:sz w:val="24"/>
                <w:szCs w:val="24"/>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4455D7FB">
            <w:pPr>
              <w:keepNext w:val="0"/>
              <w:keepLines w:val="0"/>
              <w:suppressLineNumbers w:val="0"/>
              <w:spacing w:before="0" w:beforeAutospacing="0" w:after="0" w:afterAutospacing="0"/>
              <w:ind w:left="0" w:right="0"/>
              <w:jc w:val="center"/>
              <w:rPr>
                <w:rFonts w:hint="eastAsia" w:cs="宋体" w:asciiTheme="minorEastAsia" w:hAnsiTheme="minorEastAsia" w:eastAsiaTheme="minorEastAsia"/>
                <w:sz w:val="24"/>
                <w:szCs w:val="24"/>
                <w:highlight w:val="none"/>
              </w:rPr>
            </w:pPr>
          </w:p>
        </w:tc>
        <w:tc>
          <w:tcPr>
            <w:tcW w:w="1467" w:type="dxa"/>
            <w:tcBorders>
              <w:top w:val="single" w:color="auto" w:sz="4" w:space="0"/>
              <w:left w:val="single" w:color="auto" w:sz="4" w:space="0"/>
              <w:bottom w:val="single" w:color="auto" w:sz="4" w:space="0"/>
              <w:right w:val="single" w:color="auto" w:sz="4" w:space="0"/>
            </w:tcBorders>
            <w:vAlign w:val="center"/>
          </w:tcPr>
          <w:p w14:paraId="24D48505">
            <w:pPr>
              <w:keepNext w:val="0"/>
              <w:keepLines w:val="0"/>
              <w:suppressLineNumbers w:val="0"/>
              <w:spacing w:before="0" w:beforeAutospacing="0" w:after="0" w:afterAutospacing="0" w:line="280" w:lineRule="exact"/>
              <w:ind w:left="0" w:right="0"/>
              <w:jc w:val="center"/>
              <w:rPr>
                <w:rFonts w:hint="eastAsia" w:cs="宋体" w:asciiTheme="minorEastAsia" w:hAnsiTheme="minorEastAsia" w:eastAsiaTheme="minorEastAsia"/>
                <w:sz w:val="24"/>
                <w:szCs w:val="24"/>
                <w:highlight w:val="none"/>
              </w:rPr>
            </w:pPr>
          </w:p>
        </w:tc>
        <w:tc>
          <w:tcPr>
            <w:tcW w:w="1774" w:type="dxa"/>
            <w:tcBorders>
              <w:top w:val="single" w:color="auto" w:sz="4" w:space="0"/>
              <w:left w:val="single" w:color="auto" w:sz="4" w:space="0"/>
              <w:bottom w:val="single" w:color="auto" w:sz="4" w:space="0"/>
              <w:right w:val="single" w:color="auto" w:sz="4" w:space="0"/>
            </w:tcBorders>
            <w:vAlign w:val="center"/>
          </w:tcPr>
          <w:p w14:paraId="24B67315">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 w:val="24"/>
                <w:szCs w:val="24"/>
                <w:highlight w:val="none"/>
              </w:rPr>
            </w:pPr>
          </w:p>
        </w:tc>
      </w:tr>
      <w:tr w14:paraId="2BD4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929DCE1">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2</w:t>
            </w:r>
          </w:p>
        </w:tc>
        <w:tc>
          <w:tcPr>
            <w:tcW w:w="1493" w:type="dxa"/>
            <w:tcBorders>
              <w:top w:val="single" w:color="auto" w:sz="4" w:space="0"/>
              <w:left w:val="single" w:color="auto" w:sz="4" w:space="0"/>
              <w:bottom w:val="single" w:color="auto" w:sz="4" w:space="0"/>
              <w:right w:val="single" w:color="auto" w:sz="4" w:space="0"/>
            </w:tcBorders>
            <w:vAlign w:val="center"/>
          </w:tcPr>
          <w:p w14:paraId="5A31B2E8">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 w:val="24"/>
                <w:szCs w:val="24"/>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5D56C2C2">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eastAsiaTheme="minorEastAsia"/>
                <w:sz w:val="24"/>
                <w:szCs w:val="24"/>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35495E10">
            <w:pPr>
              <w:keepNext w:val="0"/>
              <w:keepLines w:val="0"/>
              <w:suppressLineNumbers w:val="0"/>
              <w:spacing w:before="0" w:beforeAutospacing="0" w:after="0" w:afterAutospacing="0"/>
              <w:ind w:left="0" w:right="0"/>
              <w:jc w:val="center"/>
              <w:rPr>
                <w:rFonts w:hint="eastAsia" w:cs="宋体" w:asciiTheme="minorEastAsia" w:hAnsiTheme="minorEastAsia" w:eastAsiaTheme="minorEastAsia"/>
                <w:sz w:val="24"/>
                <w:szCs w:val="24"/>
                <w:highlight w:val="none"/>
              </w:rPr>
            </w:pPr>
          </w:p>
        </w:tc>
        <w:tc>
          <w:tcPr>
            <w:tcW w:w="1467" w:type="dxa"/>
            <w:tcBorders>
              <w:top w:val="single" w:color="auto" w:sz="4" w:space="0"/>
              <w:left w:val="single" w:color="auto" w:sz="4" w:space="0"/>
              <w:bottom w:val="single" w:color="auto" w:sz="4" w:space="0"/>
              <w:right w:val="single" w:color="auto" w:sz="4" w:space="0"/>
            </w:tcBorders>
            <w:vAlign w:val="center"/>
          </w:tcPr>
          <w:p w14:paraId="50F61481">
            <w:pPr>
              <w:keepNext w:val="0"/>
              <w:keepLines w:val="0"/>
              <w:suppressLineNumbers w:val="0"/>
              <w:spacing w:before="0" w:beforeAutospacing="0" w:after="0" w:afterAutospacing="0" w:line="280" w:lineRule="exact"/>
              <w:ind w:left="0" w:right="0"/>
              <w:jc w:val="center"/>
              <w:rPr>
                <w:rFonts w:hint="eastAsia" w:cs="宋体" w:asciiTheme="minorEastAsia" w:hAnsiTheme="minorEastAsia" w:eastAsiaTheme="minorEastAsia"/>
                <w:sz w:val="24"/>
                <w:szCs w:val="24"/>
                <w:highlight w:val="none"/>
              </w:rPr>
            </w:pPr>
          </w:p>
        </w:tc>
        <w:tc>
          <w:tcPr>
            <w:tcW w:w="1774" w:type="dxa"/>
            <w:tcBorders>
              <w:top w:val="single" w:color="auto" w:sz="4" w:space="0"/>
              <w:left w:val="single" w:color="auto" w:sz="4" w:space="0"/>
              <w:bottom w:val="single" w:color="auto" w:sz="4" w:space="0"/>
              <w:right w:val="single" w:color="auto" w:sz="4" w:space="0"/>
            </w:tcBorders>
            <w:vAlign w:val="center"/>
          </w:tcPr>
          <w:p w14:paraId="3D7B2CC4">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 w:val="24"/>
                <w:szCs w:val="24"/>
                <w:highlight w:val="none"/>
              </w:rPr>
            </w:pPr>
          </w:p>
        </w:tc>
      </w:tr>
      <w:tr w14:paraId="7F47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446C2E5">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3</w:t>
            </w:r>
          </w:p>
        </w:tc>
        <w:tc>
          <w:tcPr>
            <w:tcW w:w="1493" w:type="dxa"/>
            <w:tcBorders>
              <w:top w:val="single" w:color="auto" w:sz="4" w:space="0"/>
              <w:left w:val="single" w:color="auto" w:sz="4" w:space="0"/>
              <w:bottom w:val="single" w:color="auto" w:sz="4" w:space="0"/>
              <w:right w:val="single" w:color="auto" w:sz="4" w:space="0"/>
            </w:tcBorders>
            <w:vAlign w:val="center"/>
          </w:tcPr>
          <w:p w14:paraId="0E08DCFC">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 w:val="24"/>
                <w:szCs w:val="24"/>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7BA170F0">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eastAsiaTheme="minorEastAsia"/>
                <w:sz w:val="24"/>
                <w:szCs w:val="24"/>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724DB6E8">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 w:val="24"/>
                <w:szCs w:val="24"/>
                <w:highlight w:val="none"/>
              </w:rPr>
            </w:pPr>
          </w:p>
        </w:tc>
        <w:tc>
          <w:tcPr>
            <w:tcW w:w="1467" w:type="dxa"/>
            <w:tcBorders>
              <w:top w:val="single" w:color="auto" w:sz="4" w:space="0"/>
              <w:left w:val="single" w:color="auto" w:sz="4" w:space="0"/>
              <w:bottom w:val="single" w:color="auto" w:sz="4" w:space="0"/>
              <w:right w:val="single" w:color="auto" w:sz="4" w:space="0"/>
            </w:tcBorders>
            <w:vAlign w:val="center"/>
          </w:tcPr>
          <w:p w14:paraId="6CF74B60">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 w:val="24"/>
                <w:szCs w:val="24"/>
                <w:highlight w:val="none"/>
              </w:rPr>
            </w:pPr>
          </w:p>
        </w:tc>
        <w:tc>
          <w:tcPr>
            <w:tcW w:w="1774" w:type="dxa"/>
            <w:tcBorders>
              <w:top w:val="single" w:color="auto" w:sz="4" w:space="0"/>
              <w:left w:val="single" w:color="auto" w:sz="4" w:space="0"/>
              <w:bottom w:val="single" w:color="auto" w:sz="4" w:space="0"/>
              <w:right w:val="single" w:color="auto" w:sz="4" w:space="0"/>
            </w:tcBorders>
            <w:vAlign w:val="center"/>
          </w:tcPr>
          <w:p w14:paraId="225368BE">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 w:val="24"/>
                <w:szCs w:val="24"/>
                <w:highlight w:val="none"/>
              </w:rPr>
            </w:pPr>
          </w:p>
        </w:tc>
      </w:tr>
      <w:tr w14:paraId="16B2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AFFC0A0">
            <w:pPr>
              <w:keepNext w:val="0"/>
              <w:keepLines w:val="0"/>
              <w:suppressLineNumbers w:val="0"/>
              <w:spacing w:before="0" w:beforeAutospacing="0" w:after="0" w:afterAutospacing="0" w:line="280" w:lineRule="exact"/>
              <w:ind w:left="0" w:right="0"/>
              <w:jc w:val="center"/>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4</w:t>
            </w:r>
          </w:p>
        </w:tc>
        <w:tc>
          <w:tcPr>
            <w:tcW w:w="1493" w:type="dxa"/>
            <w:tcBorders>
              <w:top w:val="single" w:color="auto" w:sz="4" w:space="0"/>
              <w:left w:val="single" w:color="auto" w:sz="4" w:space="0"/>
              <w:bottom w:val="single" w:color="auto" w:sz="4" w:space="0"/>
              <w:right w:val="single" w:color="auto" w:sz="4" w:space="0"/>
            </w:tcBorders>
            <w:vAlign w:val="center"/>
          </w:tcPr>
          <w:p w14:paraId="2C4B34CB">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 w:val="24"/>
                <w:szCs w:val="24"/>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7FB2AD51">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eastAsiaTheme="minorEastAsia"/>
                <w:sz w:val="24"/>
                <w:szCs w:val="24"/>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475C37A9">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 w:val="24"/>
                <w:szCs w:val="24"/>
                <w:highlight w:val="none"/>
              </w:rPr>
            </w:pPr>
          </w:p>
        </w:tc>
        <w:tc>
          <w:tcPr>
            <w:tcW w:w="1467" w:type="dxa"/>
            <w:tcBorders>
              <w:top w:val="single" w:color="auto" w:sz="4" w:space="0"/>
              <w:left w:val="single" w:color="auto" w:sz="4" w:space="0"/>
              <w:bottom w:val="single" w:color="auto" w:sz="4" w:space="0"/>
              <w:right w:val="single" w:color="auto" w:sz="4" w:space="0"/>
            </w:tcBorders>
            <w:vAlign w:val="center"/>
          </w:tcPr>
          <w:p w14:paraId="388EAEAA">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 w:val="24"/>
                <w:szCs w:val="24"/>
                <w:highlight w:val="none"/>
              </w:rPr>
            </w:pPr>
          </w:p>
        </w:tc>
        <w:tc>
          <w:tcPr>
            <w:tcW w:w="1774" w:type="dxa"/>
            <w:tcBorders>
              <w:top w:val="single" w:color="auto" w:sz="4" w:space="0"/>
              <w:left w:val="single" w:color="auto" w:sz="4" w:space="0"/>
              <w:bottom w:val="single" w:color="auto" w:sz="4" w:space="0"/>
              <w:right w:val="single" w:color="auto" w:sz="4" w:space="0"/>
            </w:tcBorders>
            <w:vAlign w:val="center"/>
          </w:tcPr>
          <w:p w14:paraId="20C8BF57">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 w:val="24"/>
                <w:szCs w:val="24"/>
                <w:highlight w:val="none"/>
              </w:rPr>
            </w:pPr>
          </w:p>
        </w:tc>
      </w:tr>
      <w:tr w14:paraId="7C38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0CD2EF1">
            <w:pPr>
              <w:keepNext w:val="0"/>
              <w:keepLines w:val="0"/>
              <w:suppressLineNumbers w:val="0"/>
              <w:spacing w:before="0" w:beforeAutospacing="0" w:after="0" w:afterAutospacing="0" w:line="280" w:lineRule="exact"/>
              <w:ind w:left="0" w:right="0"/>
              <w:jc w:val="center"/>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5</w:t>
            </w:r>
          </w:p>
        </w:tc>
        <w:tc>
          <w:tcPr>
            <w:tcW w:w="1493" w:type="dxa"/>
            <w:tcBorders>
              <w:top w:val="single" w:color="auto" w:sz="4" w:space="0"/>
              <w:left w:val="single" w:color="auto" w:sz="4" w:space="0"/>
              <w:bottom w:val="single" w:color="auto" w:sz="4" w:space="0"/>
              <w:right w:val="single" w:color="auto" w:sz="4" w:space="0"/>
            </w:tcBorders>
            <w:vAlign w:val="center"/>
          </w:tcPr>
          <w:p w14:paraId="2D4DA1FF">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37EF8502">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eastAsiaTheme="minorEastAsia"/>
                <w:szCs w:val="21"/>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6BD28DB7">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highlight w:val="none"/>
              </w:rPr>
            </w:pPr>
          </w:p>
        </w:tc>
        <w:tc>
          <w:tcPr>
            <w:tcW w:w="1467" w:type="dxa"/>
            <w:tcBorders>
              <w:top w:val="single" w:color="auto" w:sz="4" w:space="0"/>
              <w:left w:val="single" w:color="auto" w:sz="4" w:space="0"/>
              <w:bottom w:val="single" w:color="auto" w:sz="4" w:space="0"/>
              <w:right w:val="single" w:color="auto" w:sz="4" w:space="0"/>
            </w:tcBorders>
            <w:vAlign w:val="center"/>
          </w:tcPr>
          <w:p w14:paraId="6D825B41">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774" w:type="dxa"/>
            <w:tcBorders>
              <w:top w:val="single" w:color="auto" w:sz="4" w:space="0"/>
              <w:left w:val="single" w:color="auto" w:sz="4" w:space="0"/>
              <w:bottom w:val="single" w:color="auto" w:sz="4" w:space="0"/>
              <w:right w:val="single" w:color="auto" w:sz="4" w:space="0"/>
            </w:tcBorders>
            <w:vAlign w:val="center"/>
          </w:tcPr>
          <w:p w14:paraId="1E65C076">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r>
      <w:tr w14:paraId="1DCC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27357A9">
            <w:pPr>
              <w:keepNext w:val="0"/>
              <w:keepLines w:val="0"/>
              <w:suppressLineNumbers w:val="0"/>
              <w:spacing w:before="0" w:beforeAutospacing="0" w:after="0" w:afterAutospacing="0" w:line="280" w:lineRule="exact"/>
              <w:ind w:left="0" w:right="0"/>
              <w:jc w:val="center"/>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6</w:t>
            </w:r>
          </w:p>
        </w:tc>
        <w:tc>
          <w:tcPr>
            <w:tcW w:w="1493" w:type="dxa"/>
            <w:tcBorders>
              <w:top w:val="single" w:color="auto" w:sz="4" w:space="0"/>
              <w:left w:val="single" w:color="auto" w:sz="4" w:space="0"/>
              <w:bottom w:val="single" w:color="auto" w:sz="4" w:space="0"/>
              <w:right w:val="single" w:color="auto" w:sz="4" w:space="0"/>
            </w:tcBorders>
            <w:vAlign w:val="center"/>
          </w:tcPr>
          <w:p w14:paraId="66CAB150">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56CCEBD5">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eastAsiaTheme="minorEastAsia"/>
                <w:szCs w:val="21"/>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12B5B0E8">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highlight w:val="none"/>
              </w:rPr>
            </w:pPr>
          </w:p>
        </w:tc>
        <w:tc>
          <w:tcPr>
            <w:tcW w:w="1467" w:type="dxa"/>
            <w:tcBorders>
              <w:top w:val="single" w:color="auto" w:sz="4" w:space="0"/>
              <w:left w:val="single" w:color="auto" w:sz="4" w:space="0"/>
              <w:bottom w:val="single" w:color="auto" w:sz="4" w:space="0"/>
              <w:right w:val="single" w:color="auto" w:sz="4" w:space="0"/>
            </w:tcBorders>
            <w:vAlign w:val="center"/>
          </w:tcPr>
          <w:p w14:paraId="2E33928F">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774" w:type="dxa"/>
            <w:tcBorders>
              <w:top w:val="single" w:color="auto" w:sz="4" w:space="0"/>
              <w:left w:val="single" w:color="auto" w:sz="4" w:space="0"/>
              <w:bottom w:val="single" w:color="auto" w:sz="4" w:space="0"/>
              <w:right w:val="single" w:color="auto" w:sz="4" w:space="0"/>
            </w:tcBorders>
            <w:vAlign w:val="center"/>
          </w:tcPr>
          <w:p w14:paraId="30AFA937">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r>
      <w:tr w14:paraId="0B2C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48DBDBB">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14:paraId="7177269E">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0E53B670">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eastAsiaTheme="minorEastAsia"/>
                <w:szCs w:val="21"/>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40C3C3A9">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highlight w:val="none"/>
              </w:rPr>
            </w:pPr>
          </w:p>
        </w:tc>
        <w:tc>
          <w:tcPr>
            <w:tcW w:w="1467" w:type="dxa"/>
            <w:tcBorders>
              <w:top w:val="single" w:color="auto" w:sz="4" w:space="0"/>
              <w:left w:val="single" w:color="auto" w:sz="4" w:space="0"/>
              <w:bottom w:val="single" w:color="auto" w:sz="4" w:space="0"/>
              <w:right w:val="single" w:color="auto" w:sz="4" w:space="0"/>
            </w:tcBorders>
            <w:vAlign w:val="center"/>
          </w:tcPr>
          <w:p w14:paraId="17C167D6">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774" w:type="dxa"/>
            <w:tcBorders>
              <w:top w:val="single" w:color="auto" w:sz="4" w:space="0"/>
              <w:left w:val="single" w:color="auto" w:sz="4" w:space="0"/>
              <w:bottom w:val="single" w:color="auto" w:sz="4" w:space="0"/>
              <w:right w:val="single" w:color="auto" w:sz="4" w:space="0"/>
            </w:tcBorders>
            <w:vAlign w:val="center"/>
          </w:tcPr>
          <w:p w14:paraId="29802CB6">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r>
      <w:tr w14:paraId="2909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522CF31">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14:paraId="748FA4C0">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376327D5">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eastAsiaTheme="minorEastAsia"/>
                <w:szCs w:val="21"/>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72227C0E">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highlight w:val="none"/>
              </w:rPr>
            </w:pPr>
          </w:p>
        </w:tc>
        <w:tc>
          <w:tcPr>
            <w:tcW w:w="1467" w:type="dxa"/>
            <w:tcBorders>
              <w:top w:val="single" w:color="auto" w:sz="4" w:space="0"/>
              <w:left w:val="single" w:color="auto" w:sz="4" w:space="0"/>
              <w:bottom w:val="single" w:color="auto" w:sz="4" w:space="0"/>
              <w:right w:val="single" w:color="auto" w:sz="4" w:space="0"/>
            </w:tcBorders>
            <w:vAlign w:val="center"/>
          </w:tcPr>
          <w:p w14:paraId="035A54D0">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774" w:type="dxa"/>
            <w:tcBorders>
              <w:top w:val="single" w:color="auto" w:sz="4" w:space="0"/>
              <w:left w:val="single" w:color="auto" w:sz="4" w:space="0"/>
              <w:bottom w:val="single" w:color="auto" w:sz="4" w:space="0"/>
              <w:right w:val="single" w:color="auto" w:sz="4" w:space="0"/>
            </w:tcBorders>
            <w:vAlign w:val="center"/>
          </w:tcPr>
          <w:p w14:paraId="559D3981">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r>
      <w:tr w14:paraId="0108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7736AFB">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14:paraId="4B60263B">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17355B98">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eastAsiaTheme="minorEastAsia"/>
                <w:szCs w:val="21"/>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11E82192">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highlight w:val="none"/>
              </w:rPr>
            </w:pPr>
          </w:p>
        </w:tc>
        <w:tc>
          <w:tcPr>
            <w:tcW w:w="1467" w:type="dxa"/>
            <w:tcBorders>
              <w:top w:val="single" w:color="auto" w:sz="4" w:space="0"/>
              <w:left w:val="single" w:color="auto" w:sz="4" w:space="0"/>
              <w:bottom w:val="single" w:color="auto" w:sz="4" w:space="0"/>
              <w:right w:val="single" w:color="auto" w:sz="4" w:space="0"/>
            </w:tcBorders>
            <w:vAlign w:val="center"/>
          </w:tcPr>
          <w:p w14:paraId="5D9F147A">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774" w:type="dxa"/>
            <w:tcBorders>
              <w:top w:val="single" w:color="auto" w:sz="4" w:space="0"/>
              <w:left w:val="single" w:color="auto" w:sz="4" w:space="0"/>
              <w:bottom w:val="single" w:color="auto" w:sz="4" w:space="0"/>
              <w:right w:val="single" w:color="auto" w:sz="4" w:space="0"/>
            </w:tcBorders>
            <w:vAlign w:val="center"/>
          </w:tcPr>
          <w:p w14:paraId="21F9E39E">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r>
      <w:tr w14:paraId="3E50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D4478F7">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14:paraId="798D459A">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2E643FE7">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eastAsiaTheme="minorEastAsia"/>
                <w:szCs w:val="21"/>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7E5112CE">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highlight w:val="none"/>
              </w:rPr>
            </w:pPr>
          </w:p>
        </w:tc>
        <w:tc>
          <w:tcPr>
            <w:tcW w:w="1467" w:type="dxa"/>
            <w:tcBorders>
              <w:top w:val="single" w:color="auto" w:sz="4" w:space="0"/>
              <w:left w:val="single" w:color="auto" w:sz="4" w:space="0"/>
              <w:bottom w:val="single" w:color="auto" w:sz="4" w:space="0"/>
              <w:right w:val="single" w:color="auto" w:sz="4" w:space="0"/>
            </w:tcBorders>
            <w:vAlign w:val="center"/>
          </w:tcPr>
          <w:p w14:paraId="019A2E46">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774" w:type="dxa"/>
            <w:tcBorders>
              <w:top w:val="single" w:color="auto" w:sz="4" w:space="0"/>
              <w:left w:val="single" w:color="auto" w:sz="4" w:space="0"/>
              <w:bottom w:val="single" w:color="auto" w:sz="4" w:space="0"/>
              <w:right w:val="single" w:color="auto" w:sz="4" w:space="0"/>
            </w:tcBorders>
            <w:vAlign w:val="center"/>
          </w:tcPr>
          <w:p w14:paraId="2131CED0">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r>
      <w:tr w14:paraId="5F17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92FADFB">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14:paraId="3D7009D1">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7A565B44">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eastAsiaTheme="minorEastAsia"/>
                <w:szCs w:val="21"/>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601B9DBB">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highlight w:val="none"/>
              </w:rPr>
            </w:pPr>
          </w:p>
        </w:tc>
        <w:tc>
          <w:tcPr>
            <w:tcW w:w="1467" w:type="dxa"/>
            <w:tcBorders>
              <w:top w:val="single" w:color="auto" w:sz="4" w:space="0"/>
              <w:left w:val="single" w:color="auto" w:sz="4" w:space="0"/>
              <w:bottom w:val="single" w:color="auto" w:sz="4" w:space="0"/>
              <w:right w:val="single" w:color="auto" w:sz="4" w:space="0"/>
            </w:tcBorders>
            <w:vAlign w:val="center"/>
          </w:tcPr>
          <w:p w14:paraId="4F41E586">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774" w:type="dxa"/>
            <w:tcBorders>
              <w:top w:val="single" w:color="auto" w:sz="4" w:space="0"/>
              <w:left w:val="single" w:color="auto" w:sz="4" w:space="0"/>
              <w:bottom w:val="single" w:color="auto" w:sz="4" w:space="0"/>
              <w:right w:val="single" w:color="auto" w:sz="4" w:space="0"/>
            </w:tcBorders>
            <w:vAlign w:val="center"/>
          </w:tcPr>
          <w:p w14:paraId="5E810369">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r>
      <w:tr w14:paraId="665E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4168108">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14:paraId="315FB607">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6A72192C">
            <w:pPr>
              <w:keepNext w:val="0"/>
              <w:keepLines w:val="0"/>
              <w:widowControl/>
              <w:suppressLineNumbers w:val="0"/>
              <w:spacing w:before="0" w:beforeAutospacing="0" w:after="0" w:afterAutospacing="0" w:line="360" w:lineRule="auto"/>
              <w:ind w:left="0" w:right="0"/>
              <w:jc w:val="center"/>
              <w:rPr>
                <w:rFonts w:hint="default" w:cs="宋体" w:asciiTheme="minorEastAsia" w:hAnsiTheme="minorEastAsia" w:eastAsiaTheme="minorEastAsia"/>
                <w:szCs w:val="21"/>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77058C73">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szCs w:val="21"/>
                <w:highlight w:val="none"/>
              </w:rPr>
            </w:pPr>
          </w:p>
        </w:tc>
        <w:tc>
          <w:tcPr>
            <w:tcW w:w="1467" w:type="dxa"/>
            <w:tcBorders>
              <w:top w:val="single" w:color="auto" w:sz="4" w:space="0"/>
              <w:left w:val="single" w:color="auto" w:sz="4" w:space="0"/>
              <w:bottom w:val="single" w:color="auto" w:sz="4" w:space="0"/>
              <w:right w:val="single" w:color="auto" w:sz="4" w:space="0"/>
            </w:tcBorders>
            <w:vAlign w:val="center"/>
          </w:tcPr>
          <w:p w14:paraId="18C2CE9B">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c>
          <w:tcPr>
            <w:tcW w:w="1774" w:type="dxa"/>
            <w:tcBorders>
              <w:top w:val="single" w:color="auto" w:sz="4" w:space="0"/>
              <w:left w:val="single" w:color="auto" w:sz="4" w:space="0"/>
              <w:bottom w:val="single" w:color="auto" w:sz="4" w:space="0"/>
              <w:right w:val="single" w:color="auto" w:sz="4" w:space="0"/>
            </w:tcBorders>
            <w:vAlign w:val="center"/>
          </w:tcPr>
          <w:p w14:paraId="212E5222">
            <w:pPr>
              <w:keepNext w:val="0"/>
              <w:keepLines w:val="0"/>
              <w:suppressLineNumbers w:val="0"/>
              <w:spacing w:before="0" w:beforeAutospacing="0" w:after="0" w:afterAutospacing="0" w:line="280" w:lineRule="exact"/>
              <w:ind w:left="0" w:right="0"/>
              <w:jc w:val="center"/>
              <w:rPr>
                <w:rFonts w:hint="default" w:cs="宋体" w:asciiTheme="minorEastAsia" w:hAnsiTheme="minorEastAsia" w:eastAsiaTheme="minorEastAsia"/>
                <w:szCs w:val="21"/>
                <w:highlight w:val="none"/>
              </w:rPr>
            </w:pPr>
          </w:p>
        </w:tc>
      </w:tr>
      <w:tr w14:paraId="78BD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2E837E6">
            <w:pPr>
              <w:keepNext w:val="0"/>
              <w:keepLines w:val="0"/>
              <w:suppressLineNumbers w:val="0"/>
              <w:spacing w:before="0" w:beforeAutospacing="0" w:after="0" w:afterAutospacing="0" w:line="280" w:lineRule="exact"/>
              <w:ind w:left="0" w:right="0"/>
              <w:jc w:val="center"/>
              <w:rPr>
                <w:rFonts w:hint="default" w:ascii="宋体" w:hAnsi="宋体" w:cs="宋体"/>
                <w:sz w:val="24"/>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14:paraId="0A0E5D69">
            <w:pPr>
              <w:keepNext w:val="0"/>
              <w:keepLines w:val="0"/>
              <w:suppressLineNumbers w:val="0"/>
              <w:spacing w:before="0" w:beforeAutospacing="0" w:after="0" w:afterAutospacing="0" w:line="280" w:lineRule="exact"/>
              <w:ind w:left="0" w:right="0"/>
              <w:jc w:val="center"/>
              <w:rPr>
                <w:rFonts w:hint="default" w:ascii="宋体" w:hAnsi="宋体" w:cs="宋体"/>
                <w:sz w:val="24"/>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5EEAE39C">
            <w:pPr>
              <w:keepNext w:val="0"/>
              <w:keepLines w:val="0"/>
              <w:widowControl/>
              <w:suppressLineNumbers w:val="0"/>
              <w:spacing w:before="0" w:beforeAutospacing="0" w:after="0" w:afterAutospacing="0" w:line="360" w:lineRule="auto"/>
              <w:ind w:left="0" w:right="0"/>
              <w:jc w:val="center"/>
              <w:rPr>
                <w:rFonts w:hint="default" w:ascii="宋体" w:hAnsi="宋体" w:cs="宋体"/>
                <w:sz w:val="24"/>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6A35565A">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467" w:type="dxa"/>
            <w:tcBorders>
              <w:top w:val="single" w:color="auto" w:sz="4" w:space="0"/>
              <w:left w:val="single" w:color="auto" w:sz="4" w:space="0"/>
              <w:bottom w:val="single" w:color="auto" w:sz="4" w:space="0"/>
              <w:right w:val="single" w:color="auto" w:sz="4" w:space="0"/>
            </w:tcBorders>
            <w:vAlign w:val="center"/>
          </w:tcPr>
          <w:p w14:paraId="0D3A9139">
            <w:pPr>
              <w:keepNext w:val="0"/>
              <w:keepLines w:val="0"/>
              <w:suppressLineNumbers w:val="0"/>
              <w:spacing w:before="0" w:beforeAutospacing="0" w:after="0" w:afterAutospacing="0" w:line="280" w:lineRule="exact"/>
              <w:ind w:left="0" w:right="0"/>
              <w:jc w:val="center"/>
              <w:rPr>
                <w:rFonts w:hint="default" w:ascii="宋体" w:hAnsi="宋体" w:cs="宋体"/>
                <w:sz w:val="24"/>
                <w:highlight w:val="none"/>
              </w:rPr>
            </w:pPr>
          </w:p>
        </w:tc>
        <w:tc>
          <w:tcPr>
            <w:tcW w:w="1774" w:type="dxa"/>
            <w:tcBorders>
              <w:top w:val="single" w:color="auto" w:sz="4" w:space="0"/>
              <w:left w:val="single" w:color="auto" w:sz="4" w:space="0"/>
              <w:bottom w:val="single" w:color="auto" w:sz="4" w:space="0"/>
              <w:right w:val="single" w:color="auto" w:sz="4" w:space="0"/>
            </w:tcBorders>
            <w:vAlign w:val="center"/>
          </w:tcPr>
          <w:p w14:paraId="790AA2C9">
            <w:pPr>
              <w:keepNext w:val="0"/>
              <w:keepLines w:val="0"/>
              <w:suppressLineNumbers w:val="0"/>
              <w:spacing w:before="0" w:beforeAutospacing="0" w:after="0" w:afterAutospacing="0" w:line="280" w:lineRule="exact"/>
              <w:ind w:left="0" w:right="0"/>
              <w:jc w:val="center"/>
              <w:rPr>
                <w:rFonts w:hint="default" w:ascii="宋体" w:hAnsi="宋体" w:cs="宋体"/>
                <w:sz w:val="24"/>
                <w:highlight w:val="none"/>
              </w:rPr>
            </w:pPr>
          </w:p>
        </w:tc>
      </w:tr>
      <w:tr w14:paraId="4566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96777C4">
            <w:pPr>
              <w:keepNext w:val="0"/>
              <w:keepLines w:val="0"/>
              <w:suppressLineNumbers w:val="0"/>
              <w:spacing w:before="0" w:beforeAutospacing="0" w:after="0" w:afterAutospacing="0" w:line="280" w:lineRule="exact"/>
              <w:ind w:left="0" w:right="0"/>
              <w:jc w:val="center"/>
              <w:rPr>
                <w:rFonts w:hint="default" w:ascii="宋体" w:hAnsi="宋体" w:cs="宋体"/>
                <w:sz w:val="24"/>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14:paraId="1230F8EF">
            <w:pPr>
              <w:keepNext w:val="0"/>
              <w:keepLines w:val="0"/>
              <w:suppressLineNumbers w:val="0"/>
              <w:spacing w:before="0" w:beforeAutospacing="0" w:after="0" w:afterAutospacing="0" w:line="280" w:lineRule="exact"/>
              <w:ind w:left="0" w:right="0"/>
              <w:jc w:val="center"/>
              <w:rPr>
                <w:rFonts w:hint="default" w:ascii="宋体" w:hAnsi="宋体" w:cs="宋体"/>
                <w:sz w:val="24"/>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29C2A641">
            <w:pPr>
              <w:keepNext w:val="0"/>
              <w:keepLines w:val="0"/>
              <w:widowControl/>
              <w:suppressLineNumbers w:val="0"/>
              <w:spacing w:before="0" w:beforeAutospacing="0" w:after="0" w:afterAutospacing="0" w:line="360" w:lineRule="auto"/>
              <w:ind w:left="0" w:right="0"/>
              <w:jc w:val="center"/>
              <w:rPr>
                <w:rFonts w:hint="default" w:ascii="宋体" w:hAnsi="宋体" w:cs="宋体"/>
                <w:sz w:val="24"/>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32519AC9">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467" w:type="dxa"/>
            <w:tcBorders>
              <w:top w:val="single" w:color="auto" w:sz="4" w:space="0"/>
              <w:left w:val="single" w:color="auto" w:sz="4" w:space="0"/>
              <w:bottom w:val="single" w:color="auto" w:sz="4" w:space="0"/>
              <w:right w:val="single" w:color="auto" w:sz="4" w:space="0"/>
            </w:tcBorders>
            <w:vAlign w:val="center"/>
          </w:tcPr>
          <w:p w14:paraId="2A6148E0">
            <w:pPr>
              <w:keepNext w:val="0"/>
              <w:keepLines w:val="0"/>
              <w:suppressLineNumbers w:val="0"/>
              <w:spacing w:before="0" w:beforeAutospacing="0" w:after="0" w:afterAutospacing="0" w:line="280" w:lineRule="exact"/>
              <w:ind w:left="0" w:right="0"/>
              <w:jc w:val="center"/>
              <w:rPr>
                <w:rFonts w:hint="default" w:ascii="宋体" w:hAnsi="宋体" w:cs="宋体"/>
                <w:sz w:val="24"/>
                <w:highlight w:val="none"/>
              </w:rPr>
            </w:pPr>
          </w:p>
        </w:tc>
        <w:tc>
          <w:tcPr>
            <w:tcW w:w="1774" w:type="dxa"/>
            <w:tcBorders>
              <w:top w:val="single" w:color="auto" w:sz="4" w:space="0"/>
              <w:left w:val="single" w:color="auto" w:sz="4" w:space="0"/>
              <w:bottom w:val="single" w:color="auto" w:sz="4" w:space="0"/>
              <w:right w:val="single" w:color="auto" w:sz="4" w:space="0"/>
            </w:tcBorders>
            <w:vAlign w:val="center"/>
          </w:tcPr>
          <w:p w14:paraId="6A4DED6C">
            <w:pPr>
              <w:keepNext w:val="0"/>
              <w:keepLines w:val="0"/>
              <w:suppressLineNumbers w:val="0"/>
              <w:spacing w:before="0" w:beforeAutospacing="0" w:after="0" w:afterAutospacing="0" w:line="280" w:lineRule="exact"/>
              <w:ind w:left="0" w:right="0"/>
              <w:jc w:val="center"/>
              <w:rPr>
                <w:rFonts w:hint="default" w:ascii="宋体" w:hAnsi="宋体" w:cs="宋体"/>
                <w:sz w:val="24"/>
                <w:highlight w:val="none"/>
              </w:rPr>
            </w:pPr>
          </w:p>
        </w:tc>
      </w:tr>
      <w:tr w14:paraId="0D40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2EF1606">
            <w:pPr>
              <w:keepNext w:val="0"/>
              <w:keepLines w:val="0"/>
              <w:suppressLineNumbers w:val="0"/>
              <w:spacing w:before="0" w:beforeAutospacing="0" w:after="0" w:afterAutospacing="0" w:line="280" w:lineRule="exact"/>
              <w:ind w:left="0" w:right="0"/>
              <w:jc w:val="center"/>
              <w:rPr>
                <w:rFonts w:hint="default" w:ascii="宋体" w:hAnsi="宋体" w:cs="宋体"/>
                <w:sz w:val="24"/>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14:paraId="3F51B471">
            <w:pPr>
              <w:keepNext w:val="0"/>
              <w:keepLines w:val="0"/>
              <w:suppressLineNumbers w:val="0"/>
              <w:spacing w:before="0" w:beforeAutospacing="0" w:after="0" w:afterAutospacing="0" w:line="280" w:lineRule="exact"/>
              <w:ind w:left="0" w:right="0"/>
              <w:jc w:val="center"/>
              <w:rPr>
                <w:rFonts w:hint="default" w:ascii="宋体" w:hAnsi="宋体" w:cs="宋体"/>
                <w:sz w:val="24"/>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66A4CDEE">
            <w:pPr>
              <w:keepNext w:val="0"/>
              <w:keepLines w:val="0"/>
              <w:widowControl/>
              <w:suppressLineNumbers w:val="0"/>
              <w:spacing w:before="0" w:beforeAutospacing="0" w:after="0" w:afterAutospacing="0" w:line="360" w:lineRule="auto"/>
              <w:ind w:left="0" w:right="0"/>
              <w:jc w:val="center"/>
              <w:rPr>
                <w:rFonts w:hint="default" w:ascii="宋体" w:hAnsi="宋体" w:cs="宋体"/>
                <w:sz w:val="24"/>
                <w:highlight w:val="none"/>
              </w:rPr>
            </w:pPr>
          </w:p>
        </w:tc>
        <w:tc>
          <w:tcPr>
            <w:tcW w:w="2533" w:type="dxa"/>
            <w:tcBorders>
              <w:top w:val="single" w:color="auto" w:sz="4" w:space="0"/>
              <w:left w:val="single" w:color="auto" w:sz="4" w:space="0"/>
              <w:bottom w:val="single" w:color="auto" w:sz="4" w:space="0"/>
              <w:right w:val="single" w:color="auto" w:sz="4" w:space="0"/>
            </w:tcBorders>
            <w:vAlign w:val="center"/>
          </w:tcPr>
          <w:p w14:paraId="0F90B6ED">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467" w:type="dxa"/>
            <w:tcBorders>
              <w:top w:val="single" w:color="auto" w:sz="4" w:space="0"/>
              <w:left w:val="single" w:color="auto" w:sz="4" w:space="0"/>
              <w:bottom w:val="single" w:color="auto" w:sz="4" w:space="0"/>
              <w:right w:val="single" w:color="auto" w:sz="4" w:space="0"/>
            </w:tcBorders>
            <w:vAlign w:val="center"/>
          </w:tcPr>
          <w:p w14:paraId="1A1CBB8C">
            <w:pPr>
              <w:keepNext w:val="0"/>
              <w:keepLines w:val="0"/>
              <w:suppressLineNumbers w:val="0"/>
              <w:spacing w:before="0" w:beforeAutospacing="0" w:after="0" w:afterAutospacing="0" w:line="280" w:lineRule="exact"/>
              <w:ind w:left="0" w:right="0"/>
              <w:jc w:val="center"/>
              <w:rPr>
                <w:rFonts w:hint="default" w:ascii="宋体" w:hAnsi="宋体" w:cs="宋体"/>
                <w:sz w:val="24"/>
                <w:highlight w:val="none"/>
              </w:rPr>
            </w:pPr>
          </w:p>
        </w:tc>
        <w:tc>
          <w:tcPr>
            <w:tcW w:w="1774" w:type="dxa"/>
            <w:tcBorders>
              <w:top w:val="single" w:color="auto" w:sz="4" w:space="0"/>
              <w:left w:val="single" w:color="auto" w:sz="4" w:space="0"/>
              <w:bottom w:val="single" w:color="auto" w:sz="4" w:space="0"/>
              <w:right w:val="single" w:color="auto" w:sz="4" w:space="0"/>
            </w:tcBorders>
            <w:vAlign w:val="center"/>
          </w:tcPr>
          <w:p w14:paraId="0C3EB536">
            <w:pPr>
              <w:keepNext w:val="0"/>
              <w:keepLines w:val="0"/>
              <w:suppressLineNumbers w:val="0"/>
              <w:spacing w:before="0" w:beforeAutospacing="0" w:after="0" w:afterAutospacing="0" w:line="280" w:lineRule="exact"/>
              <w:ind w:left="0" w:right="0"/>
              <w:jc w:val="center"/>
              <w:rPr>
                <w:rFonts w:hint="default" w:ascii="宋体" w:hAnsi="宋体" w:cs="宋体"/>
                <w:sz w:val="24"/>
                <w:highlight w:val="none"/>
              </w:rPr>
            </w:pPr>
          </w:p>
        </w:tc>
      </w:tr>
      <w:bookmarkEnd w:id="18"/>
    </w:tbl>
    <w:p w14:paraId="3B5CA91E">
      <w:pPr>
        <w:pStyle w:val="6"/>
        <w:adjustRightInd w:val="0"/>
        <w:snapToGrid w:val="0"/>
        <w:spacing w:line="360" w:lineRule="auto"/>
        <w:ind w:firstLine="0"/>
        <w:rPr>
          <w:rFonts w:ascii="宋体" w:hAnsi="宋体" w:cs="宋体"/>
          <w:bCs/>
          <w:snapToGrid w:val="0"/>
          <w:kern w:val="0"/>
          <w:sz w:val="24"/>
          <w:szCs w:val="24"/>
          <w:highlight w:val="none"/>
        </w:rPr>
      </w:pPr>
    </w:p>
    <w:p w14:paraId="3BBF63C8">
      <w:pPr>
        <w:pStyle w:val="14"/>
        <w:rPr>
          <w:rFonts w:ascii="宋体" w:hAnsi="宋体"/>
          <w:b/>
          <w:sz w:val="30"/>
          <w:szCs w:val="30"/>
          <w:highlight w:val="none"/>
        </w:rPr>
      </w:pPr>
    </w:p>
    <w:p w14:paraId="5732F1B4">
      <w:pPr>
        <w:rPr>
          <w:rFonts w:ascii="宋体" w:hAnsi="宋体"/>
          <w:b/>
          <w:sz w:val="30"/>
          <w:szCs w:val="30"/>
          <w:highlight w:val="none"/>
        </w:rPr>
      </w:pPr>
      <w:r>
        <w:rPr>
          <w:rFonts w:ascii="宋体" w:hAnsi="宋体"/>
          <w:b/>
          <w:sz w:val="30"/>
          <w:szCs w:val="30"/>
          <w:highlight w:val="none"/>
        </w:rPr>
        <w:br w:type="page"/>
      </w:r>
    </w:p>
    <w:p w14:paraId="0B5C79DA">
      <w:pPr>
        <w:pStyle w:val="4"/>
        <w:rPr>
          <w:rFonts w:hint="eastAsia" w:ascii="宋体" w:hAnsi="宋体" w:cs="宋体"/>
          <w:color w:val="auto"/>
          <w:sz w:val="21"/>
          <w:szCs w:val="21"/>
          <w:highlight w:val="none"/>
        </w:rPr>
      </w:pPr>
      <w:bookmarkStart w:id="19" w:name="_Toc5005"/>
      <w:bookmarkStart w:id="20" w:name="_Toc16008"/>
      <w:bookmarkStart w:id="21" w:name="_Toc12415"/>
      <w:bookmarkStart w:id="22" w:name="_Toc11089"/>
      <w:bookmarkStart w:id="23" w:name="_Toc5184"/>
      <w:bookmarkStart w:id="24" w:name="_Toc14087"/>
      <w:bookmarkStart w:id="25" w:name="_Toc5250"/>
      <w:bookmarkStart w:id="26" w:name="_Toc2052"/>
      <w:bookmarkStart w:id="27" w:name="_Toc15226"/>
      <w:r>
        <w:rPr>
          <w:rFonts w:hint="eastAsia" w:ascii="宋体" w:hAnsi="宋体" w:cs="宋体"/>
          <w:color w:val="auto"/>
          <w:sz w:val="21"/>
          <w:szCs w:val="21"/>
          <w:highlight w:val="none"/>
        </w:rPr>
        <w:t>附件</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 履约担保</w:t>
      </w:r>
      <w:bookmarkEnd w:id="19"/>
      <w:bookmarkEnd w:id="20"/>
      <w:bookmarkEnd w:id="21"/>
      <w:bookmarkEnd w:id="22"/>
      <w:bookmarkEnd w:id="23"/>
      <w:bookmarkEnd w:id="24"/>
      <w:bookmarkEnd w:id="25"/>
      <w:bookmarkEnd w:id="26"/>
      <w:bookmarkEnd w:id="27"/>
    </w:p>
    <w:p w14:paraId="77E1FA30">
      <w:pPr>
        <w:spacing w:line="360" w:lineRule="auto"/>
        <w:jc w:val="center"/>
        <w:rPr>
          <w:rFonts w:hint="eastAsia" w:ascii="宋体" w:hAnsi="宋体"/>
          <w:b/>
          <w:color w:val="auto"/>
          <w:spacing w:val="40"/>
          <w:sz w:val="36"/>
          <w:szCs w:val="36"/>
          <w:highlight w:val="none"/>
        </w:rPr>
      </w:pPr>
      <w:r>
        <w:rPr>
          <w:rFonts w:hint="eastAsia" w:ascii="宋体" w:hAnsi="宋体"/>
          <w:b/>
          <w:color w:val="auto"/>
          <w:spacing w:val="40"/>
          <w:sz w:val="36"/>
          <w:szCs w:val="36"/>
          <w:highlight w:val="none"/>
        </w:rPr>
        <w:t>履约担保</w:t>
      </w:r>
    </w:p>
    <w:p w14:paraId="0346B611">
      <w:pPr>
        <w:spacing w:line="360" w:lineRule="auto"/>
        <w:rPr>
          <w:rFonts w:hint="eastAsia" w:ascii="宋体" w:hAnsi="宋体"/>
          <w:color w:val="auto"/>
          <w:highlight w:val="none"/>
        </w:rPr>
      </w:pPr>
    </w:p>
    <w:p w14:paraId="28DFD0EC">
      <w:pPr>
        <w:spacing w:line="360" w:lineRule="auto"/>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（甲方全称）   </w:t>
      </w:r>
    </w:p>
    <w:p w14:paraId="2D2BA177">
      <w:pPr>
        <w:spacing w:line="360" w:lineRule="auto"/>
        <w:ind w:firstLine="480"/>
        <w:jc w:val="left"/>
        <w:rPr>
          <w:rFonts w:hint="eastAsia" w:ascii="宋体" w:hAnsi="宋体"/>
          <w:color w:val="auto"/>
          <w:sz w:val="24"/>
          <w:highlight w:val="none"/>
          <w:u w:val="single"/>
        </w:rPr>
      </w:pPr>
      <w:r>
        <w:rPr>
          <w:rFonts w:hint="eastAsia" w:ascii="宋体" w:hAnsi="宋体"/>
          <w:color w:val="auto"/>
          <w:sz w:val="24"/>
          <w:highlight w:val="none"/>
        </w:rPr>
        <w:t>鉴于</w:t>
      </w:r>
      <w:r>
        <w:rPr>
          <w:rFonts w:hint="eastAsia" w:ascii="宋体" w:hAnsi="宋体"/>
          <w:color w:val="auto"/>
          <w:sz w:val="24"/>
          <w:highlight w:val="none"/>
          <w:u w:val="single"/>
        </w:rPr>
        <w:t xml:space="preserve">             </w:t>
      </w:r>
      <w:r>
        <w:rPr>
          <w:rFonts w:hint="eastAsia" w:ascii="宋体" w:hAnsi="宋体"/>
          <w:color w:val="auto"/>
          <w:sz w:val="24"/>
          <w:highlight w:val="none"/>
        </w:rPr>
        <w:t>（乙方全称）(下称“乙方”)与</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甲方全称）(下称“甲方”)签订 </w:t>
      </w:r>
      <w:r>
        <w:rPr>
          <w:rFonts w:hint="eastAsia" w:ascii="宋体" w:hAnsi="宋体"/>
          <w:color w:val="auto"/>
          <w:sz w:val="24"/>
          <w:highlight w:val="none"/>
          <w:u w:val="single"/>
        </w:rPr>
        <w:t xml:space="preserve">            </w:t>
      </w:r>
      <w:r>
        <w:rPr>
          <w:rFonts w:hint="eastAsia" w:ascii="宋体" w:hAnsi="宋体"/>
          <w:color w:val="auto"/>
          <w:sz w:val="24"/>
          <w:highlight w:val="none"/>
        </w:rPr>
        <w:t>（工程名称）施工合同(编号</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签署)，并保证乙方按合同约定履行实施、完成并保修合同工程的义务和责任；甲方在合同中要求乙方应通过经认可的银行提交合同指定的乙方履行本合同全部义务和责任的担保金额等事实，我方愿意为乙方担保，以担保金额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ascii="宋体" w:hAnsi="宋体"/>
          <w:color w:val="auto"/>
          <w:sz w:val="24"/>
          <w:highlight w:val="none"/>
        </w:rPr>
        <w:t>¥</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元)向甲方提供不可撤销的担保。</w:t>
      </w:r>
    </w:p>
    <w:p w14:paraId="399A2E10">
      <w:pPr>
        <w:spacing w:line="360" w:lineRule="auto"/>
        <w:ind w:firstLine="480"/>
        <w:rPr>
          <w:rFonts w:hint="eastAsia" w:ascii="宋体" w:hAnsi="宋体"/>
          <w:color w:val="auto"/>
          <w:sz w:val="24"/>
          <w:highlight w:val="none"/>
        </w:rPr>
      </w:pPr>
      <w:r>
        <w:rPr>
          <w:rFonts w:hint="eastAsia" w:ascii="宋体" w:hAnsi="宋体"/>
          <w:color w:val="auto"/>
          <w:sz w:val="24"/>
          <w:highlight w:val="none"/>
        </w:rPr>
        <w:t>如果乙方在履行合同过程中发生违约或违背合同约定的义务和责任时，我方保证在担保金额额度内偿还或偿清甲方因乙方该项违约或违背所造成的经济损失，并在接到甲方提出赔偿要求的第</w:t>
      </w:r>
      <w:r>
        <w:rPr>
          <w:rFonts w:ascii="宋体" w:hAnsi="宋体"/>
          <w:color w:val="auto"/>
          <w:sz w:val="24"/>
          <w:highlight w:val="none"/>
          <w:u w:val="single"/>
        </w:rPr>
        <w:t>7</w:t>
      </w:r>
      <w:r>
        <w:rPr>
          <w:rFonts w:hint="eastAsia" w:ascii="宋体" w:hAnsi="宋体"/>
          <w:color w:val="auto"/>
          <w:sz w:val="24"/>
          <w:highlight w:val="none"/>
        </w:rPr>
        <w:t>天内予以支付。</w:t>
      </w:r>
    </w:p>
    <w:p w14:paraId="25014BDC">
      <w:pPr>
        <w:spacing w:line="360" w:lineRule="auto"/>
        <w:ind w:firstLine="480"/>
        <w:rPr>
          <w:rFonts w:hint="eastAsia" w:ascii="宋体" w:hAnsi="宋体"/>
          <w:color w:val="auto"/>
          <w:sz w:val="24"/>
          <w:highlight w:val="none"/>
        </w:rPr>
      </w:pPr>
      <w:r>
        <w:rPr>
          <w:rFonts w:hint="eastAsia" w:ascii="宋体" w:hAnsi="宋体"/>
          <w:color w:val="auto"/>
          <w:sz w:val="24"/>
          <w:highlight w:val="none"/>
        </w:rPr>
        <w:t>在向我方提出要求前，我方将不坚持要求甲方首先向乙方提出上述款项的索赔。</w:t>
      </w:r>
    </w:p>
    <w:p w14:paraId="5D00D461">
      <w:pPr>
        <w:spacing w:line="360" w:lineRule="auto"/>
        <w:ind w:firstLine="480"/>
        <w:rPr>
          <w:rFonts w:hint="eastAsia" w:ascii="宋体" w:hAnsi="宋体"/>
          <w:color w:val="auto"/>
          <w:sz w:val="24"/>
          <w:highlight w:val="none"/>
        </w:rPr>
      </w:pPr>
      <w:r>
        <w:rPr>
          <w:rFonts w:hint="eastAsia" w:ascii="宋体" w:hAnsi="宋体"/>
          <w:color w:val="auto"/>
          <w:sz w:val="24"/>
          <w:highlight w:val="none"/>
        </w:rPr>
        <w:t>我方承诺：不论是否经我方知晓或同意，我方的义务和责任不因合同双方当事人对合同条款所作的任何修改或补充而解除。</w:t>
      </w:r>
    </w:p>
    <w:p w14:paraId="164EFA5C">
      <w:pPr>
        <w:spacing w:line="360" w:lineRule="auto"/>
        <w:ind w:firstLine="480"/>
        <w:rPr>
          <w:rFonts w:hint="eastAsia" w:ascii="宋体" w:hAnsi="宋体"/>
          <w:color w:val="auto"/>
          <w:sz w:val="24"/>
          <w:highlight w:val="none"/>
        </w:rPr>
      </w:pPr>
      <w:r>
        <w:rPr>
          <w:rFonts w:hint="eastAsia" w:ascii="宋体" w:hAnsi="宋体"/>
          <w:color w:val="auto"/>
          <w:sz w:val="24"/>
          <w:highlight w:val="none"/>
        </w:rPr>
        <w:t>本履约担保自合同双方当事人签署施工合同之日起生效，至担保金额支付完毕，或工程竣工验收合格，甲方向乙方颁发竣工验收证书后第60天止。</w:t>
      </w:r>
    </w:p>
    <w:p w14:paraId="68EA9EDA">
      <w:pPr>
        <w:spacing w:line="360" w:lineRule="auto"/>
        <w:rPr>
          <w:rFonts w:hint="eastAsia" w:ascii="宋体" w:hAnsi="宋体"/>
          <w:color w:val="auto"/>
          <w:sz w:val="24"/>
          <w:highlight w:val="none"/>
        </w:rPr>
      </w:pPr>
    </w:p>
    <w:p w14:paraId="4BFCD41F">
      <w:pPr>
        <w:spacing w:line="360" w:lineRule="auto"/>
        <w:ind w:firstLine="480"/>
        <w:rPr>
          <w:rFonts w:hint="eastAsia" w:ascii="宋体" w:hAnsi="宋体"/>
          <w:color w:val="auto"/>
          <w:sz w:val="24"/>
          <w:highlight w:val="none"/>
        </w:rPr>
      </w:pPr>
      <w:r>
        <w:rPr>
          <w:rFonts w:hint="eastAsia" w:ascii="宋体" w:hAnsi="宋体"/>
          <w:color w:val="auto"/>
          <w:sz w:val="24"/>
          <w:highlight w:val="none"/>
        </w:rPr>
        <w:t xml:space="preserve">                            担保人盖章：</w:t>
      </w:r>
    </w:p>
    <w:p w14:paraId="269F7366">
      <w:pPr>
        <w:spacing w:line="360" w:lineRule="auto"/>
        <w:ind w:firstLine="480"/>
        <w:rPr>
          <w:rFonts w:hint="eastAsia" w:ascii="宋体" w:hAnsi="宋体"/>
          <w:color w:val="auto"/>
          <w:sz w:val="24"/>
          <w:highlight w:val="none"/>
        </w:rPr>
      </w:pPr>
      <w:r>
        <w:rPr>
          <w:rFonts w:hint="eastAsia" w:ascii="宋体" w:hAnsi="宋体"/>
          <w:color w:val="auto"/>
          <w:sz w:val="24"/>
          <w:highlight w:val="none"/>
        </w:rPr>
        <w:t xml:space="preserve">                            法定代表人或其授权的代理人：(签字签章)                                                         </w:t>
      </w:r>
    </w:p>
    <w:p w14:paraId="566A394F">
      <w:pPr>
        <w:spacing w:line="360" w:lineRule="auto"/>
        <w:ind w:firstLine="3840" w:firstLineChars="1600"/>
        <w:rPr>
          <w:rFonts w:hint="eastAsia" w:ascii="宋体" w:hAnsi="宋体"/>
          <w:color w:val="auto"/>
          <w:sz w:val="24"/>
          <w:highlight w:val="none"/>
        </w:rPr>
      </w:pPr>
      <w:r>
        <w:rPr>
          <w:rFonts w:hint="eastAsia" w:ascii="宋体" w:hAnsi="宋体"/>
          <w:color w:val="auto"/>
          <w:sz w:val="24"/>
          <w:highlight w:val="none"/>
        </w:rPr>
        <w:t xml:space="preserve">地址： </w:t>
      </w:r>
    </w:p>
    <w:p w14:paraId="0015D99A">
      <w:pPr>
        <w:autoSpaceDE w:val="0"/>
        <w:autoSpaceDN w:val="0"/>
        <w:adjustRightInd w:val="0"/>
        <w:spacing w:before="12" w:line="360" w:lineRule="auto"/>
        <w:jc w:val="left"/>
        <w:rPr>
          <w:rFonts w:hint="eastAsia" w:ascii="宋体" w:hAnsi="宋体"/>
          <w:color w:val="auto"/>
          <w:sz w:val="24"/>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D7C3DF8">
      <w:pPr>
        <w:pStyle w:val="3"/>
        <w:rPr>
          <w:rFonts w:hint="eastAsia"/>
          <w:color w:val="auto"/>
          <w:highlight w:val="none"/>
        </w:rPr>
      </w:pPr>
    </w:p>
    <w:p w14:paraId="43485C70">
      <w:pPr>
        <w:rPr>
          <w:rFonts w:ascii="宋体" w:hAnsi="宋体"/>
          <w:b/>
          <w:sz w:val="30"/>
          <w:szCs w:val="30"/>
          <w:highlight w:val="none"/>
        </w:rPr>
      </w:pPr>
    </w:p>
    <w:sectPr>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G Times (W1)">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 Yb 1gj">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090054"/>
    </w:sdtPr>
    <w:sdtContent>
      <w:p w14:paraId="471D46F5">
        <w:pPr>
          <w:pStyle w:val="21"/>
          <w:jc w:val="center"/>
        </w:pPr>
        <w:r>
          <w:fldChar w:fldCharType="begin"/>
        </w:r>
        <w:r>
          <w:instrText xml:space="preserve">PAGE   \* MERGEFORMAT</w:instrText>
        </w:r>
        <w:r>
          <w:fldChar w:fldCharType="separate"/>
        </w:r>
        <w:r>
          <w:rPr>
            <w:lang w:val="zh-CN"/>
          </w:rPr>
          <w:t>9</w:t>
        </w:r>
        <w:r>
          <w:fldChar w:fldCharType="end"/>
        </w:r>
      </w:p>
    </w:sdtContent>
  </w:sdt>
  <w:p w14:paraId="552D3D60">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3FB55">
    <w:pPr>
      <w:pStyle w:val="21"/>
      <w:framePr w:wrap="around" w:vAnchor="text" w:hAnchor="margin" w:xAlign="center" w:y="1"/>
      <w:rPr>
        <w:rStyle w:val="36"/>
      </w:rPr>
    </w:pPr>
    <w:r>
      <w:fldChar w:fldCharType="begin"/>
    </w:r>
    <w:r>
      <w:rPr>
        <w:rStyle w:val="36"/>
      </w:rPr>
      <w:instrText xml:space="preserve">PAGE  </w:instrText>
    </w:r>
    <w:r>
      <w:fldChar w:fldCharType="separate"/>
    </w:r>
    <w:r>
      <w:rPr>
        <w:rStyle w:val="36"/>
      </w:rPr>
      <w:t>20</w:t>
    </w:r>
    <w:r>
      <w:fldChar w:fldCharType="end"/>
    </w:r>
  </w:p>
  <w:p w14:paraId="65BCBEB6">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44E3E">
    <w:pPr>
      <w:pStyle w:val="21"/>
      <w:jc w:val="center"/>
    </w:pPr>
  </w:p>
  <w:p w14:paraId="0104A7F0">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074846"/>
    </w:sdtPr>
    <w:sdtContent>
      <w:p w14:paraId="07E57F7D">
        <w:pPr>
          <w:pStyle w:val="21"/>
          <w:jc w:val="center"/>
        </w:pPr>
        <w:r>
          <w:fldChar w:fldCharType="begin"/>
        </w:r>
        <w:r>
          <w:instrText xml:space="preserve">PAGE   \* MERGEFORMAT</w:instrText>
        </w:r>
        <w:r>
          <w:fldChar w:fldCharType="separate"/>
        </w:r>
        <w:r>
          <w:rPr>
            <w:lang w:val="zh-CN"/>
          </w:rPr>
          <w:t>23</w:t>
        </w:r>
        <w:r>
          <w:fldChar w:fldCharType="end"/>
        </w:r>
      </w:p>
    </w:sdtContent>
  </w:sdt>
  <w:p w14:paraId="67D3F24F">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3BE37">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5A682">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A3673">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EF8F3">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E2704"/>
    <w:multiLevelType w:val="singleLevel"/>
    <w:tmpl w:val="C58E270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NDZlYTgyZmRiMmU5ZWQ0ZTk3MmE5MjZjNmEwMjcifQ=="/>
  </w:docVars>
  <w:rsids>
    <w:rsidRoot w:val="00172A27"/>
    <w:rsid w:val="00001CED"/>
    <w:rsid w:val="00013653"/>
    <w:rsid w:val="00015319"/>
    <w:rsid w:val="000174E2"/>
    <w:rsid w:val="0002796B"/>
    <w:rsid w:val="00030F7D"/>
    <w:rsid w:val="00053693"/>
    <w:rsid w:val="00057083"/>
    <w:rsid w:val="00061FF1"/>
    <w:rsid w:val="00062911"/>
    <w:rsid w:val="00067736"/>
    <w:rsid w:val="000725F3"/>
    <w:rsid w:val="0007334E"/>
    <w:rsid w:val="00074544"/>
    <w:rsid w:val="00081B7B"/>
    <w:rsid w:val="00090DEA"/>
    <w:rsid w:val="000964F6"/>
    <w:rsid w:val="00097E52"/>
    <w:rsid w:val="000A5252"/>
    <w:rsid w:val="000B0CC7"/>
    <w:rsid w:val="000B6F01"/>
    <w:rsid w:val="000B7E9C"/>
    <w:rsid w:val="000C52C3"/>
    <w:rsid w:val="000C53AF"/>
    <w:rsid w:val="000C5AAF"/>
    <w:rsid w:val="000E45D2"/>
    <w:rsid w:val="000E52CF"/>
    <w:rsid w:val="000E6C36"/>
    <w:rsid w:val="000F35EB"/>
    <w:rsid w:val="000F3F89"/>
    <w:rsid w:val="00104BC0"/>
    <w:rsid w:val="0010562B"/>
    <w:rsid w:val="00112254"/>
    <w:rsid w:val="00114090"/>
    <w:rsid w:val="00114BDE"/>
    <w:rsid w:val="0012124A"/>
    <w:rsid w:val="001240B0"/>
    <w:rsid w:val="00124F87"/>
    <w:rsid w:val="00125F9B"/>
    <w:rsid w:val="00126770"/>
    <w:rsid w:val="00131E54"/>
    <w:rsid w:val="001340D8"/>
    <w:rsid w:val="00135A66"/>
    <w:rsid w:val="00137496"/>
    <w:rsid w:val="00141EBB"/>
    <w:rsid w:val="001463FB"/>
    <w:rsid w:val="00146512"/>
    <w:rsid w:val="001503A3"/>
    <w:rsid w:val="0015219B"/>
    <w:rsid w:val="00153832"/>
    <w:rsid w:val="00154502"/>
    <w:rsid w:val="00156B76"/>
    <w:rsid w:val="001677CD"/>
    <w:rsid w:val="00172A27"/>
    <w:rsid w:val="00174BE2"/>
    <w:rsid w:val="00184E16"/>
    <w:rsid w:val="00186EFA"/>
    <w:rsid w:val="001A1AC9"/>
    <w:rsid w:val="001A4D98"/>
    <w:rsid w:val="001A6DB7"/>
    <w:rsid w:val="001B2F79"/>
    <w:rsid w:val="001C0185"/>
    <w:rsid w:val="001C234B"/>
    <w:rsid w:val="001C5088"/>
    <w:rsid w:val="001D2829"/>
    <w:rsid w:val="001D2A0E"/>
    <w:rsid w:val="001D63A7"/>
    <w:rsid w:val="001D6E89"/>
    <w:rsid w:val="001E0764"/>
    <w:rsid w:val="001E0F10"/>
    <w:rsid w:val="001E41CD"/>
    <w:rsid w:val="001E4893"/>
    <w:rsid w:val="001E5FC7"/>
    <w:rsid w:val="001E6A53"/>
    <w:rsid w:val="001F0B58"/>
    <w:rsid w:val="00210AAE"/>
    <w:rsid w:val="0021141C"/>
    <w:rsid w:val="00215440"/>
    <w:rsid w:val="00221840"/>
    <w:rsid w:val="0022257C"/>
    <w:rsid w:val="002226F7"/>
    <w:rsid w:val="00225AEA"/>
    <w:rsid w:val="00225B82"/>
    <w:rsid w:val="00233FC2"/>
    <w:rsid w:val="00236B1C"/>
    <w:rsid w:val="00236EAE"/>
    <w:rsid w:val="00256166"/>
    <w:rsid w:val="002568AC"/>
    <w:rsid w:val="00260F4B"/>
    <w:rsid w:val="0026269E"/>
    <w:rsid w:val="00264591"/>
    <w:rsid w:val="0026732E"/>
    <w:rsid w:val="00275480"/>
    <w:rsid w:val="00283635"/>
    <w:rsid w:val="002A1806"/>
    <w:rsid w:val="002A2F15"/>
    <w:rsid w:val="002A7A0F"/>
    <w:rsid w:val="002C51EA"/>
    <w:rsid w:val="002D252E"/>
    <w:rsid w:val="002D5C7C"/>
    <w:rsid w:val="002E23FE"/>
    <w:rsid w:val="002E407B"/>
    <w:rsid w:val="002E5E11"/>
    <w:rsid w:val="002E6023"/>
    <w:rsid w:val="002E7D4A"/>
    <w:rsid w:val="002F568B"/>
    <w:rsid w:val="002F66BC"/>
    <w:rsid w:val="002F6813"/>
    <w:rsid w:val="00303551"/>
    <w:rsid w:val="00305AA8"/>
    <w:rsid w:val="003060DE"/>
    <w:rsid w:val="00306AF3"/>
    <w:rsid w:val="00312B43"/>
    <w:rsid w:val="003159BB"/>
    <w:rsid w:val="003166C1"/>
    <w:rsid w:val="0031786C"/>
    <w:rsid w:val="00320BA5"/>
    <w:rsid w:val="0033491F"/>
    <w:rsid w:val="00334D3A"/>
    <w:rsid w:val="00342801"/>
    <w:rsid w:val="00343E63"/>
    <w:rsid w:val="00346094"/>
    <w:rsid w:val="0034719F"/>
    <w:rsid w:val="003517A5"/>
    <w:rsid w:val="0035397E"/>
    <w:rsid w:val="00354259"/>
    <w:rsid w:val="00366263"/>
    <w:rsid w:val="00387750"/>
    <w:rsid w:val="003975EE"/>
    <w:rsid w:val="00397BD7"/>
    <w:rsid w:val="003A5689"/>
    <w:rsid w:val="003A6142"/>
    <w:rsid w:val="003B2563"/>
    <w:rsid w:val="003D139F"/>
    <w:rsid w:val="003E4F21"/>
    <w:rsid w:val="003E5EC7"/>
    <w:rsid w:val="003E78CD"/>
    <w:rsid w:val="003F2302"/>
    <w:rsid w:val="003F5756"/>
    <w:rsid w:val="004069F0"/>
    <w:rsid w:val="0043570B"/>
    <w:rsid w:val="00435D91"/>
    <w:rsid w:val="004363D2"/>
    <w:rsid w:val="00446FC0"/>
    <w:rsid w:val="004473C1"/>
    <w:rsid w:val="00452DF2"/>
    <w:rsid w:val="00456B9C"/>
    <w:rsid w:val="00460FB1"/>
    <w:rsid w:val="0046480D"/>
    <w:rsid w:val="004675F6"/>
    <w:rsid w:val="00474164"/>
    <w:rsid w:val="00495432"/>
    <w:rsid w:val="004A21DF"/>
    <w:rsid w:val="004A40E8"/>
    <w:rsid w:val="004B4E84"/>
    <w:rsid w:val="004C68DD"/>
    <w:rsid w:val="004D76F1"/>
    <w:rsid w:val="004E4AF9"/>
    <w:rsid w:val="004F5320"/>
    <w:rsid w:val="00502345"/>
    <w:rsid w:val="00516B17"/>
    <w:rsid w:val="00524197"/>
    <w:rsid w:val="00525234"/>
    <w:rsid w:val="00525EDC"/>
    <w:rsid w:val="00533D32"/>
    <w:rsid w:val="0055338A"/>
    <w:rsid w:val="00560152"/>
    <w:rsid w:val="00564D39"/>
    <w:rsid w:val="00566EAA"/>
    <w:rsid w:val="00567814"/>
    <w:rsid w:val="0058133E"/>
    <w:rsid w:val="00584719"/>
    <w:rsid w:val="005862DD"/>
    <w:rsid w:val="00595EA5"/>
    <w:rsid w:val="005A71EC"/>
    <w:rsid w:val="005B455C"/>
    <w:rsid w:val="005B5B6E"/>
    <w:rsid w:val="005C2D5E"/>
    <w:rsid w:val="005C5B72"/>
    <w:rsid w:val="005D2122"/>
    <w:rsid w:val="005E525A"/>
    <w:rsid w:val="005F1778"/>
    <w:rsid w:val="005F5FF3"/>
    <w:rsid w:val="00604C3D"/>
    <w:rsid w:val="00607300"/>
    <w:rsid w:val="00610DE5"/>
    <w:rsid w:val="00612D02"/>
    <w:rsid w:val="0063249D"/>
    <w:rsid w:val="0064294E"/>
    <w:rsid w:val="00650054"/>
    <w:rsid w:val="00650CFB"/>
    <w:rsid w:val="00670889"/>
    <w:rsid w:val="00673DA2"/>
    <w:rsid w:val="00687E11"/>
    <w:rsid w:val="00687F13"/>
    <w:rsid w:val="006A6550"/>
    <w:rsid w:val="006B2E9A"/>
    <w:rsid w:val="006B66DB"/>
    <w:rsid w:val="006C16A8"/>
    <w:rsid w:val="006C30E6"/>
    <w:rsid w:val="006D482B"/>
    <w:rsid w:val="006D4BC8"/>
    <w:rsid w:val="006F13E7"/>
    <w:rsid w:val="0070080D"/>
    <w:rsid w:val="00713DBF"/>
    <w:rsid w:val="00722DF9"/>
    <w:rsid w:val="00726AC0"/>
    <w:rsid w:val="00735E64"/>
    <w:rsid w:val="007423B9"/>
    <w:rsid w:val="00742B16"/>
    <w:rsid w:val="0075231A"/>
    <w:rsid w:val="007547C2"/>
    <w:rsid w:val="00760358"/>
    <w:rsid w:val="007752E8"/>
    <w:rsid w:val="00777290"/>
    <w:rsid w:val="00790AB9"/>
    <w:rsid w:val="007921F5"/>
    <w:rsid w:val="00794FE6"/>
    <w:rsid w:val="007A644F"/>
    <w:rsid w:val="007C52FB"/>
    <w:rsid w:val="007C79C0"/>
    <w:rsid w:val="007D5D86"/>
    <w:rsid w:val="007D735D"/>
    <w:rsid w:val="007E6902"/>
    <w:rsid w:val="007F158B"/>
    <w:rsid w:val="007F578B"/>
    <w:rsid w:val="007F5DA4"/>
    <w:rsid w:val="0080090C"/>
    <w:rsid w:val="008015D9"/>
    <w:rsid w:val="00804FB2"/>
    <w:rsid w:val="0081136A"/>
    <w:rsid w:val="00813758"/>
    <w:rsid w:val="0081470C"/>
    <w:rsid w:val="008174D4"/>
    <w:rsid w:val="00817B65"/>
    <w:rsid w:val="00826077"/>
    <w:rsid w:val="0083446B"/>
    <w:rsid w:val="00835779"/>
    <w:rsid w:val="0084069B"/>
    <w:rsid w:val="0087374D"/>
    <w:rsid w:val="008769DE"/>
    <w:rsid w:val="00887D83"/>
    <w:rsid w:val="008936A1"/>
    <w:rsid w:val="00894C22"/>
    <w:rsid w:val="008960CD"/>
    <w:rsid w:val="008A5582"/>
    <w:rsid w:val="008A71BB"/>
    <w:rsid w:val="008C33E4"/>
    <w:rsid w:val="008C6A62"/>
    <w:rsid w:val="008D0AC0"/>
    <w:rsid w:val="008D4723"/>
    <w:rsid w:val="008E08DA"/>
    <w:rsid w:val="008E0DB8"/>
    <w:rsid w:val="00904621"/>
    <w:rsid w:val="00907592"/>
    <w:rsid w:val="0091026F"/>
    <w:rsid w:val="00927F39"/>
    <w:rsid w:val="009326A9"/>
    <w:rsid w:val="00950CAC"/>
    <w:rsid w:val="0095395D"/>
    <w:rsid w:val="00953FF1"/>
    <w:rsid w:val="00974DEB"/>
    <w:rsid w:val="009775E9"/>
    <w:rsid w:val="0098642B"/>
    <w:rsid w:val="00986ECE"/>
    <w:rsid w:val="009930B0"/>
    <w:rsid w:val="009A0AB7"/>
    <w:rsid w:val="009B0743"/>
    <w:rsid w:val="009B77C5"/>
    <w:rsid w:val="009C5573"/>
    <w:rsid w:val="009D2870"/>
    <w:rsid w:val="009D4F55"/>
    <w:rsid w:val="009D5367"/>
    <w:rsid w:val="009E37D2"/>
    <w:rsid w:val="009E3C8A"/>
    <w:rsid w:val="009F4FF4"/>
    <w:rsid w:val="00A009BD"/>
    <w:rsid w:val="00A02F6D"/>
    <w:rsid w:val="00A05331"/>
    <w:rsid w:val="00A05C35"/>
    <w:rsid w:val="00A116A4"/>
    <w:rsid w:val="00A135AE"/>
    <w:rsid w:val="00A15C58"/>
    <w:rsid w:val="00A214EA"/>
    <w:rsid w:val="00A37931"/>
    <w:rsid w:val="00A42D18"/>
    <w:rsid w:val="00A43175"/>
    <w:rsid w:val="00A65DF7"/>
    <w:rsid w:val="00A756DE"/>
    <w:rsid w:val="00A8336E"/>
    <w:rsid w:val="00A91D2C"/>
    <w:rsid w:val="00A93544"/>
    <w:rsid w:val="00AA0641"/>
    <w:rsid w:val="00AC11F0"/>
    <w:rsid w:val="00AC3868"/>
    <w:rsid w:val="00AC61F2"/>
    <w:rsid w:val="00AD0A83"/>
    <w:rsid w:val="00AE2C97"/>
    <w:rsid w:val="00AE4E4E"/>
    <w:rsid w:val="00AF0964"/>
    <w:rsid w:val="00AF4A94"/>
    <w:rsid w:val="00B1068A"/>
    <w:rsid w:val="00B14D83"/>
    <w:rsid w:val="00B17913"/>
    <w:rsid w:val="00B252AB"/>
    <w:rsid w:val="00B27B44"/>
    <w:rsid w:val="00B50461"/>
    <w:rsid w:val="00B52E62"/>
    <w:rsid w:val="00B57450"/>
    <w:rsid w:val="00B669A6"/>
    <w:rsid w:val="00B73BCF"/>
    <w:rsid w:val="00B81E19"/>
    <w:rsid w:val="00B87922"/>
    <w:rsid w:val="00B91B16"/>
    <w:rsid w:val="00B935C6"/>
    <w:rsid w:val="00BA071F"/>
    <w:rsid w:val="00BA16F9"/>
    <w:rsid w:val="00BA2B06"/>
    <w:rsid w:val="00BA56CD"/>
    <w:rsid w:val="00BA5D02"/>
    <w:rsid w:val="00BA7695"/>
    <w:rsid w:val="00BB4FCB"/>
    <w:rsid w:val="00BC270E"/>
    <w:rsid w:val="00BC63C3"/>
    <w:rsid w:val="00BD096C"/>
    <w:rsid w:val="00BF0375"/>
    <w:rsid w:val="00BF208C"/>
    <w:rsid w:val="00BF5FB2"/>
    <w:rsid w:val="00C1485B"/>
    <w:rsid w:val="00C240DE"/>
    <w:rsid w:val="00C34000"/>
    <w:rsid w:val="00C34389"/>
    <w:rsid w:val="00C347ED"/>
    <w:rsid w:val="00C35D69"/>
    <w:rsid w:val="00C37D57"/>
    <w:rsid w:val="00C5234A"/>
    <w:rsid w:val="00C52DE5"/>
    <w:rsid w:val="00C53FEA"/>
    <w:rsid w:val="00C65A38"/>
    <w:rsid w:val="00C70225"/>
    <w:rsid w:val="00C72DF6"/>
    <w:rsid w:val="00C81AF4"/>
    <w:rsid w:val="00C828F1"/>
    <w:rsid w:val="00C8367F"/>
    <w:rsid w:val="00CA0FA2"/>
    <w:rsid w:val="00CA2964"/>
    <w:rsid w:val="00CA6DD3"/>
    <w:rsid w:val="00CB3ED9"/>
    <w:rsid w:val="00CB6811"/>
    <w:rsid w:val="00CB7E08"/>
    <w:rsid w:val="00CC0230"/>
    <w:rsid w:val="00CC2549"/>
    <w:rsid w:val="00CC416D"/>
    <w:rsid w:val="00CC679D"/>
    <w:rsid w:val="00CC7FD0"/>
    <w:rsid w:val="00CD3B79"/>
    <w:rsid w:val="00CE642C"/>
    <w:rsid w:val="00D07205"/>
    <w:rsid w:val="00D170D9"/>
    <w:rsid w:val="00D214D7"/>
    <w:rsid w:val="00D25264"/>
    <w:rsid w:val="00D275E4"/>
    <w:rsid w:val="00D306BD"/>
    <w:rsid w:val="00D32ADE"/>
    <w:rsid w:val="00D40255"/>
    <w:rsid w:val="00D456F1"/>
    <w:rsid w:val="00D45A24"/>
    <w:rsid w:val="00D45C58"/>
    <w:rsid w:val="00D516E4"/>
    <w:rsid w:val="00D5589E"/>
    <w:rsid w:val="00D71760"/>
    <w:rsid w:val="00D77B67"/>
    <w:rsid w:val="00D802DF"/>
    <w:rsid w:val="00D8550C"/>
    <w:rsid w:val="00D91673"/>
    <w:rsid w:val="00D935A0"/>
    <w:rsid w:val="00DA67EA"/>
    <w:rsid w:val="00DB06AC"/>
    <w:rsid w:val="00DB514E"/>
    <w:rsid w:val="00DC7DC4"/>
    <w:rsid w:val="00DE01B7"/>
    <w:rsid w:val="00E05C6A"/>
    <w:rsid w:val="00E10CA0"/>
    <w:rsid w:val="00E31CFC"/>
    <w:rsid w:val="00E37D0E"/>
    <w:rsid w:val="00E477BE"/>
    <w:rsid w:val="00E50AE7"/>
    <w:rsid w:val="00E517CD"/>
    <w:rsid w:val="00E5315A"/>
    <w:rsid w:val="00E6232E"/>
    <w:rsid w:val="00E64C94"/>
    <w:rsid w:val="00E703BB"/>
    <w:rsid w:val="00E84CA5"/>
    <w:rsid w:val="00E85B23"/>
    <w:rsid w:val="00E90300"/>
    <w:rsid w:val="00E91657"/>
    <w:rsid w:val="00E96933"/>
    <w:rsid w:val="00EA1E8F"/>
    <w:rsid w:val="00EB2CC2"/>
    <w:rsid w:val="00EC7B61"/>
    <w:rsid w:val="00ED1BEC"/>
    <w:rsid w:val="00EE6A1B"/>
    <w:rsid w:val="00EF2B2F"/>
    <w:rsid w:val="00F03C71"/>
    <w:rsid w:val="00F073EA"/>
    <w:rsid w:val="00F13BA1"/>
    <w:rsid w:val="00F1486C"/>
    <w:rsid w:val="00F159CC"/>
    <w:rsid w:val="00F15AB1"/>
    <w:rsid w:val="00F27979"/>
    <w:rsid w:val="00F43A3C"/>
    <w:rsid w:val="00F45D93"/>
    <w:rsid w:val="00F52EA8"/>
    <w:rsid w:val="00F66F4C"/>
    <w:rsid w:val="00F67B6C"/>
    <w:rsid w:val="00F74066"/>
    <w:rsid w:val="00F7431B"/>
    <w:rsid w:val="00F75B98"/>
    <w:rsid w:val="00F77D5D"/>
    <w:rsid w:val="00F85D80"/>
    <w:rsid w:val="00F9238B"/>
    <w:rsid w:val="00F9545C"/>
    <w:rsid w:val="00FA69CE"/>
    <w:rsid w:val="00FB6043"/>
    <w:rsid w:val="00FB679F"/>
    <w:rsid w:val="00FD03C4"/>
    <w:rsid w:val="00FD4588"/>
    <w:rsid w:val="00FD4E9B"/>
    <w:rsid w:val="00FD76BB"/>
    <w:rsid w:val="00FE4E61"/>
    <w:rsid w:val="00FE5833"/>
    <w:rsid w:val="00FF7C04"/>
    <w:rsid w:val="01063B3E"/>
    <w:rsid w:val="01A8230F"/>
    <w:rsid w:val="01DC3A1F"/>
    <w:rsid w:val="02A43CFB"/>
    <w:rsid w:val="02AA296A"/>
    <w:rsid w:val="0363015D"/>
    <w:rsid w:val="039146B9"/>
    <w:rsid w:val="03A03A43"/>
    <w:rsid w:val="03F609E4"/>
    <w:rsid w:val="040D0F08"/>
    <w:rsid w:val="041F3F08"/>
    <w:rsid w:val="04CF7E0D"/>
    <w:rsid w:val="059406E6"/>
    <w:rsid w:val="06547144"/>
    <w:rsid w:val="06692706"/>
    <w:rsid w:val="06DE1EC9"/>
    <w:rsid w:val="06F2095D"/>
    <w:rsid w:val="0781713F"/>
    <w:rsid w:val="07CC3528"/>
    <w:rsid w:val="080577D8"/>
    <w:rsid w:val="08296C8E"/>
    <w:rsid w:val="082C12C6"/>
    <w:rsid w:val="0A6240FA"/>
    <w:rsid w:val="0ACC72A7"/>
    <w:rsid w:val="0B0B1394"/>
    <w:rsid w:val="0B600FDC"/>
    <w:rsid w:val="0B9B5A44"/>
    <w:rsid w:val="0D7A5ECF"/>
    <w:rsid w:val="0D836C5B"/>
    <w:rsid w:val="0D886E94"/>
    <w:rsid w:val="0D963596"/>
    <w:rsid w:val="0E433BAB"/>
    <w:rsid w:val="0F516EC7"/>
    <w:rsid w:val="0F772A95"/>
    <w:rsid w:val="0F9A4044"/>
    <w:rsid w:val="101D357D"/>
    <w:rsid w:val="10233450"/>
    <w:rsid w:val="10EC459B"/>
    <w:rsid w:val="1196481F"/>
    <w:rsid w:val="11E96014"/>
    <w:rsid w:val="124E5FB0"/>
    <w:rsid w:val="12DE30BC"/>
    <w:rsid w:val="12E0237D"/>
    <w:rsid w:val="12EB1253"/>
    <w:rsid w:val="13237B63"/>
    <w:rsid w:val="13AB1627"/>
    <w:rsid w:val="14B669A6"/>
    <w:rsid w:val="14BD5765"/>
    <w:rsid w:val="14CC6371"/>
    <w:rsid w:val="15036183"/>
    <w:rsid w:val="1581797E"/>
    <w:rsid w:val="16DD6B21"/>
    <w:rsid w:val="16DF107B"/>
    <w:rsid w:val="1768713D"/>
    <w:rsid w:val="17752D57"/>
    <w:rsid w:val="178B3B9A"/>
    <w:rsid w:val="17B433D5"/>
    <w:rsid w:val="17B74EF4"/>
    <w:rsid w:val="189A2310"/>
    <w:rsid w:val="19AB04C6"/>
    <w:rsid w:val="1A5321FC"/>
    <w:rsid w:val="1A760A71"/>
    <w:rsid w:val="1AF218EC"/>
    <w:rsid w:val="1B644345"/>
    <w:rsid w:val="1D6E50F0"/>
    <w:rsid w:val="1DEE6FE0"/>
    <w:rsid w:val="1E07514E"/>
    <w:rsid w:val="1E1434BF"/>
    <w:rsid w:val="1E796066"/>
    <w:rsid w:val="1FED7755"/>
    <w:rsid w:val="20092DB4"/>
    <w:rsid w:val="20F87661"/>
    <w:rsid w:val="213D7A2D"/>
    <w:rsid w:val="21450800"/>
    <w:rsid w:val="214928DA"/>
    <w:rsid w:val="21D15F9F"/>
    <w:rsid w:val="21D45C60"/>
    <w:rsid w:val="21D51E17"/>
    <w:rsid w:val="222E30F7"/>
    <w:rsid w:val="227F1839"/>
    <w:rsid w:val="22AF5E08"/>
    <w:rsid w:val="22BB70E9"/>
    <w:rsid w:val="22D478F9"/>
    <w:rsid w:val="23154FE4"/>
    <w:rsid w:val="236D194F"/>
    <w:rsid w:val="244428AF"/>
    <w:rsid w:val="247C28C7"/>
    <w:rsid w:val="25096CD3"/>
    <w:rsid w:val="25FD76E8"/>
    <w:rsid w:val="26394AE2"/>
    <w:rsid w:val="28E26400"/>
    <w:rsid w:val="290B3942"/>
    <w:rsid w:val="29271A57"/>
    <w:rsid w:val="2AEC7492"/>
    <w:rsid w:val="2B3A2E8F"/>
    <w:rsid w:val="2B4D48AB"/>
    <w:rsid w:val="2B7D5171"/>
    <w:rsid w:val="2C8D5C5E"/>
    <w:rsid w:val="2C9E4E4D"/>
    <w:rsid w:val="2D6B5166"/>
    <w:rsid w:val="2DB06540"/>
    <w:rsid w:val="2DE95503"/>
    <w:rsid w:val="2EB25E4F"/>
    <w:rsid w:val="2FEB21FB"/>
    <w:rsid w:val="30131FDC"/>
    <w:rsid w:val="301D53DB"/>
    <w:rsid w:val="30584732"/>
    <w:rsid w:val="30916F85"/>
    <w:rsid w:val="31D850EA"/>
    <w:rsid w:val="32753D56"/>
    <w:rsid w:val="33A816B9"/>
    <w:rsid w:val="33D50D25"/>
    <w:rsid w:val="33E74DC7"/>
    <w:rsid w:val="34D04763"/>
    <w:rsid w:val="34EC1ECB"/>
    <w:rsid w:val="3503609B"/>
    <w:rsid w:val="35435149"/>
    <w:rsid w:val="358A229D"/>
    <w:rsid w:val="35C7B8CF"/>
    <w:rsid w:val="35CE61CD"/>
    <w:rsid w:val="35F523D2"/>
    <w:rsid w:val="37250780"/>
    <w:rsid w:val="37C96811"/>
    <w:rsid w:val="39A060C5"/>
    <w:rsid w:val="39AF26A8"/>
    <w:rsid w:val="3A063C9C"/>
    <w:rsid w:val="3AA46D9A"/>
    <w:rsid w:val="3BDB00F6"/>
    <w:rsid w:val="3CE30F68"/>
    <w:rsid w:val="3D2678D8"/>
    <w:rsid w:val="3D6E21DD"/>
    <w:rsid w:val="3D9354BF"/>
    <w:rsid w:val="3DB5386A"/>
    <w:rsid w:val="3E3C3514"/>
    <w:rsid w:val="3EA07C3A"/>
    <w:rsid w:val="3F3F1943"/>
    <w:rsid w:val="3FDB2DFE"/>
    <w:rsid w:val="406E60E3"/>
    <w:rsid w:val="4071280F"/>
    <w:rsid w:val="4079018D"/>
    <w:rsid w:val="41A3063B"/>
    <w:rsid w:val="41AF2BFB"/>
    <w:rsid w:val="41EE3AD6"/>
    <w:rsid w:val="4229039C"/>
    <w:rsid w:val="42865FA8"/>
    <w:rsid w:val="42962AB7"/>
    <w:rsid w:val="42A35B0D"/>
    <w:rsid w:val="42CF6127"/>
    <w:rsid w:val="4325473D"/>
    <w:rsid w:val="43311E45"/>
    <w:rsid w:val="43313660"/>
    <w:rsid w:val="441743C0"/>
    <w:rsid w:val="45065FB2"/>
    <w:rsid w:val="45483CCE"/>
    <w:rsid w:val="458D0AD3"/>
    <w:rsid w:val="4621317E"/>
    <w:rsid w:val="4651386D"/>
    <w:rsid w:val="46AF2F69"/>
    <w:rsid w:val="47877FB3"/>
    <w:rsid w:val="47CF2A1E"/>
    <w:rsid w:val="47F42E76"/>
    <w:rsid w:val="48155DCE"/>
    <w:rsid w:val="487961CE"/>
    <w:rsid w:val="48DB5584"/>
    <w:rsid w:val="48DF79AF"/>
    <w:rsid w:val="48E10A1A"/>
    <w:rsid w:val="49CF00E6"/>
    <w:rsid w:val="4A1D7E0C"/>
    <w:rsid w:val="4AF65528"/>
    <w:rsid w:val="4C0810A2"/>
    <w:rsid w:val="4DA67BBA"/>
    <w:rsid w:val="4DF32927"/>
    <w:rsid w:val="4E964B77"/>
    <w:rsid w:val="4EBB13E4"/>
    <w:rsid w:val="4EF94442"/>
    <w:rsid w:val="4F1C6A2F"/>
    <w:rsid w:val="4FBB40CF"/>
    <w:rsid w:val="4FD56011"/>
    <w:rsid w:val="5058522D"/>
    <w:rsid w:val="50F2502D"/>
    <w:rsid w:val="51EB4F11"/>
    <w:rsid w:val="52E24A5A"/>
    <w:rsid w:val="52E27E6C"/>
    <w:rsid w:val="539D4F55"/>
    <w:rsid w:val="54224F50"/>
    <w:rsid w:val="543F1404"/>
    <w:rsid w:val="54E84F40"/>
    <w:rsid w:val="56550D85"/>
    <w:rsid w:val="56683717"/>
    <w:rsid w:val="569A467C"/>
    <w:rsid w:val="56C76791"/>
    <w:rsid w:val="56CE2F12"/>
    <w:rsid w:val="56FC4DBB"/>
    <w:rsid w:val="573E2C23"/>
    <w:rsid w:val="57B7773A"/>
    <w:rsid w:val="58937F66"/>
    <w:rsid w:val="58C24C0A"/>
    <w:rsid w:val="590A01B3"/>
    <w:rsid w:val="596D4DFF"/>
    <w:rsid w:val="59E14415"/>
    <w:rsid w:val="59F90881"/>
    <w:rsid w:val="5A4D6F01"/>
    <w:rsid w:val="5A542ED8"/>
    <w:rsid w:val="5A792818"/>
    <w:rsid w:val="5B694D7F"/>
    <w:rsid w:val="5B8147B0"/>
    <w:rsid w:val="5B8C6E7E"/>
    <w:rsid w:val="5C0252FA"/>
    <w:rsid w:val="5D1E35E2"/>
    <w:rsid w:val="5D5A1427"/>
    <w:rsid w:val="5E373F4D"/>
    <w:rsid w:val="5E522CF7"/>
    <w:rsid w:val="5FC66D78"/>
    <w:rsid w:val="5FF67296"/>
    <w:rsid w:val="605754E5"/>
    <w:rsid w:val="60C9296F"/>
    <w:rsid w:val="60CB2D65"/>
    <w:rsid w:val="60D116A7"/>
    <w:rsid w:val="6171383B"/>
    <w:rsid w:val="62040836"/>
    <w:rsid w:val="629E36A1"/>
    <w:rsid w:val="631A7DCC"/>
    <w:rsid w:val="63432D98"/>
    <w:rsid w:val="63462234"/>
    <w:rsid w:val="6371521A"/>
    <w:rsid w:val="63B55005"/>
    <w:rsid w:val="63BF25AD"/>
    <w:rsid w:val="63CC3993"/>
    <w:rsid w:val="647A200A"/>
    <w:rsid w:val="656C3A2E"/>
    <w:rsid w:val="65E64D32"/>
    <w:rsid w:val="6655573B"/>
    <w:rsid w:val="67746F85"/>
    <w:rsid w:val="68702265"/>
    <w:rsid w:val="68792B73"/>
    <w:rsid w:val="68F259B9"/>
    <w:rsid w:val="69106179"/>
    <w:rsid w:val="69156022"/>
    <w:rsid w:val="69E46E91"/>
    <w:rsid w:val="6A814D40"/>
    <w:rsid w:val="6AFD69CD"/>
    <w:rsid w:val="6B6B65E0"/>
    <w:rsid w:val="6BD97854"/>
    <w:rsid w:val="6C057987"/>
    <w:rsid w:val="6C337F51"/>
    <w:rsid w:val="6C843B60"/>
    <w:rsid w:val="6C8778C7"/>
    <w:rsid w:val="6CA276B6"/>
    <w:rsid w:val="6CCB1B6E"/>
    <w:rsid w:val="6D522C21"/>
    <w:rsid w:val="6D647697"/>
    <w:rsid w:val="6DFA11E6"/>
    <w:rsid w:val="6EAF17DB"/>
    <w:rsid w:val="6EC76DBF"/>
    <w:rsid w:val="6EDC3501"/>
    <w:rsid w:val="6F48274D"/>
    <w:rsid w:val="70CC04F9"/>
    <w:rsid w:val="70DE3039"/>
    <w:rsid w:val="71293004"/>
    <w:rsid w:val="71474F73"/>
    <w:rsid w:val="716B3CE1"/>
    <w:rsid w:val="717A11A8"/>
    <w:rsid w:val="71CA4937"/>
    <w:rsid w:val="71F71678"/>
    <w:rsid w:val="72435D0F"/>
    <w:rsid w:val="727C69A2"/>
    <w:rsid w:val="729A0B9F"/>
    <w:rsid w:val="73654B45"/>
    <w:rsid w:val="74201C70"/>
    <w:rsid w:val="7485322B"/>
    <w:rsid w:val="74C83DE9"/>
    <w:rsid w:val="7591330A"/>
    <w:rsid w:val="75DE71AA"/>
    <w:rsid w:val="763D2A91"/>
    <w:rsid w:val="76AE03FB"/>
    <w:rsid w:val="76AF3336"/>
    <w:rsid w:val="77561918"/>
    <w:rsid w:val="77811DA5"/>
    <w:rsid w:val="778977CA"/>
    <w:rsid w:val="77B97678"/>
    <w:rsid w:val="7A202754"/>
    <w:rsid w:val="7A63749E"/>
    <w:rsid w:val="7A6941C4"/>
    <w:rsid w:val="7A743524"/>
    <w:rsid w:val="7C0E0832"/>
    <w:rsid w:val="7C182FC6"/>
    <w:rsid w:val="7C7861C3"/>
    <w:rsid w:val="7D051009"/>
    <w:rsid w:val="7D42427A"/>
    <w:rsid w:val="7D951C92"/>
    <w:rsid w:val="7F281FA9"/>
    <w:rsid w:val="7FCE2DC1"/>
    <w:rsid w:val="7FD2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qFormat/>
    <w:uiPriority w:val="0"/>
    <w:pPr>
      <w:keepNext/>
      <w:keepLines/>
      <w:spacing w:before="340" w:after="330" w:line="578" w:lineRule="auto"/>
      <w:outlineLvl w:val="0"/>
    </w:pPr>
    <w:rPr>
      <w:b/>
      <w:bCs/>
      <w:kern w:val="44"/>
      <w:sz w:val="36"/>
      <w:szCs w:val="44"/>
    </w:rPr>
  </w:style>
  <w:style w:type="paragraph" w:styleId="3">
    <w:name w:val="heading 2"/>
    <w:basedOn w:val="1"/>
    <w:next w:val="1"/>
    <w:link w:val="7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3"/>
    <w:qFormat/>
    <w:uiPriority w:val="0"/>
    <w:pPr>
      <w:keepNext/>
      <w:keepLines/>
      <w:spacing w:before="260" w:after="260" w:line="416" w:lineRule="auto"/>
      <w:outlineLvl w:val="2"/>
    </w:pPr>
    <w:rPr>
      <w:b/>
      <w:bCs/>
      <w:sz w:val="32"/>
      <w:szCs w:val="32"/>
    </w:rPr>
  </w:style>
  <w:style w:type="paragraph" w:styleId="5">
    <w:name w:val="heading 4"/>
    <w:basedOn w:val="4"/>
    <w:next w:val="6"/>
    <w:link w:val="43"/>
    <w:qFormat/>
    <w:uiPriority w:val="0"/>
    <w:pPr>
      <w:spacing w:beforeLines="50" w:after="0" w:line="360" w:lineRule="auto"/>
      <w:ind w:left="3124" w:hanging="284"/>
      <w:jc w:val="center"/>
      <w:outlineLvl w:val="3"/>
    </w:pPr>
    <w:rPr>
      <w:rFonts w:ascii="Arial" w:hAnsi="Arial" w:eastAsia="仿宋_GB2312"/>
      <w:b w:val="0"/>
      <w:bCs w:val="0"/>
      <w:sz w:val="30"/>
      <w:szCs w:val="30"/>
    </w:rPr>
  </w:style>
  <w:style w:type="paragraph" w:styleId="7">
    <w:name w:val="heading 5"/>
    <w:basedOn w:val="5"/>
    <w:next w:val="6"/>
    <w:link w:val="46"/>
    <w:qFormat/>
    <w:uiPriority w:val="0"/>
    <w:pPr>
      <w:spacing w:line="240" w:lineRule="exact"/>
      <w:outlineLvl w:val="4"/>
    </w:pPr>
  </w:style>
  <w:style w:type="paragraph" w:styleId="8">
    <w:name w:val="heading 7"/>
    <w:basedOn w:val="1"/>
    <w:next w:val="6"/>
    <w:link w:val="42"/>
    <w:qFormat/>
    <w:uiPriority w:val="0"/>
    <w:pPr>
      <w:keepNext/>
      <w:keepLines/>
      <w:spacing w:before="240" w:after="64" w:line="312" w:lineRule="auto"/>
      <w:outlineLvl w:val="6"/>
    </w:pPr>
    <w:rPr>
      <w:rFonts w:eastAsia="楷体_GB2312"/>
      <w:b/>
      <w:sz w:val="24"/>
      <w:szCs w:val="20"/>
    </w:rPr>
  </w:style>
  <w:style w:type="paragraph" w:styleId="9">
    <w:name w:val="heading 8"/>
    <w:basedOn w:val="1"/>
    <w:next w:val="6"/>
    <w:link w:val="73"/>
    <w:qFormat/>
    <w:uiPriority w:val="0"/>
    <w:pPr>
      <w:keepNext/>
      <w:keepLines/>
      <w:spacing w:before="240" w:after="64" w:line="312" w:lineRule="auto"/>
      <w:outlineLvl w:val="7"/>
    </w:pPr>
    <w:rPr>
      <w:rFonts w:ascii="Arial" w:hAnsi="Arial" w:eastAsia="黑体"/>
      <w:sz w:val="24"/>
      <w:szCs w:val="20"/>
    </w:rPr>
  </w:style>
  <w:style w:type="paragraph" w:styleId="10">
    <w:name w:val="heading 9"/>
    <w:basedOn w:val="1"/>
    <w:next w:val="6"/>
    <w:link w:val="60"/>
    <w:qFormat/>
    <w:uiPriority w:val="0"/>
    <w:pPr>
      <w:keepNext/>
      <w:keepLines/>
      <w:spacing w:before="240" w:after="64" w:line="312" w:lineRule="auto"/>
      <w:outlineLvl w:val="8"/>
    </w:pPr>
    <w:rPr>
      <w:rFonts w:ascii="Arial" w:hAnsi="Arial" w:eastAsia="黑体"/>
      <w:szCs w:val="20"/>
    </w:rPr>
  </w:style>
  <w:style w:type="character" w:default="1" w:styleId="34">
    <w:name w:val="Default Paragraph Font"/>
    <w:semiHidden/>
    <w:unhideWhenUsed/>
    <w:qFormat/>
    <w:uiPriority w:val="1"/>
  </w:style>
  <w:style w:type="table" w:default="1" w:styleId="3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1">
    <w:name w:val="Document Map"/>
    <w:basedOn w:val="1"/>
    <w:link w:val="58"/>
    <w:qFormat/>
    <w:uiPriority w:val="0"/>
    <w:pPr>
      <w:shd w:val="clear" w:color="auto" w:fill="000080"/>
    </w:pPr>
  </w:style>
  <w:style w:type="paragraph" w:styleId="12">
    <w:name w:val="annotation text"/>
    <w:basedOn w:val="1"/>
    <w:link w:val="56"/>
    <w:qFormat/>
    <w:uiPriority w:val="0"/>
    <w:pPr>
      <w:jc w:val="left"/>
    </w:pPr>
  </w:style>
  <w:style w:type="paragraph" w:styleId="13">
    <w:name w:val="Body Text 3"/>
    <w:basedOn w:val="1"/>
    <w:link w:val="47"/>
    <w:qFormat/>
    <w:uiPriority w:val="0"/>
    <w:pPr>
      <w:spacing w:after="120"/>
    </w:pPr>
  </w:style>
  <w:style w:type="paragraph" w:styleId="14">
    <w:name w:val="Body Text"/>
    <w:basedOn w:val="1"/>
    <w:next w:val="1"/>
    <w:link w:val="110"/>
    <w:qFormat/>
    <w:uiPriority w:val="0"/>
    <w:rPr>
      <w:sz w:val="24"/>
    </w:rPr>
  </w:style>
  <w:style w:type="paragraph" w:styleId="15">
    <w:name w:val="Body Text Indent"/>
    <w:basedOn w:val="1"/>
    <w:link w:val="111"/>
    <w:qFormat/>
    <w:uiPriority w:val="0"/>
    <w:pPr>
      <w:spacing w:after="120"/>
      <w:ind w:left="420" w:leftChars="200"/>
    </w:pPr>
  </w:style>
  <w:style w:type="paragraph" w:styleId="16">
    <w:name w:val="toc 3"/>
    <w:basedOn w:val="1"/>
    <w:next w:val="1"/>
    <w:qFormat/>
    <w:uiPriority w:val="0"/>
    <w:pPr>
      <w:ind w:left="840" w:leftChars="400"/>
    </w:pPr>
    <w:rPr>
      <w:rFonts w:ascii="Calibri" w:hAnsi="Calibri"/>
    </w:rPr>
  </w:style>
  <w:style w:type="paragraph" w:styleId="17">
    <w:name w:val="Plain Text"/>
    <w:basedOn w:val="1"/>
    <w:link w:val="68"/>
    <w:qFormat/>
    <w:uiPriority w:val="0"/>
    <w:rPr>
      <w:rFonts w:ascii="宋体" w:hAnsi="Courier New"/>
      <w:kern w:val="0"/>
      <w:sz w:val="20"/>
      <w:szCs w:val="21"/>
    </w:rPr>
  </w:style>
  <w:style w:type="paragraph" w:styleId="18">
    <w:name w:val="Date"/>
    <w:basedOn w:val="1"/>
    <w:next w:val="1"/>
    <w:link w:val="61"/>
    <w:qFormat/>
    <w:uiPriority w:val="0"/>
    <w:rPr>
      <w:sz w:val="28"/>
      <w:szCs w:val="20"/>
    </w:rPr>
  </w:style>
  <w:style w:type="paragraph" w:styleId="19">
    <w:name w:val="Body Text Indent 2"/>
    <w:basedOn w:val="1"/>
    <w:link w:val="41"/>
    <w:qFormat/>
    <w:uiPriority w:val="0"/>
    <w:pPr>
      <w:spacing w:after="120" w:line="480" w:lineRule="auto"/>
      <w:ind w:left="420" w:leftChars="200"/>
    </w:pPr>
  </w:style>
  <w:style w:type="paragraph" w:styleId="20">
    <w:name w:val="Balloon Text"/>
    <w:basedOn w:val="1"/>
    <w:link w:val="70"/>
    <w:qFormat/>
    <w:uiPriority w:val="0"/>
    <w:rPr>
      <w:sz w:val="18"/>
      <w:szCs w:val="18"/>
    </w:rPr>
  </w:style>
  <w:style w:type="paragraph" w:styleId="21">
    <w:name w:val="footer"/>
    <w:basedOn w:val="1"/>
    <w:link w:val="54"/>
    <w:qFormat/>
    <w:uiPriority w:val="99"/>
    <w:pPr>
      <w:tabs>
        <w:tab w:val="center" w:pos="4153"/>
        <w:tab w:val="right" w:pos="8306"/>
      </w:tabs>
      <w:snapToGrid w:val="0"/>
      <w:jc w:val="left"/>
    </w:pPr>
    <w:rPr>
      <w:sz w:val="18"/>
      <w:szCs w:val="18"/>
    </w:rPr>
  </w:style>
  <w:style w:type="paragraph" w:styleId="22">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Body Text Indent 3"/>
    <w:basedOn w:val="1"/>
    <w:qFormat/>
    <w:uiPriority w:val="0"/>
    <w:pPr>
      <w:spacing w:after="120"/>
      <w:ind w:left="420" w:leftChars="200"/>
    </w:pPr>
    <w:rPr>
      <w:sz w:val="16"/>
      <w:szCs w:val="16"/>
    </w:rPr>
  </w:style>
  <w:style w:type="paragraph" w:styleId="25">
    <w:name w:val="toc 2"/>
    <w:basedOn w:val="1"/>
    <w:next w:val="1"/>
    <w:qFormat/>
    <w:uiPriority w:val="0"/>
    <w:pPr>
      <w:ind w:left="420" w:leftChars="200"/>
    </w:pPr>
  </w:style>
  <w:style w:type="paragraph" w:styleId="26">
    <w:name w:val="Body Text 2"/>
    <w:basedOn w:val="1"/>
    <w:link w:val="59"/>
    <w:qFormat/>
    <w:uiPriority w:val="0"/>
    <w:pPr>
      <w:spacing w:line="500" w:lineRule="exact"/>
      <w:jc w:val="center"/>
    </w:pPr>
    <w:rPr>
      <w:kern w:val="0"/>
      <w:sz w:val="20"/>
      <w:szCs w:val="21"/>
    </w:rPr>
  </w:style>
  <w:style w:type="paragraph" w:styleId="27">
    <w:name w:val="Normal (Web)"/>
    <w:basedOn w:val="1"/>
    <w:qFormat/>
    <w:uiPriority w:val="0"/>
    <w:pPr>
      <w:widowControl/>
      <w:spacing w:before="100" w:beforeAutospacing="1" w:after="100" w:afterAutospacing="1"/>
      <w:jc w:val="left"/>
    </w:pPr>
    <w:rPr>
      <w:rFonts w:ascii="宋体" w:hAnsi="宋体"/>
      <w:kern w:val="0"/>
      <w:sz w:val="24"/>
      <w:szCs w:val="21"/>
    </w:rPr>
  </w:style>
  <w:style w:type="paragraph" w:styleId="28">
    <w:name w:val="Title"/>
    <w:basedOn w:val="1"/>
    <w:next w:val="1"/>
    <w:link w:val="64"/>
    <w:qFormat/>
    <w:uiPriority w:val="0"/>
    <w:pPr>
      <w:spacing w:before="240" w:after="60"/>
      <w:jc w:val="center"/>
      <w:outlineLvl w:val="0"/>
    </w:pPr>
    <w:rPr>
      <w:rFonts w:ascii="Cambria" w:hAnsi="Cambria"/>
      <w:b/>
      <w:bCs/>
      <w:kern w:val="0"/>
      <w:sz w:val="32"/>
      <w:szCs w:val="32"/>
    </w:rPr>
  </w:style>
  <w:style w:type="paragraph" w:styleId="29">
    <w:name w:val="annotation subject"/>
    <w:basedOn w:val="12"/>
    <w:next w:val="12"/>
    <w:link w:val="65"/>
    <w:qFormat/>
    <w:uiPriority w:val="0"/>
    <w:rPr>
      <w:b/>
      <w:bCs/>
    </w:rPr>
  </w:style>
  <w:style w:type="paragraph" w:styleId="30">
    <w:name w:val="Body Text First Indent"/>
    <w:basedOn w:val="14"/>
    <w:link w:val="44"/>
    <w:qFormat/>
    <w:uiPriority w:val="0"/>
    <w:pPr>
      <w:spacing w:after="120"/>
      <w:ind w:firstLine="420" w:firstLineChars="100"/>
    </w:pPr>
    <w:rPr>
      <w:sz w:val="21"/>
    </w:rPr>
  </w:style>
  <w:style w:type="paragraph" w:styleId="31">
    <w:name w:val="Body Text First Indent 2"/>
    <w:basedOn w:val="15"/>
    <w:unhideWhenUsed/>
    <w:qFormat/>
    <w:uiPriority w:val="99"/>
    <w:pPr>
      <w:widowControl/>
      <w:spacing w:line="256" w:lineRule="auto"/>
      <w:ind w:firstLine="420" w:firstLineChars="200"/>
      <w:jc w:val="left"/>
    </w:pPr>
    <w:rPr>
      <w:rFonts w:eastAsia="Calibri"/>
      <w:color w:val="000000"/>
      <w:sz w:val="22"/>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rFonts w:ascii="宋体" w:eastAsia="宋体"/>
      <w:b/>
      <w:bCs/>
      <w:color w:val="000000"/>
      <w:kern w:val="2"/>
      <w:sz w:val="28"/>
      <w:szCs w:val="28"/>
      <w:lang w:val="en-US" w:eastAsia="zh-CN" w:bidi="ar-SA"/>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paragraph" w:customStyle="1" w:styleId="40">
    <w:name w:val="正文缩进1"/>
    <w:basedOn w:val="1"/>
    <w:qFormat/>
    <w:uiPriority w:val="0"/>
    <w:pPr>
      <w:ind w:firstLine="420" w:firstLineChars="200"/>
    </w:pPr>
  </w:style>
  <w:style w:type="character" w:customStyle="1" w:styleId="41">
    <w:name w:val="正文文本缩进 2 Char"/>
    <w:link w:val="19"/>
    <w:qFormat/>
    <w:uiPriority w:val="0"/>
    <w:rPr>
      <w:rFonts w:eastAsia="宋体"/>
      <w:kern w:val="2"/>
      <w:sz w:val="21"/>
      <w:szCs w:val="24"/>
      <w:lang w:val="en-US" w:eastAsia="zh-CN" w:bidi="ar-SA"/>
    </w:rPr>
  </w:style>
  <w:style w:type="character" w:customStyle="1" w:styleId="42">
    <w:name w:val="标题 7 Char"/>
    <w:link w:val="8"/>
    <w:qFormat/>
    <w:uiPriority w:val="0"/>
    <w:rPr>
      <w:rFonts w:eastAsia="楷体_GB2312"/>
      <w:b/>
      <w:kern w:val="2"/>
      <w:sz w:val="24"/>
      <w:lang w:val="en-US" w:eastAsia="zh-CN" w:bidi="ar-SA"/>
    </w:rPr>
  </w:style>
  <w:style w:type="character" w:customStyle="1" w:styleId="43">
    <w:name w:val="标题 4 Char"/>
    <w:link w:val="5"/>
    <w:qFormat/>
    <w:uiPriority w:val="0"/>
    <w:rPr>
      <w:rFonts w:ascii="Arial" w:hAnsi="Arial" w:eastAsia="仿宋_GB2312"/>
      <w:kern w:val="2"/>
      <w:sz w:val="30"/>
      <w:szCs w:val="30"/>
      <w:lang w:val="en-US" w:eastAsia="zh-CN" w:bidi="ar-SA"/>
    </w:rPr>
  </w:style>
  <w:style w:type="character" w:customStyle="1" w:styleId="44">
    <w:name w:val="正文首行缩进 Char"/>
    <w:link w:val="30"/>
    <w:qFormat/>
    <w:uiPriority w:val="0"/>
    <w:rPr>
      <w:rFonts w:eastAsia="宋体"/>
      <w:kern w:val="2"/>
      <w:sz w:val="21"/>
      <w:szCs w:val="24"/>
      <w:lang w:val="en-US" w:eastAsia="zh-CN" w:bidi="ar-SA"/>
    </w:rPr>
  </w:style>
  <w:style w:type="character" w:customStyle="1" w:styleId="45">
    <w:name w:val="apple-style-span"/>
    <w:basedOn w:val="34"/>
    <w:qFormat/>
    <w:uiPriority w:val="0"/>
  </w:style>
  <w:style w:type="character" w:customStyle="1" w:styleId="46">
    <w:name w:val="标题 5 Char"/>
    <w:link w:val="7"/>
    <w:qFormat/>
    <w:uiPriority w:val="0"/>
    <w:rPr>
      <w:rFonts w:ascii="Arial" w:hAnsi="Arial" w:eastAsia="仿宋_GB2312"/>
      <w:kern w:val="2"/>
      <w:sz w:val="30"/>
      <w:szCs w:val="30"/>
      <w:lang w:val="en-US" w:eastAsia="zh-CN" w:bidi="ar-SA"/>
    </w:rPr>
  </w:style>
  <w:style w:type="character" w:customStyle="1" w:styleId="47">
    <w:name w:val="正文文本 3 Char"/>
    <w:link w:val="13"/>
    <w:qFormat/>
    <w:uiPriority w:val="0"/>
    <w:rPr>
      <w:kern w:val="2"/>
      <w:sz w:val="21"/>
      <w:szCs w:val="24"/>
    </w:rPr>
  </w:style>
  <w:style w:type="character" w:customStyle="1" w:styleId="48">
    <w:name w:val="正文文本 3 Char1"/>
    <w:qFormat/>
    <w:uiPriority w:val="0"/>
    <w:rPr>
      <w:kern w:val="2"/>
      <w:sz w:val="16"/>
      <w:szCs w:val="16"/>
    </w:rPr>
  </w:style>
  <w:style w:type="character" w:customStyle="1" w:styleId="49">
    <w:name w:val="apple-converted-space"/>
    <w:basedOn w:val="34"/>
    <w:qFormat/>
    <w:uiPriority w:val="0"/>
  </w:style>
  <w:style w:type="character" w:customStyle="1" w:styleId="50">
    <w:name w:val="页眉 Char"/>
    <w:link w:val="22"/>
    <w:qFormat/>
    <w:uiPriority w:val="0"/>
    <w:rPr>
      <w:rFonts w:eastAsia="宋体"/>
      <w:kern w:val="2"/>
      <w:sz w:val="18"/>
      <w:szCs w:val="18"/>
      <w:lang w:val="en-US" w:eastAsia="zh-CN" w:bidi="ar-SA"/>
    </w:rPr>
  </w:style>
  <w:style w:type="character" w:customStyle="1" w:styleId="51">
    <w:name w:val="正文文本缩进 3 Char1"/>
    <w:qFormat/>
    <w:uiPriority w:val="0"/>
    <w:rPr>
      <w:kern w:val="2"/>
      <w:sz w:val="16"/>
      <w:szCs w:val="16"/>
    </w:rPr>
  </w:style>
  <w:style w:type="character" w:customStyle="1" w:styleId="52">
    <w:name w:val="正文文本 Char"/>
    <w:link w:val="14"/>
    <w:qFormat/>
    <w:uiPriority w:val="0"/>
    <w:rPr>
      <w:rFonts w:eastAsia="宋体"/>
      <w:kern w:val="2"/>
      <w:sz w:val="24"/>
      <w:szCs w:val="24"/>
      <w:lang w:val="en-US" w:eastAsia="zh-CN" w:bidi="ar-SA"/>
    </w:rPr>
  </w:style>
  <w:style w:type="character" w:customStyle="1" w:styleId="53">
    <w:name w:val="标题 3 Char"/>
    <w:link w:val="4"/>
    <w:qFormat/>
    <w:uiPriority w:val="0"/>
    <w:rPr>
      <w:rFonts w:eastAsia="宋体"/>
      <w:b/>
      <w:bCs/>
      <w:kern w:val="2"/>
      <w:sz w:val="32"/>
      <w:szCs w:val="32"/>
      <w:lang w:val="en-US" w:eastAsia="zh-CN" w:bidi="ar-SA"/>
    </w:rPr>
  </w:style>
  <w:style w:type="character" w:customStyle="1" w:styleId="54">
    <w:name w:val="页脚 Char"/>
    <w:link w:val="21"/>
    <w:qFormat/>
    <w:uiPriority w:val="99"/>
    <w:rPr>
      <w:rFonts w:eastAsia="宋体"/>
      <w:kern w:val="2"/>
      <w:sz w:val="18"/>
      <w:szCs w:val="18"/>
      <w:lang w:val="en-US" w:eastAsia="zh-CN" w:bidi="ar-SA"/>
    </w:rPr>
  </w:style>
  <w:style w:type="character" w:customStyle="1" w:styleId="55">
    <w:name w:val="Char Char14"/>
    <w:qFormat/>
    <w:uiPriority w:val="0"/>
    <w:rPr>
      <w:sz w:val="18"/>
      <w:szCs w:val="18"/>
    </w:rPr>
  </w:style>
  <w:style w:type="character" w:customStyle="1" w:styleId="56">
    <w:name w:val="批注文字 Char"/>
    <w:link w:val="12"/>
    <w:qFormat/>
    <w:uiPriority w:val="0"/>
    <w:rPr>
      <w:rFonts w:eastAsia="宋体"/>
      <w:kern w:val="2"/>
      <w:sz w:val="21"/>
      <w:szCs w:val="24"/>
      <w:lang w:val="en-US" w:eastAsia="zh-CN" w:bidi="ar-SA"/>
    </w:rPr>
  </w:style>
  <w:style w:type="character" w:customStyle="1" w:styleId="57">
    <w:name w:val="标题 2 Char Char Char"/>
    <w:qFormat/>
    <w:uiPriority w:val="0"/>
    <w:rPr>
      <w:rFonts w:ascii="Arial" w:hAnsi="Arial" w:eastAsia="黑体"/>
      <w:bCs/>
      <w:color w:val="000000"/>
      <w:kern w:val="2"/>
      <w:sz w:val="32"/>
      <w:szCs w:val="32"/>
      <w:lang w:val="en-US" w:eastAsia="zh-CN" w:bidi="ar-SA"/>
    </w:rPr>
  </w:style>
  <w:style w:type="character" w:customStyle="1" w:styleId="58">
    <w:name w:val="文档结构图 Char"/>
    <w:link w:val="11"/>
    <w:qFormat/>
    <w:uiPriority w:val="0"/>
    <w:rPr>
      <w:rFonts w:eastAsia="宋体"/>
      <w:kern w:val="2"/>
      <w:sz w:val="21"/>
      <w:szCs w:val="24"/>
      <w:lang w:val="en-US" w:eastAsia="zh-CN" w:bidi="ar-SA"/>
    </w:rPr>
  </w:style>
  <w:style w:type="character" w:customStyle="1" w:styleId="59">
    <w:name w:val="正文文本 2 Char"/>
    <w:link w:val="26"/>
    <w:qFormat/>
    <w:uiPriority w:val="0"/>
    <w:rPr>
      <w:szCs w:val="21"/>
      <w:lang w:bidi="ar-SA"/>
    </w:rPr>
  </w:style>
  <w:style w:type="character" w:customStyle="1" w:styleId="60">
    <w:name w:val="标题 9 Char"/>
    <w:link w:val="10"/>
    <w:qFormat/>
    <w:uiPriority w:val="0"/>
    <w:rPr>
      <w:rFonts w:ascii="Arial" w:hAnsi="Arial" w:eastAsia="黑体"/>
      <w:kern w:val="2"/>
      <w:sz w:val="21"/>
      <w:lang w:val="en-US" w:eastAsia="zh-CN" w:bidi="ar-SA"/>
    </w:rPr>
  </w:style>
  <w:style w:type="character" w:customStyle="1" w:styleId="61">
    <w:name w:val="日期 Char"/>
    <w:link w:val="18"/>
    <w:qFormat/>
    <w:uiPriority w:val="0"/>
    <w:rPr>
      <w:kern w:val="2"/>
      <w:sz w:val="28"/>
      <w:lang w:bidi="ar-SA"/>
    </w:rPr>
  </w:style>
  <w:style w:type="character" w:customStyle="1" w:styleId="62">
    <w:name w:val="日期 Char1"/>
    <w:qFormat/>
    <w:uiPriority w:val="0"/>
    <w:rPr>
      <w:kern w:val="2"/>
      <w:sz w:val="21"/>
      <w:szCs w:val="21"/>
    </w:rPr>
  </w:style>
  <w:style w:type="character" w:customStyle="1" w:styleId="63">
    <w:name w:val="正文首行缩进 Char1"/>
    <w:qFormat/>
    <w:uiPriority w:val="0"/>
    <w:rPr>
      <w:rFonts w:eastAsia="宋体"/>
      <w:kern w:val="2"/>
      <w:sz w:val="21"/>
      <w:szCs w:val="24"/>
      <w:lang w:val="en-US" w:eastAsia="zh-CN" w:bidi="ar-SA"/>
    </w:rPr>
  </w:style>
  <w:style w:type="character" w:customStyle="1" w:styleId="64">
    <w:name w:val="标题 Char"/>
    <w:link w:val="28"/>
    <w:qFormat/>
    <w:uiPriority w:val="0"/>
    <w:rPr>
      <w:rFonts w:ascii="Cambria" w:hAnsi="Cambria"/>
      <w:b/>
      <w:bCs/>
      <w:sz w:val="32"/>
      <w:szCs w:val="32"/>
      <w:lang w:bidi="ar-SA"/>
    </w:rPr>
  </w:style>
  <w:style w:type="character" w:customStyle="1" w:styleId="65">
    <w:name w:val="批注主题 Char"/>
    <w:link w:val="29"/>
    <w:qFormat/>
    <w:uiPriority w:val="0"/>
    <w:rPr>
      <w:rFonts w:eastAsia="宋体"/>
      <w:b/>
      <w:bCs/>
      <w:kern w:val="2"/>
      <w:sz w:val="21"/>
      <w:szCs w:val="24"/>
      <w:lang w:val="en-US" w:eastAsia="zh-CN" w:bidi="ar-SA"/>
    </w:rPr>
  </w:style>
  <w:style w:type="character" w:customStyle="1" w:styleId="66">
    <w:name w:val="正文（首行缩进两字） Char"/>
    <w:qFormat/>
    <w:uiPriority w:val="0"/>
    <w:rPr>
      <w:rFonts w:eastAsia="宋体"/>
      <w:kern w:val="2"/>
      <w:sz w:val="21"/>
      <w:lang w:val="en-US" w:eastAsia="zh-CN" w:bidi="ar-SA"/>
    </w:rPr>
  </w:style>
  <w:style w:type="character" w:customStyle="1" w:styleId="67">
    <w:name w:val="p12"/>
    <w:basedOn w:val="34"/>
    <w:qFormat/>
    <w:uiPriority w:val="0"/>
  </w:style>
  <w:style w:type="character" w:customStyle="1" w:styleId="68">
    <w:name w:val="纯文本 Char"/>
    <w:link w:val="17"/>
    <w:qFormat/>
    <w:uiPriority w:val="0"/>
    <w:rPr>
      <w:rFonts w:ascii="宋体" w:hAnsi="Courier New"/>
      <w:szCs w:val="21"/>
      <w:lang w:bidi="ar-SA"/>
    </w:rPr>
  </w:style>
  <w:style w:type="character" w:customStyle="1" w:styleId="69">
    <w:name w:val="Char Char4"/>
    <w:qFormat/>
    <w:uiPriority w:val="0"/>
    <w:rPr>
      <w:szCs w:val="21"/>
    </w:rPr>
  </w:style>
  <w:style w:type="character" w:customStyle="1" w:styleId="70">
    <w:name w:val="批注框文本 Char"/>
    <w:link w:val="20"/>
    <w:qFormat/>
    <w:uiPriority w:val="0"/>
    <w:rPr>
      <w:rFonts w:eastAsia="宋体"/>
      <w:kern w:val="2"/>
      <w:sz w:val="18"/>
      <w:szCs w:val="18"/>
      <w:lang w:val="en-US" w:eastAsia="zh-CN" w:bidi="ar-SA"/>
    </w:rPr>
  </w:style>
  <w:style w:type="character" w:customStyle="1" w:styleId="71">
    <w:name w:val="标题 2 Char"/>
    <w:link w:val="3"/>
    <w:qFormat/>
    <w:uiPriority w:val="0"/>
    <w:rPr>
      <w:rFonts w:ascii="Arial" w:hAnsi="Arial" w:eastAsia="黑体"/>
      <w:b/>
      <w:bCs/>
      <w:kern w:val="2"/>
      <w:sz w:val="32"/>
      <w:szCs w:val="32"/>
      <w:lang w:val="en-US" w:eastAsia="zh-CN" w:bidi="ar-SA"/>
    </w:rPr>
  </w:style>
  <w:style w:type="character" w:customStyle="1" w:styleId="72">
    <w:name w:val="标题 1 Char1"/>
    <w:link w:val="2"/>
    <w:qFormat/>
    <w:uiPriority w:val="0"/>
    <w:rPr>
      <w:rFonts w:eastAsia="宋体"/>
      <w:b/>
      <w:bCs/>
      <w:kern w:val="44"/>
      <w:sz w:val="36"/>
      <w:szCs w:val="44"/>
      <w:lang w:val="en-US" w:eastAsia="zh-CN" w:bidi="ar-SA"/>
    </w:rPr>
  </w:style>
  <w:style w:type="character" w:customStyle="1" w:styleId="73">
    <w:name w:val="标题 8 Char"/>
    <w:link w:val="9"/>
    <w:qFormat/>
    <w:uiPriority w:val="0"/>
    <w:rPr>
      <w:rFonts w:ascii="Arial" w:hAnsi="Arial" w:eastAsia="黑体"/>
      <w:kern w:val="2"/>
      <w:sz w:val="24"/>
      <w:lang w:val="en-US" w:eastAsia="zh-CN" w:bidi="ar-SA"/>
    </w:rPr>
  </w:style>
  <w:style w:type="character" w:customStyle="1" w:styleId="74">
    <w:name w:val="标题 1 Char"/>
    <w:qFormat/>
    <w:uiPriority w:val="0"/>
    <w:rPr>
      <w:rFonts w:ascii="宋体" w:hAnsi="宋体" w:eastAsia="宋体" w:cs="宋体"/>
      <w:b/>
      <w:bCs/>
      <w:kern w:val="44"/>
      <w:sz w:val="21"/>
      <w:szCs w:val="21"/>
      <w:lang w:val="en-US" w:eastAsia="zh-CN"/>
    </w:rPr>
  </w:style>
  <w:style w:type="paragraph" w:customStyle="1" w:styleId="75">
    <w:name w:val="正文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kern w:val="0"/>
      <w:szCs w:val="21"/>
    </w:rPr>
  </w:style>
  <w:style w:type="paragraph" w:customStyle="1" w:styleId="77">
    <w:name w:val="p17"/>
    <w:basedOn w:val="1"/>
    <w:qFormat/>
    <w:uiPriority w:val="0"/>
    <w:pPr>
      <w:widowControl/>
    </w:pPr>
    <w:rPr>
      <w:kern w:val="0"/>
      <w:szCs w:val="21"/>
    </w:rPr>
  </w:style>
  <w:style w:type="paragraph" w:customStyle="1" w:styleId="78">
    <w:name w:val="正题"/>
    <w:basedOn w:val="1"/>
    <w:next w:val="1"/>
    <w:qFormat/>
    <w:uiPriority w:val="0"/>
    <w:pPr>
      <w:topLinePunct/>
      <w:adjustRightInd w:val="0"/>
      <w:snapToGrid w:val="0"/>
      <w:spacing w:line="360" w:lineRule="auto"/>
      <w:jc w:val="center"/>
    </w:pPr>
    <w:rPr>
      <w:rFonts w:eastAsia="黑体"/>
      <w:b/>
      <w:snapToGrid w:val="0"/>
      <w:spacing w:val="4"/>
      <w:kern w:val="0"/>
      <w:sz w:val="36"/>
      <w:szCs w:val="36"/>
    </w:rPr>
  </w:style>
  <w:style w:type="paragraph" w:customStyle="1" w:styleId="79">
    <w:name w:val="正文文本 21"/>
    <w:basedOn w:val="1"/>
    <w:qFormat/>
    <w:uiPriority w:val="0"/>
    <w:pPr>
      <w:autoSpaceDE w:val="0"/>
      <w:autoSpaceDN w:val="0"/>
      <w:adjustRightInd w:val="0"/>
      <w:spacing w:line="380" w:lineRule="atLeast"/>
      <w:textAlignment w:val="baseline"/>
    </w:pPr>
    <w:rPr>
      <w:spacing w:val="10"/>
      <w:kern w:val="0"/>
      <w:sz w:val="24"/>
    </w:rPr>
  </w:style>
  <w:style w:type="paragraph" w:customStyle="1" w:styleId="80">
    <w:name w:val="Char1"/>
    <w:basedOn w:val="1"/>
    <w:qFormat/>
    <w:uiPriority w:val="0"/>
    <w:pPr>
      <w:tabs>
        <w:tab w:val="left" w:pos="360"/>
      </w:tabs>
      <w:ind w:left="360" w:hanging="360"/>
    </w:pPr>
    <w:rPr>
      <w:sz w:val="24"/>
    </w:rPr>
  </w:style>
  <w:style w:type="paragraph" w:customStyle="1" w:styleId="81">
    <w:name w:val="p16"/>
    <w:basedOn w:val="1"/>
    <w:qFormat/>
    <w:uiPriority w:val="0"/>
    <w:pPr>
      <w:widowControl/>
      <w:spacing w:line="360" w:lineRule="auto"/>
      <w:jc w:val="center"/>
    </w:pPr>
    <w:rPr>
      <w:rFonts w:ascii="黑体" w:hAnsi="宋体" w:eastAsia="黑体" w:cs="宋体"/>
      <w:kern w:val="0"/>
      <w:sz w:val="24"/>
    </w:rPr>
  </w:style>
  <w:style w:type="paragraph" w:styleId="82">
    <w:name w:val="List Paragraph"/>
    <w:basedOn w:val="1"/>
    <w:qFormat/>
    <w:uiPriority w:val="34"/>
    <w:pPr>
      <w:ind w:firstLine="420" w:firstLineChars="200"/>
    </w:pPr>
    <w:rPr>
      <w:szCs w:val="21"/>
    </w:rPr>
  </w:style>
  <w:style w:type="paragraph" w:customStyle="1" w:styleId="83">
    <w:name w:val="纯文本1"/>
    <w:basedOn w:val="1"/>
    <w:qFormat/>
    <w:uiPriority w:val="0"/>
    <w:rPr>
      <w:rFonts w:ascii="宋体" w:hAnsi="Courier New"/>
      <w:szCs w:val="20"/>
    </w:rPr>
  </w:style>
  <w:style w:type="paragraph" w:customStyle="1" w:styleId="84">
    <w:name w:val="_Style 41"/>
    <w:basedOn w:val="1"/>
    <w:qFormat/>
    <w:uiPriority w:val="0"/>
    <w:rPr>
      <w:rFonts w:ascii="宋体" w:hAnsi="CG Times (W1)" w:cs="宋体"/>
      <w:kern w:val="0"/>
      <w:szCs w:val="21"/>
    </w:rPr>
  </w:style>
  <w:style w:type="paragraph" w:customStyle="1" w:styleId="85">
    <w:name w:val="Char Char Char Char Char Char Char"/>
    <w:basedOn w:val="1"/>
    <w:qFormat/>
    <w:uiPriority w:val="0"/>
    <w:pPr>
      <w:widowControl/>
      <w:spacing w:after="160" w:line="240" w:lineRule="exact"/>
      <w:jc w:val="left"/>
    </w:pPr>
    <w:rPr>
      <w:sz w:val="24"/>
    </w:rPr>
  </w:style>
  <w:style w:type="paragraph" w:customStyle="1" w:styleId="86">
    <w:name w:val="默认段落字体 Para Char"/>
    <w:basedOn w:val="1"/>
    <w:qFormat/>
    <w:uiPriority w:val="0"/>
    <w:pPr>
      <w:spacing w:line="360" w:lineRule="auto"/>
      <w:jc w:val="left"/>
    </w:pPr>
    <w:rPr>
      <w:rFonts w:eastAsia="仿宋_GB2312"/>
      <w:b/>
      <w:bCs/>
      <w:sz w:val="32"/>
      <w:szCs w:val="32"/>
    </w:rPr>
  </w:style>
  <w:style w:type="paragraph" w:customStyle="1" w:styleId="87">
    <w:name w:val="正文文本缩进 21"/>
    <w:basedOn w:val="1"/>
    <w:qFormat/>
    <w:uiPriority w:val="0"/>
    <w:pPr>
      <w:spacing w:after="120" w:line="480" w:lineRule="auto"/>
      <w:ind w:left="420" w:leftChars="200"/>
    </w:pPr>
  </w:style>
  <w:style w:type="paragraph" w:customStyle="1" w:styleId="88">
    <w:name w:val="表头"/>
    <w:basedOn w:val="1"/>
    <w:qFormat/>
    <w:uiPriority w:val="0"/>
    <w:pPr>
      <w:spacing w:line="360" w:lineRule="auto"/>
      <w:jc w:val="center"/>
    </w:pPr>
    <w:rPr>
      <w:rFonts w:ascii="黑体" w:eastAsia="黑体"/>
      <w:kern w:val="0"/>
      <w:sz w:val="24"/>
      <w:szCs w:val="20"/>
    </w:rPr>
  </w:style>
  <w:style w:type="paragraph" w:customStyle="1" w:styleId="89">
    <w:name w:val="图表文字"/>
    <w:basedOn w:val="1"/>
    <w:qFormat/>
    <w:uiPriority w:val="0"/>
    <w:pPr>
      <w:widowControl/>
      <w:adjustRightInd w:val="0"/>
      <w:spacing w:before="120" w:after="120"/>
      <w:jc w:val="center"/>
    </w:pPr>
    <w:rPr>
      <w:rFonts w:ascii="黑体" w:eastAsia="黑体"/>
      <w:kern w:val="0"/>
      <w:sz w:val="28"/>
      <w:szCs w:val="20"/>
    </w:rPr>
  </w:style>
  <w:style w:type="paragraph" w:customStyle="1" w:styleId="90">
    <w:name w:val="Char Char Char1 Char"/>
    <w:basedOn w:val="11"/>
    <w:qFormat/>
    <w:uiPriority w:val="0"/>
    <w:rPr>
      <w:rFonts w:ascii="Tahoma" w:hAnsi="Tahoma"/>
      <w:sz w:val="24"/>
    </w:rPr>
  </w:style>
  <w:style w:type="paragraph" w:customStyle="1" w:styleId="91">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92">
    <w:name w:val="p15"/>
    <w:basedOn w:val="1"/>
    <w:qFormat/>
    <w:uiPriority w:val="0"/>
    <w:pPr>
      <w:widowControl/>
      <w:spacing w:after="120"/>
      <w:ind w:left="420"/>
    </w:pPr>
    <w:rPr>
      <w:kern w:val="0"/>
      <w:szCs w:val="21"/>
    </w:rPr>
  </w:style>
  <w:style w:type="paragraph" w:customStyle="1" w:styleId="93">
    <w:name w:val="Char"/>
    <w:basedOn w:val="1"/>
    <w:qFormat/>
    <w:uiPriority w:val="0"/>
    <w:rPr>
      <w:sz w:val="30"/>
      <w:szCs w:val="30"/>
    </w:rPr>
  </w:style>
  <w:style w:type="paragraph" w:customStyle="1" w:styleId="9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CM6"/>
    <w:basedOn w:val="1"/>
    <w:next w:val="1"/>
    <w:qFormat/>
    <w:uiPriority w:val="0"/>
    <w:pPr>
      <w:autoSpaceDE w:val="0"/>
      <w:autoSpaceDN w:val="0"/>
      <w:adjustRightInd w:val="0"/>
      <w:spacing w:line="626" w:lineRule="atLeast"/>
      <w:jc w:val="left"/>
    </w:pPr>
    <w:rPr>
      <w:rFonts w:ascii="隶书" w:hAnsi="Calibri" w:eastAsia="隶书"/>
      <w:kern w:val="0"/>
      <w:sz w:val="24"/>
    </w:rPr>
  </w:style>
  <w:style w:type="paragraph" w:customStyle="1" w:styleId="96">
    <w:name w:val="xl2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97">
    <w:name w:val="Char2"/>
    <w:basedOn w:val="1"/>
    <w:qFormat/>
    <w:uiPriority w:val="0"/>
    <w:pPr>
      <w:tabs>
        <w:tab w:val="left" w:pos="360"/>
      </w:tabs>
      <w:ind w:left="360" w:hanging="360"/>
    </w:pPr>
  </w:style>
  <w:style w:type="paragraph" w:customStyle="1" w:styleId="98">
    <w:name w:val="Char Char Char Char"/>
    <w:basedOn w:val="1"/>
    <w:qFormat/>
    <w:uiPriority w:val="0"/>
    <w:pPr>
      <w:spacing w:line="360" w:lineRule="auto"/>
      <w:ind w:firstLine="640" w:firstLineChars="200"/>
      <w:jc w:val="left"/>
    </w:pPr>
    <w:rPr>
      <w:b/>
      <w:sz w:val="24"/>
    </w:rPr>
  </w:style>
  <w:style w:type="paragraph" w:customStyle="1" w:styleId="99">
    <w:name w:val="正文文本 22"/>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100">
    <w:name w:val="Char Char Char Char1"/>
    <w:basedOn w:val="1"/>
    <w:qFormat/>
    <w:uiPriority w:val="0"/>
    <w:pPr>
      <w:spacing w:line="360" w:lineRule="auto"/>
      <w:ind w:firstLine="640" w:firstLineChars="200"/>
      <w:jc w:val="left"/>
    </w:pPr>
    <w:rPr>
      <w:b/>
      <w:bCs/>
      <w:sz w:val="24"/>
    </w:rPr>
  </w:style>
  <w:style w:type="paragraph" w:customStyle="1" w:styleId="101">
    <w:name w:val="Char Char Char Char Char Char1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02">
    <w:name w:val="方案正文1.1.1.1"/>
    <w:qFormat/>
    <w:uiPriority w:val="0"/>
    <w:pPr>
      <w:spacing w:line="500" w:lineRule="exact"/>
      <w:ind w:firstLine="200" w:firstLineChars="200"/>
      <w:jc w:val="both"/>
    </w:pPr>
    <w:rPr>
      <w:rFonts w:ascii="宋体" w:hAnsi="宋体" w:eastAsia="宋体" w:cs="Times New Roman"/>
      <w:kern w:val="2"/>
      <w:sz w:val="24"/>
      <w:szCs w:val="22"/>
      <w:lang w:val="en-US" w:eastAsia="zh-CN" w:bidi="ar-SA"/>
    </w:rPr>
  </w:style>
  <w:style w:type="paragraph" w:customStyle="1" w:styleId="103">
    <w:name w:val="方案正文1.1.1"/>
    <w:qFormat/>
    <w:uiPriority w:val="0"/>
    <w:pPr>
      <w:spacing w:line="500" w:lineRule="exact"/>
      <w:jc w:val="both"/>
    </w:pPr>
    <w:rPr>
      <w:rFonts w:ascii="宋体" w:hAnsi="宋体" w:eastAsia="黑体" w:cs="Times New Roman"/>
      <w:kern w:val="2"/>
      <w:sz w:val="24"/>
      <w:szCs w:val="22"/>
      <w:lang w:val="en-US" w:eastAsia="zh-CN" w:bidi="ar-SA"/>
    </w:rPr>
  </w:style>
  <w:style w:type="paragraph" w:customStyle="1" w:styleId="104">
    <w:name w:val="方案正文1.1.1.1.1"/>
    <w:qFormat/>
    <w:uiPriority w:val="0"/>
    <w:pPr>
      <w:spacing w:line="500" w:lineRule="exact"/>
      <w:ind w:firstLine="400" w:firstLineChars="400"/>
      <w:jc w:val="both"/>
    </w:pPr>
    <w:rPr>
      <w:rFonts w:ascii="宋体" w:hAnsi="宋体" w:eastAsia="宋体" w:cs="Times New Roman"/>
      <w:kern w:val="2"/>
      <w:sz w:val="24"/>
      <w:szCs w:val="22"/>
      <w:lang w:val="en-US" w:eastAsia="zh-CN" w:bidi="ar-SA"/>
    </w:rPr>
  </w:style>
  <w:style w:type="paragraph" w:customStyle="1" w:styleId="105">
    <w:name w:val="Default"/>
    <w:qFormat/>
    <w:uiPriority w:val="0"/>
    <w:pPr>
      <w:widowControl w:val="0"/>
      <w:autoSpaceDE w:val="0"/>
      <w:autoSpaceDN w:val="0"/>
      <w:adjustRightInd w:val="0"/>
    </w:pPr>
    <w:rPr>
      <w:rFonts w:ascii="H Yb 1gj" w:hAnsi="Times New Roman" w:eastAsia="H Yb 1gj" w:cs="H Yb 1gj"/>
      <w:color w:val="000000"/>
      <w:sz w:val="24"/>
      <w:szCs w:val="24"/>
      <w:lang w:val="en-US" w:eastAsia="zh-CN" w:bidi="th-TH"/>
    </w:rPr>
  </w:style>
  <w:style w:type="paragraph" w:customStyle="1" w:styleId="106">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07">
    <w:name w:val="xl24"/>
    <w:basedOn w:val="1"/>
    <w:qFormat/>
    <w:uiPriority w:val="0"/>
    <w:pPr>
      <w:widowControl/>
      <w:spacing w:before="100" w:after="100"/>
      <w:jc w:val="center"/>
      <w:textAlignment w:val="center"/>
    </w:pPr>
    <w:rPr>
      <w:rFonts w:ascii="宋体" w:hAnsi="宋体"/>
      <w:kern w:val="0"/>
      <w:sz w:val="24"/>
    </w:rPr>
  </w:style>
  <w:style w:type="paragraph" w:customStyle="1" w:styleId="108">
    <w:name w:val="合同三级标题"/>
    <w:basedOn w:val="4"/>
    <w:qFormat/>
    <w:uiPriority w:val="0"/>
    <w:pPr>
      <w:tabs>
        <w:tab w:val="left" w:pos="284"/>
      </w:tabs>
      <w:autoSpaceDE w:val="0"/>
      <w:autoSpaceDN w:val="0"/>
      <w:adjustRightInd w:val="0"/>
      <w:spacing w:before="0" w:after="0" w:line="240" w:lineRule="auto"/>
      <w:jc w:val="left"/>
    </w:pPr>
    <w:rPr>
      <w:rFonts w:eastAsia="黑体"/>
      <w:b w:val="0"/>
      <w:kern w:val="0"/>
      <w:position w:val="-1"/>
      <w:sz w:val="24"/>
      <w:szCs w:val="30"/>
    </w:rPr>
  </w:style>
  <w:style w:type="paragraph" w:customStyle="1" w:styleId="109">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110">
    <w:name w:val="正文文本 字符"/>
    <w:basedOn w:val="34"/>
    <w:link w:val="14"/>
    <w:qFormat/>
    <w:uiPriority w:val="0"/>
    <w:rPr>
      <w:rFonts w:hint="default" w:ascii="Times New Roman" w:hAnsi="Times New Roman" w:cs="Times New Roman"/>
      <w:kern w:val="2"/>
      <w:sz w:val="21"/>
      <w:szCs w:val="24"/>
    </w:rPr>
  </w:style>
  <w:style w:type="character" w:customStyle="1" w:styleId="111">
    <w:name w:val="正文文本缩进 字符"/>
    <w:basedOn w:val="34"/>
    <w:link w:val="15"/>
    <w:qFormat/>
    <w:uiPriority w:val="0"/>
    <w:rPr>
      <w:kern w:val="2"/>
      <w:sz w:val="21"/>
      <w:szCs w:val="24"/>
    </w:rPr>
  </w:style>
  <w:style w:type="character" w:customStyle="1" w:styleId="112">
    <w:name w:val="正文文本首行缩进 2 字符"/>
    <w:basedOn w:val="111"/>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2009</Company>
  <Pages>24</Pages>
  <Words>3899</Words>
  <Characters>3937</Characters>
  <Lines>105</Lines>
  <Paragraphs>29</Paragraphs>
  <TotalTime>0</TotalTime>
  <ScaleCrop>false</ScaleCrop>
  <LinksUpToDate>false</LinksUpToDate>
  <CharactersWithSpaces>5060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2023-03-10T16:54:00Z</dcterms:created>
  <dc:creator>xgg</dc:creator>
  <cp:lastModifiedBy>洪森伟</cp:lastModifiedBy>
  <cp:lastPrinted>2020-07-07T11:23:00Z</cp:lastPrinted>
  <dcterms:modified xsi:type="dcterms:W3CDTF">2025-08-29T07:08:28Z</dcterms:modified>
  <dc:title>qdfg</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2024BB6801C0478BA404D7836290AEF3_13</vt:lpwstr>
  </property>
  <property fmtid="{D5CDD505-2E9C-101B-9397-08002B2CF9AE}" pid="4" name="KSOTemplateDocerSaveRecord">
    <vt:lpwstr>eyJoZGlkIjoiOTY0MjViMjliYmZiZWJmNzVjMTdjNTNiMTE4MzRlODEiLCJ1c2VySWQiOiI2MzE4MDUwNzgifQ==</vt:lpwstr>
  </property>
</Properties>
</file>