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cs="宋体"/>
          <w:b/>
          <w:bCs/>
          <w:color w:val="auto"/>
          <w:spacing w:val="40"/>
          <w:sz w:val="44"/>
          <w:szCs w:val="44"/>
          <w:highlight w:val="none"/>
        </w:rPr>
      </w:pPr>
    </w:p>
    <w:p>
      <w:pPr>
        <w:spacing w:line="360" w:lineRule="auto"/>
        <w:rPr>
          <w:rFonts w:ascii="宋体" w:hAnsi="宋体" w:cs="宋体"/>
          <w:b/>
          <w:bCs/>
          <w:color w:val="auto"/>
          <w:spacing w:val="40"/>
          <w:sz w:val="44"/>
          <w:szCs w:val="44"/>
          <w:highlight w:val="none"/>
        </w:rPr>
      </w:pPr>
    </w:p>
    <w:p>
      <w:pPr>
        <w:spacing w:line="360" w:lineRule="auto"/>
        <w:jc w:val="center"/>
        <w:rPr>
          <w:rFonts w:hint="eastAsia" w:ascii="宋体" w:hAnsi="宋体" w:eastAsia="宋体" w:cs="宋体"/>
          <w:b/>
          <w:bCs/>
          <w:color w:val="auto"/>
          <w:spacing w:val="40"/>
          <w:sz w:val="56"/>
          <w:szCs w:val="72"/>
          <w:highlight w:val="none"/>
          <w:u w:val="none"/>
          <w:lang w:eastAsia="zh-CN"/>
        </w:rPr>
      </w:pPr>
      <w:bookmarkStart w:id="0" w:name="OLE_LINK8"/>
      <w:r>
        <w:rPr>
          <w:rFonts w:hint="eastAsia" w:ascii="宋体" w:hAnsi="宋体" w:cs="宋体"/>
          <w:b/>
          <w:bCs/>
          <w:color w:val="auto"/>
          <w:spacing w:val="40"/>
          <w:sz w:val="56"/>
          <w:szCs w:val="72"/>
          <w:highlight w:val="none"/>
          <w:lang w:eastAsia="zh-CN"/>
        </w:rPr>
        <w:t>大学城校区国际楼A栋提升改造项目工程施工</w:t>
      </w:r>
      <w:bookmarkStart w:id="134" w:name="_GoBack"/>
      <w:bookmarkEnd w:id="134"/>
    </w:p>
    <w:bookmarkEnd w:id="0"/>
    <w:p>
      <w:pPr>
        <w:spacing w:line="360" w:lineRule="auto"/>
        <w:rPr>
          <w:rFonts w:ascii="宋体" w:hAnsi="宋体" w:cs="宋体"/>
          <w:b/>
          <w:bCs/>
          <w:color w:val="auto"/>
          <w:spacing w:val="26"/>
          <w:sz w:val="110"/>
          <w:szCs w:val="110"/>
          <w:highlight w:val="none"/>
        </w:rPr>
      </w:pPr>
    </w:p>
    <w:p>
      <w:pPr>
        <w:pStyle w:val="22"/>
        <w:rPr>
          <w:rFonts w:hAnsi="宋体" w:cs="宋体"/>
          <w:color w:val="auto"/>
          <w:highlight w:val="none"/>
        </w:rPr>
      </w:pPr>
    </w:p>
    <w:p>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pPr>
        <w:spacing w:line="360" w:lineRule="auto"/>
        <w:jc w:val="center"/>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30"/>
          <w:szCs w:val="30"/>
          <w:highlight w:val="none"/>
        </w:rPr>
      </w:pPr>
    </w:p>
    <w:p>
      <w:pPr>
        <w:spacing w:line="360" w:lineRule="auto"/>
        <w:ind w:firstLine="900" w:firstLineChars="300"/>
        <w:rPr>
          <w:rFonts w:ascii="宋体" w:hAnsi="宋体" w:cs="宋体"/>
          <w:color w:val="auto"/>
          <w:sz w:val="30"/>
          <w:szCs w:val="30"/>
          <w:highlight w:val="none"/>
        </w:rPr>
      </w:pPr>
    </w:p>
    <w:p>
      <w:pPr>
        <w:pStyle w:val="9"/>
        <w:rPr>
          <w:rFonts w:ascii="宋体" w:hAnsi="宋体" w:cs="宋体"/>
          <w:color w:val="auto"/>
          <w:sz w:val="30"/>
          <w:szCs w:val="30"/>
          <w:highlight w:val="none"/>
        </w:rPr>
      </w:pPr>
    </w:p>
    <w:p>
      <w:pPr>
        <w:rPr>
          <w:rFonts w:ascii="宋体" w:hAnsi="宋体" w:cs="宋体"/>
          <w:color w:val="auto"/>
          <w:sz w:val="30"/>
          <w:szCs w:val="30"/>
          <w:highlight w:val="none"/>
        </w:rPr>
      </w:pPr>
    </w:p>
    <w:p>
      <w:pPr>
        <w:pStyle w:val="22"/>
        <w:rPr>
          <w:rFonts w:hAnsi="宋体" w:cs="宋体"/>
          <w:color w:val="auto"/>
          <w:highlight w:val="none"/>
        </w:rPr>
      </w:pPr>
    </w:p>
    <w:p>
      <w:pPr>
        <w:rPr>
          <w:rFonts w:ascii="宋体" w:hAnsi="宋体" w:cs="宋体"/>
          <w:color w:val="auto"/>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bookmarkStart w:id="1" w:name="OLE_LINK9"/>
      <w:r>
        <w:rPr>
          <w:rFonts w:hint="eastAsia" w:ascii="宋体" w:hAnsi="宋体" w:cs="宋体"/>
          <w:color w:val="auto"/>
          <w:sz w:val="30"/>
          <w:szCs w:val="30"/>
          <w:highlight w:val="none"/>
          <w:u w:val="single"/>
          <w:lang w:eastAsia="zh-CN"/>
        </w:rPr>
        <w:t>广州中医药大学</w:t>
      </w:r>
      <w:bookmarkEnd w:id="1"/>
    </w:p>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广东省机电设备招标有限公司</w:t>
      </w:r>
    </w:p>
    <w:p>
      <w:pPr>
        <w:spacing w:line="360" w:lineRule="auto"/>
        <w:ind w:firstLine="900" w:firstLineChars="30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5</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08</w:t>
      </w:r>
      <w:r>
        <w:rPr>
          <w:rFonts w:hint="eastAsia" w:ascii="宋体" w:hAnsi="宋体" w:cs="宋体"/>
          <w:color w:val="auto"/>
          <w:sz w:val="30"/>
          <w:szCs w:val="30"/>
          <w:highlight w:val="none"/>
          <w:lang w:val="en-US" w:eastAsia="zh-CN"/>
        </w:rPr>
        <w:t>月</w:t>
      </w:r>
    </w:p>
    <w:p>
      <w:pPr>
        <w:spacing w:before="312" w:beforeLines="100" w:after="312" w:afterLines="100" w:line="360" w:lineRule="auto"/>
        <w:jc w:val="center"/>
        <w:rPr>
          <w:rFonts w:ascii="宋体" w:hAnsi="宋体" w:cs="宋体"/>
          <w:b/>
          <w:caps/>
          <w:color w:val="auto"/>
          <w:kern w:val="0"/>
          <w:highlight w:val="none"/>
        </w:rPr>
      </w:pPr>
      <w:r>
        <w:rPr>
          <w:rFonts w:hint="eastAsia" w:ascii="宋体" w:hAnsi="宋体" w:cs="宋体"/>
          <w:color w:val="auto"/>
          <w:sz w:val="30"/>
          <w:szCs w:val="30"/>
          <w:highlight w:val="none"/>
        </w:rPr>
        <w:br w:type="page"/>
      </w:r>
      <w:r>
        <w:rPr>
          <w:rStyle w:val="48"/>
          <w:rFonts w:hint="eastAsia" w:ascii="宋体" w:hAnsi="宋体" w:cs="宋体"/>
          <w:b/>
          <w:bCs/>
          <w:color w:val="auto"/>
          <w:sz w:val="44"/>
          <w:szCs w:val="44"/>
          <w:highlight w:val="none"/>
          <w:u w:val="none"/>
        </w:rPr>
        <w:t>目录</w:t>
      </w:r>
    </w:p>
    <w:p>
      <w:pPr>
        <w:pStyle w:val="29"/>
        <w:tabs>
          <w:tab w:val="right" w:leader="dot" w:pos="9070"/>
          <w:tab w:val="clear" w:pos="9060"/>
        </w:tabs>
        <w:rPr>
          <w:rFonts w:hAnsi="宋体" w:cs="宋体"/>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"1-3" \h \z \u </w:instrText>
      </w:r>
      <w:r>
        <w:rPr>
          <w:rFonts w:hint="eastAsia" w:hAnsi="宋体" w:cs="宋体"/>
          <w:color w:val="auto"/>
          <w:sz w:val="28"/>
          <w:szCs w:val="28"/>
          <w:highlight w:val="none"/>
        </w:rPr>
        <w:fldChar w:fldCharType="separate"/>
      </w:r>
      <w:r>
        <w:rPr>
          <w:color w:val="auto"/>
          <w:sz w:val="22"/>
          <w:szCs w:val="28"/>
          <w:highlight w:val="none"/>
        </w:rPr>
        <w:fldChar w:fldCharType="begin"/>
      </w:r>
      <w:r>
        <w:rPr>
          <w:color w:val="auto"/>
          <w:sz w:val="22"/>
          <w:szCs w:val="28"/>
          <w:highlight w:val="none"/>
        </w:rPr>
        <w:instrText xml:space="preserve"> HYPERLINK \l "_Toc29999" </w:instrText>
      </w:r>
      <w:r>
        <w:rPr>
          <w:color w:val="auto"/>
          <w:sz w:val="22"/>
          <w:szCs w:val="28"/>
          <w:highlight w:val="none"/>
        </w:rPr>
        <w:fldChar w:fldCharType="separate"/>
      </w:r>
      <w:r>
        <w:rPr>
          <w:rFonts w:hint="eastAsia" w:hAnsi="宋体" w:cs="宋体"/>
          <w:color w:val="auto"/>
          <w:sz w:val="28"/>
          <w:szCs w:val="28"/>
          <w:highlight w:val="none"/>
        </w:rPr>
        <w:t>第一章  投标须知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_Toc29999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"_Toc3951" </w:instrText>
      </w:r>
      <w:r>
        <w:rPr>
          <w:color w:val="auto"/>
          <w:sz w:val="22"/>
          <w:szCs w:val="22"/>
          <w:highlight w:val="none"/>
        </w:rPr>
        <w:fldChar w:fldCharType="separate"/>
      </w:r>
      <w:r>
        <w:rPr>
          <w:rFonts w:hint="eastAsia" w:ascii="宋体" w:hAnsi="宋体" w:cs="宋体"/>
          <w:color w:val="auto"/>
          <w:sz w:val="28"/>
          <w:szCs w:val="28"/>
          <w:highlight w:val="none"/>
        </w:rPr>
        <w:t>一、投标须知前附表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"_Toc12984" </w:instrText>
      </w:r>
      <w:r>
        <w:rPr>
          <w:color w:val="auto"/>
          <w:sz w:val="22"/>
          <w:szCs w:val="22"/>
          <w:highlight w:val="none"/>
        </w:rPr>
        <w:fldChar w:fldCharType="separate"/>
      </w:r>
      <w:r>
        <w:rPr>
          <w:rFonts w:hint="eastAsia" w:ascii="宋体" w:hAnsi="宋体" w:cs="宋体"/>
          <w:color w:val="auto"/>
          <w:sz w:val="28"/>
          <w:szCs w:val="28"/>
          <w:highlight w:val="none"/>
        </w:rPr>
        <w:t>二、投标须知修改表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_Toc12984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"_Toc24881" </w:instrText>
      </w:r>
      <w:r>
        <w:rPr>
          <w:color w:val="auto"/>
          <w:sz w:val="22"/>
          <w:szCs w:val="22"/>
          <w:highlight w:val="none"/>
        </w:rPr>
        <w:fldChar w:fldCharType="separate"/>
      </w:r>
      <w:r>
        <w:rPr>
          <w:rFonts w:hint="eastAsia" w:ascii="宋体" w:hAnsi="宋体" w:cs="宋体"/>
          <w:color w:val="auto"/>
          <w:sz w:val="28"/>
          <w:szCs w:val="28"/>
          <w:highlight w:val="none"/>
        </w:rPr>
        <w:t>三、投标须知通用条款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_Toc24881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"_Toc286" </w:instrText>
      </w:r>
      <w:r>
        <w:rPr>
          <w:color w:val="auto"/>
          <w:sz w:val="22"/>
          <w:szCs w:val="28"/>
          <w:highlight w:val="none"/>
        </w:rPr>
        <w:fldChar w:fldCharType="separate"/>
      </w:r>
      <w:r>
        <w:rPr>
          <w:rFonts w:hint="eastAsia" w:hAnsi="宋体" w:cs="宋体"/>
          <w:color w:val="auto"/>
          <w:sz w:val="28"/>
          <w:szCs w:val="28"/>
          <w:highlight w:val="none"/>
        </w:rPr>
        <w:t>第二章  开标、评标及定标办法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_Toc286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33</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"_Toc20398" </w:instrText>
      </w:r>
      <w:r>
        <w:rPr>
          <w:color w:val="auto"/>
          <w:sz w:val="22"/>
          <w:szCs w:val="22"/>
          <w:highlight w:val="none"/>
        </w:rPr>
        <w:fldChar w:fldCharType="separate"/>
      </w:r>
      <w:r>
        <w:rPr>
          <w:rFonts w:hint="eastAsia" w:ascii="宋体" w:hAnsi="宋体" w:cs="宋体"/>
          <w:color w:val="auto"/>
          <w:sz w:val="28"/>
          <w:szCs w:val="28"/>
          <w:highlight w:val="none"/>
        </w:rPr>
        <w:t>一、开标、评标及定标办法修改表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"_Toc11460" </w:instrText>
      </w:r>
      <w:r>
        <w:rPr>
          <w:color w:val="auto"/>
          <w:sz w:val="22"/>
          <w:szCs w:val="22"/>
          <w:highlight w:val="none"/>
        </w:rPr>
        <w:fldChar w:fldCharType="separate"/>
      </w:r>
      <w:r>
        <w:rPr>
          <w:rFonts w:hint="eastAsia" w:ascii="宋体" w:hAnsi="宋体" w:cs="宋体"/>
          <w:color w:val="auto"/>
          <w:sz w:val="28"/>
          <w:szCs w:val="28"/>
          <w:highlight w:val="none"/>
        </w:rPr>
        <w:t>二、开标、评标及定标办法通用条款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_Toc11460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"_Toc14934" </w:instrText>
      </w:r>
      <w:r>
        <w:rPr>
          <w:color w:val="auto"/>
          <w:sz w:val="22"/>
          <w:szCs w:val="28"/>
          <w:highlight w:val="none"/>
        </w:rPr>
        <w:fldChar w:fldCharType="separate"/>
      </w:r>
      <w:r>
        <w:rPr>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_Toc14934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59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"_Toc12630" </w:instrText>
      </w:r>
      <w:r>
        <w:rPr>
          <w:color w:val="auto"/>
          <w:sz w:val="22"/>
          <w:szCs w:val="28"/>
          <w:highlight w:val="none"/>
        </w:rPr>
        <w:fldChar w:fldCharType="separate"/>
      </w:r>
      <w:r>
        <w:rPr>
          <w:rFonts w:hint="eastAsia" w:hAnsi="宋体" w:cs="宋体"/>
          <w:color w:val="auto"/>
          <w:sz w:val="28"/>
          <w:szCs w:val="28"/>
          <w:highlight w:val="none"/>
        </w:rPr>
        <w:t>第四章  投标文件格式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_Toc12630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"_Toc22889" </w:instrText>
      </w:r>
      <w:r>
        <w:rPr>
          <w:color w:val="auto"/>
          <w:sz w:val="22"/>
          <w:szCs w:val="28"/>
          <w:highlight w:val="none"/>
        </w:rPr>
        <w:fldChar w:fldCharType="separate"/>
      </w:r>
      <w:r>
        <w:rPr>
          <w:rFonts w:hint="eastAsia" w:hAnsi="宋体" w:cs="宋体"/>
          <w:color w:val="auto"/>
          <w:sz w:val="28"/>
          <w:szCs w:val="28"/>
          <w:highlight w:val="none"/>
        </w:rPr>
        <w:t>第五章  技术条件（工程建设标准）</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_Toc22889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"_Toc17006" </w:instrText>
      </w:r>
      <w:r>
        <w:rPr>
          <w:color w:val="auto"/>
          <w:sz w:val="22"/>
          <w:szCs w:val="28"/>
          <w:highlight w:val="none"/>
        </w:rPr>
        <w:fldChar w:fldCharType="separate"/>
      </w:r>
      <w:r>
        <w:rPr>
          <w:rFonts w:hint="eastAsia" w:hAnsi="宋体" w:cs="宋体"/>
          <w:color w:val="auto"/>
          <w:sz w:val="28"/>
          <w:szCs w:val="28"/>
          <w:highlight w:val="none"/>
        </w:rPr>
        <w:t>第六章  图纸及勘察资料</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_Toc17006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"_Toc2247" </w:instrText>
      </w:r>
      <w:r>
        <w:rPr>
          <w:color w:val="auto"/>
          <w:sz w:val="22"/>
          <w:szCs w:val="28"/>
          <w:highlight w:val="none"/>
        </w:rPr>
        <w:fldChar w:fldCharType="separate"/>
      </w:r>
      <w:r>
        <w:rPr>
          <w:rFonts w:hint="eastAsia" w:hAnsi="宋体" w:cs="宋体"/>
          <w:color w:val="auto"/>
          <w:sz w:val="28"/>
          <w:szCs w:val="28"/>
          <w:highlight w:val="none"/>
        </w:rPr>
        <w:t>第七章  工程量清单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_Toc2247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87</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29"/>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"_Toc10163" </w:instrText>
      </w:r>
      <w:r>
        <w:rPr>
          <w:color w:val="auto"/>
          <w:sz w:val="22"/>
          <w:szCs w:val="28"/>
          <w:highlight w:val="none"/>
        </w:rPr>
        <w:fldChar w:fldCharType="separate"/>
      </w:r>
      <w:r>
        <w:rPr>
          <w:rFonts w:hint="eastAsia" w:hAnsi="宋体" w:cs="宋体"/>
          <w:color w:val="auto"/>
          <w:sz w:val="28"/>
          <w:szCs w:val="28"/>
          <w:highlight w:val="none"/>
        </w:rPr>
        <w:t>第八章  最高投标限价</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_Toc10163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88</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outlineLvl w:val="9"/>
        <w:rPr>
          <w:rFonts w:ascii="宋体" w:hAnsi="宋体" w:cs="宋体"/>
          <w:color w:val="auto"/>
          <w:highlight w:val="none"/>
        </w:rPr>
      </w:pPr>
      <w:r>
        <w:rPr>
          <w:rFonts w:hint="eastAsia" w:ascii="宋体" w:hAnsi="宋体" w:cs="宋体"/>
          <w:color w:val="auto"/>
          <w:sz w:val="28"/>
          <w:szCs w:val="28"/>
          <w:highlight w:val="none"/>
        </w:rPr>
        <w:fldChar w:fldCharType="end"/>
      </w:r>
    </w:p>
    <w:p>
      <w:pPr>
        <w:outlineLvl w:val="9"/>
        <w:rPr>
          <w:rFonts w:ascii="宋体" w:hAnsi="宋体" w:cs="宋体"/>
          <w:color w:val="auto"/>
          <w:highlight w:val="none"/>
        </w:rPr>
      </w:pPr>
    </w:p>
    <w:p>
      <w:pPr>
        <w:pStyle w:val="2"/>
        <w:rPr>
          <w:rFonts w:ascii="宋体" w:hAnsi="宋体" w:cs="宋体"/>
          <w:color w:val="auto"/>
          <w:highlight w:val="none"/>
        </w:rPr>
      </w:pPr>
    </w:p>
    <w:p>
      <w:pPr>
        <w:pStyle w:val="2"/>
        <w:spacing w:before="0" w:after="0"/>
        <w:jc w:val="center"/>
        <w:rPr>
          <w:rFonts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bookmarkStart w:id="2" w:name="_Toc29999"/>
    </w:p>
    <w:p>
      <w:pPr>
        <w:pStyle w:val="2"/>
        <w:spacing w:before="0" w:after="0"/>
        <w:jc w:val="center"/>
        <w:rPr>
          <w:rFonts w:ascii="宋体" w:hAnsi="宋体" w:cs="宋体"/>
          <w:color w:val="auto"/>
          <w:highlight w:val="none"/>
        </w:rPr>
      </w:pPr>
      <w:r>
        <w:rPr>
          <w:rFonts w:hint="eastAsia" w:ascii="宋体" w:hAnsi="宋体" w:cs="宋体"/>
          <w:color w:val="auto"/>
          <w:highlight w:val="none"/>
        </w:rPr>
        <w:t>第一章  投标须知</w:t>
      </w:r>
      <w:bookmarkEnd w:id="2"/>
    </w:p>
    <w:p>
      <w:pPr>
        <w:pStyle w:val="6"/>
        <w:spacing w:before="0" w:after="0" w:line="360" w:lineRule="auto"/>
        <w:ind w:left="0"/>
        <w:rPr>
          <w:rFonts w:ascii="宋体" w:hAnsi="宋体" w:cs="宋体"/>
          <w:color w:val="auto"/>
          <w:sz w:val="28"/>
          <w:szCs w:val="28"/>
          <w:highlight w:val="none"/>
        </w:rPr>
      </w:pPr>
      <w:bookmarkStart w:id="3" w:name="_Toc3951"/>
      <w:r>
        <w:rPr>
          <w:rFonts w:hint="eastAsia" w:ascii="宋体" w:hAnsi="宋体" w:cs="宋体"/>
          <w:color w:val="auto"/>
          <w:sz w:val="28"/>
          <w:szCs w:val="28"/>
          <w:highlight w:val="none"/>
        </w:rPr>
        <w:t>一、</w:t>
      </w:r>
      <w:bookmarkStart w:id="4" w:name="OLE_LINK6"/>
      <w:r>
        <w:rPr>
          <w:rFonts w:hint="eastAsia" w:ascii="宋体" w:hAnsi="宋体" w:cs="宋体"/>
          <w:color w:val="auto"/>
          <w:sz w:val="28"/>
          <w:szCs w:val="28"/>
          <w:highlight w:val="none"/>
        </w:rPr>
        <w:t>投标须知前附表</w:t>
      </w:r>
      <w:bookmarkEnd w:id="3"/>
      <w:bookmarkEnd w:id="4"/>
    </w:p>
    <w:p>
      <w:pPr>
        <w:pStyle w:val="9"/>
        <w:ind w:firstLine="0"/>
        <w:jc w:val="left"/>
        <w:rPr>
          <w:rFonts w:ascii="宋体" w:hAnsi="宋体" w:cs="宋体"/>
          <w:b/>
          <w:color w:val="auto"/>
          <w:sz w:val="20"/>
          <w:highlight w:val="none"/>
        </w:rPr>
      </w:pPr>
      <w:r>
        <w:rPr>
          <w:rFonts w:hint="eastAsia" w:ascii="宋体" w:hAnsi="宋体" w:cs="宋体"/>
          <w:b/>
          <w:color w:val="auto"/>
          <w:sz w:val="20"/>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50" w:type="dxa"/>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vAlign w:val="center"/>
          </w:tcPr>
          <w:p>
            <w:pPr>
              <w:pStyle w:val="23"/>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广州中医药大学</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广东省机电设备招标有限公司</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highlight w:val="none"/>
                <w:lang w:val="en-US" w:eastAsia="zh-CN"/>
              </w:rPr>
              <w:t>深圳建昌工程设计有限公司</w:t>
            </w:r>
          </w:p>
          <w:p>
            <w:pPr>
              <w:keepNext w:val="0"/>
              <w:keepLines w:val="0"/>
              <w:suppressLineNumbers w:val="0"/>
              <w:spacing w:before="0" w:beforeAutospacing="0" w:after="0" w:afterAutospacing="0"/>
              <w:ind w:left="0" w:right="0"/>
              <w:rPr>
                <w:rFonts w:hint="default" w:ascii="宋体" w:hAnsi="宋体" w:cs="宋体"/>
                <w:color w:val="auto"/>
                <w:szCs w:val="21"/>
                <w:highlight w:val="none"/>
                <w:lang w:val="en-US"/>
              </w:rPr>
            </w:pPr>
            <w:r>
              <w:rPr>
                <w:rFonts w:hint="eastAsia" w:ascii="宋体" w:hAnsi="宋体"/>
                <w:color w:val="000000" w:themeColor="text1"/>
                <w:szCs w:val="21"/>
                <w:highlight w:val="none"/>
                <w14:textFill>
                  <w14:solidFill>
                    <w14:schemeClr w14:val="tx1"/>
                  </w14:solidFill>
                </w14:textFill>
              </w:rPr>
              <w:t>监理单位：</w:t>
            </w:r>
            <w:r>
              <w:rPr>
                <w:rFonts w:hint="default" w:ascii="宋体" w:hAnsi="宋体"/>
                <w:color w:val="000000" w:themeColor="text1"/>
                <w:szCs w:val="21"/>
                <w:highlight w:val="none"/>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大学城校区国际楼A栋提升改造项目工程施工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bookmarkStart w:id="5" w:name="OLE_LINK3"/>
            <w:bookmarkStart w:id="6" w:name="OLE_LINK4"/>
            <w:r>
              <w:rPr>
                <w:rFonts w:hint="default" w:ascii="宋体" w:hAnsi="宋体" w:eastAsia="宋体" w:cs="宋体"/>
                <w:color w:val="auto"/>
                <w:szCs w:val="21"/>
                <w:highlight w:val="none"/>
                <w:lang w:val="en-US" w:eastAsia="zh-CN"/>
              </w:rPr>
              <w:t xml:space="preserve">广州市番禺区广州大学城外环东路232号 </w:t>
            </w:r>
            <w:bookmarkEnd w:id="5"/>
            <w:bookmarkEnd w:id="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本项目承包方式为施工总承包，合同形式：单价合同。</w:t>
            </w:r>
            <w:r>
              <w:rPr>
                <w:rFonts w:hint="eastAsia" w:ascii="宋体" w:hAnsi="宋体" w:cs="宋体"/>
                <w:color w:val="auto"/>
                <w:szCs w:val="21"/>
                <w:highlight w:val="none"/>
                <w:lang w:eastAsia="zh-CN"/>
              </w:rPr>
              <w:t>投标人</w:t>
            </w:r>
            <w:r>
              <w:rPr>
                <w:rFonts w:hint="default" w:ascii="宋体" w:hAnsi="宋体" w:cs="宋体"/>
                <w:color w:val="auto"/>
                <w:szCs w:val="21"/>
                <w:highlight w:val="none"/>
              </w:rPr>
              <w:t>根据</w:t>
            </w:r>
            <w:r>
              <w:rPr>
                <w:rFonts w:hint="eastAsia" w:ascii="宋体" w:hAnsi="宋体" w:cs="宋体"/>
                <w:color w:val="auto"/>
                <w:szCs w:val="21"/>
                <w:highlight w:val="none"/>
                <w:lang w:eastAsia="zh-CN"/>
              </w:rPr>
              <w:t>招标人</w:t>
            </w:r>
            <w:r>
              <w:rPr>
                <w:rFonts w:hint="default" w:ascii="宋体" w:hAnsi="宋体" w:cs="宋体"/>
                <w:color w:val="auto"/>
                <w:szCs w:val="21"/>
                <w:highlight w:val="none"/>
              </w:rPr>
              <w:t>提供的招标文件、清单、等结合现场实际情况、工程性质、特点等要求，采取包施工、包材料、包质量、包工期、包文明施工、包安全、包环境卫生、包验收等。综合单价包干，措施费项目包干。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执行国家最新颁布《建筑工程施工质量验收统一标准》及相应配套的各专业验收规范等。工程质量符合《建筑工程施工质量评价标准》（GB/T50375-2016）有关要求、现行工程质量验收标准达到质量一次竣工验收合格，并符合施工图纸要求和国家、行业有关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工程合同工期总日历天数：90天，具体开工日期以签发的开工令日期为准，不可抗力因素及甲方原因引起的不能施工，则工期顺延。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90日历天。（从投标截止之日计起）如出现异议或投诉超过90日历天的，则投标有效期自动延长至异议或投诉处理结束。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pPr>
              <w:pStyle w:val="22"/>
              <w:keepNext w:val="0"/>
              <w:keepLines w:val="0"/>
              <w:suppressLineNumbers w:val="0"/>
              <w:spacing w:before="0" w:beforeAutospacing="0" w:after="0" w:afterAutospacing="0"/>
              <w:ind w:left="0" w:right="0"/>
              <w:rPr>
                <w:rFonts w:hint="default" w:hAnsi="宋体" w:cs="宋体"/>
                <w:color w:val="auto"/>
                <w:kern w:val="2"/>
                <w:sz w:val="21"/>
                <w:szCs w:val="22"/>
                <w:highlight w:val="none"/>
              </w:rPr>
            </w:pPr>
            <w:r>
              <w:rPr>
                <w:rFonts w:hint="eastAsia" w:hAnsi="宋体" w:cs="宋体"/>
                <w:color w:val="auto"/>
                <w:kern w:val="2"/>
                <w:sz w:val="21"/>
                <w:szCs w:val="22"/>
                <w:highlight w:val="none"/>
              </w:rPr>
              <w:t>本项目不收投标保证金。</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注：1、政府投资项目不得收取投标保证金。鼓励招标人对简单小额项目不要求提供投标担保，对中小企业投标人免除投标担保。</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highlight w:val="none"/>
              </w:rPr>
              <w:t>3、招标人在免收投标保证金的同时，应约定免交投标保证金的投标人存在16.4条款所列情形的后续处理措施。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时间：自招标公告发布之日起具备现场踏勘条件；</w:t>
            </w:r>
          </w:p>
          <w:p>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方式：招标人不集中组织，由投标人自行踏勘；</w:t>
            </w:r>
          </w:p>
          <w:p>
            <w:pPr>
              <w:pStyle w:val="2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现场详细地点：项目地点。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  月  日  时  分前；</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交易平台提交。</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   月   日  时   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（与投标截止时间为同一时间），地点：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投标人也可选择参加在线开标，具体按照交易平台相关指南进行操作。详见：http://www.gzggzy.cn/fwznbszyjsgc/index.jhtml。</w:t>
            </w:r>
          </w:p>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分至</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；递交地点：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。(建议安排在投标文件截止时间前15分钟至投标文件截止时间）</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Cs/>
                <w:color w:val="auto"/>
                <w:kern w:val="0"/>
                <w:szCs w:val="21"/>
                <w:highlight w:val="none"/>
                <w:u w:val="single"/>
              </w:rPr>
              <w:t>补充公告和</w:t>
            </w:r>
            <w:r>
              <w:rPr>
                <w:rFonts w:hint="eastAsia" w:ascii="宋体" w:hAnsi="宋体" w:cs="宋体"/>
                <w:bCs/>
                <w:color w:val="auto"/>
                <w:kern w:val="0"/>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pPr>
              <w:pStyle w:val="4"/>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pPr>
              <w:pStyle w:val="4"/>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投标人总得分=技术得分（20分）＋经济得分（100分）×经济得分权重（80%）。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pPr>
              <w:pStyle w:val="4"/>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方式一：中标人提供的履约保证金为中标价款的</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本项目最高投标限价为</w:t>
            </w:r>
            <w:r>
              <w:rPr>
                <w:rFonts w:hint="eastAsia" w:ascii="宋体" w:hAnsi="宋体" w:cs="宋体"/>
                <w:color w:val="auto"/>
                <w:szCs w:val="21"/>
                <w:highlight w:val="none"/>
                <w:u w:val="single"/>
              </w:rPr>
              <w:t>人民币</w:t>
            </w:r>
            <w:r>
              <w:rPr>
                <w:rFonts w:hint="eastAsia" w:ascii="宋体" w:hAnsi="宋体" w:cs="宋体"/>
                <w:color w:val="auto"/>
                <w:szCs w:val="21"/>
                <w:highlight w:val="none"/>
                <w:u w:val="single"/>
                <w:lang w:eastAsia="zh-CN"/>
              </w:rPr>
              <w:t>5,110,072.92</w:t>
            </w:r>
            <w:r>
              <w:rPr>
                <w:rFonts w:hint="eastAsia" w:ascii="宋体" w:hAnsi="宋体" w:cs="宋体"/>
                <w:color w:val="auto"/>
                <w:szCs w:val="21"/>
                <w:highlight w:val="none"/>
                <w:u w:val="singl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人民币229</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039.92 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rPr>
              <w:t>人民币379</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589.84元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人民币</w:t>
            </w:r>
            <w:r>
              <w:rPr>
                <w:rFonts w:hint="default" w:ascii="宋体" w:hAnsi="宋体" w:cs="宋体"/>
                <w:color w:val="auto"/>
                <w:szCs w:val="21"/>
                <w:highlight w:val="none"/>
                <w:u w:val="single"/>
                <w:lang w:val="en-US" w:eastAsia="zh-CN"/>
              </w:rPr>
              <w:t>0</w:t>
            </w:r>
            <w:r>
              <w:rPr>
                <w:rFonts w:hint="eastAsia" w:ascii="宋体" w:hAnsi="宋体" w:cs="宋体"/>
                <w:color w:val="auto"/>
                <w:szCs w:val="21"/>
                <w:highlight w:val="none"/>
                <w:u w:val="single"/>
              </w:rPr>
              <w:t>元</w:t>
            </w:r>
            <w:r>
              <w:rPr>
                <w:rFonts w:hint="eastAsia" w:ascii="宋体" w:hAnsi="宋体" w:cs="宋体"/>
                <w:color w:val="auto"/>
                <w:szCs w:val="21"/>
                <w:highlight w:val="none"/>
              </w:rPr>
              <w:t>，详见最高投标限价公布函。（未按招标文件规定的金额填写的，由评标委员会按照招标文件规定的金额进行修正）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pStyle w:val="4"/>
              <w:keepNext w:val="0"/>
              <w:keepLines w:val="0"/>
              <w:suppressLineNumbers w:val="0"/>
              <w:spacing w:before="0" w:beforeAutospacing="0" w:after="0" w:afterAutospacing="0"/>
              <w:ind w:left="0" w:right="0" w:firstLine="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color w:val="auto"/>
                <w:highlight w:val="none"/>
              </w:rPr>
              <w:t>计算评标参考价的等分点值X</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在开标前从[0,100]整数中随机抽取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工程成本警戒价为人民币 4,088,058.34 元（按最高投标限价的</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本项目不采用企业综合诚信评价分数。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经招标人书面批准同意，中标人可以把中标项目的部分非主体、非关键性工作分包给具有相应资质和能力的单位实施，但不得再次分包。</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rPr>
              <w:t>/</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rPr>
              <w:t>/</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内容：招标人对中标人参与“百千万工程”的具体要求</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说明与要求：</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□具体要求在中标后按照投标承诺和招标人的要求执行。</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w:t>
            </w:r>
            <w:r>
              <w:rPr>
                <w:rFonts w:hint="eastAsia" w:ascii="宋体" w:hAnsi="宋体" w:cs="宋体"/>
                <w:color w:val="auto"/>
                <w:kern w:val="0"/>
                <w:szCs w:val="21"/>
                <w:highlight w:val="none"/>
                <w:u w:val="single"/>
              </w:rPr>
              <w:t>本项目无</w:t>
            </w:r>
            <w:r>
              <w:rPr>
                <w:rFonts w:hint="eastAsia" w:ascii="宋体" w:hAnsi="宋体" w:cs="宋体"/>
                <w:color w:val="auto"/>
                <w:kern w:val="0"/>
                <w:szCs w:val="21"/>
                <w:highlight w:val="none"/>
                <w:u w:val="single"/>
                <w:lang w:val="zh-CN"/>
              </w:rPr>
              <w:t>“百千万工程”的具体要求。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宋体"/>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3、补救方案</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Cs w:val="21"/>
                <w:highlight w:val="none"/>
              </w:rPr>
              <w:t>招标人拒绝接收投标文件备用光盘的情况</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1、在投标截止期后逾期或未在指定地点递交投标文件备用光盘的；</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2、投标文件备用光盘未按招标文件要求密封或未在密封处盖章的；</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39</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项目负责人和安全员注意事项</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1、投标人如违反《广州市住房和城乡建设局关于加强建筑工程项目负责人管理的通知》（穗建规字〔2020〕32号）有关规定，如经查实取消其本项目中标资格；</w:t>
            </w:r>
          </w:p>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2、本工程项目负责人与专职安全员不得为同一人。</w:t>
            </w:r>
          </w:p>
          <w:p>
            <w:pPr>
              <w:keepNext w:val="0"/>
              <w:keepLines w:val="0"/>
              <w:suppressLineNumbers w:val="0"/>
              <w:spacing w:before="0" w:beforeAutospacing="0" w:after="0" w:afterAutospacing="0"/>
              <w:ind w:left="0" w:right="0"/>
              <w:rPr>
                <w:rFonts w:hint="default" w:ascii="宋体" w:hAnsi="宋体" w:cs="宋体"/>
                <w:b/>
                <w:bCs/>
                <w:color w:val="auto"/>
                <w:szCs w:val="21"/>
                <w:highlight w:val="none"/>
                <w:u w:val="single"/>
              </w:rPr>
            </w:pPr>
            <w:r>
              <w:rPr>
                <w:rFonts w:hint="eastAsia" w:ascii="宋体" w:hAnsi="宋体" w:cs="宋体"/>
                <w:color w:val="auto"/>
                <w:szCs w:val="21"/>
                <w:highlight w:val="none"/>
                <w:u w:val="single"/>
              </w:rPr>
              <w:t>3、中标人拟任本工程专职安全员不得同时担任本项目以外的专职安全员（法律法规规定的有关情形除外），如经查实取消其本项目中标资格。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40</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工人工资分账管理</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本项目按照《广州市建设领域工人工资支付分账管理实施细则》（穗建规字〔2020〕37号）实行工人工资分账管理。具体按合同约定。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落实政府采购政策需满足的资格要求</w:t>
            </w:r>
          </w:p>
        </w:tc>
        <w:tc>
          <w:tcPr>
            <w:tcW w:w="6048"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公示期间如有异议、投诉的，被异议、投诉单位需提供注册登记所在地的县级以上人民政府中小企业主管部门认定函。</w:t>
            </w:r>
          </w:p>
        </w:tc>
      </w:tr>
    </w:tbl>
    <w:p>
      <w:pPr>
        <w:jc w:val="left"/>
        <w:rPr>
          <w:rFonts w:ascii="宋体" w:hAnsi="宋体" w:cs="宋体"/>
          <w:color w:val="auto"/>
          <w:sz w:val="24"/>
          <w:highlight w:val="none"/>
        </w:rPr>
      </w:pPr>
      <w:r>
        <w:rPr>
          <w:rFonts w:hint="eastAsia" w:ascii="宋体" w:hAnsi="宋体" w:cs="宋体"/>
          <w:color w:val="auto"/>
          <w:szCs w:val="20"/>
          <w:highlight w:val="none"/>
        </w:rPr>
        <w:t>注：企业</w:t>
      </w:r>
      <w:r>
        <w:rPr>
          <w:rFonts w:hint="eastAsia" w:ascii="宋体" w:hAnsi="宋体" w:cs="宋体"/>
          <w:color w:val="auto"/>
          <w:kern w:val="0"/>
          <w:szCs w:val="20"/>
          <w:highlight w:val="none"/>
        </w:rPr>
        <w:t>综合诚信评价得分即</w:t>
      </w:r>
      <w:r>
        <w:rPr>
          <w:rFonts w:hint="eastAsia" w:ascii="宋体" w:hAnsi="宋体" w:cs="宋体"/>
          <w:color w:val="auto"/>
          <w:szCs w:val="20"/>
          <w:highlight w:val="none"/>
        </w:rPr>
        <w:t>企业</w:t>
      </w:r>
      <w:r>
        <w:rPr>
          <w:rFonts w:hint="eastAsia" w:ascii="宋体" w:hAnsi="宋体" w:cs="宋体"/>
          <w:color w:val="auto"/>
          <w:kern w:val="0"/>
          <w:szCs w:val="20"/>
          <w:highlight w:val="none"/>
        </w:rPr>
        <w:t>综合诚信评价60日诚信分，以下同。</w:t>
      </w:r>
    </w:p>
    <w:p>
      <w:pPr>
        <w:pStyle w:val="6"/>
        <w:rPr>
          <w:rFonts w:ascii="宋体" w:hAnsi="宋体" w:cs="宋体"/>
          <w:color w:val="auto"/>
          <w:highlight w:val="none"/>
        </w:rPr>
      </w:pPr>
      <w:r>
        <w:rPr>
          <w:rFonts w:hint="eastAsia" w:ascii="宋体" w:hAnsi="宋体" w:cs="宋体"/>
          <w:color w:val="auto"/>
          <w:highlight w:val="none"/>
        </w:rPr>
        <w:br w:type="page"/>
      </w:r>
      <w:bookmarkStart w:id="7" w:name="_Toc12984"/>
      <w:r>
        <w:rPr>
          <w:rFonts w:hint="eastAsia" w:ascii="宋体" w:hAnsi="宋体" w:cs="宋体"/>
          <w:color w:val="auto"/>
          <w:highlight w:val="none"/>
        </w:rPr>
        <w:t>二、投标须知修改表</w:t>
      </w:r>
      <w:bookmarkEnd w:id="7"/>
    </w:p>
    <w:p>
      <w:pPr>
        <w:pStyle w:val="4"/>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条款号：5.1                     修改类型：修改</w:t>
      </w:r>
    </w:p>
    <w:p>
      <w:pPr>
        <w:tabs>
          <w:tab w:val="left" w:pos="5620"/>
        </w:tabs>
        <w:spacing w:line="360" w:lineRule="auto"/>
        <w:ind w:firstLine="495" w:firstLineChars="224"/>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color w:val="auto"/>
          <w:sz w:val="22"/>
          <w:szCs w:val="22"/>
          <w:highlight w:val="none"/>
          <w:u w:val="single"/>
        </w:rPr>
        <w:t>投标人不进行踏勘的，视为已孰知现场条件，自行承担相关风险。</w:t>
      </w:r>
      <w:r>
        <w:rPr>
          <w:rFonts w:hint="eastAsia" w:ascii="宋体" w:hAnsi="宋体" w:cs="宋体"/>
          <w:color w:val="auto"/>
          <w:sz w:val="22"/>
          <w:szCs w:val="22"/>
          <w:highlight w:val="none"/>
        </w:rPr>
        <w:t>一旦中标，这种考察即被认为其结果已在中标文件中得到充分反映。考察现场的费用由投标人自己承担。</w:t>
      </w:r>
    </w:p>
    <w:p>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color w:val="auto"/>
          <w:sz w:val="22"/>
          <w:szCs w:val="22"/>
          <w:highlight w:val="none"/>
        </w:rPr>
        <w:t>7.1</w:t>
      </w:r>
      <w:r>
        <w:rPr>
          <w:rFonts w:hint="eastAsia" w:ascii="宋体" w:hAnsi="宋体" w:cs="宋体"/>
          <w:b/>
          <w:color w:val="auto"/>
          <w:sz w:val="22"/>
          <w:szCs w:val="22"/>
          <w:highlight w:val="none"/>
        </w:rPr>
        <w:t xml:space="preserve">            修改类型：修改</w:t>
      </w:r>
      <w:r>
        <w:rPr>
          <w:rFonts w:hint="eastAsia" w:ascii="宋体" w:hAnsi="宋体" w:cs="宋体"/>
          <w:b/>
          <w:color w:val="auto"/>
          <w:sz w:val="22"/>
          <w:szCs w:val="22"/>
          <w:highlight w:val="none"/>
        </w:rPr>
        <w:tab/>
      </w:r>
    </w:p>
    <w:p>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原文：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pPr>
        <w:tabs>
          <w:tab w:val="left" w:pos="4620"/>
        </w:tabs>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现文：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r>
        <w:rPr>
          <w:rFonts w:hint="eastAsia" w:ascii="宋体" w:hAnsi="宋体" w:cs="宋体"/>
          <w:color w:val="auto"/>
          <w:sz w:val="22"/>
          <w:szCs w:val="22"/>
          <w:highlight w:val="none"/>
        </w:rPr>
        <w:t>（另册）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Bdr>
          <w:top w:val="single" w:color="auto" w:sz="4" w:space="0"/>
        </w:pBd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8.1         </w:t>
      </w:r>
      <w:r>
        <w:rPr>
          <w:rFonts w:hint="eastAsia" w:ascii="宋体" w:hAnsi="宋体" w:cs="宋体"/>
          <w:b/>
          <w:color w:val="auto"/>
          <w:sz w:val="22"/>
          <w:szCs w:val="22"/>
          <w:highlight w:val="none"/>
        </w:rPr>
        <w:t>修改类型：修改</w:t>
      </w:r>
    </w:p>
    <w:p>
      <w:pPr>
        <w:pStyle w:val="4"/>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8.1 投标人若对招标文件（包括招标图纸）中有疑问，可以书面形式通过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交易平台提交给招标人或招标代理人，提交形式见本须知前附表第16项。</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8.2</w:t>
      </w:r>
      <w:r>
        <w:rPr>
          <w:rFonts w:hint="eastAsia" w:ascii="宋体" w:hAnsi="宋体" w:cs="宋体"/>
          <w:b/>
          <w:color w:val="auto"/>
          <w:sz w:val="22"/>
          <w:szCs w:val="22"/>
          <w:highlight w:val="none"/>
        </w:rPr>
        <w:t xml:space="preserve">             修改类型：修改</w:t>
      </w:r>
    </w:p>
    <w:p>
      <w:pPr>
        <w:pStyle w:val="4"/>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8.2招标答疑会会议纪要将在提交投标文件截止时间15日前在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 “项目答疑纪要”专区公开发布。答疑纪要一经在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交易平台发布，视作已发放给所有投标人。</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9.2</w:t>
      </w:r>
      <w:r>
        <w:rPr>
          <w:rFonts w:hint="eastAsia" w:ascii="宋体" w:hAnsi="宋体" w:cs="宋体"/>
          <w:b/>
          <w:color w:val="auto"/>
          <w:sz w:val="22"/>
          <w:szCs w:val="22"/>
          <w:highlight w:val="none"/>
        </w:rPr>
        <w:t xml:space="preserve">             修改类型：修改</w:t>
      </w:r>
    </w:p>
    <w:p>
      <w:pPr>
        <w:pStyle w:val="4"/>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9.2招标文件的澄清或修改将在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交易平台“项目答疑纪要”专区公开发布。答疑纪要一经在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交易平台发布，视作已发放给所有投标人，以</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交易平台上网发布时间作为送达时间。</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9.4             </w:t>
      </w:r>
      <w:r>
        <w:rPr>
          <w:rFonts w:hint="eastAsia" w:ascii="宋体" w:hAnsi="宋体" w:cs="宋体"/>
          <w:b/>
          <w:color w:val="auto"/>
          <w:sz w:val="22"/>
          <w:szCs w:val="22"/>
          <w:highlight w:val="none"/>
        </w:rPr>
        <w:t>修改类型：修改</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9.4招标文件的澄清或修改均</w:t>
      </w:r>
      <w:r>
        <w:rPr>
          <w:rFonts w:hint="eastAsia" w:ascii="宋体" w:hAnsi="宋体" w:cs="宋体"/>
          <w:color w:val="auto"/>
          <w:sz w:val="22"/>
          <w:szCs w:val="22"/>
          <w:highlight w:val="none"/>
          <w:u w:val="single"/>
        </w:rPr>
        <w:t>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网站“网上答疑”专区公开发布。</w:t>
      </w:r>
      <w:r>
        <w:rPr>
          <w:rFonts w:hint="eastAsia" w:ascii="宋体" w:hAnsi="宋体" w:cs="宋体"/>
          <w:color w:val="auto"/>
          <w:sz w:val="22"/>
          <w:szCs w:val="22"/>
          <w:highlight w:val="none"/>
        </w:rPr>
        <w:t>当招标文件的澄清、修改、补充等在同一内容的表述不一致时，以最后发出的文件为准。</w:t>
      </w:r>
    </w:p>
    <w:p>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bCs/>
          <w:color w:val="auto"/>
          <w:sz w:val="22"/>
          <w:szCs w:val="22"/>
          <w:highlight w:val="none"/>
        </w:rPr>
        <w:t>11.2</w:t>
      </w:r>
      <w:r>
        <w:rPr>
          <w:rFonts w:hint="eastAsia" w:ascii="宋体" w:hAnsi="宋体" w:cs="宋体"/>
          <w:b/>
          <w:color w:val="auto"/>
          <w:sz w:val="22"/>
          <w:szCs w:val="22"/>
          <w:highlight w:val="none"/>
        </w:rPr>
        <w:t xml:space="preserve">            修改类型：修改</w:t>
      </w:r>
    </w:p>
    <w:p>
      <w:pPr>
        <w:pStyle w:val="4"/>
        <w:rPr>
          <w:rFonts w:ascii="宋体" w:hAnsi="宋体" w:cs="宋体"/>
          <w:bCs/>
          <w:color w:val="auto"/>
          <w:sz w:val="22"/>
          <w:szCs w:val="18"/>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18"/>
          <w:highlight w:val="none"/>
        </w:rPr>
        <w:t>11.2投标文件技术标部分主要包括下列内容:</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11.2.1 技术投标文件</w:t>
      </w:r>
      <w:r>
        <w:rPr>
          <w:rFonts w:hint="eastAsia" w:ascii="宋体" w:hAnsi="宋体" w:cs="宋体"/>
          <w:color w:val="auto"/>
          <w:sz w:val="22"/>
          <w:szCs w:val="21"/>
          <w:highlight w:val="none"/>
        </w:rPr>
        <w:t>(按招标文件的要求填写)</w:t>
      </w:r>
      <w:r>
        <w:rPr>
          <w:rFonts w:hint="eastAsia" w:ascii="宋体" w:hAnsi="宋体" w:cs="宋体"/>
          <w:bCs/>
          <w:color w:val="auto"/>
          <w:sz w:val="22"/>
          <w:szCs w:val="21"/>
          <w:highlight w:val="none"/>
        </w:rPr>
        <w:t>；</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11.2.2资格审查文件：</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 </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（12）用于资格审查的业绩（设置业绩要求时选择此项，投标人须提供类似工程业绩的项目名称及项目编号，具体格式由招标人自定）；</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11.2.3项目管理机构配备。</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（1）投标人应列出该项目工程的施工组织机构构成和画出机构框架图及其负责人；</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（3）其他辅助说明资料。</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11.2.5施工组织设计或施工方案。</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40" w:firstLineChars="200"/>
        <w:rPr>
          <w:rFonts w:ascii="宋体" w:hAnsi="宋体" w:cs="宋体"/>
          <w:b/>
          <w:color w:val="auto"/>
          <w:sz w:val="22"/>
          <w:szCs w:val="22"/>
          <w:highlight w:val="none"/>
        </w:rPr>
      </w:pPr>
      <w:r>
        <w:rPr>
          <w:rFonts w:hint="eastAsia" w:ascii="宋体" w:hAnsi="宋体" w:cs="宋体"/>
          <w:color w:val="auto"/>
          <w:sz w:val="22"/>
          <w:szCs w:val="21"/>
          <w:highlight w:val="none"/>
        </w:rPr>
        <w:t>11.2.6按照</w:t>
      </w:r>
      <w:r>
        <w:rPr>
          <w:rFonts w:hint="eastAsia" w:ascii="宋体" w:hAnsi="宋体" w:cs="宋体"/>
          <w:bCs/>
          <w:color w:val="auto"/>
          <w:sz w:val="22"/>
          <w:szCs w:val="21"/>
          <w:highlight w:val="none"/>
        </w:rPr>
        <w:t>招标文件要求</w:t>
      </w:r>
      <w:r>
        <w:rPr>
          <w:rFonts w:hint="eastAsia" w:ascii="宋体" w:hAnsi="宋体" w:cs="宋体"/>
          <w:color w:val="auto"/>
          <w:sz w:val="22"/>
          <w:szCs w:val="21"/>
          <w:highlight w:val="none"/>
        </w:rPr>
        <w:t>填写的《参与编制技术标投标文件人员名单》。</w:t>
      </w:r>
    </w:p>
    <w:p>
      <w:pPr>
        <w:tabs>
          <w:tab w:val="left" w:pos="1125"/>
        </w:tabs>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eastAsia="宋体" w:cs="宋体"/>
          <w:bCs/>
          <w:color w:val="auto"/>
          <w:sz w:val="22"/>
          <w:szCs w:val="21"/>
          <w:highlight w:val="none"/>
        </w:rPr>
        <w:t>11.2投标文件技术标部分主要包括下列内容:</w:t>
      </w:r>
    </w:p>
    <w:p>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11.2.1资格审查文件：</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（1）投标人声明（按招标公告附件一的格式及内容提交）； </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（11）专职安全员须具有安全生产考核合格证（C类）或建筑施工企业专职安全生产管理人员安全生产考核合格证书（C3类）扫描件或电子证书；</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（12）</w:t>
      </w:r>
      <w:r>
        <w:rPr>
          <w:rFonts w:hint="eastAsia" w:ascii="宋体" w:hAnsi="宋体" w:cs="宋体"/>
          <w:color w:val="auto"/>
          <w:sz w:val="22"/>
          <w:szCs w:val="22"/>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2"/>
          <w:szCs w:val="21"/>
          <w:highlight w:val="none"/>
        </w:rPr>
        <w:t>；</w:t>
      </w:r>
    </w:p>
    <w:p>
      <w:pPr>
        <w:spacing w:line="360" w:lineRule="auto"/>
        <w:ind w:firstLine="440" w:firstLineChars="200"/>
        <w:jc w:val="left"/>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）投标人未被列入拖欠农民工工资失信联合惩戒对象名单（投标人无需提供资料，按交易系统比对的结果进行评审）</w:t>
      </w:r>
      <w:r>
        <w:rPr>
          <w:rFonts w:hint="eastAsia" w:ascii="宋体" w:hAnsi="宋体" w:cs="宋体"/>
          <w:color w:val="auto"/>
          <w:sz w:val="22"/>
          <w:szCs w:val="22"/>
          <w:highlight w:val="none"/>
          <w:u w:val="single"/>
          <w:lang w:eastAsia="zh-CN"/>
        </w:rPr>
        <w:t>；</w:t>
      </w:r>
    </w:p>
    <w:p>
      <w:pPr>
        <w:spacing w:line="360" w:lineRule="auto"/>
        <w:ind w:firstLine="440" w:firstLineChars="200"/>
        <w:jc w:val="left"/>
        <w:rPr>
          <w:rFonts w:hint="default" w:ascii="宋体" w:hAnsi="宋体" w:eastAsia="宋体" w:cs="宋体"/>
          <w:color w:val="auto"/>
          <w:sz w:val="22"/>
          <w:szCs w:val="22"/>
          <w:highlight w:val="none"/>
          <w:u w:val="single"/>
          <w:lang w:val="en-US" w:eastAsia="zh-CN"/>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中小企业相关资料</w:t>
      </w:r>
      <w:r>
        <w:rPr>
          <w:rFonts w:hint="eastAsia" w:ascii="宋体" w:hAnsi="宋体" w:eastAsia="宋体" w:cs="宋体"/>
          <w:color w:val="auto"/>
          <w:sz w:val="22"/>
          <w:szCs w:val="22"/>
          <w:highlight w:val="none"/>
          <w:u w:val="single"/>
          <w:lang w:val="en-US" w:eastAsia="zh-CN"/>
        </w:rPr>
        <w:t>（按招标</w:t>
      </w:r>
      <w:r>
        <w:rPr>
          <w:rFonts w:hint="eastAsia" w:ascii="宋体" w:hAnsi="宋体" w:cs="宋体"/>
          <w:color w:val="auto"/>
          <w:sz w:val="22"/>
          <w:szCs w:val="22"/>
          <w:highlight w:val="none"/>
          <w:u w:val="single"/>
          <w:lang w:val="en-US" w:eastAsia="zh-CN"/>
        </w:rPr>
        <w:t>公告</w:t>
      </w:r>
      <w:r>
        <w:rPr>
          <w:rFonts w:hint="eastAsia" w:ascii="宋体" w:hAnsi="宋体" w:eastAsia="宋体" w:cs="宋体"/>
          <w:color w:val="auto"/>
          <w:sz w:val="22"/>
          <w:szCs w:val="22"/>
          <w:highlight w:val="none"/>
          <w:u w:val="single"/>
          <w:lang w:val="en-US" w:eastAsia="zh-CN"/>
        </w:rPr>
        <w:t>附件的格式及内容提交）；</w:t>
      </w:r>
    </w:p>
    <w:p>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15</w:t>
      </w:r>
      <w:r>
        <w:rPr>
          <w:rFonts w:hint="eastAsia" w:ascii="宋体" w:hAnsi="宋体" w:cs="宋体"/>
          <w:color w:val="auto"/>
          <w:sz w:val="22"/>
          <w:szCs w:val="22"/>
          <w:highlight w:val="none"/>
          <w:u w:val="single"/>
        </w:rPr>
        <w:t>）投标人认为应提供的其他资料。</w:t>
      </w:r>
    </w:p>
    <w:p>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11.2.2按照招标文件要求填写的《参与编制技术标投标文件人员名单》（详见招标文件第四章“投标文件格式”）。</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11.2.3技术标评分证明材料：</w:t>
      </w:r>
    </w:p>
    <w:p>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11.2.4按照招标文件要求填写的《危险性较大的分部分项工程清单及超过一定规模的危险性较大的分部分项工程清单》（详见招标文件第四章“投标文件格式”）。</w:t>
      </w:r>
    </w:p>
    <w:p>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11.2.5施工组织设计或施工方案。</w:t>
      </w:r>
    </w:p>
    <w:p>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（1）投标人在编制施工组织设计或施工方案时应按照招标人提出的施工现场建筑垃圾源头减量的具体要求以及建筑垃圾综合利用产品的使用要求提供相应措施。</w:t>
      </w:r>
    </w:p>
    <w:p>
      <w:pPr>
        <w:pBdr>
          <w:bottom w:val="single" w:color="auto" w:sz="6" w:space="1"/>
        </w:pBdr>
        <w:spacing w:line="360"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超过部分不予评审。</w:t>
      </w:r>
    </w:p>
    <w:p>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其他投标人认为应该提供的资料。</w:t>
      </w:r>
    </w:p>
    <w:p>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1"/>
          <w:highlight w:val="none"/>
        </w:rPr>
        <w:t>条款号：  11.3               修改类型：修改</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 经济部分投标文件主要包括下列内容：</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11.3.1经济投标文件(按招标文件的要求填写)。</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（1）投标总价封面、扉页；</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（2）总说明；</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（3）工程项目投标报价汇总表；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（4）单项工程投标报价汇总表；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（5）单位工程投标报价汇总表；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（6）分部分项工程清单与计价表；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（7）单价措施项目清单与计价表；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（8）总价措施项目清单与计价表；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（9）综合单价分析表；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（10）其他项目清单与计价汇总表；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（11）暂列金额明细表；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（12）材料（工程设备）暂估价明细表；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（13）专业工程暂估价明细表；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（14）计日工表；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（15）总承包服务计价表；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（16）规费和税金项目计价表；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（17）人工、主要材料和设备一览表。</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 xml:space="preserve">11.3 </w:t>
      </w:r>
      <w:r>
        <w:rPr>
          <w:rFonts w:hint="eastAsia" w:ascii="宋体" w:hAnsi="宋体" w:cs="宋体"/>
          <w:b/>
          <w:bCs/>
          <w:color w:val="auto"/>
          <w:sz w:val="22"/>
          <w:szCs w:val="22"/>
          <w:highlight w:val="none"/>
          <w:u w:val="single"/>
        </w:rPr>
        <w:t>经济部分投标文件</w:t>
      </w:r>
      <w:r>
        <w:rPr>
          <w:rFonts w:hint="eastAsia" w:ascii="宋体" w:hAnsi="宋体" w:cs="宋体"/>
          <w:bCs/>
          <w:color w:val="auto"/>
          <w:sz w:val="22"/>
          <w:szCs w:val="22"/>
          <w:highlight w:val="none"/>
        </w:rPr>
        <w:t>主要包括下列内容:</w:t>
      </w:r>
    </w:p>
    <w:p>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11.3.1 </w:t>
      </w:r>
      <w:r>
        <w:rPr>
          <w:rFonts w:hint="eastAsia" w:ascii="宋体" w:hAnsi="宋体" w:cs="宋体"/>
          <w:color w:val="auto"/>
          <w:sz w:val="22"/>
          <w:szCs w:val="22"/>
          <w:highlight w:val="none"/>
          <w:u w:val="single"/>
        </w:rPr>
        <w:t>经济投标文件（按招标文件的要求填写）。</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2"/>
          <w:szCs w:val="22"/>
          <w:highlight w:val="none"/>
          <w:u w:val="single"/>
        </w:rPr>
        <w:t>（投标报价的工程量清单的组成、格式等由</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的投标文件管理软件自动生成）</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11.3.3按照招标文件要求填写的《参与编制经济标投标文件人员名单》（详见招标文件第四章“投标文件格式”）。</w:t>
      </w:r>
    </w:p>
    <w:p>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11.3.4《对投标文件编制的承诺》（详见招标文件第四章“投标文件格式”）。</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11.3.5若投标人的投标报价低于工程成本警戒价的，投标人还须提供详细的施工组织设计、单价、措施性费用、单价分析表、主要材料价格表、投标人成本分析供评标委员会评审。</w:t>
      </w:r>
    </w:p>
    <w:p>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12.2       </w:t>
      </w:r>
      <w:r>
        <w:rPr>
          <w:rFonts w:hint="eastAsia" w:ascii="宋体" w:hAnsi="宋体" w:cs="宋体"/>
          <w:b/>
          <w:color w:val="auto"/>
          <w:sz w:val="22"/>
          <w:szCs w:val="22"/>
          <w:highlight w:val="none"/>
        </w:rPr>
        <w:t>修改类型：修改</w:t>
      </w:r>
    </w:p>
    <w:p>
      <w:pPr>
        <w:pStyle w:val="4"/>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原文：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2"/>
          <w:szCs w:val="22"/>
          <w:highlight w:val="none"/>
          <w:u w:val="single"/>
        </w:rPr>
        <w:t xml:space="preserve">             </w:t>
      </w:r>
      <w:r>
        <w:rPr>
          <w:rFonts w:hint="eastAsia" w:asciiTheme="majorEastAsia" w:hAnsiTheme="majorEastAsia" w:eastAsiaTheme="majorEastAsia" w:cstheme="majorEastAsia"/>
          <w:color w:val="auto"/>
          <w:sz w:val="22"/>
          <w:szCs w:val="22"/>
          <w:highlight w:val="none"/>
        </w:rPr>
        <w:t>。</w:t>
      </w:r>
    </w:p>
    <w:p>
      <w:pPr>
        <w:pStyle w:val="4"/>
        <w:spacing w:after="0" w:line="360" w:lineRule="auto"/>
        <w:ind w:firstLine="440" w:firstLineChars="200"/>
        <w:rPr>
          <w:rFonts w:ascii="宋体" w:hAnsi="宋体" w:cs="宋体"/>
          <w:color w:val="auto"/>
          <w:sz w:val="22"/>
          <w:szCs w:val="22"/>
          <w:highlight w:val="none"/>
        </w:rPr>
      </w:pPr>
      <w:r>
        <w:rPr>
          <w:rFonts w:hint="eastAsia" w:asciiTheme="majorEastAsia" w:hAnsiTheme="majorEastAsia" w:eastAsiaTheme="majorEastAsia" w:cstheme="majorEastAsia"/>
          <w:color w:val="auto"/>
          <w:sz w:val="22"/>
          <w:szCs w:val="22"/>
          <w:highlight w:val="none"/>
        </w:rPr>
        <w:t>注释：投标文件电子文档需要投标人单位盖章的材料，投标人加盖电子印章即可，不得将投标人未对电子文档加盖实物印章作为否决投标的情形。</w:t>
      </w:r>
    </w:p>
    <w:p>
      <w:pPr>
        <w:pStyle w:val="4"/>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现文：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w:t>
      </w:r>
      <w:r>
        <w:rPr>
          <w:rFonts w:hint="eastAsia" w:asciiTheme="majorEastAsia" w:hAnsiTheme="majorEastAsia" w:eastAsiaTheme="majorEastAsia" w:cstheme="majorEastAsia"/>
          <w:bCs w:val="0"/>
          <w:color w:val="auto"/>
          <w:kern w:val="0"/>
          <w:sz w:val="22"/>
          <w:szCs w:val="22"/>
          <w:highlight w:val="none"/>
          <w:u w:val="single"/>
        </w:rPr>
        <w:t>对投标文件</w:t>
      </w:r>
      <w:r>
        <w:rPr>
          <w:rFonts w:hint="eastAsia" w:asciiTheme="majorEastAsia" w:hAnsiTheme="majorEastAsia" w:eastAsiaTheme="majorEastAsia" w:cstheme="majorEastAsia"/>
          <w:color w:val="auto"/>
          <w:sz w:val="22"/>
          <w:szCs w:val="22"/>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eastAsiaTheme="majorEastAsia"/>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Theme="majorEastAsia" w:hAnsiTheme="majorEastAsia" w:eastAsiaTheme="majorEastAsia" w:cstheme="majorEastAsia"/>
          <w:color w:val="auto"/>
          <w:sz w:val="22"/>
          <w:szCs w:val="22"/>
          <w:highlight w:val="none"/>
        </w:rPr>
        <w:t>。</w:t>
      </w:r>
    </w:p>
    <w:p>
      <w:pPr>
        <w:pBdr>
          <w:bottom w:val="single" w:color="auto" w:sz="6" w:space="1"/>
        </w:pBdr>
        <w:spacing w:line="360" w:lineRule="auto"/>
        <w:ind w:firstLine="431" w:firstLineChars="196"/>
        <w:rPr>
          <w:rFonts w:ascii="宋体" w:hAnsi="宋体" w:cs="宋体"/>
          <w:b/>
          <w:bCs/>
          <w:color w:val="auto"/>
          <w:sz w:val="22"/>
          <w:szCs w:val="22"/>
          <w:highlight w:val="none"/>
        </w:rPr>
      </w:pPr>
      <w:r>
        <w:rPr>
          <w:rFonts w:hint="eastAsia" w:asciiTheme="majorEastAsia" w:hAnsiTheme="majorEastAsia" w:eastAsiaTheme="majorEastAsia" w:cstheme="majorEastAsia"/>
          <w:color w:val="auto"/>
          <w:kern w:val="0"/>
          <w:sz w:val="22"/>
          <w:szCs w:val="22"/>
          <w:highlight w:val="none"/>
        </w:rPr>
        <w:t>注释：投标文件电子文档需要投标人单位盖章的材料，投标人加盖电子印章即可，不得将投标人未对电子文档加盖实物印章作为否决投标的情形。</w:t>
      </w:r>
    </w:p>
    <w:p>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12.3       </w:t>
      </w:r>
      <w:r>
        <w:rPr>
          <w:rFonts w:hint="eastAsia" w:ascii="宋体" w:hAnsi="宋体" w:cs="宋体"/>
          <w:b/>
          <w:color w:val="auto"/>
          <w:sz w:val="22"/>
          <w:szCs w:val="22"/>
          <w:highlight w:val="none"/>
        </w:rPr>
        <w:t>修改类型：修改</w:t>
      </w:r>
    </w:p>
    <w:p>
      <w:pPr>
        <w:pStyle w:val="9"/>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p>
    <w:p>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条款号：13.1              修改类型：修改</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13.1 本工程的投标报价采用投标须知前附表第12项所规定的方式。投标报价（含单价及总价）精确到“分”。</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本工程的投标报价采用投标须知前附表第12项所规定的方式。</w:t>
      </w:r>
      <w:r>
        <w:rPr>
          <w:rFonts w:hint="eastAsia" w:ascii="宋体" w:hAnsi="宋体" w:cs="宋体"/>
          <w:color w:val="auto"/>
          <w:sz w:val="22"/>
          <w:szCs w:val="22"/>
          <w:highlight w:val="none"/>
          <w:u w:val="single"/>
        </w:rPr>
        <w:t>投标文件中的大写金额和小写金额不一致的，以大写金额为准，</w:t>
      </w:r>
      <w:r>
        <w:rPr>
          <w:rFonts w:hint="eastAsia" w:ascii="宋体" w:hAnsi="宋体" w:cs="宋体"/>
          <w:color w:val="auto"/>
          <w:sz w:val="22"/>
          <w:szCs w:val="22"/>
          <w:highlight w:val="none"/>
        </w:rPr>
        <w:t>投标报价（含单价及总价）精确到“分”。</w:t>
      </w:r>
    </w:p>
    <w:p>
      <w:pPr>
        <w:pStyle w:val="4"/>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条款号：13.4           修改类型：修改</w:t>
      </w:r>
    </w:p>
    <w:p>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bCs/>
          <w:color w:val="auto"/>
          <w:sz w:val="22"/>
          <w:szCs w:val="22"/>
          <w:highlight w:val="none"/>
          <w:u w:val="single"/>
        </w:rPr>
        <w:t>按合同条款相关约定调整。</w:t>
      </w:r>
    </w:p>
    <w:p>
      <w:pPr>
        <w:pStyle w:val="4"/>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条款号：13.5            修改类型：修改</w:t>
      </w:r>
    </w:p>
    <w:p>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13.5.1中标的投标文件工程量清单中已有相同项目的适用综合单价，则沿用；</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552" w:firstLineChars="25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u w:val="single"/>
        </w:rPr>
        <w:t>按施工合同专用约定执行。</w:t>
      </w:r>
    </w:p>
    <w:p>
      <w:pPr>
        <w:spacing w:line="480" w:lineRule="auto"/>
        <w:ind w:firstLine="495" w:firstLineChars="224"/>
        <w:rPr>
          <w:rFonts w:ascii="宋体" w:hAnsi="宋体" w:cs="宋体"/>
          <w:b/>
          <w:color w:val="auto"/>
          <w:sz w:val="22"/>
          <w:szCs w:val="22"/>
          <w:highlight w:val="none"/>
        </w:rPr>
      </w:pPr>
      <w:bookmarkStart w:id="8" w:name="OLE_LINK5"/>
      <w:r>
        <w:rPr>
          <w:rFonts w:hint="eastAsia" w:ascii="宋体" w:hAnsi="宋体" w:cs="宋体"/>
          <w:b/>
          <w:color w:val="auto"/>
          <w:sz w:val="22"/>
          <w:szCs w:val="22"/>
          <w:highlight w:val="none"/>
        </w:rPr>
        <w:t>条款号：16.1-</w:t>
      </w:r>
      <w:bookmarkStart w:id="9" w:name="OLE_LINK2"/>
      <w:r>
        <w:rPr>
          <w:rFonts w:hint="eastAsia" w:ascii="宋体" w:hAnsi="宋体" w:cs="宋体"/>
          <w:b/>
          <w:color w:val="auto"/>
          <w:sz w:val="22"/>
          <w:szCs w:val="22"/>
          <w:highlight w:val="none"/>
        </w:rPr>
        <w:t>16</w:t>
      </w:r>
      <w:bookmarkEnd w:id="8"/>
      <w:r>
        <w:rPr>
          <w:rFonts w:hint="eastAsia" w:ascii="宋体" w:hAnsi="宋体" w:cs="宋体"/>
          <w:b/>
          <w:color w:val="auto"/>
          <w:sz w:val="22"/>
          <w:szCs w:val="22"/>
          <w:highlight w:val="none"/>
        </w:rPr>
        <w:t>.</w:t>
      </w:r>
      <w:bookmarkEnd w:id="9"/>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color w:val="auto"/>
          <w:sz w:val="22"/>
          <w:szCs w:val="21"/>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16.1投标人应按投标须知前附表第14项所述金额和时间递交</w:t>
      </w:r>
      <w:r>
        <w:rPr>
          <w:rFonts w:hint="eastAsia" w:ascii="宋体" w:hAnsi="宋体" w:cs="宋体"/>
          <w:bCs/>
          <w:color w:val="auto"/>
          <w:sz w:val="22"/>
          <w:szCs w:val="21"/>
          <w:highlight w:val="none"/>
        </w:rPr>
        <w:t>投标保证金</w:t>
      </w:r>
      <w:r>
        <w:rPr>
          <w:rFonts w:hint="eastAsia" w:ascii="宋体" w:hAnsi="宋体" w:cs="宋体"/>
          <w:color w:val="auto"/>
          <w:sz w:val="22"/>
          <w:szCs w:val="21"/>
          <w:highlight w:val="none"/>
        </w:rPr>
        <w:t>。招标人应当允许投标人自主选择现金、银行保函、保证保险、专业工程担保公司担保等方式缴纳投标保证金。</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16.1.1 采用现金或者支票形式提交的，投标保证金须从投标人的银行基本账户转出。</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16.1.3 采用电子形式的保函、担保或保证保险提交投标保证金的，应在招标文件中明确电子递交途径。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16.3投标保证金应依据法律法规的相关规定退还。</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16.4如有下列情况之一的，招标人可以不予退还投标保证金（是否退还投标保证金由招标人在招标文件中规定）</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16.4.1因投标人原因造成投标文件未解密的；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16.4.2投标人在投标有效期内撤销投标文件；</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16.4.3中标人未能在规定期限内按要求提交履约担保；</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16.4.4中标人未能在规定期限内签署合同协议。</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16.5投标人如存在下列情况之一的，将被拒绝在一定时期内参与招标人后续工程投标（拒绝时限需在招标文件中明确）：</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16.5.1投标人存在16.4条款所列情形且投标人提交的保函、担保或保证保险无法兑付的；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16.5.3按招标文件要求免于提供投标保证金的投标人存在16.4条款所列情形，且未按招标人要求补交投标保证金的；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16.5.3按招标文件要求免于提供投标保证金的投标人存在16.4条款所列情形的。</w:t>
      </w:r>
    </w:p>
    <w:p>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注：16.5.3款由招标人二选一，需在招标文件中明确。</w:t>
      </w:r>
    </w:p>
    <w:p>
      <w:pPr>
        <w:pBdr>
          <w:bottom w:val="single" w:color="auto" w:sz="6" w:space="1"/>
        </w:pBdr>
        <w:spacing w:line="360" w:lineRule="auto"/>
        <w:ind w:firstLine="552" w:firstLineChars="250"/>
        <w:rPr>
          <w:rFonts w:ascii="宋体" w:hAnsi="宋体" w:cs="宋体"/>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16.1本项目不需要递交投标保证金；</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17.1</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17.1投标人应采用单位数字证书，</w:t>
      </w:r>
      <w:r>
        <w:rPr>
          <w:rFonts w:hint="eastAsia" w:ascii="宋体" w:hAnsi="宋体" w:eastAsia="宋体" w:cs="宋体"/>
          <w:b w:val="0"/>
          <w:bCs w:val="0"/>
          <w:color w:val="auto"/>
          <w:kern w:val="2"/>
          <w:sz w:val="22"/>
          <w:szCs w:val="22"/>
          <w:highlight w:val="none"/>
          <w:u w:val="single"/>
        </w:rPr>
        <w:t>对投标文件</w:t>
      </w:r>
      <w:r>
        <w:rPr>
          <w:rFonts w:hint="eastAsia" w:ascii="宋体" w:hAnsi="宋体" w:cs="宋体"/>
          <w:color w:val="auto"/>
          <w:sz w:val="22"/>
          <w:szCs w:val="22"/>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18、19</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 。</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rPr>
        <w:t>交易平台递交电子投标文件。</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rPr>
        <w:t>交易平台即时向投标人发出递交回执通知。递交时间以递交回执通知载明的传输完成时间为准。</w:t>
      </w:r>
    </w:p>
    <w:p>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rPr>
        <w:t>交易平台将予以拒收。</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19.5如技术标和经济标先后分别开启，交易平台将按招标文件规定的时间分别开启技术标和经济标。</w:t>
      </w:r>
    </w:p>
    <w:p>
      <w:pPr>
        <w:spacing w:line="360" w:lineRule="auto"/>
        <w:ind w:firstLine="440" w:firstLineChars="200"/>
        <w:rPr>
          <w:rFonts w:ascii="宋体" w:hAnsi="宋体" w:cs="宋体"/>
          <w:bCs/>
          <w:color w:val="auto"/>
          <w:sz w:val="22"/>
          <w:szCs w:val="22"/>
          <w:highlight w:val="none"/>
          <w:u w:val="single"/>
        </w:rPr>
      </w:pPr>
      <w:r>
        <w:rPr>
          <w:rFonts w:hint="eastAsia" w:ascii="宋体" w:hAnsi="宋体" w:cs="宋体"/>
          <w:color w:val="auto"/>
          <w:sz w:val="22"/>
          <w:szCs w:val="22"/>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4"/>
        <w:spacing w:after="0"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 xml:space="preserve">  。</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交易平台递交电子投标文件。</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交易平台即时向投标人发出递交回执通知。递交时间以递交回执通知载明的传输完成时间为准。</w:t>
      </w:r>
    </w:p>
    <w:p>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19.5技术标和经济标同时开启，</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交易平台将按招标文件规定的时间同时开启技术标和经济标。</w:t>
      </w:r>
    </w:p>
    <w:p>
      <w:pPr>
        <w:adjustRightInd w:val="0"/>
        <w:spacing w:line="360" w:lineRule="auto"/>
        <w:ind w:firstLine="493" w:firstLineChars="223"/>
        <w:rPr>
          <w:rFonts w:ascii="宋体" w:hAnsi="宋体" w:cs="宋体"/>
          <w:b/>
          <w:color w:val="auto"/>
          <w:sz w:val="22"/>
          <w:szCs w:val="22"/>
          <w:highlight w:val="none"/>
        </w:rPr>
      </w:pPr>
      <w:r>
        <w:rPr>
          <w:rFonts w:hint="eastAsia" w:ascii="宋体" w:hAnsi="宋体" w:cs="宋体"/>
          <w:b/>
          <w:color w:val="auto"/>
          <w:sz w:val="22"/>
          <w:szCs w:val="22"/>
          <w:highlight w:val="none"/>
        </w:rPr>
        <w:t>条款号：20.3             修改类型：修改</w:t>
      </w:r>
    </w:p>
    <w:p>
      <w:pPr>
        <w:adjustRightInd w:val="0"/>
        <w:spacing w:line="360" w:lineRule="auto"/>
        <w:ind w:firstLine="495" w:firstLineChars="224"/>
        <w:rPr>
          <w:rFonts w:ascii="宋体" w:hAnsi="宋体" w:cs="宋体"/>
          <w:b/>
          <w:color w:val="auto"/>
          <w:sz w:val="22"/>
          <w:szCs w:val="22"/>
          <w:highlight w:val="none"/>
        </w:rPr>
      </w:pPr>
      <w:r>
        <w:rPr>
          <w:rFonts w:hint="eastAsia" w:ascii="宋体" w:hAnsi="宋体" w:cs="宋体"/>
          <w:b/>
          <w:bCs/>
          <w:color w:val="auto"/>
          <w:sz w:val="22"/>
          <w:szCs w:val="22"/>
          <w:highlight w:val="none"/>
        </w:rPr>
        <w:t>原文：</w:t>
      </w:r>
      <w:r>
        <w:rPr>
          <w:rFonts w:hint="eastAsia" w:ascii="宋体" w:hAnsi="宋体" w:cs="宋体"/>
          <w:color w:val="auto"/>
          <w:sz w:val="22"/>
          <w:szCs w:val="22"/>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52" w:firstLineChars="250"/>
        <w:rPr>
          <w:rFonts w:ascii="宋体" w:hAnsi="宋体" w:cs="宋体"/>
          <w:b/>
          <w:color w:val="auto"/>
          <w:sz w:val="22"/>
          <w:szCs w:val="22"/>
          <w:highlight w:val="non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20.3 到投标截止时间止，招标人收到的投标文件少于</w:t>
      </w:r>
      <w:r>
        <w:rPr>
          <w:rFonts w:hint="eastAsia" w:ascii="宋体" w:hAnsi="宋体" w:cs="宋体"/>
          <w:color w:val="auto"/>
          <w:sz w:val="22"/>
          <w:szCs w:val="22"/>
          <w:highlight w:val="none"/>
          <w:u w:val="single"/>
        </w:rPr>
        <w:t>3家</w:t>
      </w:r>
      <w:r>
        <w:rPr>
          <w:rFonts w:hint="eastAsia" w:ascii="宋体" w:hAnsi="宋体" w:cs="宋体"/>
          <w:color w:val="auto"/>
          <w:sz w:val="22"/>
          <w:szCs w:val="22"/>
          <w:highlight w:val="none"/>
        </w:rPr>
        <w:t>的，招标人将重新组织招标。</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21.1</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rPr>
        <w:t>交易平台将予以拒收。</w:t>
      </w:r>
    </w:p>
    <w:p>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条款号：27.1          修改类型：修改</w:t>
      </w:r>
    </w:p>
    <w:p>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27.1招标人将在</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交易平台答复线上提交的异议。作出答复前，应当暂停招标投标活动。</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27.4</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27.4在产生中标候选人后，招标人将中标候选人的投标文件商务部分文件的所有内容（包括人员、业绩、奖项等资料）在</w:t>
      </w:r>
      <w:r>
        <w:rPr>
          <w:rFonts w:hint="eastAsia" w:ascii="宋体" w:hAnsi="宋体" w:cs="宋体"/>
          <w:color w:val="auto"/>
          <w:kern w:val="0"/>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交易平台和广东省招标投标监管网公开。</w:t>
      </w:r>
    </w:p>
    <w:p>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4"/>
          <w:highlight w:val="none"/>
        </w:rPr>
        <w:t>28.4</w:t>
      </w:r>
      <w:r>
        <w:rPr>
          <w:rFonts w:hint="eastAsia" w:ascii="宋体" w:hAnsi="宋体" w:cs="宋体"/>
          <w:b/>
          <w:color w:val="auto"/>
          <w:sz w:val="22"/>
          <w:szCs w:val="22"/>
          <w:highlight w:val="none"/>
        </w:rPr>
        <w:t xml:space="preserve">            修改类型：修改</w:t>
      </w:r>
    </w:p>
    <w:p>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eastAsia="宋体" w:cs="宋体"/>
          <w:color w:val="auto"/>
          <w:sz w:val="22"/>
          <w:highlight w:val="none"/>
        </w:rPr>
        <w:t>28.4工程进度款支付应不低于已完成工程价款的80%，招标人支付工程款时，中标人应按规定开具发票。质量保证金不超过工程价款总额3%。当年开工、当年不能竣工的新开工项目可以采用过程结算。</w:t>
      </w:r>
    </w:p>
    <w:p>
      <w:pPr>
        <w:pBdr>
          <w:bottom w:val="single" w:color="auto" w:sz="6" w:space="1"/>
        </w:pBdr>
        <w:spacing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.4工程进度款支付应不低于合同价（扣除暂列金）的80%，招标人支付工程款时，中标人应按规定开具发票。质量保证金不超过工程结算价款总额的3%。</w:t>
      </w:r>
    </w:p>
    <w:p>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条款号：29.1         修改类型：修改</w:t>
      </w:r>
    </w:p>
    <w:p>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29.1 在收到中标通知书后的15日内，中标人应按本须知前附表第20项的规定向招标人提交履约担保。</w:t>
      </w:r>
    </w:p>
    <w:p>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29.1 在合同签订后7个日历天内，中标人应按施工合同约定向招标人提交履约担保。</w:t>
      </w:r>
    </w:p>
    <w:p>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条款号：29.2         修改类型：修改</w:t>
      </w:r>
    </w:p>
    <w:p>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29.2在合同签订后7个日历天内，中标人未按上款的规定提交履约担保，招标人有权解除合同，原中标人依法承担相应法律责任。原中标人给招标人造成的损失超过投标保证金数额的，还应当对超过部分予以赔偿。原中标人有异议的，可以向人民法院起诉。</w:t>
      </w:r>
    </w:p>
    <w:p>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条款号：29.3            修改类型：增加</w:t>
      </w:r>
    </w:p>
    <w:p>
      <w:pPr>
        <w:pBdr>
          <w:bottom w:val="single" w:color="auto" w:sz="6" w:space="1"/>
        </w:pBdr>
        <w:tabs>
          <w:tab w:val="left" w:pos="1620"/>
        </w:tabs>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中</w:t>
      </w:r>
      <w:r>
        <w:rPr>
          <w:rFonts w:hint="eastAsia" w:ascii="宋体" w:hAnsi="宋体" w:cs="宋体"/>
          <w:color w:val="auto"/>
          <w:sz w:val="22"/>
          <w:szCs w:val="22"/>
          <w:highlight w:val="none"/>
        </w:rPr>
        <w:t>标单位在本项目结束中标公示后3天内，须提供与递交投标文件电子标书内容一致且每页加盖单位公章的纸质文件</w:t>
      </w: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套（</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rPr>
        <w:t>正</w:t>
      </w:r>
      <w:r>
        <w:rPr>
          <w:rFonts w:hint="eastAsia" w:ascii="宋体" w:hAnsi="宋体" w:cs="宋体"/>
          <w:color w:val="auto"/>
          <w:sz w:val="22"/>
          <w:szCs w:val="22"/>
          <w:highlight w:val="none"/>
          <w:lang w:val="en-US" w:eastAsia="zh-CN"/>
        </w:rPr>
        <w:t>一</w:t>
      </w:r>
      <w:r>
        <w:rPr>
          <w:rFonts w:hint="eastAsia" w:ascii="宋体" w:hAnsi="宋体" w:cs="宋体"/>
          <w:color w:val="auto"/>
          <w:sz w:val="22"/>
          <w:szCs w:val="22"/>
          <w:highlight w:val="none"/>
        </w:rPr>
        <w:t>副）及电子文件</w:t>
      </w:r>
      <w:r>
        <w:rPr>
          <w:rFonts w:hint="eastAsia" w:ascii="宋体" w:hAnsi="宋体" w:cs="宋体"/>
          <w:color w:val="auto"/>
          <w:sz w:val="22"/>
          <w:szCs w:val="22"/>
          <w:highlight w:val="none"/>
          <w:lang w:val="en-US" w:eastAsia="zh-CN"/>
        </w:rPr>
        <w:t>一</w:t>
      </w:r>
      <w:r>
        <w:rPr>
          <w:rFonts w:hint="eastAsia" w:ascii="宋体" w:hAnsi="宋体" w:cs="宋体"/>
          <w:color w:val="auto"/>
          <w:sz w:val="22"/>
          <w:szCs w:val="22"/>
          <w:highlight w:val="none"/>
        </w:rPr>
        <w:t>套（不用生成投标书）；包括用Microsoft Excel软件或</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提供的投标书制作软件制作的工程量清单报价表和单价分析表，用Microsoft Excel软件或</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提供的投标书制作软件制作的经济投标文件其它部分。电子文件介质使用CD-R光盘，所有电子文件不能采用压缩处理）给招标人。</w:t>
      </w:r>
    </w:p>
    <w:p>
      <w:pPr>
        <w:pBdr>
          <w:top w:val="single" w:color="auto" w:sz="4" w:space="1"/>
        </w:pBdr>
        <w:spacing w:line="480" w:lineRule="auto"/>
        <w:ind w:firstLine="495" w:firstLineChars="224"/>
        <w:rPr>
          <w:b/>
          <w:color w:val="auto"/>
          <w:sz w:val="22"/>
          <w:szCs w:val="22"/>
          <w:highlight w:val="none"/>
        </w:rPr>
      </w:pPr>
      <w:r>
        <w:rPr>
          <w:rFonts w:hint="eastAsia"/>
          <w:b/>
          <w:color w:val="auto"/>
          <w:sz w:val="22"/>
          <w:szCs w:val="22"/>
          <w:highlight w:val="none"/>
        </w:rPr>
        <w:t>条款号：31.1                   修改类型：增加</w:t>
      </w:r>
    </w:p>
    <w:p>
      <w:pPr>
        <w:pBdr>
          <w:bottom w:val="single" w:color="000000" w:sz="6" w:space="1"/>
        </w:pBdr>
        <w:spacing w:line="360" w:lineRule="auto"/>
        <w:ind w:firstLine="552" w:firstLineChars="250"/>
        <w:rPr>
          <w:bCs/>
          <w:color w:val="auto"/>
          <w:sz w:val="22"/>
          <w:szCs w:val="22"/>
          <w:highlight w:val="none"/>
        </w:rPr>
      </w:pPr>
      <w:r>
        <w:rPr>
          <w:rFonts w:hint="eastAsia"/>
          <w:b/>
          <w:color w:val="auto"/>
          <w:sz w:val="22"/>
          <w:szCs w:val="22"/>
          <w:highlight w:val="none"/>
        </w:rPr>
        <w:t>现文：31.1</w:t>
      </w:r>
      <w:r>
        <w:rPr>
          <w:rFonts w:hint="eastAsia"/>
          <w:bCs/>
          <w:color w:val="auto"/>
          <w:sz w:val="22"/>
          <w:szCs w:val="22"/>
          <w:highlight w:val="none"/>
        </w:rPr>
        <w:t>招标代理费由中标人缴纳，金额按招标人与招标代理签订的招标代理合同的约定执行。</w:t>
      </w:r>
    </w:p>
    <w:p>
      <w:pPr>
        <w:pBdr>
          <w:bottom w:val="single" w:color="000000" w:sz="6" w:space="1"/>
        </w:pBdr>
        <w:spacing w:line="360" w:lineRule="auto"/>
        <w:ind w:firstLine="552" w:firstLineChars="250"/>
        <w:rPr>
          <w:bCs/>
          <w:color w:val="auto"/>
          <w:sz w:val="22"/>
          <w:szCs w:val="22"/>
          <w:highlight w:val="none"/>
          <w:u w:val="single"/>
        </w:rPr>
      </w:pPr>
      <w:r>
        <w:rPr>
          <w:rFonts w:hint="eastAsia"/>
          <w:b/>
          <w:color w:val="auto"/>
          <w:sz w:val="22"/>
          <w:szCs w:val="22"/>
          <w:highlight w:val="none"/>
        </w:rPr>
        <w:t>31.2</w:t>
      </w:r>
      <w:r>
        <w:rPr>
          <w:rFonts w:hint="eastAsia"/>
          <w:bCs/>
          <w:color w:val="auto"/>
          <w:sz w:val="22"/>
          <w:szCs w:val="22"/>
          <w:highlight w:val="none"/>
        </w:rPr>
        <w:t>中标人自行支付公共资源交易服务费，交易中心向中标人开具增值税发票。</w:t>
      </w:r>
    </w:p>
    <w:p>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条款号：32.3         修改类型：修改</w:t>
      </w:r>
    </w:p>
    <w:p>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条款号：33         修改类型：删除</w:t>
      </w:r>
    </w:p>
    <w:p>
      <w:pPr>
        <w:pBdr>
          <w:bottom w:val="single" w:color="auto" w:sz="6" w:space="1"/>
        </w:pBdr>
        <w:tabs>
          <w:tab w:val="left" w:pos="1620"/>
        </w:tabs>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33. 投标人信誉的要求</w:t>
      </w:r>
    </w:p>
    <w:p>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存在下列情形之一的，招标人可以限制其投标（需在招标文件中明确评定方法）</w:t>
      </w:r>
    </w:p>
    <w:p>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（1）被住房城乡建设行政主管部门在全国建筑市场监管一体化工作平台列入建筑市场主体“黑名单”；</w:t>
      </w:r>
    </w:p>
    <w:p>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（2）被发改委、人力资源社会保障、质检总局等有关部门、单位在“信用中国”网站中列入联合惩戒失信黑名单。</w:t>
      </w:r>
    </w:p>
    <w:p>
      <w:pPr>
        <w:spacing w:line="360" w:lineRule="auto"/>
        <w:ind w:firstLine="221" w:firstLineChars="100"/>
        <w:rPr>
          <w:rFonts w:ascii="宋体" w:hAnsi="宋体" w:cs="宋体"/>
          <w:b/>
          <w:color w:val="auto"/>
          <w:sz w:val="22"/>
          <w:szCs w:val="22"/>
          <w:highlight w:val="none"/>
        </w:rPr>
      </w:pPr>
      <w:r>
        <w:rPr>
          <w:rFonts w:hint="eastAsia" w:ascii="宋体" w:hAnsi="宋体" w:cs="宋体"/>
          <w:b/>
          <w:color w:val="auto"/>
          <w:sz w:val="22"/>
          <w:szCs w:val="22"/>
          <w:highlight w:val="none"/>
        </w:rPr>
        <w:t>注：以上修改，仅限于本范本中有可供选择条款的情形。</w:t>
      </w:r>
    </w:p>
    <w:p>
      <w:pPr>
        <w:spacing w:line="360" w:lineRule="auto"/>
        <w:rPr>
          <w:rFonts w:ascii="宋体" w:hAnsi="宋体" w:cs="宋体"/>
          <w:color w:val="auto"/>
          <w:sz w:val="24"/>
          <w:szCs w:val="24"/>
          <w:highlight w:val="none"/>
        </w:rPr>
      </w:pPr>
      <w:r>
        <w:rPr>
          <w:rFonts w:hint="eastAsia" w:ascii="宋体" w:hAnsi="宋体" w:cs="宋体"/>
          <w:b/>
          <w:color w:val="auto"/>
          <w:sz w:val="22"/>
          <w:szCs w:val="22"/>
          <w:highlight w:val="none"/>
        </w:rPr>
        <w:t>（以下无正文）</w:t>
      </w:r>
    </w:p>
    <w:p>
      <w:pPr>
        <w:pStyle w:val="9"/>
        <w:spacing w:line="360" w:lineRule="auto"/>
        <w:ind w:firstLine="482" w:firstLineChars="200"/>
        <w:rPr>
          <w:rFonts w:ascii="宋体" w:hAnsi="宋体" w:cs="宋体"/>
          <w:b/>
          <w:bCs/>
          <w:color w:val="auto"/>
          <w:sz w:val="24"/>
          <w:szCs w:val="24"/>
          <w:highlight w:val="none"/>
        </w:rPr>
        <w:sectPr>
          <w:footerReference r:id="rId10" w:type="first"/>
          <w:footerReference r:id="rId9" w:type="default"/>
          <w:pgSz w:w="11906" w:h="16838"/>
          <w:pgMar w:top="1134" w:right="1418" w:bottom="1247" w:left="1418"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pPr>
        <w:pStyle w:val="6"/>
        <w:rPr>
          <w:rFonts w:ascii="宋体" w:hAnsi="宋体" w:cs="宋体"/>
          <w:color w:val="auto"/>
          <w:highlight w:val="none"/>
        </w:rPr>
      </w:pPr>
      <w:bookmarkStart w:id="10" w:name="_Toc24881"/>
      <w:r>
        <w:rPr>
          <w:rFonts w:hint="eastAsia" w:ascii="宋体" w:hAnsi="宋体" w:cs="宋体"/>
          <w:color w:val="auto"/>
          <w:highlight w:val="none"/>
        </w:rPr>
        <w:t>三、投标须知通用条款</w:t>
      </w:r>
      <w:bookmarkEnd w:id="10"/>
    </w:p>
    <w:p>
      <w:pPr>
        <w:pStyle w:val="7"/>
        <w:spacing w:before="156" w:after="156"/>
        <w:rPr>
          <w:rFonts w:hAnsi="宋体" w:cs="宋体"/>
          <w:color w:val="auto"/>
          <w:highlight w:val="none"/>
        </w:rPr>
      </w:pPr>
      <w:bookmarkStart w:id="11" w:name="_Toc21525493"/>
      <w:bookmarkStart w:id="12" w:name="_Toc2272549"/>
      <w:bookmarkStart w:id="13" w:name="_Toc373"/>
      <w:r>
        <w:rPr>
          <w:rFonts w:hint="eastAsia" w:hAnsi="宋体" w:cs="宋体"/>
          <w:color w:val="auto"/>
          <w:highlight w:val="none"/>
        </w:rPr>
        <w:t>（一）总则</w:t>
      </w:r>
      <w:bookmarkEnd w:id="11"/>
      <w:bookmarkEnd w:id="12"/>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1、定义</w:t>
      </w:r>
    </w:p>
    <w:p>
      <w:pPr>
        <w:pStyle w:val="4"/>
        <w:spacing w:after="0"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4"/>
        <w:spacing w:after="0"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4"/>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（2）“投标人”指向招标人提交投标文件的当事人。</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4"/>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2、招标说明</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2.4工程施工特点：详见招标图纸。</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3．资金来源</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4．合格投标人的条件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4.1详见本项目招标公告</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5．踏勘现场</w:t>
      </w:r>
    </w:p>
    <w:p>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6．投标费用</w:t>
      </w:r>
    </w:p>
    <w:p>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7"/>
        <w:spacing w:before="156" w:after="156"/>
        <w:rPr>
          <w:rFonts w:hAnsi="宋体" w:cs="宋体"/>
          <w:color w:val="auto"/>
          <w:highlight w:val="none"/>
        </w:rPr>
      </w:pPr>
      <w:bookmarkStart w:id="14" w:name="_Toc2272550"/>
      <w:bookmarkStart w:id="15" w:name="_Toc21525494"/>
      <w:r>
        <w:rPr>
          <w:rFonts w:hint="eastAsia" w:hAnsi="宋体" w:cs="宋体"/>
          <w:color w:val="auto"/>
          <w:highlight w:val="none"/>
        </w:rPr>
        <w:t>（二）招标文件</w:t>
      </w:r>
      <w:bookmarkEnd w:id="14"/>
      <w:bookmarkEnd w:id="15"/>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7.招标文件的组成</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7.1本招标文件包括下列文件，以及所有按本须知第8条发出的招标答疑会会议纪要和按本须知第9条发出的澄清或修改：</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第一章  投标须知</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第二章  开标、评标及定标办法</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第三章  合同条款</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第四章  投标文件格式</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第五章  技术条件（工程建设标准）（另册）</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第六章  图纸及勘察资料（另册）</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第七章  招标工程量清单（另册）</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第八章  最高投标限价</w:t>
      </w:r>
    </w:p>
    <w:p>
      <w:pPr>
        <w:pStyle w:val="4"/>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8．招标答疑</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通过交易平台提交</w:t>
      </w:r>
      <w:r>
        <w:rPr>
          <w:rFonts w:hint="eastAsia" w:ascii="宋体" w:hAnsi="宋体" w:cs="宋体"/>
          <w:color w:val="auto"/>
          <w:sz w:val="24"/>
          <w:highlight w:val="none"/>
        </w:rPr>
        <w:t>给招标人或招标代理人，提交形式见本须知前附表第16项。</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9.招标文件的澄清与修改</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rFonts w:hAnsi="宋体" w:cs="宋体"/>
          <w:color w:val="auto"/>
          <w:highlight w:val="none"/>
        </w:rPr>
      </w:pPr>
      <w:bookmarkStart w:id="16" w:name="_Toc2272551"/>
      <w:bookmarkStart w:id="17" w:name="_Toc21525495"/>
      <w:r>
        <w:rPr>
          <w:rFonts w:hint="eastAsia" w:hAnsi="宋体" w:cs="宋体"/>
          <w:color w:val="auto"/>
          <w:highlight w:val="none"/>
        </w:rPr>
        <w:t>（三）投标文件的编制</w:t>
      </w:r>
      <w:bookmarkEnd w:id="16"/>
      <w:bookmarkEnd w:id="17"/>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11．投标文件的组成</w:t>
      </w:r>
    </w:p>
    <w:p>
      <w:pPr>
        <w:pStyle w:val="4"/>
        <w:spacing w:after="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资格审查文件：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（1）投标人声明；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（2）法定代表人证明书、法定代表人签字或盖章的本投标文件授权委托证明书；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（3）企业营业执照扫描件或电子证照；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（4）企业资质证书扫描件或电子证照；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（5）建筑施工企业安全生产许可证扫描件或电子证照；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（6）项目负责人（按网上投标登记时选择拟投入本项目的项目负责人）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（7）专职安全员（按网上投标登记时选择拟投入本项目的专职安全员）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（8）拟委托技术负责人的相关证书、资料（具体要求由招标人明确）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（9）拟委派项目负责人的有效期内的建造师注册证书扫描件或电子证书；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（10）项目负责人在有效期内的安全生产考核合格证书（B类）或建筑施工企业项目负责人安全生产考核合格证书扫描件或电子证书；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（11）专职安全员须具有在有效期内的安全生产考核合格证书（C类）或建筑施工企业专职安全生产管理人员安全生产考核合格证书扫描件或电子证书；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（12）用于资格审查的业绩（设置业绩要求时选择此项，投标人须提供类似工程业绩的项目名称及项目编号，具体格式由招标人自定）；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szCs w:val="24"/>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注：1.相关电子证书按规定需打印后手写本人签名的，应按照规定手写本人签名后再扫描提交。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（3）其他辅助说明资料。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11.2.5施工组织设计或施工方案。</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p>
    <w:p>
      <w:pPr>
        <w:spacing w:line="360" w:lineRule="auto"/>
        <w:ind w:firstLine="559" w:firstLineChars="233"/>
        <w:rPr>
          <w:rFonts w:ascii="宋体" w:hAnsi="宋体" w:cs="宋体"/>
          <w:color w:val="auto"/>
          <w:sz w:val="24"/>
          <w:highlight w:val="none"/>
        </w:rPr>
      </w:pPr>
      <w:r>
        <w:rPr>
          <w:rFonts w:hint="eastAsia" w:ascii="宋体" w:hAnsi="宋体" w:cs="宋体"/>
          <w:color w:val="auto"/>
          <w:sz w:val="24"/>
          <w:highlight w:val="none"/>
        </w:rPr>
        <w:t>（1）投标总价封面、扉页；</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（9）综合单价分析表；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（11）暂列金额明细表；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（14）计日工表；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（15）总承包服务计价表；</w:t>
      </w:r>
    </w:p>
    <w:p>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12．投标文件格式</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4"/>
        <w:tabs>
          <w:tab w:val="left" w:pos="7380"/>
        </w:tabs>
        <w:spacing w:after="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pPr>
        <w:pStyle w:val="4"/>
        <w:spacing w:after="0" w:line="360" w:lineRule="auto"/>
        <w:ind w:firstLine="482" w:firstLineChars="200"/>
        <w:rPr>
          <w:rFonts w:ascii="宋体" w:hAnsi="宋体" w:cs="宋体"/>
          <w:color w:val="auto"/>
          <w:sz w:val="24"/>
          <w:highlight w:val="none"/>
        </w:rPr>
      </w:pPr>
      <w:r>
        <w:rPr>
          <w:rFonts w:hint="eastAsia" w:asciiTheme="majorEastAsia" w:hAnsiTheme="majorEastAsia" w:eastAsiaTheme="majorEastAsia" w:cstheme="majorEastAsia"/>
          <w:b/>
          <w:color w:val="auto"/>
          <w:sz w:val="24"/>
          <w:szCs w:val="24"/>
          <w:highlight w:val="none"/>
        </w:rPr>
        <w:t>注释：投标文件电子文档需要投标人单位盖章的材料，投标人加盖电子印章即可，不得将投标人未对电子文档加盖实物印章作为否决投标的情形。</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 xml:space="preserve">照交易平台关于全流程电子化项目的相关指南进行编制，详见：。               </w:t>
      </w:r>
    </w:p>
    <w:p>
      <w:pPr>
        <w:pStyle w:val="4"/>
        <w:spacing w:after="0" w:line="360" w:lineRule="auto"/>
        <w:ind w:firstLine="0"/>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13.6暂列金额、暂估价</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4"/>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14．投标货币</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4"/>
        <w:spacing w:after="0"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15．投标有效期</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16.4.1因投标人原因造成投标文件未解密的；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16.4.2投标人在投标有效期内撤销投标文件；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17．投标文件的签署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7"/>
        <w:spacing w:before="156" w:after="156"/>
        <w:rPr>
          <w:rFonts w:hAnsi="宋体" w:cs="宋体"/>
          <w:color w:val="auto"/>
          <w:highlight w:val="none"/>
        </w:rPr>
      </w:pPr>
      <w:bookmarkStart w:id="18" w:name="_Toc2272552"/>
      <w:bookmarkStart w:id="19" w:name="_Toc21525496"/>
      <w:r>
        <w:rPr>
          <w:rFonts w:hint="eastAsia" w:hAnsi="宋体" w:cs="宋体"/>
          <w:color w:val="auto"/>
          <w:highlight w:val="none"/>
        </w:rPr>
        <w:t>（四）投标文件的提交</w:t>
      </w:r>
      <w:bookmarkEnd w:id="18"/>
      <w:bookmarkEnd w:id="19"/>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18.2未按要求加密的投标文件，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19．投标文件的递交和接收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cs="宋体"/>
          <w:color w:val="auto"/>
          <w:sz w:val="24"/>
          <w:highlight w:val="none"/>
        </w:rPr>
        <w:t>该投标文件将不能参与资格审查和评标</w:t>
      </w:r>
      <w:r>
        <w:rPr>
          <w:rFonts w:hint="eastAsia" w:ascii="宋体" w:hAnsi="宋体" w:cs="宋体"/>
          <w:color w:val="auto"/>
          <w:sz w:val="24"/>
          <w:szCs w:val="24"/>
          <w:highlight w:val="none"/>
        </w:rPr>
        <w:t>（选择性条款）。</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20．投标文件提交的截止时间</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21．迟交的投标文件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22．投标文件的修改与撤回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22.4在投标截止时间之后，投标人不得补充、修改和更换投标文件。</w:t>
      </w:r>
    </w:p>
    <w:p>
      <w:pPr>
        <w:pStyle w:val="7"/>
        <w:spacing w:before="156" w:after="156"/>
        <w:rPr>
          <w:rFonts w:hAnsi="宋体" w:cs="宋体"/>
          <w:color w:val="auto"/>
          <w:highlight w:val="none"/>
        </w:rPr>
      </w:pPr>
      <w:bookmarkStart w:id="20" w:name="_Toc21525497"/>
      <w:bookmarkStart w:id="21" w:name="_Toc2272553"/>
      <w:r>
        <w:rPr>
          <w:rFonts w:hint="eastAsia" w:hAnsi="宋体" w:cs="宋体"/>
          <w:color w:val="auto"/>
          <w:highlight w:val="none"/>
        </w:rPr>
        <w:t>（五）开标、评标、定标及合同签定</w:t>
      </w:r>
      <w:bookmarkEnd w:id="20"/>
      <w:bookmarkEnd w:id="21"/>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23、开标。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24．评标过程的保密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28．合同协议书的签订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29．履约担保</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30．合同生效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31．其它费用</w:t>
      </w:r>
    </w:p>
    <w:p>
      <w:pPr>
        <w:pStyle w:val="4"/>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32．腐败与欺诈行为</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cs="宋体"/>
          <w:b/>
          <w:color w:val="auto"/>
          <w:sz w:val="24"/>
          <w:highlight w:val="none"/>
        </w:rPr>
      </w:pPr>
      <w:r>
        <w:rPr>
          <w:rFonts w:hint="eastAsia" w:ascii="宋体" w:hAnsi="宋体" w:cs="宋体"/>
          <w:b/>
          <w:color w:val="auto"/>
          <w:sz w:val="24"/>
          <w:highlight w:val="none"/>
        </w:rPr>
        <w:t>33. 投标人信誉的要求</w:t>
      </w:r>
    </w:p>
    <w:p>
      <w:pPr>
        <w:spacing w:line="480" w:lineRule="auto"/>
        <w:ind w:firstLine="537" w:firstLineChars="224"/>
        <w:rPr>
          <w:rFonts w:ascii="宋体" w:hAnsi="宋体" w:cs="宋体"/>
          <w:color w:val="auto"/>
          <w:sz w:val="24"/>
          <w:highlight w:val="none"/>
          <w:shd w:val="clear" w:color="FFFFFF" w:fill="D9D9D9"/>
        </w:rPr>
      </w:pPr>
      <w:r>
        <w:rPr>
          <w:rFonts w:hint="eastAsia" w:ascii="宋体" w:hAnsi="宋体" w:cs="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（1）被住房城乡建设行政主管部门在全国建筑市场监管一体化工作平台列入建筑市场主体“黑名单”；</w:t>
      </w:r>
    </w:p>
    <w:p>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（2）被发改委、人力资源社会保障、质检总局等有关部门、单位在“信用中国”网站中列入联合惩戒失信黑名单。</w:t>
      </w:r>
    </w:p>
    <w:bookmarkEnd w:id="13"/>
    <w:p>
      <w:pPr>
        <w:pStyle w:val="2"/>
        <w:jc w:val="center"/>
        <w:rPr>
          <w:rFonts w:ascii="宋体" w:hAnsi="宋体" w:cs="宋体"/>
          <w:color w:val="auto"/>
          <w:highlight w:val="none"/>
        </w:rPr>
      </w:pPr>
      <w:r>
        <w:rPr>
          <w:rFonts w:hint="eastAsia" w:ascii="宋体" w:hAnsi="宋体" w:cs="宋体"/>
          <w:color w:val="auto"/>
          <w:sz w:val="24"/>
          <w:highlight w:val="none"/>
        </w:rPr>
        <w:br w:type="page"/>
      </w:r>
      <w:bookmarkStart w:id="22" w:name="_Toc286"/>
      <w:r>
        <w:rPr>
          <w:rFonts w:hint="eastAsia" w:ascii="宋体" w:hAnsi="宋体" w:cs="宋体"/>
          <w:color w:val="auto"/>
          <w:highlight w:val="none"/>
        </w:rPr>
        <w:t>第二章  开标、评标及定标办法</w:t>
      </w:r>
      <w:bookmarkEnd w:id="22"/>
    </w:p>
    <w:p>
      <w:pPr>
        <w:pStyle w:val="6"/>
        <w:rPr>
          <w:rFonts w:ascii="宋体" w:hAnsi="宋体" w:cs="宋体"/>
          <w:color w:val="auto"/>
          <w:highlight w:val="none"/>
        </w:rPr>
      </w:pPr>
      <w:bookmarkStart w:id="23"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23"/>
    </w:p>
    <w:p>
      <w:pPr>
        <w:pStyle w:val="4"/>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pPr>
        <w:pStyle w:val="35"/>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pPr>
        <w:widowControl/>
        <w:spacing w:line="360" w:lineRule="auto"/>
        <w:ind w:firstLine="472" w:firstLineChars="196"/>
        <w:jc w:val="left"/>
        <w:rPr>
          <w:rFonts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color w:val="auto"/>
          <w:sz w:val="24"/>
          <w:szCs w:val="24"/>
          <w:highlight w:val="none"/>
          <w:u w:val="single"/>
        </w:rPr>
        <w:t>招标人可以确定排名第二的中标候选人为中标人。</w:t>
      </w:r>
    </w:p>
    <w:p>
      <w:pPr>
        <w:pStyle w:val="35"/>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条款号：（二）开标评标办法程序和细则      修改类型：删除</w:t>
      </w:r>
    </w:p>
    <w:p>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pPr>
        <w:pBdr>
          <w:bottom w:val="single" w:color="auto" w:sz="6" w:space="1"/>
        </w:pBdr>
        <w:spacing w:line="360" w:lineRule="auto"/>
        <w:ind w:firstLine="602" w:firstLineChars="250"/>
        <w:rPr>
          <w:rStyle w:val="48"/>
          <w:rFonts w:ascii="宋体" w:hAnsi="宋体" w:cs="宋体"/>
          <w:color w:val="auto"/>
          <w:sz w:val="24"/>
          <w:szCs w:val="24"/>
          <w:highlight w:val="none"/>
        </w:rPr>
      </w:pPr>
      <w:r>
        <w:rPr>
          <w:rFonts w:hint="eastAsia" w:ascii="宋体" w:hAnsi="宋体" w:cs="宋体"/>
          <w:b/>
          <w:color w:val="auto"/>
          <w:sz w:val="24"/>
          <w:szCs w:val="24"/>
          <w:highlight w:val="none"/>
        </w:rPr>
        <w:t>原文：</w:t>
      </w: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一（适合</w:t>
      </w:r>
      <w:r>
        <w:rPr>
          <w:rStyle w:val="48"/>
          <w:rFonts w:hint="eastAsia" w:ascii="宋体" w:hAnsi="宋体" w:cs="宋体"/>
          <w:color w:val="auto"/>
          <w:kern w:val="0"/>
          <w:sz w:val="24"/>
          <w:szCs w:val="24"/>
          <w:highlight w:val="none"/>
        </w:rPr>
        <w:t>综合评分法一</w:t>
      </w:r>
      <w:r>
        <w:rPr>
          <w:rStyle w:val="48"/>
          <w:rFonts w:hint="eastAsia" w:ascii="宋体" w:hAnsi="宋体" w:cs="宋体"/>
          <w:color w:val="auto"/>
          <w:sz w:val="24"/>
          <w:szCs w:val="24"/>
          <w:highlight w:val="none"/>
        </w:rPr>
        <w:t>，技术标与经济标先后分别开启）</w:t>
      </w:r>
    </w:p>
    <w:p>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二（适合综合评分法一，技术标与经济标同时开启）</w:t>
      </w:r>
    </w:p>
    <w:p>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可选办法四（适合综合评分法二，技术标与经济标同时开启）</w:t>
      </w:r>
    </w:p>
    <w:p>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1320" w:firstLineChars="550"/>
        <w:rPr>
          <w:rStyle w:val="48"/>
          <w:rFonts w:ascii="宋体" w:hAnsi="宋体" w:cs="宋体"/>
          <w:color w:val="auto"/>
          <w:sz w:val="24"/>
          <w:szCs w:val="24"/>
          <w:highlight w:val="none"/>
        </w:rPr>
      </w:pPr>
      <w:r>
        <w:rPr>
          <w:rStyle w:val="48"/>
          <w:rFonts w:hint="eastAsia" w:ascii="宋体" w:hAnsi="宋体" w:cs="宋体"/>
          <w:color w:val="auto"/>
          <w:sz w:val="24"/>
          <w:szCs w:val="24"/>
          <w:highlight w:val="none"/>
        </w:rPr>
        <w:t>可选办法六（适合综合评分法三，技术标与经济标同时开启）</w:t>
      </w:r>
    </w:p>
    <w:p>
      <w:pPr>
        <w:pBdr>
          <w:bottom w:val="single" w:color="auto" w:sz="6" w:space="1"/>
        </w:pBdr>
        <w:spacing w:line="360" w:lineRule="auto"/>
        <w:ind w:firstLine="1320" w:firstLineChars="550"/>
        <w:rPr>
          <w:rFonts w:ascii="宋体" w:hAnsi="宋体" w:cs="宋体"/>
          <w:b/>
          <w:color w:val="auto"/>
          <w:sz w:val="24"/>
          <w:szCs w:val="24"/>
          <w:highlight w:val="none"/>
        </w:rPr>
      </w:pPr>
      <w:r>
        <w:rPr>
          <w:rStyle w:val="48"/>
          <w:rFonts w:hint="eastAsia" w:ascii="宋体" w:hAnsi="宋体" w:cs="宋体"/>
          <w:color w:val="auto"/>
          <w:sz w:val="24"/>
          <w:szCs w:val="24"/>
          <w:highlight w:val="none"/>
        </w:rPr>
        <w:t>可选办法八（适合经评审的最低投标价法，技术标与经济标同时开启）</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lang w:eastAsia="zh-CN"/>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pPr>
        <w:pStyle w:val="4"/>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w:t>
      </w:r>
      <w:r>
        <w:rPr>
          <w:rFonts w:hint="eastAsia" w:ascii="宋体" w:hAnsi="宋体" w:cs="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条款号：44.1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color w:val="auto"/>
          <w:sz w:val="24"/>
          <w:szCs w:val="24"/>
          <w:highlight w:val="none"/>
        </w:rPr>
        <w:t>45</w:t>
      </w:r>
      <w:r>
        <w:rPr>
          <w:rFonts w:hint="eastAsia" w:ascii="宋体" w:hAnsi="宋体" w:cs="宋体"/>
          <w:b/>
          <w:bCs/>
          <w:color w:val="auto"/>
          <w:sz w:val="24"/>
          <w:szCs w:val="24"/>
          <w:highlight w:val="none"/>
        </w:rPr>
        <w:t xml:space="preserve">                       修改类型：修改</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原文：45．经济标评审和得分汇总</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45.2按以下方法计算评标参考价：</w:t>
      </w:r>
    </w:p>
    <w:p>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pP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X:为等分点值，在开标前从[0,100]整数中随机抽取</w:t>
      </w:r>
    </w:p>
    <w:p>
      <w:pPr>
        <w:pStyle w:val="4"/>
        <w:tabs>
          <w:tab w:val="left" w:pos="7380"/>
        </w:tabs>
        <w:snapToGrid w:val="0"/>
        <w:spacing w:after="0" w:line="360" w:lineRule="auto"/>
        <w:ind w:firstLine="482" w:firstLineChars="200"/>
        <w:jc w:val="left"/>
        <w:rPr>
          <w:rFonts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highlight w:val="none"/>
        </w:rPr>
        <w:t>现文：</w:t>
      </w:r>
      <w:r>
        <w:rPr>
          <w:rFonts w:hint="eastAsia" w:ascii="宋体" w:hAnsi="宋体" w:cs="宋体"/>
          <w:color w:val="auto"/>
          <w:sz w:val="24"/>
          <w:szCs w:val="24"/>
          <w:highlight w:val="none"/>
        </w:rPr>
        <w:t>45．经济标评审和得分汇总</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45.2按以下方法计算评标参考价：</w:t>
      </w:r>
    </w:p>
    <w:p>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将达到或超过技术标及格分数线（1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分）的投标报价由低至高进行排列，按以下公式计算评标参考价，计算公式如下：</w:t>
      </w:r>
    </w:p>
    <w:p>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分）的投标人最低报价与工程成本警示价两者中的较高值；</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pPr>
        <w:pStyle w:val="38"/>
        <w:pBdr>
          <w:bottom w:val="single" w:color="auto" w:sz="4" w:space="0"/>
        </w:pBdr>
        <w:spacing w:after="0" w:line="360" w:lineRule="auto"/>
        <w:ind w:left="0" w:leftChars="0" w:firstLine="480"/>
        <w:jc w:val="left"/>
        <w:rPr>
          <w:rFonts w:ascii="宋体" w:hAnsi="宋体" w:cs="宋体"/>
          <w:b/>
          <w:bCs/>
          <w:color w:val="auto"/>
          <w:sz w:val="24"/>
          <w:highlight w:val="none"/>
          <w:u w:val="single"/>
          <w:lang w:eastAsia="zh-CN"/>
        </w:rPr>
      </w:pPr>
      <w:r>
        <w:rPr>
          <w:rFonts w:hint="eastAsia" w:ascii="宋体" w:hAnsi="宋体" w:cs="宋体"/>
          <w:color w:val="auto"/>
          <w:sz w:val="24"/>
          <w:highlight w:val="none"/>
          <w:lang w:eastAsia="zh-CN"/>
        </w:rPr>
        <w:t>X:为等分点值，在开标前从[0,100]整数中随机抽取</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条款号：45.4                      修改类型：修改</w:t>
      </w:r>
    </w:p>
    <w:p>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投标人总得分=技术得分（20分）＋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p>
    <w:p>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（以下无正文）</w:t>
      </w:r>
    </w:p>
    <w:p>
      <w:pPr>
        <w:pStyle w:val="6"/>
        <w:rPr>
          <w:rFonts w:ascii="宋体" w:hAnsi="宋体" w:cs="宋体"/>
          <w:color w:val="auto"/>
          <w:highlight w:val="none"/>
        </w:rPr>
      </w:pPr>
      <w:r>
        <w:rPr>
          <w:rFonts w:hint="eastAsia" w:ascii="宋体" w:hAnsi="宋体" w:cs="宋体"/>
          <w:color w:val="auto"/>
          <w:highlight w:val="none"/>
        </w:rPr>
        <w:br w:type="page"/>
      </w:r>
      <w:bookmarkStart w:id="24" w:name="_Toc11460"/>
      <w:r>
        <w:rPr>
          <w:rFonts w:hint="eastAsia" w:ascii="宋体" w:hAnsi="宋体" w:cs="宋体"/>
          <w:color w:val="auto"/>
          <w:highlight w:val="none"/>
        </w:rPr>
        <w:t>二、开标、评标及定标办法通用条款</w:t>
      </w:r>
      <w:bookmarkEnd w:id="24"/>
    </w:p>
    <w:p>
      <w:pPr>
        <w:pStyle w:val="7"/>
        <w:spacing w:before="156" w:after="156"/>
        <w:ind w:firstLine="540" w:firstLineChars="200"/>
        <w:rPr>
          <w:rFonts w:hAnsi="宋体" w:cs="宋体"/>
          <w:color w:val="auto"/>
          <w:highlight w:val="none"/>
        </w:rPr>
      </w:pPr>
      <w:bookmarkStart w:id="25" w:name="_Toc19940"/>
      <w:r>
        <w:rPr>
          <w:rFonts w:hint="eastAsia" w:hAnsi="宋体" w:cs="宋体"/>
          <w:color w:val="auto"/>
          <w:highlight w:val="none"/>
        </w:rPr>
        <w:t>（一）总则</w:t>
      </w:r>
      <w:bookmarkEnd w:id="25"/>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35.7《财政部 工业和信息化部关于印发〈政府采购促进中小企业发展管理办法〉的通知》（财库〔2020〕46号）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35.9《广东省政府采购促进中小企业发展实施细则（试行）》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35.12本项目招标文件。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36.5.4开标结束。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37.2评标委员会在开始评标前，应了解评标专家的职责及守则，认真阅读附件1《评标委员会成员声明》的内容并签名，签字后方可进行评标；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37.3.1根据评标细则，对投标文件进行认真评审，完成评审报告；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37.3.2向招标人报告评审意见，推荐合格的中标候选人。</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37.3.3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37.3.4全体参与评标人员：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37.3.4.1 必须遵守评标纪律、不得泄密；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37.3.4.2 必须公正、不得循私；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37.3.4.3 必须科学、不得草率；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37.3.4.4 必须客观、不得带有成见；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37.3.4.5 必须平等、不得强加于人；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37.3.4.6 必须严谨、不得随意马虎。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37.5评标结束后，评标委员会递交评标报告并依法推荐中标候选人。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480" w:firstLineChars="200"/>
        <w:rPr>
          <w:rFonts w:hAnsi="宋体" w:cs="宋体"/>
          <w:color w:val="auto"/>
          <w:sz w:val="24"/>
          <w:szCs w:val="24"/>
          <w:highlight w:val="none"/>
        </w:rPr>
      </w:pPr>
      <w:bookmarkStart w:id="26" w:name="_Toc18768"/>
      <w:r>
        <w:rPr>
          <w:rFonts w:hint="eastAsia" w:hAnsi="宋体" w:cs="宋体"/>
          <w:color w:val="auto"/>
          <w:sz w:val="24"/>
          <w:szCs w:val="24"/>
          <w:highlight w:val="none"/>
        </w:rPr>
        <w:t>（二）开标评标办法程序和细则</w:t>
      </w:r>
      <w:bookmarkEnd w:id="26"/>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pPr>
        <w:pStyle w:val="7"/>
        <w:spacing w:before="156" w:after="156"/>
        <w:ind w:firstLine="540" w:firstLineChars="200"/>
        <w:rPr>
          <w:rFonts w:hAnsi="宋体" w:cs="宋体"/>
          <w:color w:val="auto"/>
          <w:highlight w:val="none"/>
        </w:rPr>
      </w:pPr>
      <w:bookmarkStart w:id="27" w:name="_Toc21525509"/>
      <w:bookmarkStart w:id="28" w:name="_Toc2272564"/>
      <w:bookmarkStart w:id="29" w:name="_Toc25301"/>
      <w:r>
        <w:rPr>
          <w:rFonts w:hint="eastAsia" w:hAnsi="宋体" w:cs="宋体"/>
          <w:color w:val="auto"/>
          <w:highlight w:val="none"/>
        </w:rPr>
        <w:t>可选办法七（适合综合评分法四，技术标与经济标同时开启）</w:t>
      </w:r>
      <w:bookmarkEnd w:id="27"/>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4"/>
        <w:tabs>
          <w:tab w:val="left" w:pos="7380"/>
        </w:tabs>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pPr>
        <w:pStyle w:val="4"/>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4"/>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highlight w:val="none"/>
        </w:rPr>
        <w:t>投标文件</w:t>
      </w:r>
      <w:r>
        <w:rPr>
          <w:rFonts w:hint="eastAsia" w:ascii="宋体" w:hAnsi="宋体" w:cs="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28"/>
    <w:bookmarkEnd w:id="29"/>
    <w:p>
      <w:pPr>
        <w:spacing w:line="360" w:lineRule="auto"/>
        <w:rPr>
          <w:rFonts w:ascii="宋体" w:hAnsi="宋体" w:cs="宋体"/>
          <w:color w:val="auto"/>
          <w:sz w:val="24"/>
          <w:szCs w:val="24"/>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p>
    <w:p>
      <w:pP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w:t>
      </w:r>
      <w:r>
        <w:rPr>
          <w:rFonts w:ascii="宋体" w:hAnsi="宋体" w:cs="宋体"/>
          <w:b/>
          <w:color w:val="000000" w:themeColor="text1"/>
          <w:sz w:val="28"/>
          <w:szCs w:val="28"/>
          <w:highlight w:val="none"/>
          <w14:textFill>
            <w14:solidFill>
              <w14:schemeClr w14:val="tx1"/>
            </w14:solidFill>
          </w14:textFill>
        </w:rPr>
        <w:t>1</w:t>
      </w:r>
    </w:p>
    <w:p>
      <w:pPr>
        <w:ind w:firstLine="723" w:firstLineChars="200"/>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评标委员会成员声明</w:t>
      </w:r>
    </w:p>
    <w:p>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本项目招标人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本人就参与</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项目的评标工作，作出郑重声明：</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如果本人违反上述声明内容，造成的后果由本人自行承担。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声明人：</w:t>
      </w:r>
      <w:r>
        <w:rPr>
          <w:rFonts w:hint="eastAsia" w:ascii="宋体" w:hAnsi="宋体" w:cs="宋体"/>
          <w:b/>
          <w:color w:val="000000" w:themeColor="text1"/>
          <w:sz w:val="24"/>
          <w:szCs w:val="24"/>
          <w:highlight w:val="none"/>
          <w:u w:val="single"/>
          <w14:textFill>
            <w14:solidFill>
              <w14:schemeClr w14:val="tx1"/>
            </w14:solidFill>
          </w14:textFill>
        </w:rPr>
        <w:t>（签名）</w:t>
      </w:r>
      <w:r>
        <w:rPr>
          <w:rFonts w:ascii="宋体" w:hAnsi="宋体" w:cs="宋体"/>
          <w:b/>
          <w:color w:val="000000" w:themeColor="text1"/>
          <w:sz w:val="24"/>
          <w:szCs w:val="24"/>
          <w:highlight w:val="none"/>
          <w:u w:val="single"/>
          <w14:textFill>
            <w14:solidFill>
              <w14:schemeClr w14:val="tx1"/>
            </w14:solidFill>
          </w14:textFill>
        </w:rPr>
        <w:t xml:space="preserve">  </w:t>
      </w:r>
    </w:p>
    <w:p>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9"/>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3722"/>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eastAsia="宋体" w:cs="宋体"/>
                <w:color w:val="auto"/>
                <w:szCs w:val="21"/>
                <w:highlight w:val="none"/>
              </w:rPr>
              <w:t>人拟担任本工程项目负责</w:t>
            </w:r>
            <w:r>
              <w:rPr>
                <w:rFonts w:hint="eastAsia" w:ascii="宋体" w:hAnsi="宋体" w:cs="宋体"/>
                <w:color w:val="auto"/>
                <w:szCs w:val="21"/>
                <w:highlight w:val="none"/>
              </w:rPr>
              <w:t>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投标人拟担任本工程专职安全员须具有在有效期内的安全生产考核合格证（C类）或建筑施工企业专职安全生产管理人员安全生产考核合格证书（C3）</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专职安全员的安全生产考核合格证（C类）或建筑施工企业专职安全生产管理人员安全生产考核合格证书（C3）扫描件或电子证书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1"/>
                <w:rFonts w:hint="eastAsia" w:ascii="宋体" w:hAnsi="宋体" w:cs="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1"/>
                <w:rFonts w:hint="eastAsia" w:ascii="宋体" w:hAnsi="宋体" w:cs="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eastAsia="宋体" w:cs="宋体"/>
                <w:color w:val="auto"/>
                <w:szCs w:val="21"/>
                <w:highlight w:val="none"/>
                <w:u w:val="single"/>
                <w:lang w:val="en-US" w:eastAsia="zh-CN"/>
              </w:rPr>
            </w:pPr>
            <w:r>
              <w:rPr>
                <w:rFonts w:hint="default" w:ascii="宋体" w:hAnsi="宋体" w:eastAsia="宋体" w:cs="宋体"/>
                <w:color w:val="auto"/>
                <w:szCs w:val="21"/>
                <w:highlight w:val="none"/>
                <w:u w:val="single"/>
                <w:lang w:val="en-US" w:eastAsia="zh-CN"/>
              </w:rPr>
              <w:t>本项目</w:t>
            </w:r>
            <w:r>
              <w:rPr>
                <w:rFonts w:hint="eastAsia" w:ascii="宋体" w:hAnsi="宋体" w:cs="宋体"/>
                <w:color w:val="auto"/>
                <w:szCs w:val="21"/>
                <w:highlight w:val="none"/>
                <w:u w:val="single"/>
                <w:lang w:val="en-US" w:eastAsia="zh-CN"/>
              </w:rPr>
              <w:t>不</w:t>
            </w:r>
            <w:r>
              <w:rPr>
                <w:rFonts w:hint="default" w:ascii="宋体" w:hAnsi="宋体" w:eastAsia="宋体" w:cs="宋体"/>
                <w:color w:val="auto"/>
                <w:szCs w:val="21"/>
                <w:highlight w:val="none"/>
                <w:u w:val="single"/>
                <w:lang w:val="en-US" w:eastAsia="zh-CN"/>
              </w:rPr>
              <w:t>允许联合体投标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u w:val="single"/>
                <w:lang w:val="en-US" w:eastAsia="zh-CN"/>
              </w:rPr>
            </w:pPr>
            <w:r>
              <w:rPr>
                <w:rFonts w:hint="eastAsia" w:ascii="宋体" w:hAnsi="宋体" w:cs="宋体"/>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投标人未出现以下情形：与其它投标人的单位负责人为同一人或者存在控股、管理关系的（按投标人提供的《投标人声明》第九条内容进行评审）。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投标人未被列入拖欠农民工工资失信联合惩戒对象名单和失信被执行人。</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14</w:t>
            </w:r>
          </w:p>
        </w:tc>
        <w:tc>
          <w:tcPr>
            <w:tcW w:w="3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落实政府采购政策需满足的资格要求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中小企业相关资料</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360" w:lineRule="auto"/>
        <w:ind w:firstLine="420" w:firstLineChars="200"/>
        <w:rPr>
          <w:rFonts w:ascii="宋体" w:hAnsi="宋体" w:cs="宋体"/>
          <w:color w:val="auto"/>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color w:val="auto"/>
          <w:szCs w:val="21"/>
          <w:highlight w:val="none"/>
        </w:rPr>
      </w:pPr>
      <w:r>
        <w:rPr>
          <w:rFonts w:hint="eastAsia" w:ascii="宋体" w:hAnsi="宋体" w:cs="宋体"/>
          <w:color w:val="auto"/>
          <w:szCs w:val="21"/>
          <w:highlight w:val="none"/>
        </w:rPr>
        <w:t>附表二</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189"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697"/>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697"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w:t>
            </w:r>
          </w:p>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《广州建设工程施工招标投标书》中投标总工期不能满足完成投标项目工期的；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2</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val="0"/>
                <w:bCs w:val="0"/>
                <w:color w:val="auto"/>
                <w:szCs w:val="21"/>
                <w:highlight w:val="none"/>
                <w:u w:val="none"/>
              </w:rPr>
              <w:t>（技术标格式二、格式三</w:t>
            </w:r>
            <w:bookmarkStart w:id="30" w:name="OLE_LINK1"/>
            <w:r>
              <w:rPr>
                <w:rFonts w:hint="eastAsia" w:ascii="宋体" w:hAnsi="宋体" w:cs="宋体"/>
                <w:b w:val="0"/>
                <w:bCs w:val="0"/>
                <w:color w:val="auto"/>
                <w:szCs w:val="21"/>
                <w:highlight w:val="none"/>
                <w:u w:val="none"/>
              </w:rPr>
              <w:t>、格式</w:t>
            </w:r>
            <w:r>
              <w:rPr>
                <w:rFonts w:hint="eastAsia" w:ascii="宋体" w:hAnsi="宋体" w:cs="宋体"/>
                <w:b w:val="0"/>
                <w:bCs w:val="0"/>
                <w:color w:val="auto"/>
                <w:szCs w:val="21"/>
                <w:highlight w:val="none"/>
                <w:u w:val="none"/>
                <w:lang w:val="en-US" w:eastAsia="zh-CN"/>
              </w:rPr>
              <w:t>九</w:t>
            </w:r>
            <w:bookmarkEnd w:id="30"/>
            <w:r>
              <w:rPr>
                <w:rFonts w:hint="eastAsia" w:ascii="宋体" w:hAnsi="宋体" w:cs="宋体"/>
                <w:b w:val="0"/>
                <w:bCs w:val="0"/>
                <w:color w:val="auto"/>
                <w:szCs w:val="21"/>
                <w:highlight w:val="none"/>
                <w:u w:val="none"/>
              </w:rPr>
              <w:t>、格式</w:t>
            </w:r>
            <w:r>
              <w:rPr>
                <w:rFonts w:hint="eastAsia" w:ascii="宋体" w:hAnsi="宋体" w:cs="宋体"/>
                <w:b w:val="0"/>
                <w:bCs w:val="0"/>
                <w:color w:val="auto"/>
                <w:szCs w:val="21"/>
                <w:highlight w:val="none"/>
                <w:u w:val="none"/>
                <w:lang w:val="en-US" w:eastAsia="zh-CN"/>
              </w:rPr>
              <w:t>十一</w:t>
            </w:r>
            <w:r>
              <w:rPr>
                <w:rFonts w:hint="eastAsia" w:ascii="宋体" w:hAnsi="宋体" w:cs="宋体"/>
                <w:b w:val="0"/>
                <w:bCs w:val="0"/>
                <w:color w:val="auto"/>
                <w:szCs w:val="21"/>
                <w:highlight w:val="none"/>
                <w:u w:val="none"/>
              </w:rPr>
              <w:t>）</w:t>
            </w:r>
            <w:r>
              <w:rPr>
                <w:rFonts w:hint="eastAsia" w:ascii="宋体" w:hAnsi="宋体" w:cs="宋体"/>
                <w:color w:val="auto"/>
                <w:szCs w:val="21"/>
                <w:highlight w:val="none"/>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8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投标人与本项目其他投标人加密打包投标文件电脑机器特征码一致的(以交易平台评标系统的检索信息为准)</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3.凡出现以上任何一项情形，结论均为无效，否则就为有效。</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rPr>
          <w:rFonts w:ascii="宋体" w:hAnsi="宋体" w:cs="宋体"/>
          <w:color w:val="auto"/>
          <w:szCs w:val="21"/>
          <w:highlight w:val="none"/>
        </w:rPr>
      </w:pPr>
      <w:r>
        <w:rPr>
          <w:rFonts w:hint="eastAsia" w:ascii="宋体" w:hAnsi="宋体" w:cs="宋体"/>
          <w:color w:val="auto"/>
          <w:szCs w:val="21"/>
          <w:highlight w:val="none"/>
        </w:rPr>
        <w:t>评委签名：</w:t>
      </w:r>
      <w:r>
        <w:rPr>
          <w:rFonts w:hint="eastAsia" w:ascii="宋体" w:hAnsi="宋体" w:cs="宋体"/>
          <w:color w:val="auto"/>
          <w:highlight w:val="none"/>
        </w:rPr>
        <w:br w:type="page"/>
      </w:r>
      <w:r>
        <w:rPr>
          <w:rFonts w:hint="eastAsia" w:ascii="宋体" w:hAnsi="宋体" w:cs="宋体"/>
          <w:color w:val="auto"/>
          <w:szCs w:val="21"/>
          <w:highlight w:val="none"/>
        </w:rPr>
        <w:t>附表三</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645"/>
        <w:gridCol w:w="1321"/>
        <w:gridCol w:w="155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286" w:type="pct"/>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投标人</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s="宋体"/>
                <w:color w:val="auto"/>
                <w:szCs w:val="21"/>
                <w:highlight w:val="none"/>
              </w:rPr>
            </w:pPr>
            <w:r>
              <w:rPr>
                <w:rFonts w:hint="eastAsia" w:ascii="宋体" w:hAnsi="宋体" w:cs="宋体"/>
                <w:color w:val="auto"/>
                <w:szCs w:val="21"/>
                <w:highlight w:val="none"/>
              </w:rPr>
              <w:t>投标报价低于成本的；</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none"/>
              </w:rPr>
              <w:t>（经济标格式三、格式四）</w:t>
            </w:r>
            <w:r>
              <w:rPr>
                <w:rFonts w:hint="eastAsia" w:ascii="宋体" w:hAnsi="宋体" w:cs="宋体"/>
                <w:color w:val="auto"/>
                <w:szCs w:val="21"/>
                <w:highlight w:val="none"/>
              </w:rPr>
              <w:t>填写，或主要内容不全，或关键字迹模糊、无法辨认的；</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无《对投标文件编制的承诺》</w:t>
            </w:r>
            <w:r>
              <w:rPr>
                <w:rFonts w:hint="eastAsia" w:ascii="宋体" w:hAnsi="宋体" w:cs="宋体"/>
                <w:color w:val="auto"/>
                <w:szCs w:val="21"/>
                <w:highlight w:val="none"/>
                <w:lang w:eastAsia="zh-CN"/>
              </w:rPr>
              <w:t>；</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8</w:t>
            </w:r>
          </w:p>
        </w:tc>
        <w:tc>
          <w:tcPr>
            <w:tcW w:w="328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投标人与本项目其他投标人的投标文件工程量清单编制机器硬件信息一致的（以交易平台评标系统的检索信息为准）</w:t>
            </w:r>
            <w:r>
              <w:rPr>
                <w:rFonts w:hint="eastAsia" w:ascii="宋体" w:hAnsi="宋体" w:cs="宋体"/>
                <w:color w:val="auto"/>
                <w:szCs w:val="21"/>
                <w:highlight w:val="none"/>
                <w:lang w:eastAsia="zh-CN"/>
              </w:rPr>
              <w:t>。</w:t>
            </w:r>
          </w:p>
        </w:tc>
        <w:tc>
          <w:tcPr>
            <w:tcW w:w="45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30" w:type="pct"/>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pStyle w:val="4"/>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4"/>
        <w:ind w:firstLine="458"/>
        <w:rPr>
          <w:rFonts w:ascii="宋体" w:hAnsi="宋体" w:cs="宋体"/>
          <w:color w:val="auto"/>
          <w:szCs w:val="21"/>
          <w:highlight w:val="none"/>
        </w:rPr>
        <w:sect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评委签名：</w:t>
      </w:r>
    </w:p>
    <w:p>
      <w:pPr>
        <w:rPr>
          <w:color w:val="auto"/>
          <w:szCs w:val="21"/>
          <w:highlight w:val="none"/>
        </w:rPr>
      </w:pPr>
      <w:r>
        <w:rPr>
          <w:rFonts w:hint="eastAsia"/>
          <w:color w:val="auto"/>
          <w:szCs w:val="21"/>
          <w:highlight w:val="none"/>
        </w:rPr>
        <w:t>附表四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tbl>
      <w:tblPr>
        <w:tblStyle w:val="39"/>
        <w:tblW w:w="0" w:type="dxa"/>
        <w:tblInd w:w="0" w:type="dxa"/>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Layout w:type="fixed"/>
        <w:tblCellMar>
          <w:top w:w="0" w:type="dxa"/>
          <w:left w:w="0" w:type="dxa"/>
          <w:bottom w:w="0" w:type="dxa"/>
          <w:right w:w="0" w:type="dxa"/>
        </w:tblCellMar>
      </w:tblPr>
      <w:tblGrid>
        <w:gridCol w:w="589"/>
        <w:gridCol w:w="1079"/>
        <w:gridCol w:w="1275"/>
        <w:gridCol w:w="709"/>
        <w:gridCol w:w="10896"/>
      </w:tblGrid>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c>
          <w:tcPr>
            <w:tcW w:w="58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序号</w:t>
            </w:r>
          </w:p>
        </w:tc>
        <w:tc>
          <w:tcPr>
            <w:tcW w:w="107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评分项目</w:t>
            </w:r>
          </w:p>
        </w:tc>
        <w:tc>
          <w:tcPr>
            <w:tcW w:w="1275"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评分内容</w:t>
            </w:r>
          </w:p>
        </w:tc>
        <w:tc>
          <w:tcPr>
            <w:tcW w:w="70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分值</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评审标准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restart"/>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bookmarkStart w:id="31" w:name="OLE_LINK10" w:colFirst="1" w:colLast="1"/>
            <w:r>
              <w:rPr>
                <w:rFonts w:hint="eastAsia" w:ascii="宋体" w:hAnsi="宋体" w:cs="宋体"/>
                <w:color w:val="auto"/>
                <w:kern w:val="24"/>
                <w:sz w:val="20"/>
                <w:szCs w:val="20"/>
                <w:highlight w:val="none"/>
              </w:rPr>
              <w:t>一</w:t>
            </w:r>
          </w:p>
        </w:tc>
        <w:tc>
          <w:tcPr>
            <w:tcW w:w="1079" w:type="dxa"/>
            <w:vMerge w:val="restart"/>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企业资信（</w:t>
            </w:r>
            <w:r>
              <w:rPr>
                <w:rFonts w:hint="eastAsia" w:ascii="宋体" w:hAnsi="宋体" w:cs="宋体"/>
                <w:color w:val="auto"/>
                <w:kern w:val="24"/>
                <w:sz w:val="20"/>
                <w:szCs w:val="20"/>
                <w:highlight w:val="none"/>
                <w:lang w:val="en-US" w:eastAsia="zh-CN"/>
              </w:rPr>
              <w:t>6</w:t>
            </w:r>
            <w:r>
              <w:rPr>
                <w:rFonts w:hint="eastAsia" w:ascii="宋体" w:hAnsi="宋体" w:cs="宋体"/>
                <w:color w:val="auto"/>
                <w:kern w:val="24"/>
                <w:sz w:val="20"/>
                <w:szCs w:val="20"/>
                <w:highlight w:val="none"/>
              </w:rPr>
              <w:t>分）</w:t>
            </w:r>
          </w:p>
        </w:tc>
        <w:tc>
          <w:tcPr>
            <w:tcW w:w="1275"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企业业绩</w:t>
            </w:r>
          </w:p>
        </w:tc>
        <w:tc>
          <w:tcPr>
            <w:tcW w:w="70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3</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投标人自</w:t>
            </w:r>
            <w:r>
              <w:rPr>
                <w:rFonts w:hint="eastAsia" w:ascii="宋体" w:hAnsi="宋体" w:cs="宋体"/>
                <w:color w:val="auto"/>
                <w:kern w:val="24"/>
                <w:sz w:val="20"/>
                <w:szCs w:val="20"/>
                <w:highlight w:val="none"/>
                <w:lang w:eastAsia="zh-CN"/>
              </w:rPr>
              <w:t>2022年1月1日</w:t>
            </w:r>
            <w:r>
              <w:rPr>
                <w:rFonts w:hint="eastAsia" w:ascii="宋体" w:hAnsi="宋体" w:cs="宋体"/>
                <w:color w:val="auto"/>
                <w:kern w:val="24"/>
                <w:sz w:val="20"/>
                <w:szCs w:val="20"/>
                <w:highlight w:val="none"/>
              </w:rPr>
              <w:t>至投标截止时间，完成过质量合格的中标金额大于或等于</w:t>
            </w:r>
            <w:r>
              <w:rPr>
                <w:rFonts w:hint="eastAsia" w:ascii="宋体" w:hAnsi="宋体" w:cs="宋体"/>
                <w:color w:val="auto"/>
                <w:kern w:val="24"/>
                <w:sz w:val="20"/>
                <w:szCs w:val="20"/>
                <w:highlight w:val="none"/>
                <w:lang w:val="en-US" w:eastAsia="zh-CN"/>
              </w:rPr>
              <w:t>500</w:t>
            </w:r>
            <w:r>
              <w:rPr>
                <w:rFonts w:hint="eastAsia" w:ascii="宋体" w:hAnsi="宋体" w:cs="宋体"/>
                <w:color w:val="auto"/>
                <w:kern w:val="24"/>
                <w:sz w:val="20"/>
                <w:szCs w:val="20"/>
                <w:highlight w:val="none"/>
              </w:rPr>
              <w:t>万元的建筑工程施工总承包业绩，每项得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分，最高得</w:t>
            </w:r>
            <w:r>
              <w:rPr>
                <w:rFonts w:hint="eastAsia" w:ascii="宋体" w:hAnsi="宋体" w:cs="宋体"/>
                <w:color w:val="auto"/>
                <w:kern w:val="24"/>
                <w:sz w:val="20"/>
                <w:szCs w:val="20"/>
                <w:highlight w:val="none"/>
                <w:lang w:val="en-US" w:eastAsia="zh-CN"/>
              </w:rPr>
              <w:t>3</w:t>
            </w:r>
            <w:r>
              <w:rPr>
                <w:rFonts w:hint="eastAsia" w:ascii="宋体" w:hAnsi="宋体" w:cs="宋体"/>
                <w:color w:val="auto"/>
                <w:kern w:val="24"/>
                <w:sz w:val="20"/>
                <w:szCs w:val="20"/>
                <w:highlight w:val="none"/>
              </w:rPr>
              <w:t>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continue"/>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79" w:type="dxa"/>
            <w:vMerge w:val="continue"/>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275"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工程奖项</w:t>
            </w:r>
          </w:p>
        </w:tc>
        <w:tc>
          <w:tcPr>
            <w:tcW w:w="70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投标人自</w:t>
            </w:r>
            <w:r>
              <w:rPr>
                <w:rFonts w:hint="eastAsia" w:ascii="宋体" w:hAnsi="宋体" w:cs="宋体"/>
                <w:color w:val="auto"/>
                <w:kern w:val="24"/>
                <w:sz w:val="20"/>
                <w:szCs w:val="20"/>
                <w:highlight w:val="none"/>
                <w:lang w:eastAsia="zh-CN"/>
              </w:rPr>
              <w:t>2022年1月1日</w:t>
            </w:r>
            <w:r>
              <w:rPr>
                <w:rFonts w:hint="eastAsia" w:ascii="宋体" w:hAnsi="宋体" w:cs="宋体"/>
                <w:color w:val="auto"/>
                <w:kern w:val="24"/>
                <w:sz w:val="20"/>
                <w:szCs w:val="20"/>
                <w:highlight w:val="none"/>
              </w:rPr>
              <w:t>至投标截止时间，完成过的</w:t>
            </w:r>
            <w:r>
              <w:rPr>
                <w:rFonts w:hint="eastAsia" w:ascii="宋体" w:hAnsi="宋体" w:cs="宋体"/>
                <w:color w:val="auto"/>
                <w:kern w:val="24"/>
                <w:sz w:val="20"/>
                <w:szCs w:val="20"/>
                <w:highlight w:val="none"/>
                <w:lang w:val="en-US" w:eastAsia="zh-CN"/>
              </w:rPr>
              <w:t>建筑工程项目</w:t>
            </w:r>
            <w:r>
              <w:rPr>
                <w:rFonts w:hint="eastAsia" w:ascii="宋体" w:hAnsi="宋体" w:cs="宋体"/>
                <w:color w:val="auto"/>
                <w:kern w:val="24"/>
                <w:sz w:val="20"/>
                <w:szCs w:val="20"/>
                <w:highlight w:val="none"/>
              </w:rPr>
              <w:t>获得过市级</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或以上</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工程质量奖项</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每项得0.5分，</w:t>
            </w:r>
            <w:r>
              <w:rPr>
                <w:rFonts w:hint="eastAsia" w:ascii="宋体" w:hAnsi="宋体" w:cs="宋体"/>
                <w:color w:val="auto"/>
                <w:kern w:val="24"/>
                <w:sz w:val="20"/>
                <w:szCs w:val="20"/>
                <w:highlight w:val="none"/>
              </w:rPr>
              <w:t>最高得</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rPr>
              <w:t>分</w:t>
            </w:r>
            <w:r>
              <w:rPr>
                <w:rFonts w:hint="eastAsia" w:ascii="宋体" w:hAnsi="宋体" w:cs="宋体"/>
                <w:color w:val="auto"/>
                <w:kern w:val="24"/>
                <w:sz w:val="20"/>
                <w:szCs w:val="20"/>
                <w:highlight w:val="none"/>
                <w:lang w:eastAsia="zh-CN"/>
              </w:rPr>
              <w:t>。</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continue"/>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79" w:type="dxa"/>
            <w:vMerge w:val="continue"/>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275" w:type="dxa"/>
            <w:vMerge w:val="restart"/>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第三方评价</w:t>
            </w:r>
          </w:p>
        </w:tc>
        <w:tc>
          <w:tcPr>
            <w:tcW w:w="70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0.5</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投标人至今被评为纳税信用A级纳税人称号的：</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（1）连续5个年度或以上（含5个年度）（须包含202</w:t>
            </w:r>
            <w:r>
              <w:rPr>
                <w:rFonts w:hint="eastAsia" w:ascii="宋体" w:hAnsi="宋体" w:cs="宋体"/>
                <w:color w:val="auto"/>
                <w:kern w:val="24"/>
                <w:sz w:val="20"/>
                <w:szCs w:val="20"/>
                <w:highlight w:val="none"/>
                <w:lang w:val="en-US" w:eastAsia="zh-CN"/>
              </w:rPr>
              <w:t>4</w:t>
            </w:r>
            <w:r>
              <w:rPr>
                <w:rFonts w:hint="eastAsia" w:ascii="宋体" w:hAnsi="宋体" w:eastAsia="宋体" w:cs="宋体"/>
                <w:color w:val="auto"/>
                <w:kern w:val="24"/>
                <w:sz w:val="20"/>
                <w:szCs w:val="20"/>
                <w:highlight w:val="none"/>
                <w:lang w:val="en-US" w:eastAsia="zh-CN"/>
              </w:rPr>
              <w:t>年度）的得0.5分；（2）连续3-4个年度（须包含202</w:t>
            </w:r>
            <w:r>
              <w:rPr>
                <w:rFonts w:hint="eastAsia" w:ascii="宋体" w:hAnsi="宋体" w:cs="宋体"/>
                <w:color w:val="auto"/>
                <w:kern w:val="24"/>
                <w:sz w:val="20"/>
                <w:szCs w:val="20"/>
                <w:highlight w:val="none"/>
                <w:lang w:val="en-US" w:eastAsia="zh-CN"/>
              </w:rPr>
              <w:t>4</w:t>
            </w:r>
            <w:r>
              <w:rPr>
                <w:rFonts w:hint="eastAsia" w:ascii="宋体" w:hAnsi="宋体" w:eastAsia="宋体" w:cs="宋体"/>
                <w:color w:val="auto"/>
                <w:kern w:val="24"/>
                <w:sz w:val="20"/>
                <w:szCs w:val="20"/>
                <w:highlight w:val="none"/>
                <w:lang w:val="en-US" w:eastAsia="zh-CN"/>
              </w:rPr>
              <w:t>年度）的得0.3分；（3）连续1-2个年度（须包含202</w:t>
            </w:r>
            <w:r>
              <w:rPr>
                <w:rFonts w:hint="eastAsia" w:ascii="宋体" w:hAnsi="宋体" w:cs="宋体"/>
                <w:color w:val="auto"/>
                <w:kern w:val="24"/>
                <w:sz w:val="20"/>
                <w:szCs w:val="20"/>
                <w:highlight w:val="none"/>
                <w:lang w:val="en-US" w:eastAsia="zh-CN"/>
              </w:rPr>
              <w:t>4</w:t>
            </w:r>
            <w:r>
              <w:rPr>
                <w:rFonts w:hint="eastAsia" w:ascii="宋体" w:hAnsi="宋体" w:eastAsia="宋体" w:cs="宋体"/>
                <w:color w:val="auto"/>
                <w:kern w:val="24"/>
                <w:sz w:val="20"/>
                <w:szCs w:val="20"/>
                <w:highlight w:val="none"/>
                <w:lang w:val="en-US" w:eastAsia="zh-CN"/>
              </w:rPr>
              <w:t>年度）的得0.1分；（4）其他情况不得分。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c>
          <w:tcPr>
            <w:tcW w:w="107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c>
          <w:tcPr>
            <w:tcW w:w="1275" w:type="dxa"/>
            <w:vMerge w:val="continue"/>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p>
        </w:tc>
        <w:tc>
          <w:tcPr>
            <w:tcW w:w="709"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0.5</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投标人同时具有在有效期内的质量管理体系认证证书、职业健康安全管理体系认证证书、环境管理体系认证证书的，得0.5分。每少一项，扣0.3分，最低扣至0分。本项最高得0.5分。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二</w:t>
            </w:r>
          </w:p>
        </w:tc>
        <w:tc>
          <w:tcPr>
            <w:tcW w:w="10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项目管理机构能力</w:t>
            </w:r>
          </w:p>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w:t>
            </w:r>
            <w:r>
              <w:rPr>
                <w:rFonts w:hint="eastAsia" w:ascii="宋体" w:hAnsi="宋体" w:cs="宋体"/>
                <w:color w:val="auto"/>
                <w:kern w:val="24"/>
                <w:sz w:val="20"/>
                <w:szCs w:val="20"/>
                <w:highlight w:val="none"/>
                <w:lang w:val="en-US" w:eastAsia="zh-CN"/>
              </w:rPr>
              <w:t>8</w:t>
            </w:r>
            <w:r>
              <w:rPr>
                <w:rFonts w:hint="eastAsia" w:ascii="宋体" w:hAnsi="宋体" w:cs="宋体"/>
                <w:color w:val="auto"/>
                <w:kern w:val="24"/>
                <w:sz w:val="20"/>
                <w:szCs w:val="20"/>
                <w:highlight w:val="none"/>
              </w:rPr>
              <w:t>分）</w:t>
            </w:r>
          </w:p>
        </w:tc>
        <w:tc>
          <w:tcPr>
            <w:tcW w:w="127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24"/>
                <w:sz w:val="20"/>
                <w:szCs w:val="20"/>
                <w:highlight w:val="none"/>
              </w:rPr>
              <w:t>项目管理机构能力</w:t>
            </w:r>
          </w:p>
        </w:tc>
        <w:tc>
          <w:tcPr>
            <w:tcW w:w="70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24"/>
                <w:sz w:val="20"/>
                <w:szCs w:val="20"/>
                <w:highlight w:val="none"/>
                <w:lang w:val="en-US" w:eastAsia="zh-CN"/>
              </w:rPr>
              <w:t>8</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rPr>
              <w:t>1、</w:t>
            </w:r>
            <w:r>
              <w:rPr>
                <w:rFonts w:hint="eastAsia" w:ascii="宋体" w:hAnsi="宋体" w:cs="宋体"/>
                <w:color w:val="auto"/>
                <w:kern w:val="24"/>
                <w:sz w:val="20"/>
                <w:szCs w:val="20"/>
                <w:highlight w:val="none"/>
                <w:lang w:val="en-US" w:eastAsia="zh-CN"/>
              </w:rPr>
              <w:t>项目负责人（1人）：</w:t>
            </w:r>
            <w:r>
              <w:rPr>
                <w:rFonts w:hint="eastAsia" w:ascii="宋体" w:hAnsi="宋体" w:cs="宋体"/>
                <w:color w:val="auto"/>
                <w:sz w:val="20"/>
                <w:szCs w:val="20"/>
                <w:highlight w:val="none"/>
              </w:rPr>
              <w:t>（本子项最高得</w:t>
            </w:r>
            <w:r>
              <w:rPr>
                <w:rFonts w:hint="eastAsia" w:ascii="宋体" w:hAnsi="宋体" w:cs="宋体"/>
                <w:color w:val="auto"/>
                <w:sz w:val="20"/>
                <w:szCs w:val="20"/>
                <w:highlight w:val="none"/>
                <w:lang w:val="en-US" w:eastAsia="zh-CN"/>
              </w:rPr>
              <w:t>2</w:t>
            </w:r>
            <w:r>
              <w:rPr>
                <w:rFonts w:hint="eastAsia" w:ascii="宋体" w:hAnsi="宋体" w:cs="宋体"/>
                <w:color w:val="auto"/>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lang w:eastAsia="zh-CN"/>
              </w:rPr>
            </w:pPr>
            <w:r>
              <w:rPr>
                <w:rFonts w:hint="eastAsia" w:ascii="宋体" w:hAnsi="宋体" w:cs="宋体"/>
                <w:color w:val="auto"/>
                <w:kern w:val="24"/>
                <w:sz w:val="20"/>
                <w:szCs w:val="20"/>
                <w:highlight w:val="none"/>
                <w:lang w:val="en-US" w:eastAsia="zh-CN"/>
              </w:rPr>
              <w:t>（1）具有建筑工程</w:t>
            </w:r>
            <w:r>
              <w:rPr>
                <w:rFonts w:hint="eastAsia" w:ascii="宋体" w:hAnsi="宋体" w:cs="宋体"/>
                <w:color w:val="auto"/>
                <w:kern w:val="24"/>
                <w:sz w:val="20"/>
                <w:szCs w:val="20"/>
                <w:highlight w:val="none"/>
              </w:rPr>
              <w:t>类专业</w:t>
            </w:r>
            <w:r>
              <w:rPr>
                <w:rFonts w:hint="eastAsia" w:ascii="宋体" w:hAnsi="宋体" w:cs="宋体"/>
                <w:color w:val="auto"/>
                <w:kern w:val="24"/>
                <w:sz w:val="20"/>
                <w:szCs w:val="20"/>
                <w:highlight w:val="none"/>
                <w:lang w:val="en-US" w:eastAsia="zh-CN"/>
              </w:rPr>
              <w:t>中级</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或以上</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职称</w:t>
            </w:r>
            <w:r>
              <w:rPr>
                <w:rFonts w:hint="eastAsia" w:ascii="宋体" w:hAnsi="宋体" w:cs="宋体"/>
                <w:color w:val="auto"/>
                <w:kern w:val="24"/>
                <w:sz w:val="20"/>
                <w:szCs w:val="20"/>
                <w:highlight w:val="none"/>
                <w:lang w:val="en-US" w:eastAsia="zh-CN"/>
              </w:rPr>
              <w:t>的</w:t>
            </w:r>
            <w:r>
              <w:rPr>
                <w:rFonts w:hint="eastAsia" w:ascii="宋体" w:hAnsi="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r>
              <w:rPr>
                <w:rFonts w:hint="eastAsia" w:ascii="宋体" w:hAnsi="宋体" w:cs="宋体"/>
                <w:color w:val="auto"/>
                <w:kern w:val="24"/>
                <w:sz w:val="20"/>
                <w:szCs w:val="20"/>
                <w:highlight w:val="none"/>
                <w:lang w:val="en-US" w:eastAsia="zh-CN"/>
              </w:rPr>
              <w:t>；其余不得分</w:t>
            </w:r>
            <w:r>
              <w:rPr>
                <w:rFonts w:hint="eastAsia" w:ascii="宋体" w:hAnsi="宋体" w:cs="宋体"/>
                <w:color w:val="auto"/>
                <w:kern w:val="24"/>
                <w:sz w:val="20"/>
                <w:szCs w:val="20"/>
                <w:highlight w:val="none"/>
                <w:lang w:eastAsia="zh-CN"/>
              </w:rPr>
              <w:t>。</w:t>
            </w:r>
          </w:p>
          <w:p>
            <w:pPr>
              <w:keepNext w:val="0"/>
              <w:keepLines w:val="0"/>
              <w:widowControl/>
              <w:suppressLineNumbers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lang w:eastAsia="zh-CN"/>
              </w:rPr>
              <w:t>）</w:t>
            </w:r>
            <w:r>
              <w:rPr>
                <w:rFonts w:hint="eastAsia" w:ascii="宋体" w:hAnsi="宋体" w:cs="宋体"/>
                <w:color w:val="auto"/>
                <w:sz w:val="20"/>
                <w:szCs w:val="20"/>
                <w:highlight w:val="none"/>
              </w:rPr>
              <w:t>自20</w:t>
            </w:r>
            <w:r>
              <w:rPr>
                <w:rFonts w:hint="eastAsia" w:ascii="宋体" w:hAnsi="宋体" w:cs="宋体"/>
                <w:color w:val="auto"/>
                <w:sz w:val="20"/>
                <w:szCs w:val="20"/>
                <w:highlight w:val="none"/>
                <w:lang w:val="en-US" w:eastAsia="zh-CN"/>
              </w:rPr>
              <w:t>22</w:t>
            </w:r>
            <w:r>
              <w:rPr>
                <w:rFonts w:hint="eastAsia" w:ascii="宋体" w:hAnsi="宋体" w:cs="宋体"/>
                <w:color w:val="auto"/>
                <w:sz w:val="20"/>
                <w:szCs w:val="20"/>
                <w:highlight w:val="none"/>
              </w:rPr>
              <w:t>年1月1日至投标截止时间止，作为项目负责人主持完成过1项(或以上)质量合格的类似项目业绩的，得1分；</w:t>
            </w:r>
          </w:p>
          <w:p>
            <w:pPr>
              <w:keepNext w:val="0"/>
              <w:keepLines w:val="0"/>
              <w:widowControl/>
              <w:suppressLineNumbers w:val="0"/>
              <w:spacing w:before="0" w:beforeAutospacing="0" w:after="0" w:afterAutospacing="0"/>
              <w:ind w:left="0" w:right="0"/>
              <w:jc w:val="left"/>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val="en-US" w:eastAsia="zh-CN"/>
              </w:rPr>
              <w:t>2、</w:t>
            </w:r>
            <w:r>
              <w:rPr>
                <w:rFonts w:hint="eastAsia" w:ascii="宋体" w:hAnsi="宋体" w:cs="宋体"/>
                <w:color w:val="auto"/>
                <w:sz w:val="20"/>
                <w:szCs w:val="20"/>
                <w:highlight w:val="none"/>
                <w:lang w:eastAsia="zh-CN"/>
              </w:rPr>
              <w:t>技术负责人（1人）：（本子项最高得1分）</w:t>
            </w:r>
          </w:p>
          <w:p>
            <w:pPr>
              <w:keepNext w:val="0"/>
              <w:keepLines w:val="0"/>
              <w:widowControl/>
              <w:suppressLineNumbers w:val="0"/>
              <w:spacing w:before="0" w:beforeAutospacing="0" w:after="0" w:afterAutospacing="0"/>
              <w:ind w:left="0" w:right="0"/>
              <w:jc w:val="left"/>
              <w:rPr>
                <w:rFonts w:hint="eastAsia" w:ascii="宋体" w:hAnsi="宋体" w:cs="宋体"/>
                <w:color w:val="auto"/>
                <w:sz w:val="20"/>
                <w:szCs w:val="20"/>
                <w:highlight w:val="none"/>
                <w:lang w:eastAsia="zh-CN"/>
              </w:rPr>
            </w:pPr>
            <w:r>
              <w:rPr>
                <w:rFonts w:hint="eastAsia" w:ascii="宋体" w:hAnsi="宋体" w:cs="宋体"/>
                <w:color w:val="auto"/>
                <w:sz w:val="20"/>
                <w:szCs w:val="20"/>
                <w:highlight w:val="none"/>
                <w:lang w:eastAsia="zh-CN"/>
              </w:rPr>
              <w:t>取得建筑工程类专业高级工程师职称证书5年以下(不含)的，得0.5分；取得建筑工程类专业高级工程师职称证书5年(</w:t>
            </w:r>
            <w:r>
              <w:rPr>
                <w:rFonts w:hint="eastAsia" w:ascii="宋体" w:hAnsi="宋体" w:cs="宋体"/>
                <w:color w:val="auto"/>
                <w:sz w:val="20"/>
                <w:szCs w:val="20"/>
                <w:highlight w:val="none"/>
                <w:lang w:val="en-US" w:eastAsia="zh-CN"/>
              </w:rPr>
              <w:t>或以上</w:t>
            </w:r>
            <w:r>
              <w:rPr>
                <w:rFonts w:hint="eastAsia" w:ascii="宋体" w:hAnsi="宋体" w:cs="宋体"/>
                <w:color w:val="auto"/>
                <w:sz w:val="20"/>
                <w:szCs w:val="20"/>
                <w:highlight w:val="none"/>
                <w:lang w:eastAsia="zh-CN"/>
              </w:rPr>
              <w:t>)的，得1分。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3、</w:t>
            </w:r>
            <w:r>
              <w:rPr>
                <w:rFonts w:hint="eastAsia" w:ascii="宋体" w:hAnsi="宋体" w:cs="宋体"/>
                <w:color w:val="auto"/>
                <w:kern w:val="24"/>
                <w:sz w:val="20"/>
                <w:szCs w:val="20"/>
                <w:highlight w:val="none"/>
              </w:rPr>
              <w:t>质量负责人（</w:t>
            </w:r>
            <w:r>
              <w:rPr>
                <w:rFonts w:hint="eastAsia" w:ascii="宋体" w:hAnsi="宋体" w:cs="宋体"/>
                <w:color w:val="auto"/>
                <w:kern w:val="24"/>
                <w:sz w:val="20"/>
                <w:szCs w:val="20"/>
                <w:highlight w:val="none"/>
                <w:lang w:val="en-US" w:eastAsia="zh-CN"/>
              </w:rPr>
              <w:t>1人</w:t>
            </w:r>
            <w:r>
              <w:rPr>
                <w:rFonts w:hint="eastAsia" w:ascii="宋体" w:hAnsi="宋体" w:cs="宋体"/>
                <w:color w:val="auto"/>
                <w:kern w:val="24"/>
                <w:sz w:val="20"/>
                <w:szCs w:val="20"/>
                <w:highlight w:val="none"/>
              </w:rPr>
              <w:t>）：</w:t>
            </w:r>
            <w:r>
              <w:rPr>
                <w:rFonts w:hint="eastAsia" w:ascii="宋体" w:hAnsi="宋体" w:cs="宋体"/>
                <w:color w:val="auto"/>
                <w:sz w:val="20"/>
                <w:szCs w:val="20"/>
                <w:highlight w:val="none"/>
                <w:lang w:eastAsia="zh-CN"/>
              </w:rPr>
              <w:t>（本子项最高得1分）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eastAsia="zh-CN"/>
              </w:rPr>
            </w:pPr>
            <w:r>
              <w:rPr>
                <w:rFonts w:hint="eastAsia" w:ascii="宋体" w:hAnsi="宋体" w:cs="宋体"/>
                <w:color w:val="auto"/>
                <w:kern w:val="24"/>
                <w:sz w:val="20"/>
                <w:szCs w:val="20"/>
                <w:highlight w:val="none"/>
                <w:lang w:val="en-US" w:eastAsia="zh-CN"/>
              </w:rPr>
              <w:t>具有</w:t>
            </w:r>
            <w:r>
              <w:rPr>
                <w:rFonts w:hint="eastAsia" w:ascii="宋体" w:hAnsi="宋体" w:cs="宋体"/>
                <w:color w:val="auto"/>
                <w:kern w:val="24"/>
                <w:sz w:val="20"/>
                <w:szCs w:val="20"/>
                <w:highlight w:val="none"/>
              </w:rPr>
              <w:t>建筑</w:t>
            </w:r>
            <w:r>
              <w:rPr>
                <w:rFonts w:hint="eastAsia" w:ascii="宋体" w:hAnsi="宋体" w:cs="宋体"/>
                <w:color w:val="auto"/>
                <w:kern w:val="24"/>
                <w:sz w:val="20"/>
                <w:szCs w:val="20"/>
                <w:highlight w:val="none"/>
                <w:lang w:val="en-US" w:eastAsia="zh-CN"/>
              </w:rPr>
              <w:t>工程类</w:t>
            </w:r>
            <w:r>
              <w:rPr>
                <w:rFonts w:hint="eastAsia" w:ascii="宋体" w:hAnsi="宋体" w:cs="宋体"/>
                <w:color w:val="auto"/>
                <w:kern w:val="24"/>
                <w:sz w:val="20"/>
                <w:szCs w:val="20"/>
                <w:highlight w:val="none"/>
              </w:rPr>
              <w:t>专业</w:t>
            </w:r>
            <w:r>
              <w:rPr>
                <w:rFonts w:hint="eastAsia" w:ascii="宋体" w:hAnsi="宋体" w:cs="宋体"/>
                <w:color w:val="auto"/>
                <w:kern w:val="24"/>
                <w:sz w:val="20"/>
                <w:szCs w:val="20"/>
                <w:highlight w:val="none"/>
                <w:lang w:val="en-US" w:eastAsia="zh-CN"/>
              </w:rPr>
              <w:t>中级</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或以上</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职称</w:t>
            </w:r>
            <w:r>
              <w:rPr>
                <w:rFonts w:hint="eastAsia" w:ascii="宋体" w:hAnsi="宋体" w:cs="宋体"/>
                <w:color w:val="auto"/>
                <w:kern w:val="24"/>
                <w:sz w:val="20"/>
                <w:szCs w:val="20"/>
                <w:highlight w:val="none"/>
                <w:lang w:val="en-US" w:eastAsia="zh-CN"/>
              </w:rPr>
              <w:t>的</w:t>
            </w:r>
            <w:r>
              <w:rPr>
                <w:rFonts w:hint="eastAsia" w:ascii="宋体" w:hAnsi="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r>
              <w:rPr>
                <w:rFonts w:hint="eastAsia" w:ascii="宋体" w:hAnsi="宋体" w:cs="宋体"/>
                <w:color w:val="auto"/>
                <w:kern w:val="24"/>
                <w:sz w:val="20"/>
                <w:szCs w:val="20"/>
                <w:highlight w:val="none"/>
                <w:lang w:val="en-US" w:eastAsia="zh-CN"/>
              </w:rPr>
              <w:t>；其余不得分</w:t>
            </w:r>
            <w:r>
              <w:rPr>
                <w:rFonts w:hint="eastAsia" w:ascii="宋体" w:hAnsi="宋体" w:cs="宋体"/>
                <w:color w:val="auto"/>
                <w:kern w:val="24"/>
                <w:sz w:val="20"/>
                <w:szCs w:val="20"/>
                <w:highlight w:val="none"/>
                <w:lang w:eastAsia="zh-CN"/>
              </w:rPr>
              <w:t>。</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4</w:t>
            </w:r>
            <w:r>
              <w:rPr>
                <w:rFonts w:hint="eastAsia" w:ascii="宋体" w:hAnsi="宋体" w:cs="宋体"/>
                <w:color w:val="auto"/>
                <w:kern w:val="24"/>
                <w:sz w:val="20"/>
                <w:szCs w:val="20"/>
                <w:highlight w:val="none"/>
              </w:rPr>
              <w:t>、造价负责人（</w:t>
            </w:r>
            <w:r>
              <w:rPr>
                <w:rFonts w:hint="eastAsia" w:ascii="宋体" w:hAnsi="宋体" w:cs="宋体"/>
                <w:color w:val="auto"/>
                <w:kern w:val="24"/>
                <w:sz w:val="20"/>
                <w:szCs w:val="20"/>
                <w:highlight w:val="none"/>
                <w:lang w:val="en-US" w:eastAsia="zh-CN"/>
              </w:rPr>
              <w:t>1人</w:t>
            </w:r>
            <w:r>
              <w:rPr>
                <w:rFonts w:hint="eastAsia" w:ascii="宋体" w:hAnsi="宋体" w:cs="宋体"/>
                <w:color w:val="auto"/>
                <w:kern w:val="24"/>
                <w:sz w:val="20"/>
                <w:szCs w:val="20"/>
                <w:highlight w:val="none"/>
              </w:rPr>
              <w:t>）：</w:t>
            </w:r>
            <w:r>
              <w:rPr>
                <w:rFonts w:hint="eastAsia" w:ascii="宋体" w:hAnsi="宋体" w:cs="宋体"/>
                <w:color w:val="auto"/>
                <w:sz w:val="20"/>
                <w:szCs w:val="20"/>
                <w:highlight w:val="none"/>
                <w:lang w:eastAsia="zh-CN"/>
              </w:rPr>
              <w:t>（本子项最高得1分）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lang w:val="en-US"/>
              </w:rPr>
            </w:pPr>
            <w:r>
              <w:rPr>
                <w:rFonts w:hint="eastAsia" w:ascii="宋体" w:hAnsi="宋体" w:cs="宋体"/>
                <w:color w:val="auto"/>
                <w:kern w:val="24"/>
                <w:sz w:val="20"/>
                <w:szCs w:val="20"/>
                <w:highlight w:val="none"/>
                <w:lang w:val="en-US" w:eastAsia="zh-CN"/>
              </w:rPr>
              <w:t>①具有一级注册造价工程师（土建专业）注册证书，并在本单位注册的，得0.5分；其余不得分。</w:t>
            </w:r>
          </w:p>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highlight w:val="none"/>
                <w:lang w:val="en-US" w:eastAsia="zh-CN"/>
              </w:rPr>
            </w:pPr>
            <w:r>
              <w:rPr>
                <w:rFonts w:hint="eastAsia" w:ascii="宋体" w:hAnsi="宋体" w:cs="宋体"/>
                <w:color w:val="auto"/>
                <w:kern w:val="24"/>
                <w:sz w:val="20"/>
                <w:szCs w:val="20"/>
                <w:highlight w:val="none"/>
                <w:lang w:val="en-US" w:eastAsia="zh-CN"/>
              </w:rPr>
              <w:t>②具有</w:t>
            </w:r>
            <w:r>
              <w:rPr>
                <w:rFonts w:hint="eastAsia" w:ascii="宋体" w:hAnsi="宋体" w:cs="宋体"/>
                <w:color w:val="auto"/>
                <w:kern w:val="24"/>
                <w:sz w:val="20"/>
                <w:szCs w:val="20"/>
                <w:highlight w:val="none"/>
              </w:rPr>
              <w:t>建筑经济类或工程造价类专业</w:t>
            </w:r>
            <w:r>
              <w:rPr>
                <w:rFonts w:hint="eastAsia" w:ascii="宋体" w:hAnsi="宋体" w:cs="宋体"/>
                <w:color w:val="auto"/>
                <w:kern w:val="24"/>
                <w:sz w:val="20"/>
                <w:szCs w:val="20"/>
                <w:highlight w:val="none"/>
                <w:lang w:val="en-US" w:eastAsia="zh-CN"/>
              </w:rPr>
              <w:t>中级</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或以上</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职称，得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r>
              <w:rPr>
                <w:rFonts w:hint="eastAsia" w:ascii="宋体" w:hAnsi="宋体" w:cs="宋体"/>
                <w:color w:val="auto"/>
                <w:kern w:val="24"/>
                <w:sz w:val="20"/>
                <w:szCs w:val="20"/>
                <w:highlight w:val="none"/>
                <w:lang w:val="en-US" w:eastAsia="zh-CN"/>
              </w:rPr>
              <w:t>；其余不得分</w:t>
            </w:r>
            <w:r>
              <w:rPr>
                <w:rFonts w:hint="eastAsia" w:ascii="宋体" w:hAnsi="宋体" w:cs="宋体"/>
                <w:color w:val="auto"/>
                <w:kern w:val="24"/>
                <w:sz w:val="20"/>
                <w:szCs w:val="20"/>
                <w:highlight w:val="none"/>
              </w:rPr>
              <w:t>。</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5</w:t>
            </w:r>
            <w:r>
              <w:rPr>
                <w:rFonts w:hint="eastAsia" w:ascii="宋体" w:hAnsi="宋体" w:cs="宋体"/>
                <w:color w:val="auto"/>
                <w:kern w:val="24"/>
                <w:sz w:val="20"/>
                <w:szCs w:val="20"/>
                <w:highlight w:val="none"/>
              </w:rPr>
              <w:t>、安全负责人（</w:t>
            </w:r>
            <w:r>
              <w:rPr>
                <w:rFonts w:hint="eastAsia" w:ascii="宋体" w:hAnsi="宋体" w:cs="宋体"/>
                <w:color w:val="auto"/>
                <w:kern w:val="24"/>
                <w:sz w:val="20"/>
                <w:szCs w:val="20"/>
                <w:highlight w:val="none"/>
                <w:lang w:val="en-US" w:eastAsia="zh-CN"/>
              </w:rPr>
              <w:t>1人</w:t>
            </w:r>
            <w:r>
              <w:rPr>
                <w:rFonts w:hint="eastAsia" w:ascii="宋体" w:hAnsi="宋体" w:cs="宋体"/>
                <w:color w:val="auto"/>
                <w:kern w:val="24"/>
                <w:sz w:val="20"/>
                <w:szCs w:val="20"/>
                <w:highlight w:val="none"/>
              </w:rPr>
              <w:t>）：</w:t>
            </w:r>
            <w:r>
              <w:rPr>
                <w:rFonts w:hint="eastAsia" w:ascii="宋体" w:hAnsi="宋体" w:cs="宋体"/>
                <w:color w:val="auto"/>
                <w:sz w:val="20"/>
                <w:szCs w:val="20"/>
                <w:highlight w:val="none"/>
                <w:lang w:eastAsia="zh-CN"/>
              </w:rPr>
              <w:t>（本子项最高得</w:t>
            </w:r>
            <w:r>
              <w:rPr>
                <w:rFonts w:hint="eastAsia" w:ascii="宋体" w:hAnsi="宋体" w:cs="宋体"/>
                <w:color w:val="auto"/>
                <w:sz w:val="20"/>
                <w:szCs w:val="20"/>
                <w:highlight w:val="none"/>
                <w:lang w:val="en-US" w:eastAsia="zh-CN"/>
              </w:rPr>
              <w:t>2</w:t>
            </w:r>
            <w:r>
              <w:rPr>
                <w:rFonts w:hint="eastAsia" w:ascii="宋体" w:hAnsi="宋体" w:cs="宋体"/>
                <w:color w:val="auto"/>
                <w:sz w:val="20"/>
                <w:szCs w:val="20"/>
                <w:highlight w:val="none"/>
                <w:lang w:eastAsia="zh-CN"/>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①</w:t>
            </w:r>
            <w:r>
              <w:rPr>
                <w:rFonts w:hint="eastAsia" w:ascii="宋体" w:hAnsi="宋体" w:cs="宋体"/>
                <w:color w:val="auto"/>
                <w:kern w:val="24"/>
                <w:sz w:val="20"/>
                <w:szCs w:val="20"/>
                <w:highlight w:val="none"/>
                <w:lang w:val="en-US" w:eastAsia="zh-CN"/>
              </w:rPr>
              <w:t>具有</w:t>
            </w:r>
            <w:r>
              <w:rPr>
                <w:rFonts w:hint="eastAsia" w:ascii="宋体" w:hAnsi="宋体" w:cs="宋体"/>
                <w:color w:val="auto"/>
                <w:kern w:val="24"/>
                <w:sz w:val="20"/>
                <w:szCs w:val="20"/>
                <w:highlight w:val="none"/>
              </w:rPr>
              <w:t>注册安全工程师（建筑施工安全）注册证书，得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②</w:t>
            </w:r>
            <w:r>
              <w:rPr>
                <w:rFonts w:hint="eastAsia" w:ascii="宋体" w:hAnsi="宋体" w:cs="宋体"/>
                <w:color w:val="auto"/>
                <w:kern w:val="24"/>
                <w:sz w:val="20"/>
                <w:szCs w:val="20"/>
                <w:highlight w:val="none"/>
                <w:lang w:val="en-US" w:eastAsia="zh-CN"/>
              </w:rPr>
              <w:t>具有</w:t>
            </w:r>
            <w:r>
              <w:rPr>
                <w:rFonts w:hint="eastAsia" w:ascii="宋体" w:hAnsi="宋体" w:cs="宋体"/>
                <w:color w:val="auto"/>
                <w:kern w:val="24"/>
                <w:sz w:val="20"/>
                <w:szCs w:val="20"/>
                <w:highlight w:val="none"/>
              </w:rPr>
              <w:t>建筑工程类专业中级</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或以上</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职称</w:t>
            </w:r>
            <w:r>
              <w:rPr>
                <w:rFonts w:hint="eastAsia" w:ascii="宋体" w:hAnsi="宋体" w:cs="宋体"/>
                <w:color w:val="auto"/>
                <w:kern w:val="24"/>
                <w:sz w:val="20"/>
                <w:szCs w:val="20"/>
                <w:highlight w:val="none"/>
                <w:lang w:val="en-US" w:eastAsia="zh-CN"/>
              </w:rPr>
              <w:t>的</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r>
              <w:rPr>
                <w:rFonts w:hint="eastAsia" w:ascii="宋体" w:hAnsi="宋体" w:cs="宋体"/>
                <w:color w:val="auto"/>
                <w:kern w:val="24"/>
                <w:sz w:val="20"/>
                <w:szCs w:val="20"/>
                <w:highlight w:val="none"/>
                <w:lang w:val="en-US" w:eastAsia="zh-CN"/>
              </w:rPr>
              <w:t>；其余不得分</w:t>
            </w:r>
            <w:r>
              <w:rPr>
                <w:rFonts w:hint="eastAsia" w:ascii="宋体" w:hAnsi="宋体" w:cs="宋体"/>
                <w:color w:val="auto"/>
                <w:kern w:val="24"/>
                <w:sz w:val="20"/>
                <w:szCs w:val="20"/>
                <w:highlight w:val="none"/>
              </w:rPr>
              <w:t>。</w:t>
            </w:r>
          </w:p>
          <w:p>
            <w:pPr>
              <w:pStyle w:val="9"/>
              <w:keepNext w:val="0"/>
              <w:keepLines w:val="0"/>
              <w:suppressLineNumbers w:val="0"/>
              <w:spacing w:before="0" w:beforeAutospacing="0" w:after="0" w:afterAutospacing="0"/>
              <w:ind w:left="0" w:leftChars="0" w:right="0" w:firstLine="0" w:firstLineChars="0"/>
              <w:rPr>
                <w:rFonts w:hint="eastAsia"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③工作经验大于15年（含15年）的，得1分；工作经验15年以下的，得0.5分。</w:t>
            </w:r>
          </w:p>
          <w:p>
            <w:pPr>
              <w:keepNext w:val="0"/>
              <w:keepLines w:val="0"/>
              <w:numPr>
                <w:ilvl w:val="-1"/>
                <w:numId w:val="0"/>
              </w:numPr>
              <w:suppressLineNumbers w:val="0"/>
              <w:spacing w:before="0" w:beforeAutospacing="0" w:after="0" w:afterAutospacing="0"/>
              <w:ind w:left="0" w:right="0"/>
              <w:rPr>
                <w:rFonts w:hint="eastAsia"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6、装修工程师（1人）：</w:t>
            </w:r>
            <w:r>
              <w:rPr>
                <w:rFonts w:hint="eastAsia" w:ascii="宋体" w:hAnsi="宋体" w:cs="宋体"/>
                <w:color w:val="auto"/>
                <w:sz w:val="20"/>
                <w:szCs w:val="20"/>
                <w:highlight w:val="none"/>
                <w:lang w:eastAsia="zh-CN"/>
              </w:rPr>
              <w:t>（本子项最高得1分）</w:t>
            </w:r>
          </w:p>
          <w:p>
            <w:pPr>
              <w:pStyle w:val="22"/>
              <w:keepNext w:val="0"/>
              <w:keepLines w:val="0"/>
              <w:numPr>
                <w:ilvl w:val="0"/>
                <w:numId w:val="0"/>
              </w:numPr>
              <w:suppressLineNumbers w:val="0"/>
              <w:spacing w:before="0" w:beforeAutospacing="0" w:after="0" w:afterAutospacing="0"/>
              <w:ind w:left="0" w:right="0"/>
              <w:rPr>
                <w:rFonts w:hint="eastAsia" w:hAnsi="宋体" w:cs="宋体"/>
                <w:highlight w:val="none"/>
                <w:lang w:val="en-US" w:eastAsia="zh-CN"/>
              </w:rPr>
            </w:pPr>
            <w:r>
              <w:rPr>
                <w:rFonts w:hint="eastAsia" w:hAnsi="宋体" w:cs="宋体"/>
                <w:highlight w:val="none"/>
                <w:lang w:val="en-US" w:eastAsia="zh-CN"/>
              </w:rPr>
              <w:t>具有建筑装修装饰工程类专业中级（或以上）职称的，得1分</w:t>
            </w:r>
            <w:r>
              <w:rPr>
                <w:rFonts w:hint="eastAsia" w:ascii="宋体" w:hAnsi="宋体" w:cs="宋体"/>
                <w:color w:val="auto"/>
                <w:kern w:val="24"/>
                <w:sz w:val="20"/>
                <w:szCs w:val="20"/>
                <w:highlight w:val="none"/>
                <w:lang w:val="en-US" w:eastAsia="zh-CN"/>
              </w:rPr>
              <w:t>；其余不得分</w:t>
            </w:r>
            <w:r>
              <w:rPr>
                <w:rFonts w:hint="eastAsia" w:hAnsi="宋体" w:cs="宋体"/>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注：以上各项累加最高得</w:t>
            </w:r>
            <w:r>
              <w:rPr>
                <w:rFonts w:hint="eastAsia" w:ascii="宋体" w:hAnsi="宋体" w:cs="宋体"/>
                <w:color w:val="auto"/>
                <w:kern w:val="24"/>
                <w:sz w:val="20"/>
                <w:szCs w:val="20"/>
                <w:highlight w:val="none"/>
                <w:lang w:val="en-US" w:eastAsia="zh-CN"/>
              </w:rPr>
              <w:t>8</w:t>
            </w:r>
            <w:r>
              <w:rPr>
                <w:rFonts w:hint="eastAsia" w:ascii="宋体" w:hAnsi="宋体" w:cs="宋体"/>
                <w:color w:val="auto"/>
                <w:kern w:val="24"/>
                <w:sz w:val="20"/>
                <w:szCs w:val="20"/>
                <w:highlight w:val="none"/>
              </w:rPr>
              <w:t>分。以上人员不得兼任，职称得分按投入人员的最高职称计算一次。</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三</w:t>
            </w:r>
          </w:p>
        </w:tc>
        <w:tc>
          <w:tcPr>
            <w:tcW w:w="1079"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施工组织设计</w:t>
            </w:r>
          </w:p>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w:t>
            </w:r>
            <w:r>
              <w:rPr>
                <w:rFonts w:hint="eastAsia" w:ascii="宋体" w:hAnsi="宋体" w:cs="宋体"/>
                <w:color w:val="auto"/>
                <w:kern w:val="24"/>
                <w:sz w:val="20"/>
                <w:szCs w:val="20"/>
                <w:highlight w:val="none"/>
                <w:lang w:val="en-US" w:eastAsia="zh-CN"/>
              </w:rPr>
              <w:t>6</w:t>
            </w:r>
            <w:r>
              <w:rPr>
                <w:rFonts w:hint="eastAsia" w:ascii="宋体" w:hAnsi="宋体" w:cs="宋体"/>
                <w:color w:val="auto"/>
                <w:kern w:val="24"/>
                <w:sz w:val="20"/>
                <w:szCs w:val="20"/>
                <w:highlight w:val="none"/>
              </w:rPr>
              <w:t>分）</w:t>
            </w:r>
          </w:p>
        </w:tc>
        <w:tc>
          <w:tcPr>
            <w:tcW w:w="127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质量控制措施</w:t>
            </w:r>
          </w:p>
        </w:tc>
        <w:tc>
          <w:tcPr>
            <w:tcW w:w="70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根据投标人编制</w:t>
            </w:r>
            <w:r>
              <w:rPr>
                <w:rFonts w:hint="eastAsia" w:ascii="宋体" w:hAnsi="宋体" w:cs="宋体"/>
                <w:color w:val="auto"/>
                <w:kern w:val="24"/>
                <w:sz w:val="20"/>
                <w:szCs w:val="20"/>
                <w:highlight w:val="none"/>
              </w:rPr>
              <w:t>宿舍内粉刷、装饰装修</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rPr>
              <w:t>防水补漏、电气改造等工作内容</w:t>
            </w:r>
            <w:r>
              <w:rPr>
                <w:rFonts w:hint="eastAsia" w:ascii="宋体" w:hAnsi="宋体" w:cs="宋体"/>
                <w:color w:val="auto"/>
                <w:kern w:val="24"/>
                <w:sz w:val="20"/>
                <w:szCs w:val="20"/>
                <w:highlight w:val="none"/>
                <w:lang w:val="en-US" w:eastAsia="zh-CN"/>
              </w:rPr>
              <w:t>的</w:t>
            </w:r>
            <w:r>
              <w:rPr>
                <w:rFonts w:hint="eastAsia" w:ascii="宋体" w:hAnsi="宋体" w:cs="宋体"/>
                <w:color w:val="auto"/>
                <w:kern w:val="24"/>
                <w:sz w:val="20"/>
                <w:szCs w:val="20"/>
                <w:highlight w:val="none"/>
              </w:rPr>
              <w:t>质量措施</w:t>
            </w:r>
            <w:r>
              <w:rPr>
                <w:rFonts w:hint="eastAsia" w:ascii="宋体" w:hAnsi="宋体" w:cs="宋体"/>
                <w:color w:val="auto"/>
                <w:kern w:val="24"/>
                <w:sz w:val="20"/>
                <w:szCs w:val="20"/>
                <w:highlight w:val="none"/>
                <w:lang w:val="en-US" w:eastAsia="zh-CN"/>
              </w:rPr>
              <w:t>进行评审：</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bookmarkEnd w:id="31"/>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lang w:val="en-US" w:eastAsia="zh-CN"/>
              </w:rPr>
            </w:pPr>
          </w:p>
        </w:tc>
        <w:tc>
          <w:tcPr>
            <w:tcW w:w="107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27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施工总进度计划和计划管理</w:t>
            </w:r>
          </w:p>
        </w:tc>
        <w:tc>
          <w:tcPr>
            <w:tcW w:w="70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根据投标人按《大学城校区国际楼A栋提升改造项目实施需求书》编制的保障项目按期完工的施工进度计划、</w:t>
            </w:r>
            <w:r>
              <w:rPr>
                <w:rFonts w:hint="eastAsia" w:ascii="宋体" w:hAnsi="宋体" w:cs="宋体"/>
                <w:color w:val="auto"/>
                <w:kern w:val="24"/>
                <w:sz w:val="20"/>
                <w:szCs w:val="20"/>
                <w:highlight w:val="none"/>
              </w:rPr>
              <w:t>进度计划管理</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施工进度保障措施进行评审：</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58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lang w:val="en-US" w:eastAsia="zh-CN"/>
              </w:rPr>
            </w:pPr>
          </w:p>
        </w:tc>
        <w:tc>
          <w:tcPr>
            <w:tcW w:w="107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27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安全文明、绿色施工措施</w:t>
            </w:r>
          </w:p>
        </w:tc>
        <w:tc>
          <w:tcPr>
            <w:tcW w:w="70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2</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根据投标人编制的</w:t>
            </w:r>
            <w:r>
              <w:rPr>
                <w:rFonts w:hint="eastAsia" w:ascii="宋体" w:hAnsi="宋体" w:cs="宋体"/>
                <w:color w:val="auto"/>
                <w:kern w:val="24"/>
                <w:sz w:val="20"/>
                <w:szCs w:val="20"/>
                <w:highlight w:val="none"/>
                <w:lang w:val="en-US" w:eastAsia="zh-CN"/>
              </w:rPr>
              <w:t>针对校园内学生密集区的</w:t>
            </w:r>
            <w:r>
              <w:rPr>
                <w:rFonts w:hint="eastAsia" w:ascii="宋体" w:hAnsi="宋体" w:cs="宋体"/>
                <w:color w:val="auto"/>
                <w:kern w:val="24"/>
                <w:sz w:val="20"/>
                <w:szCs w:val="20"/>
                <w:highlight w:val="none"/>
              </w:rPr>
              <w:t>安全文明、绿色施工措施进行评审：</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2</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1</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性、可靠性、实用性和可操作性一般，得</w:t>
            </w:r>
            <w:r>
              <w:rPr>
                <w:rFonts w:hint="eastAsia" w:ascii="宋体" w:hAnsi="宋体" w:cs="宋体"/>
                <w:color w:val="auto"/>
                <w:kern w:val="24"/>
                <w:sz w:val="20"/>
                <w:szCs w:val="20"/>
                <w:highlight w:val="none"/>
                <w:lang w:val="en-US" w:eastAsia="zh-CN"/>
              </w:rPr>
              <w:t>0.5</w:t>
            </w:r>
            <w:r>
              <w:rPr>
                <w:rFonts w:hint="eastAsia" w:ascii="宋体" w:hAnsi="宋体" w:cs="宋体"/>
                <w:color w:val="auto"/>
                <w:kern w:val="24"/>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0" w:hRule="atLeast"/>
        </w:trPr>
        <w:tc>
          <w:tcPr>
            <w:tcW w:w="2943" w:type="dxa"/>
            <w:gridSpan w:val="3"/>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总分</w:t>
            </w:r>
          </w:p>
        </w:tc>
        <w:tc>
          <w:tcPr>
            <w:tcW w:w="70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20</w:t>
            </w:r>
          </w:p>
        </w:tc>
        <w:tc>
          <w:tcPr>
            <w:tcW w:w="10896" w:type="dxa"/>
            <w:tcBorders>
              <w:tl2br w:val="nil"/>
              <w:tr2bl w:val="nil"/>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rPr>
            </w:pPr>
          </w:p>
        </w:tc>
      </w:tr>
    </w:tbl>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cs="宋体"/>
          <w:b/>
          <w:color w:val="auto"/>
          <w:sz w:val="21"/>
          <w:szCs w:val="21"/>
          <w:highlight w:val="none"/>
        </w:rPr>
        <w:t>企业业绩：</w:t>
      </w:r>
      <w:r>
        <w:rPr>
          <w:rFonts w:hint="eastAsia" w:ascii="宋体" w:hAnsi="宋体" w:eastAsia="宋体" w:cs="宋体"/>
          <w:color w:val="auto"/>
          <w:sz w:val="21"/>
          <w:szCs w:val="21"/>
          <w:highlight w:val="none"/>
          <w:lang w:val="en-US" w:eastAsia="zh-CN"/>
        </w:rPr>
        <w:t>业绩取自广州市住建行业信用管理平台，或提供业绩证明扫描件作为审核依据。</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业绩取自广州市住建行业信用管理平台。投标人须提供类似项目业绩的项目名称及业绩在广州市住建行业信用管理平台中项目编号、相应业绩在广州市住建行业信用管理平台的网页信息截图（截图须包含广州市住建行业信用管理平台中的“项目基本信息”、“验收材料”、“工程对应的企业资质”栏）以供核对（业绩相关附件的上传件取广州市住建行业信用管理平台，投标阶段可不重复提交）。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（1）用于本项目投标的类似业绩，在平台中“工程对应的企业资质”栏中须登记有与本项目要求相对应的资质【具体资质要求：建筑工程施工总承包（原房屋建筑工程施工总承包）】。</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（2）金额以中标通知书为准，中标通知书上没有金额或免招标的，以施工合同（不含补充合同）为准。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（3）完成时间以竣工验收文件记录时间为准。竣工验收文件至少具有建设单位、设计、施工和监理单位盖章。</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（4）平台内业绩上传件不符合上述要求的或登记的工程资质内容与施工合同等业绩证明资料不相符的，该项业绩不予认定。</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default" w:ascii="宋体" w:hAnsi="宋体" w:cs="宋体"/>
          <w:sz w:val="21"/>
          <w:szCs w:val="21"/>
          <w:highlight w:val="none"/>
          <w:lang w:val="en-US" w:eastAsia="zh-CN"/>
        </w:rPr>
      </w:pPr>
      <w:r>
        <w:rPr>
          <w:rFonts w:hint="eastAsia" w:ascii="宋体" w:hAnsi="宋体" w:eastAsia="宋体" w:cs="宋体"/>
          <w:color w:val="auto"/>
          <w:sz w:val="21"/>
          <w:szCs w:val="21"/>
          <w:highlight w:val="none"/>
          <w:lang w:val="en-US" w:eastAsia="zh-CN"/>
        </w:rPr>
        <w:t>1.2企业业绩非取自广州市住建行业信用管理平台的，投标人须提供下列三项证明文件：（1）中标通知书（如为免招标项目无须提供中标通知书，但须提供相应的免招标证明文件）（2）合同（</w:t>
      </w:r>
      <w:r>
        <w:rPr>
          <w:rFonts w:hint="eastAsia" w:ascii="宋体" w:hAnsi="宋体" w:cs="宋体"/>
          <w:color w:val="auto"/>
          <w:sz w:val="21"/>
          <w:szCs w:val="21"/>
          <w:highlight w:val="none"/>
          <w:lang w:val="en-US" w:eastAsia="zh-CN"/>
        </w:rPr>
        <w:t>关键页</w:t>
      </w:r>
      <w:r>
        <w:rPr>
          <w:rFonts w:hint="eastAsia" w:ascii="宋体" w:hAnsi="宋体" w:eastAsia="宋体" w:cs="宋体"/>
          <w:color w:val="auto"/>
          <w:sz w:val="21"/>
          <w:szCs w:val="21"/>
          <w:highlight w:val="none"/>
          <w:lang w:val="en-US" w:eastAsia="zh-CN"/>
        </w:rPr>
        <w:t>）（3）竣工验收文件。金额以中标通知书为准，中标通知书上没有金额或免招标的，以施工合同（不含补充合同）为准。完成时间以竣工验收文件记录时间为准。验收文件至少具有建设单位、设计、施工和监理单位盖章。</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2.工程奖项：</w:t>
      </w:r>
      <w:r>
        <w:rPr>
          <w:rFonts w:hint="eastAsia" w:ascii="宋体" w:hAnsi="宋体" w:eastAsia="宋体" w:cs="宋体"/>
          <w:color w:val="auto"/>
          <w:sz w:val="21"/>
          <w:szCs w:val="21"/>
          <w:highlight w:val="none"/>
          <w:lang w:val="en-US" w:eastAsia="zh-CN"/>
        </w:rPr>
        <w:t>工程获奖可取自广州市住建行业信用管理平台或提供获奖证书原件清晰扫描件。</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奖项取自广州市住建行业信用管理平台的，投标人须提交广州市住建行业信用管理平台的网页信息截图（网页信息截图须能清晰显示带有“住建行业信用管理平台”名称，并至少包含“项目基本信息”、“奖项信息”等信息）以供核对，并加盖投标人企业电子印章。</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奖项提供获奖证书原件清晰扫描件的，投标人须提供获奖证书原件清晰扫描件，并同时提供获奖业绩的中标通知书（或免招标证明文件）、施工合同（不含补充合同）并加盖投标人企业电子印章。不符合上述条件或不提供平台内网页信息截图的工程获奖不予评审。</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1）时间以获奖证书颁发时间为准。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2）评标委员会对取自广州市住建行业信用管理平台的工程获奖评审以投标截止时间在平台内奖项上传件为依据。</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3）国家级奖项指的是中国建设工程鲁班奖、国家优质工程金质奖、国家优质工程奖、中国土木工程詹天佑奖</w:t>
      </w:r>
      <w:r>
        <w:rPr>
          <w:rFonts w:hint="eastAsia" w:ascii="宋体" w:hAnsi="宋体" w:cs="宋体"/>
          <w:color w:val="auto"/>
          <w:sz w:val="21"/>
          <w:szCs w:val="21"/>
          <w:highlight w:val="none"/>
          <w:lang w:val="en-US" w:eastAsia="zh-CN"/>
        </w:rPr>
        <w:t>、中国（全国）建筑工程装饰奖（不含设计、幕墙获奖）</w:t>
      </w:r>
      <w:r>
        <w:rPr>
          <w:rFonts w:hint="eastAsia" w:ascii="宋体" w:hAnsi="宋体" w:eastAsia="宋体" w:cs="宋体"/>
          <w:color w:val="auto"/>
          <w:sz w:val="21"/>
          <w:szCs w:val="21"/>
          <w:highlight w:val="none"/>
          <w:lang w:val="en-US" w:eastAsia="zh-CN"/>
        </w:rPr>
        <w:t>质量类奖项；省或市级奖项指的是由省、市级建设行政主管部门或行业协会颁发的质量类奖项（其它如安全文明、技术创新、QC成果、钢结构、机电安装、科技进步及技术应用类等奖项不参与计分）。只计算房建类工程奖项，其他非房建项目，如：路桥、铁路、水利、电力、化工、冶金、市政等获奖不参与计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4）投标人须为该获奖项目的施工总承包单位，须提供相关证明材料（如施工合同、业主证明、评审申请材料、批复文件、竣工验收文件等）体现其为施工总承包单位身份，否则不予计分。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5）同一项目获得多个奖项的，按最高级别奖项只计一次得分。</w:t>
      </w:r>
    </w:p>
    <w:p>
      <w:pPr>
        <w:keepNext w:val="0"/>
        <w:keepLines w:val="0"/>
        <w:pageBreakBefore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.第三方评价：</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纳税信用</w:t>
      </w:r>
      <w:r>
        <w:rPr>
          <w:rFonts w:hint="eastAsia" w:ascii="宋体" w:hAnsi="宋体" w:eastAsia="宋体" w:cs="宋体"/>
          <w:color w:val="auto"/>
          <w:sz w:val="21"/>
          <w:szCs w:val="21"/>
          <w:highlight w:val="none"/>
          <w:lang w:val="en-US" w:eastAsia="zh-CN"/>
        </w:rPr>
        <w:t>等级：</w:t>
      </w:r>
      <w:r>
        <w:rPr>
          <w:rFonts w:hint="eastAsia" w:ascii="宋体" w:hAnsi="宋体" w:eastAsia="宋体" w:cs="宋体"/>
          <w:color w:val="auto"/>
          <w:sz w:val="21"/>
          <w:szCs w:val="21"/>
          <w:highlight w:val="none"/>
        </w:rPr>
        <w:t>（1）需提供税务部门颁发的“纳税信用等级”证书扫描件或提供省级或以上税务局网站查询结果网页截图。（2）评定时间以证书上注明的评价（评定）年度为准。（3）所有证明文件均需加盖投标单位电子印章。（4）不符合上述条件的业绩不予评审。</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3.2管理体系认证：</w:t>
      </w:r>
      <w:r>
        <w:rPr>
          <w:rFonts w:hint="eastAsia" w:ascii="宋体" w:hAnsi="宋体" w:eastAsia="宋体" w:cs="宋体"/>
          <w:color w:val="auto"/>
          <w:sz w:val="21"/>
          <w:szCs w:val="21"/>
          <w:highlight w:val="none"/>
        </w:rPr>
        <w:t>（1）投标人需同时提供在有效期内的相关的管理体系认证证书彩色扫描件及管理体系证书在（全国认证认可信息公共服务平台（网址：http://cx.cnca.cn/CertECloud/index/index/page）上的查询信息网页截图。（2）所有证明文件均需加盖投标单位电子印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不符合上述条件的不予评审。</w:t>
      </w:r>
    </w:p>
    <w:p>
      <w:pPr>
        <w:keepNext w:val="0"/>
        <w:keepLines w:val="0"/>
        <w:pageBreakBefore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管理机构能力：</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（1）拟投入本项目人员须按评审要求提供证明材料扫描件。</w:t>
      </w:r>
      <w:r>
        <w:rPr>
          <w:rFonts w:hint="eastAsia" w:ascii="宋体" w:hAnsi="宋体" w:cs="宋体"/>
          <w:color w:val="auto"/>
          <w:sz w:val="21"/>
          <w:szCs w:val="21"/>
          <w:highlight w:val="none"/>
          <w:lang w:val="en-US" w:eastAsia="zh-CN"/>
        </w:rPr>
        <w:t>工作经验年限以大学专科（或以上）毕业证的颁发日期开始计算至投标截止时间止。</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（2）须提供2025年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月在本投标单位(不含投标人的子</w:t>
      </w:r>
      <w:r>
        <w:rPr>
          <w:rFonts w:hint="eastAsia" w:ascii="宋体" w:hAnsi="宋体" w:cs="宋体"/>
          <w:color w:val="auto"/>
          <w:sz w:val="21"/>
          <w:szCs w:val="21"/>
          <w:highlight w:val="none"/>
          <w:lang w:val="en-US" w:eastAsia="zh-CN"/>
        </w:rPr>
        <w:t>、母</w:t>
      </w:r>
      <w:r>
        <w:rPr>
          <w:rFonts w:hint="eastAsia" w:ascii="宋体" w:hAnsi="宋体" w:eastAsia="宋体" w:cs="宋体"/>
          <w:color w:val="auto"/>
          <w:sz w:val="21"/>
          <w:szCs w:val="21"/>
          <w:highlight w:val="none"/>
          <w:lang w:val="en-US" w:eastAsia="zh-CN"/>
        </w:rPr>
        <w:t>公司，含投标人的分公司)参保的社保缴纳记录证明扫描件。</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（3）各岗位人员不得相互兼职，上述材料不提供或提供不齐全的不得分。同一人员具有不同级别职称证的，按最高档计取得分。</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（4）项目管理团队人员是指为本公司正式人员，不含子</w:t>
      </w:r>
      <w:r>
        <w:rPr>
          <w:rFonts w:hint="eastAsia" w:ascii="宋体" w:hAnsi="宋体" w:cs="宋体"/>
          <w:color w:val="auto"/>
          <w:sz w:val="21"/>
          <w:szCs w:val="21"/>
          <w:highlight w:val="none"/>
          <w:lang w:val="en-US" w:eastAsia="zh-CN"/>
        </w:rPr>
        <w:t>、母</w:t>
      </w:r>
      <w:r>
        <w:rPr>
          <w:rFonts w:hint="eastAsia" w:ascii="宋体" w:hAnsi="宋体" w:eastAsia="宋体" w:cs="宋体"/>
          <w:color w:val="auto"/>
          <w:sz w:val="21"/>
          <w:szCs w:val="21"/>
          <w:highlight w:val="none"/>
          <w:lang w:val="en-US" w:eastAsia="zh-CN"/>
        </w:rPr>
        <w:t>公司人员，如投标人为集团公司，则不含其集团下属的子公司人员，下属子公司也不含其集团公司的人员。</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ascii="宋体" w:hAnsi="宋体" w:cs="宋体"/>
          <w:sz w:val="21"/>
          <w:szCs w:val="21"/>
          <w:highlight w:val="none"/>
        </w:rPr>
      </w:pPr>
      <w:r>
        <w:rPr>
          <w:rFonts w:hint="eastAsia" w:ascii="宋体" w:hAnsi="宋体" w:eastAsia="宋体" w:cs="宋体"/>
          <w:color w:val="auto"/>
          <w:sz w:val="21"/>
          <w:szCs w:val="21"/>
          <w:highlight w:val="none"/>
          <w:lang w:val="en-US" w:eastAsia="zh-CN"/>
        </w:rPr>
        <w:t>（6）以上证明文件均需加盖投标单位电子印章，不符合上述条件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不予评审。</w:t>
      </w:r>
    </w:p>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lang w:val="en-US" w:eastAsia="zh-CN" w:bidi="ar"/>
        </w:rPr>
        <w:t>项目负责人类似业绩及获奖：①类似项目是指单项中标金额大于或等于500万元的</w:t>
      </w:r>
      <w:r>
        <w:rPr>
          <w:rFonts w:hint="eastAsia" w:ascii="宋体" w:hAnsi="宋体" w:cs="宋体"/>
          <w:sz w:val="21"/>
          <w:szCs w:val="21"/>
          <w:highlight w:val="none"/>
          <w:u w:val="single"/>
          <w:lang w:val="en-US" w:eastAsia="zh-CN"/>
        </w:rPr>
        <w:t>建筑工程施工总承包</w:t>
      </w:r>
      <w:r>
        <w:rPr>
          <w:rFonts w:hint="eastAsia" w:ascii="宋体" w:hAnsi="宋体" w:eastAsia="宋体" w:cs="宋体"/>
          <w:kern w:val="0"/>
          <w:sz w:val="21"/>
          <w:szCs w:val="21"/>
          <w:highlight w:val="none"/>
          <w:lang w:val="en-US" w:eastAsia="zh-CN" w:bidi="ar"/>
        </w:rPr>
        <w:t>项目。②须同时提供中标通知书（必须是项目所在地集中交易机构或招标投标管理部门核发或备</w:t>
      </w:r>
      <w:r>
        <w:rPr>
          <w:rFonts w:hint="eastAsia" w:ascii="宋体" w:hAnsi="宋体" w:eastAsia="宋体" w:cs="宋体"/>
          <w:kern w:val="2"/>
          <w:sz w:val="21"/>
          <w:szCs w:val="21"/>
          <w:highlight w:val="none"/>
          <w:lang w:val="en-US" w:eastAsia="zh-CN" w:bidi="ar"/>
        </w:rPr>
        <w:t>案的方为有效。须提供当地公共资源交易网站或当地政府的招标投标主管部门网站的查询网址路径及评标公示或中标公告网页信息截图并加盖投标人企业电子印章，否则业绩不予认定）、合同协议书关键页（含合同封面、能说明合同内容、合同金额页的关键页及签字盖章页）、竣工验收证明资料、获奖证书（如有时）的原件彩色扫描件并加盖投标人企业电子印章（若前述证明材料中不能体现拟派项目负责人在该项目中担任项目负责人的，该项目负责人项目类似业绩不予认定）；另还须提供类似业绩项目招标所要求资质的招标公告网页信息截图，以证明该业绩项目与本工程招标公告资质要求相符，不符合上述要求的，该项目业绩不予认定。③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④单独发包的专业工程的业绩完成时间以子分部工程质量验收记录时间为准；未提供子分部工程质量验收记录的，完成时间以竣工验收报告记录时间为准。竣工验收证明资料至少具有建设单位、设计、施工和监理单位盖章。</w:t>
      </w:r>
    </w:p>
    <w:p>
      <w:pPr>
        <w:keepNext w:val="0"/>
        <w:keepLines w:val="0"/>
        <w:pageBreakBefore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所有评委分数汇总后的算术平均值为投标</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zh-CN" w:eastAsia="zh-CN"/>
        </w:rPr>
        <w:t>的最终得分。分数出现小数点，保留小数点后二位小数，第三位小数四舍五入。</w:t>
      </w:r>
    </w:p>
    <w:p>
      <w:pPr>
        <w:rPr>
          <w:rFonts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67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9"/>
        <w:tblW w:w="14820" w:type="dxa"/>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修正前投标</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修正后投标</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修正率</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17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2" w:type="first"/>
          <w:footerReference r:id="rId14" w:type="first"/>
          <w:headerReference r:id="rId11" w:type="default"/>
          <w:footerReference r:id="rId13" w:type="default"/>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2"/>
        <w:jc w:val="center"/>
        <w:rPr>
          <w:rFonts w:ascii="宋体" w:hAnsi="宋体" w:cs="宋体"/>
          <w:color w:val="auto"/>
          <w:highlight w:val="none"/>
        </w:rPr>
      </w:pPr>
      <w:bookmarkStart w:id="32" w:name="_Toc14934"/>
      <w:r>
        <w:rPr>
          <w:rFonts w:hint="eastAsia" w:ascii="宋体" w:hAnsi="宋体" w:cs="宋体"/>
          <w:color w:val="auto"/>
          <w:highlight w:val="none"/>
        </w:rPr>
        <w:t>第三章  合同条款</w:t>
      </w:r>
      <w:bookmarkEnd w:id="32"/>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另册。</w:t>
      </w:r>
    </w:p>
    <w:p>
      <w:pPr>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p>
    <w:p>
      <w:pPr>
        <w:pStyle w:val="22"/>
        <w:spacing w:line="360" w:lineRule="auto"/>
        <w:rPr>
          <w:rFonts w:hAnsi="宋体" w:cs="宋体"/>
          <w:color w:val="auto"/>
          <w:sz w:val="24"/>
          <w:szCs w:val="24"/>
          <w:highlight w:val="none"/>
        </w:rPr>
      </w:pPr>
    </w:p>
    <w:p>
      <w:pPr>
        <w:pStyle w:val="22"/>
        <w:spacing w:line="360" w:lineRule="auto"/>
        <w:rPr>
          <w:rFonts w:hAnsi="宋体" w:cs="宋体"/>
          <w:color w:val="auto"/>
          <w:sz w:val="24"/>
          <w:szCs w:val="24"/>
          <w:highlight w:val="none"/>
        </w:rPr>
      </w:pPr>
    </w:p>
    <w:p>
      <w:pPr>
        <w:pStyle w:val="2"/>
        <w:numPr>
          <w:ilvl w:val="0"/>
          <w:numId w:val="1"/>
        </w:numPr>
        <w:jc w:val="center"/>
        <w:rPr>
          <w:rFonts w:ascii="宋体" w:hAnsi="宋体" w:cs="宋体"/>
          <w:color w:val="auto"/>
          <w:highlight w:val="none"/>
        </w:rPr>
      </w:pPr>
      <w:bookmarkStart w:id="33" w:name="_Toc12630"/>
      <w:r>
        <w:rPr>
          <w:rFonts w:hint="eastAsia" w:ascii="宋体" w:hAnsi="宋体" w:cs="宋体"/>
          <w:color w:val="auto"/>
          <w:highlight w:val="none"/>
        </w:rPr>
        <w:t>投标文件格式</w:t>
      </w:r>
      <w:bookmarkEnd w:id="33"/>
    </w:p>
    <w:p>
      <w:pPr>
        <w:spacing w:after="120"/>
        <w:ind w:firstLine="0"/>
        <w:jc w:val="both"/>
        <w:outlineLvl w:val="1"/>
        <w:rPr>
          <w:rFonts w:ascii="宋体" w:hAnsi="宋体"/>
          <w:b/>
          <w:sz w:val="28"/>
          <w:szCs w:val="24"/>
          <w:highlight w:val="none"/>
        </w:rPr>
      </w:pPr>
      <w:r>
        <w:rPr>
          <w:rFonts w:ascii="宋体" w:hAnsi="宋体"/>
          <w:b/>
          <w:sz w:val="28"/>
          <w:szCs w:val="24"/>
          <w:highlight w:val="none"/>
        </w:rPr>
        <w:br w:type="page"/>
      </w:r>
      <w:bookmarkStart w:id="34" w:name="_Toc504722502"/>
      <w:bookmarkStart w:id="35" w:name="_Toc62056031"/>
      <w:bookmarkStart w:id="36" w:name="_Toc9279"/>
      <w:bookmarkStart w:id="37" w:name="_Toc504722503"/>
      <w:bookmarkStart w:id="38" w:name="_Toc62056032"/>
      <w:bookmarkStart w:id="39" w:name="_Toc4489935"/>
      <w:bookmarkStart w:id="40" w:name="_Toc24194"/>
      <w:bookmarkStart w:id="41" w:name="_Toc29476911"/>
      <w:r>
        <w:rPr>
          <w:rFonts w:hint="eastAsia" w:ascii="宋体" w:hAnsi="宋体"/>
          <w:b/>
          <w:sz w:val="28"/>
          <w:szCs w:val="24"/>
          <w:highlight w:val="none"/>
        </w:rPr>
        <w:t>一、技术标投标文件格式</w:t>
      </w:r>
      <w:bookmarkEnd w:id="34"/>
      <w:bookmarkEnd w:id="35"/>
      <w:bookmarkEnd w:id="36"/>
    </w:p>
    <w:p>
      <w:pPr>
        <w:widowControl/>
        <w:topLinePunct/>
        <w:adjustRightInd w:val="0"/>
        <w:snapToGrid w:val="0"/>
        <w:spacing w:after="200"/>
        <w:jc w:val="left"/>
        <w:outlineLvl w:val="2"/>
        <w:rPr>
          <w:rFonts w:ascii="宋体" w:hAnsi="宋体"/>
          <w:spacing w:val="4"/>
          <w:kern w:val="0"/>
          <w:sz w:val="24"/>
          <w:szCs w:val="24"/>
          <w:highlight w:val="none"/>
        </w:rPr>
      </w:pPr>
      <w:r>
        <w:rPr>
          <w:rFonts w:hint="eastAsia" w:ascii="宋体" w:hAnsi="宋体"/>
          <w:spacing w:val="4"/>
          <w:kern w:val="0"/>
          <w:sz w:val="24"/>
          <w:szCs w:val="24"/>
          <w:highlight w:val="none"/>
        </w:rPr>
        <w:t>格式一：技术标封面</w:t>
      </w:r>
      <w:bookmarkEnd w:id="37"/>
      <w:bookmarkEnd w:id="38"/>
      <w:bookmarkEnd w:id="39"/>
      <w:bookmarkEnd w:id="40"/>
      <w:bookmarkEnd w:id="41"/>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第一册【技术投标书（含资格审查文件）】</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r>
        <w:rPr>
          <w:rFonts w:hint="eastAsia" w:ascii="宋体" w:hAnsi="宋体"/>
          <w:spacing w:val="4"/>
          <w:kern w:val="0"/>
          <w:sz w:val="30"/>
          <w:szCs w:val="30"/>
          <w:highlight w:val="none"/>
          <w:u w:val="single"/>
        </w:rPr>
        <w:t xml:space="preserve">    </w:t>
      </w:r>
      <w:bookmarkStart w:id="42" w:name="_Toc318924494"/>
      <w:bookmarkStart w:id="43" w:name="_Toc239216030"/>
      <w:bookmarkStart w:id="44" w:name="_Toc337720090"/>
      <w:bookmarkStart w:id="45" w:name="_Toc239311745"/>
      <w:bookmarkStart w:id="46" w:name="_Toc163337619"/>
      <w:bookmarkStart w:id="47" w:name="_Toc226209002"/>
      <w:bookmarkStart w:id="48" w:name="_Toc358370577"/>
      <w:bookmarkStart w:id="49" w:name="_Toc464131223"/>
      <w:bookmarkStart w:id="50" w:name="_Toc352623420"/>
      <w:bookmarkStart w:id="51" w:name="_Toc395261098"/>
      <w:bookmarkStart w:id="52" w:name="_Toc449308419"/>
      <w:bookmarkStart w:id="53" w:name="_Toc352240522"/>
      <w:bookmarkStart w:id="54" w:name="_Toc369536769"/>
      <w:bookmarkStart w:id="55" w:name="_Toc484958691"/>
      <w:r>
        <w:rPr>
          <w:rFonts w:hint="eastAsia" w:ascii="宋体" w:hAnsi="宋体"/>
          <w:spacing w:val="4"/>
          <w:kern w:val="0"/>
          <w:sz w:val="30"/>
          <w:szCs w:val="30"/>
          <w:highlight w:val="none"/>
          <w:u w:val="single"/>
        </w:rPr>
        <w:t xml:space="preserve">    （填写投标人单位名称）</w:t>
      </w:r>
      <w:bookmarkEnd w:id="42"/>
      <w:bookmarkEnd w:id="43"/>
      <w:bookmarkEnd w:id="44"/>
      <w:bookmarkEnd w:id="45"/>
      <w:bookmarkEnd w:id="46"/>
      <w:bookmarkEnd w:id="47"/>
      <w:r>
        <w:rPr>
          <w:rFonts w:hint="eastAsia" w:ascii="宋体" w:hAnsi="宋体"/>
          <w:spacing w:val="4"/>
          <w:kern w:val="0"/>
          <w:sz w:val="30"/>
          <w:szCs w:val="30"/>
          <w:highlight w:val="none"/>
          <w:u w:val="single"/>
        </w:rPr>
        <w:t xml:space="preserve">  </w:t>
      </w:r>
      <w:bookmarkEnd w:id="48"/>
      <w:bookmarkEnd w:id="49"/>
      <w:bookmarkEnd w:id="50"/>
      <w:bookmarkEnd w:id="51"/>
      <w:bookmarkEnd w:id="52"/>
      <w:bookmarkEnd w:id="53"/>
      <w:bookmarkEnd w:id="54"/>
      <w:bookmarkEnd w:id="55"/>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其委托代理人：</w:t>
      </w:r>
      <w:r>
        <w:rPr>
          <w:rFonts w:hint="eastAsia" w:ascii="宋体" w:hAnsi="宋体"/>
          <w:spacing w:val="4"/>
          <w:kern w:val="0"/>
          <w:sz w:val="30"/>
          <w:szCs w:val="30"/>
          <w:highlight w:val="none"/>
          <w:u w:val="single"/>
        </w:rPr>
        <w:t xml:space="preserve">                   （签名或盖章）</w:t>
      </w:r>
    </w:p>
    <w:p>
      <w:pPr>
        <w:widowControl/>
        <w:topLinePunct/>
        <w:adjustRightInd w:val="0"/>
        <w:snapToGrid w:val="0"/>
        <w:spacing w:after="200" w:line="360" w:lineRule="auto"/>
        <w:ind w:firstLine="616" w:firstLineChars="200"/>
        <w:jc w:val="left"/>
        <w:rPr>
          <w:rFonts w:ascii="宋体" w:hAnsi="宋体"/>
          <w:sz w:val="24"/>
          <w:szCs w:val="24"/>
          <w:highlight w:val="none"/>
        </w:rPr>
      </w:pPr>
      <w:r>
        <w:rPr>
          <w:rFonts w:hint="eastAsia" w:ascii="宋体" w:hAnsi="宋体"/>
          <w:snapToGrid w:val="0"/>
          <w:spacing w:val="4"/>
          <w:kern w:val="0"/>
          <w:sz w:val="30"/>
          <w:szCs w:val="30"/>
          <w:highlight w:val="none"/>
        </w:rPr>
        <w:t>日  期：</w:t>
      </w:r>
      <w:r>
        <w:rPr>
          <w:rFonts w:hint="eastAsia" w:ascii="宋体" w:hAnsi="宋体"/>
          <w:highlight w:val="none"/>
          <w:u w:val="single"/>
        </w:rPr>
        <w:t xml:space="preserve">                                            </w:t>
      </w:r>
    </w:p>
    <w:p>
      <w:pPr>
        <w:widowControl/>
        <w:topLinePunct/>
        <w:adjustRightInd w:val="0"/>
        <w:snapToGrid w:val="0"/>
        <w:spacing w:after="200"/>
        <w:jc w:val="left"/>
        <w:outlineLvl w:val="2"/>
        <w:rPr>
          <w:rFonts w:ascii="宋体" w:hAnsi="宋体"/>
          <w:spacing w:val="4"/>
          <w:kern w:val="0"/>
          <w:sz w:val="24"/>
          <w:szCs w:val="24"/>
          <w:highlight w:val="none"/>
        </w:rPr>
      </w:pPr>
      <w:r>
        <w:rPr>
          <w:b/>
          <w:highlight w:val="none"/>
        </w:rPr>
        <w:br w:type="page"/>
      </w:r>
      <w:bookmarkStart w:id="56" w:name="_Toc29476912"/>
      <w:bookmarkStart w:id="57" w:name="_Toc62056033"/>
      <w:bookmarkStart w:id="58" w:name="_Toc4489936"/>
      <w:r>
        <w:rPr>
          <w:rFonts w:hint="eastAsia" w:ascii="宋体" w:hAnsi="宋体"/>
          <w:spacing w:val="4"/>
          <w:kern w:val="0"/>
          <w:sz w:val="24"/>
          <w:szCs w:val="24"/>
          <w:highlight w:val="none"/>
        </w:rPr>
        <w:t>格式二：广州建设工程施工招标投标书</w:t>
      </w:r>
      <w:bookmarkEnd w:id="56"/>
      <w:bookmarkEnd w:id="57"/>
      <w:bookmarkEnd w:id="58"/>
    </w:p>
    <w:p>
      <w:pPr>
        <w:autoSpaceDE w:val="0"/>
        <w:autoSpaceDN w:val="0"/>
        <w:adjustRightInd w:val="0"/>
        <w:ind w:left="-540" w:leftChars="-257" w:firstLine="1135" w:firstLineChars="257"/>
        <w:jc w:val="center"/>
        <w:rPr>
          <w:rFonts w:ascii="宋体" w:hAnsi="宋体" w:cs="宋体"/>
          <w:b/>
          <w:bCs/>
          <w:sz w:val="44"/>
          <w:szCs w:val="44"/>
          <w:highlight w:val="none"/>
          <w:lang w:val="zh-CN"/>
        </w:rPr>
      </w:pPr>
    </w:p>
    <w:p>
      <w:pPr>
        <w:autoSpaceDE w:val="0"/>
        <w:autoSpaceDN w:val="0"/>
        <w:adjustRightInd w:val="0"/>
        <w:ind w:left="-540" w:leftChars="-257" w:firstLine="1135" w:firstLineChars="257"/>
        <w:jc w:val="center"/>
        <w:rPr>
          <w:rFonts w:ascii="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r>
              <w:rPr>
                <w:rFonts w:hint="eastAsia" w:ascii="宋体" w:hAnsi="宋体" w:cs="宋体"/>
                <w:b/>
                <w:sz w:val="24"/>
                <w:szCs w:val="24"/>
                <w:highlight w:val="none"/>
                <w:lang w:val="zh-CN"/>
              </w:rPr>
              <w:t>工程名称</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投标总报价（元）</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其中：人工费（元）</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其中：绿色施工安全防护措施费（元）</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工程质量标准</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sz w:val="24"/>
                <w:szCs w:val="24"/>
                <w:highlight w:val="none"/>
                <w:lang w:val="zh-CN"/>
              </w:rPr>
            </w:pPr>
            <w:r>
              <w:rPr>
                <w:rFonts w:hint="eastAsia" w:ascii="宋体" w:hAnsi="宋体" w:cs="宋体"/>
                <w:b/>
                <w:sz w:val="24"/>
                <w:szCs w:val="24"/>
                <w:highlight w:val="none"/>
                <w:lang w:val="zh-CN"/>
              </w:rPr>
              <w:t>保修期限</w:t>
            </w:r>
          </w:p>
        </w:tc>
        <w:tc>
          <w:tcPr>
            <w:tcW w:w="6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sz w:val="24"/>
                <w:szCs w:val="24"/>
                <w:highlight w:val="none"/>
                <w:lang w:val="zh-CN"/>
              </w:rPr>
            </w:pPr>
          </w:p>
        </w:tc>
      </w:tr>
    </w:tbl>
    <w:p>
      <w:pPr>
        <w:tabs>
          <w:tab w:val="left" w:pos="720"/>
        </w:tabs>
        <w:snapToGrid w:val="0"/>
        <w:spacing w:line="360" w:lineRule="auto"/>
        <w:rPr>
          <w:sz w:val="24"/>
          <w:szCs w:val="24"/>
          <w:highlight w:val="none"/>
        </w:rPr>
      </w:pPr>
    </w:p>
    <w:p>
      <w:pPr>
        <w:widowControl/>
        <w:topLinePunct/>
        <w:adjustRightInd w:val="0"/>
        <w:snapToGrid w:val="0"/>
        <w:spacing w:after="200"/>
        <w:jc w:val="left"/>
        <w:outlineLvl w:val="2"/>
        <w:rPr>
          <w:rFonts w:ascii="宋体" w:hAnsi="宋体"/>
          <w:spacing w:val="4"/>
          <w:kern w:val="0"/>
          <w:sz w:val="24"/>
          <w:szCs w:val="24"/>
          <w:highlight w:val="none"/>
        </w:rPr>
      </w:pPr>
      <w:r>
        <w:rPr>
          <w:sz w:val="24"/>
          <w:szCs w:val="24"/>
          <w:highlight w:val="none"/>
        </w:rPr>
        <w:br w:type="page"/>
      </w:r>
      <w:bookmarkStart w:id="59" w:name="_Toc62056034"/>
      <w:bookmarkStart w:id="60" w:name="_Toc504722505"/>
      <w:bookmarkStart w:id="61" w:name="_Toc22278"/>
      <w:bookmarkStart w:id="62" w:name="_Toc4489937"/>
      <w:bookmarkStart w:id="63" w:name="_Toc29476913"/>
      <w:r>
        <w:rPr>
          <w:rFonts w:hint="eastAsia" w:ascii="宋体" w:hAnsi="宋体"/>
          <w:spacing w:val="4"/>
          <w:kern w:val="0"/>
          <w:sz w:val="24"/>
          <w:szCs w:val="24"/>
          <w:highlight w:val="none"/>
        </w:rPr>
        <w:t>格式三：投标函</w:t>
      </w:r>
      <w:bookmarkEnd w:id="59"/>
      <w:bookmarkEnd w:id="60"/>
      <w:bookmarkEnd w:id="61"/>
      <w:bookmarkEnd w:id="62"/>
      <w:bookmarkEnd w:id="63"/>
    </w:p>
    <w:p>
      <w:pPr>
        <w:widowControl/>
        <w:topLinePunct/>
        <w:adjustRightInd w:val="0"/>
        <w:snapToGrid w:val="0"/>
        <w:spacing w:after="200" w:line="360" w:lineRule="auto"/>
        <w:jc w:val="center"/>
        <w:rPr>
          <w:rFonts w:ascii="宋体" w:hAnsi="宋体"/>
          <w:b/>
          <w:spacing w:val="4"/>
          <w:kern w:val="0"/>
          <w:sz w:val="36"/>
          <w:szCs w:val="36"/>
          <w:highlight w:val="none"/>
        </w:rPr>
      </w:pPr>
      <w:r>
        <w:rPr>
          <w:rFonts w:hint="eastAsia" w:ascii="宋体" w:hAnsi="宋体"/>
          <w:b/>
          <w:spacing w:val="4"/>
          <w:kern w:val="0"/>
          <w:sz w:val="36"/>
          <w:szCs w:val="36"/>
          <w:highlight w:val="none"/>
        </w:rPr>
        <w:t>投 标 函</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1.根据招标人</w:t>
      </w:r>
      <w:r>
        <w:rPr>
          <w:rFonts w:hint="eastAsia" w:ascii="宋体" w:hAnsi="宋体"/>
          <w:spacing w:val="4"/>
          <w:kern w:val="0"/>
          <w:sz w:val="24"/>
          <w:szCs w:val="24"/>
          <w:highlight w:val="none"/>
          <w:u w:val="single"/>
        </w:rPr>
        <w:t xml:space="preserve"> （工程项目名称） </w:t>
      </w:r>
      <w:r>
        <w:rPr>
          <w:rFonts w:hint="eastAsia" w:ascii="宋体" w:hAnsi="宋体"/>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2.我方已详细审核全部招标文件，包括修改文件（如有时）及有关附件。</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3.如果我方中标，我方保证按照合同文件中规定的开工日期开始施工，并按规定的预计竣工日期完成和交付全部工程。</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4.如果我方中标，我方承诺在充分考虑场地环境变化及政策性调整等风险因素的前提下，继续</w:t>
      </w:r>
      <w:r>
        <w:rPr>
          <w:rFonts w:hint="eastAsia" w:ascii="宋体" w:hAnsi="宋体"/>
          <w:spacing w:val="4"/>
          <w:kern w:val="0"/>
          <w:sz w:val="24"/>
          <w:szCs w:val="24"/>
          <w:highlight w:val="none"/>
          <w:lang w:val="en-US" w:eastAsia="zh-CN"/>
        </w:rPr>
        <w:t>按照《广州中医药大学学生宿舍及学生活动中心修缮项目实施需求书》要求</w:t>
      </w:r>
      <w:r>
        <w:rPr>
          <w:rFonts w:hint="eastAsia" w:ascii="宋体" w:hAnsi="宋体"/>
          <w:spacing w:val="4"/>
          <w:kern w:val="0"/>
          <w:sz w:val="24"/>
          <w:szCs w:val="24"/>
          <w:highlight w:val="none"/>
        </w:rPr>
        <w:t>补充完善施工组织设计，直至招标人满意为止并加以实施，由此产生的费用已包含在投标报价中。</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u w:val="single"/>
        </w:rPr>
      </w:pPr>
      <w:r>
        <w:rPr>
          <w:rFonts w:hint="eastAsia" w:ascii="宋体" w:hAnsi="宋体"/>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6.如果我方中标，我方将按照招标文件的规定，按时提交履约担保，以保障本项目优质、优价、按期、顺利完成。</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8.在合同协议书正式签署生效之前，本投标书连同你单位的中标通知书将构成我们双方之间共同遵守的文件，对双方具有约束力。</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9.随同本投标文件，如果我方在投标文件有效期内撤回投标文件；或在接到中标通知书后28天内未能或拒绝签订合同协议书；或未能按招标文件要求提交履约担保，你单位有权</w:t>
      </w:r>
      <w:r>
        <w:rPr>
          <w:rFonts w:hint="eastAsia" w:ascii="宋体" w:hAnsi="宋体"/>
          <w:b/>
          <w:bCs/>
          <w:spacing w:val="4"/>
          <w:kern w:val="0"/>
          <w:sz w:val="24"/>
          <w:szCs w:val="24"/>
          <w:highlight w:val="none"/>
          <w:u w:val="single"/>
        </w:rPr>
        <w:t>要求我方对由此造成的损失作出赔偿</w:t>
      </w:r>
      <w:r>
        <w:rPr>
          <w:rFonts w:hint="eastAsia" w:ascii="宋体" w:hAnsi="宋体"/>
          <w:spacing w:val="4"/>
          <w:kern w:val="0"/>
          <w:sz w:val="24"/>
          <w:szCs w:val="24"/>
          <w:highlight w:val="none"/>
        </w:rPr>
        <w:t>，另选中</w:t>
      </w:r>
      <w:bookmarkStart w:id="64" w:name="_Toc484958693"/>
      <w:r>
        <w:rPr>
          <w:rFonts w:hint="eastAsia" w:ascii="宋体" w:hAnsi="宋体"/>
          <w:spacing w:val="4"/>
          <w:kern w:val="0"/>
          <w:sz w:val="24"/>
          <w:szCs w:val="24"/>
          <w:highlight w:val="none"/>
        </w:rPr>
        <w:t>标单位。</w:t>
      </w:r>
    </w:p>
    <w:p>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10.我方</w:t>
      </w:r>
      <w:bookmarkEnd w:id="64"/>
      <w:r>
        <w:rPr>
          <w:rFonts w:hint="eastAsia" w:ascii="宋体" w:hAnsi="宋体"/>
          <w:spacing w:val="4"/>
          <w:kern w:val="0"/>
          <w:sz w:val="24"/>
          <w:szCs w:val="24"/>
          <w:highlight w:val="none"/>
        </w:rPr>
        <w:t>理解</w:t>
      </w:r>
      <w:bookmarkStart w:id="65" w:name="_Toc484958694"/>
      <w:r>
        <w:rPr>
          <w:rFonts w:hint="eastAsia" w:ascii="宋体" w:hAnsi="宋体"/>
          <w:spacing w:val="4"/>
          <w:kern w:val="0"/>
          <w:sz w:val="24"/>
          <w:szCs w:val="24"/>
          <w:highlight w:val="none"/>
        </w:rPr>
        <w:t>，你单位不一</w:t>
      </w:r>
      <w:bookmarkEnd w:id="65"/>
      <w:r>
        <w:rPr>
          <w:rFonts w:hint="eastAsia" w:ascii="宋体" w:hAnsi="宋体"/>
          <w:spacing w:val="4"/>
          <w:kern w:val="0"/>
          <w:sz w:val="24"/>
          <w:szCs w:val="24"/>
          <w:highlight w:val="none"/>
        </w:rPr>
        <w:t>定</w:t>
      </w:r>
      <w:bookmarkStart w:id="66" w:name="_Toc484958695"/>
      <w:r>
        <w:rPr>
          <w:rFonts w:hint="eastAsia" w:ascii="宋体" w:hAnsi="宋体"/>
          <w:spacing w:val="4"/>
          <w:kern w:val="0"/>
          <w:sz w:val="24"/>
          <w:szCs w:val="24"/>
          <w:highlight w:val="none"/>
        </w:rPr>
        <w:t>接受最低</w:t>
      </w:r>
      <w:bookmarkEnd w:id="66"/>
      <w:r>
        <w:rPr>
          <w:rFonts w:hint="eastAsia" w:ascii="宋体" w:hAnsi="宋体"/>
          <w:spacing w:val="4"/>
          <w:kern w:val="0"/>
          <w:sz w:val="24"/>
          <w:szCs w:val="24"/>
          <w:highlight w:val="none"/>
        </w:rPr>
        <w:t>标</w:t>
      </w:r>
      <w:bookmarkStart w:id="67" w:name="_Toc484958696"/>
      <w:r>
        <w:rPr>
          <w:rFonts w:hint="eastAsia" w:ascii="宋体" w:hAnsi="宋体"/>
          <w:spacing w:val="4"/>
          <w:kern w:val="0"/>
          <w:sz w:val="24"/>
          <w:szCs w:val="24"/>
          <w:highlight w:val="none"/>
        </w:rPr>
        <w:t>价的</w:t>
      </w:r>
      <w:bookmarkEnd w:id="67"/>
      <w:r>
        <w:rPr>
          <w:rFonts w:hint="eastAsia" w:ascii="宋体" w:hAnsi="宋体"/>
          <w:spacing w:val="4"/>
          <w:kern w:val="0"/>
          <w:sz w:val="24"/>
          <w:szCs w:val="24"/>
          <w:highlight w:val="none"/>
        </w:rPr>
        <w:t>投</w:t>
      </w:r>
      <w:bookmarkStart w:id="68" w:name="_Toc484958697"/>
      <w:r>
        <w:rPr>
          <w:rFonts w:hint="eastAsia" w:ascii="宋体" w:hAnsi="宋体"/>
          <w:spacing w:val="4"/>
          <w:kern w:val="0"/>
          <w:sz w:val="24"/>
          <w:szCs w:val="24"/>
          <w:highlight w:val="none"/>
        </w:rPr>
        <w:t>标或你单位接到的其它任何投标。同</w:t>
      </w:r>
      <w:bookmarkEnd w:id="68"/>
      <w:r>
        <w:rPr>
          <w:rFonts w:hint="eastAsia" w:ascii="宋体" w:hAnsi="宋体"/>
          <w:spacing w:val="4"/>
          <w:kern w:val="0"/>
          <w:sz w:val="24"/>
          <w:szCs w:val="24"/>
          <w:highlight w:val="none"/>
        </w:rPr>
        <w:t>时</w:t>
      </w:r>
      <w:bookmarkStart w:id="69" w:name="_Toc484958698"/>
      <w:r>
        <w:rPr>
          <w:rFonts w:hint="eastAsia" w:ascii="宋体" w:hAnsi="宋体"/>
          <w:spacing w:val="4"/>
          <w:kern w:val="0"/>
          <w:sz w:val="24"/>
          <w:szCs w:val="24"/>
          <w:highlight w:val="none"/>
        </w:rPr>
        <w:t>也理解，你单位不负担我方的任何投</w:t>
      </w:r>
      <w:bookmarkEnd w:id="69"/>
      <w:r>
        <w:rPr>
          <w:rFonts w:hint="eastAsia" w:ascii="宋体" w:hAnsi="宋体"/>
          <w:spacing w:val="4"/>
          <w:kern w:val="0"/>
          <w:sz w:val="24"/>
          <w:szCs w:val="24"/>
          <w:highlight w:val="none"/>
        </w:rPr>
        <w:t>标</w:t>
      </w:r>
      <w:bookmarkStart w:id="70" w:name="_Toc484958699"/>
      <w:r>
        <w:rPr>
          <w:rFonts w:hint="eastAsia" w:ascii="宋体" w:hAnsi="宋体"/>
          <w:spacing w:val="4"/>
          <w:kern w:val="0"/>
          <w:sz w:val="24"/>
          <w:szCs w:val="24"/>
          <w:highlight w:val="none"/>
        </w:rPr>
        <w:t>费用</w:t>
      </w:r>
      <w:bookmarkEnd w:id="70"/>
      <w:bookmarkStart w:id="71" w:name="_Toc484958700"/>
      <w:r>
        <w:rPr>
          <w:rFonts w:hint="eastAsia" w:ascii="宋体" w:hAnsi="宋体"/>
          <w:spacing w:val="4"/>
          <w:kern w:val="0"/>
          <w:sz w:val="24"/>
          <w:szCs w:val="24"/>
          <w:highlight w:val="none"/>
        </w:rPr>
        <w:t>。</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w:t>
      </w:r>
      <w:bookmarkEnd w:id="71"/>
    </w:p>
    <w:p>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bookmarkStart w:id="72" w:name="_Toc484958701"/>
      <w:r>
        <w:rPr>
          <w:rFonts w:hint="eastAsia" w:ascii="宋体" w:hAnsi="宋体"/>
          <w:spacing w:val="4"/>
          <w:kern w:val="0"/>
          <w:sz w:val="24"/>
          <w:szCs w:val="24"/>
          <w:highlight w:val="none"/>
        </w:rPr>
        <w:t>法定代表人或授权代理人（签字或盖章）</w:t>
      </w:r>
      <w:bookmarkEnd w:id="72"/>
      <w:r>
        <w:rPr>
          <w:rFonts w:hint="eastAsia" w:ascii="宋体" w:hAnsi="宋体"/>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pPr>
        <w:pStyle w:val="4"/>
        <w:spacing w:after="0" w:line="360" w:lineRule="auto"/>
        <w:ind w:firstLine="0"/>
        <w:rPr>
          <w:rFonts w:ascii="宋体" w:hAnsi="宋体" w:cs="宋体"/>
          <w:b/>
          <w:color w:val="auto"/>
          <w:sz w:val="24"/>
          <w:szCs w:val="24"/>
          <w:highlight w:val="none"/>
        </w:rPr>
      </w:pPr>
    </w:p>
    <w:p>
      <w:pPr>
        <w:outlineLvl w:val="2"/>
        <w:rPr>
          <w:highlight w:val="none"/>
        </w:rPr>
      </w:pPr>
      <w:r>
        <w:rPr>
          <w:rFonts w:hint="eastAsia" w:ascii="宋体" w:hAnsi="宋体" w:cs="宋体"/>
          <w:b/>
          <w:color w:val="auto"/>
          <w:sz w:val="32"/>
          <w:szCs w:val="32"/>
          <w:highlight w:val="none"/>
        </w:rPr>
        <w:br w:type="page"/>
      </w:r>
      <w:bookmarkStart w:id="73" w:name="_Toc62056036"/>
      <w:bookmarkStart w:id="74" w:name="_Toc504722513"/>
      <w:bookmarkStart w:id="75" w:name="_Toc29476915"/>
      <w:r>
        <w:rPr>
          <w:rFonts w:hint="eastAsia" w:ascii="宋体" w:hAnsi="宋体"/>
          <w:spacing w:val="4"/>
          <w:kern w:val="0"/>
          <w:sz w:val="24"/>
          <w:szCs w:val="24"/>
          <w:highlight w:val="none"/>
        </w:rPr>
        <w:t>格式</w:t>
      </w:r>
      <w:r>
        <w:rPr>
          <w:rFonts w:hint="eastAsia" w:ascii="宋体" w:hAnsi="宋体"/>
          <w:spacing w:val="4"/>
          <w:kern w:val="0"/>
          <w:sz w:val="24"/>
          <w:szCs w:val="24"/>
          <w:highlight w:val="none"/>
          <w:lang w:val="en-US" w:eastAsia="zh-CN"/>
        </w:rPr>
        <w:t>四</w:t>
      </w:r>
      <w:r>
        <w:rPr>
          <w:rFonts w:hint="eastAsia" w:ascii="宋体" w:hAnsi="宋体"/>
          <w:spacing w:val="4"/>
          <w:kern w:val="0"/>
          <w:sz w:val="24"/>
          <w:szCs w:val="24"/>
          <w:highlight w:val="none"/>
        </w:rPr>
        <w:t>：法定代表人证明书、授权委托书</w:t>
      </w:r>
      <w:bookmarkEnd w:id="73"/>
      <w:bookmarkEnd w:id="74"/>
      <w:bookmarkEnd w:id="75"/>
    </w:p>
    <w:p>
      <w:pPr>
        <w:widowControl/>
        <w:topLinePunct/>
        <w:adjustRightInd w:val="0"/>
        <w:snapToGrid w:val="0"/>
        <w:spacing w:after="200"/>
        <w:jc w:val="center"/>
        <w:rPr>
          <w:rFonts w:ascii="宋体" w:hAnsi="宋体"/>
          <w:b/>
          <w:spacing w:val="4"/>
          <w:kern w:val="0"/>
          <w:sz w:val="32"/>
          <w:szCs w:val="32"/>
          <w:highlight w:val="none"/>
        </w:rPr>
      </w:pPr>
    </w:p>
    <w:p>
      <w:pPr>
        <w:widowControl/>
        <w:topLinePunct/>
        <w:adjustRightInd w:val="0"/>
        <w:snapToGrid w:val="0"/>
        <w:spacing w:after="200"/>
        <w:jc w:val="center"/>
        <w:rPr>
          <w:rFonts w:ascii="宋体" w:hAnsi="宋体"/>
          <w:b/>
          <w:spacing w:val="4"/>
          <w:kern w:val="0"/>
          <w:sz w:val="32"/>
          <w:szCs w:val="32"/>
          <w:highlight w:val="none"/>
        </w:rPr>
      </w:pPr>
      <w:r>
        <w:rPr>
          <w:rFonts w:hint="eastAsia" w:ascii="宋体" w:hAnsi="宋体"/>
          <w:b/>
          <w:spacing w:val="4"/>
          <w:kern w:val="0"/>
          <w:sz w:val="32"/>
          <w:szCs w:val="32"/>
          <w:highlight w:val="none"/>
        </w:rPr>
        <w:t>法定代表人证明书、授权委托书</w:t>
      </w:r>
    </w:p>
    <w:p>
      <w:pPr>
        <w:topLinePunct/>
        <w:adjustRightInd w:val="0"/>
        <w:snapToGrid w:val="0"/>
        <w:rPr>
          <w:snapToGrid w:val="0"/>
          <w:spacing w:val="4"/>
          <w:sz w:val="24"/>
          <w:szCs w:val="24"/>
          <w:highlight w:val="none"/>
        </w:rPr>
      </w:pPr>
      <w:r>
        <w:rPr>
          <w:rFonts w:hint="eastAsia"/>
          <w:snapToGrid w:val="0"/>
          <w:spacing w:val="4"/>
          <w:sz w:val="24"/>
          <w:szCs w:val="24"/>
          <w:highlight w:val="none"/>
        </w:rPr>
        <w:t>（1）法定代表人证明书</w:t>
      </w:r>
    </w:p>
    <w:p>
      <w:pPr>
        <w:topLinePunct/>
        <w:adjustRightInd w:val="0"/>
        <w:snapToGrid w:val="0"/>
        <w:ind w:right="668"/>
        <w:jc w:val="right"/>
        <w:rPr>
          <w:snapToGrid w:val="0"/>
          <w:spacing w:val="4"/>
          <w:sz w:val="24"/>
          <w:szCs w:val="24"/>
          <w:highlight w:val="none"/>
        </w:rPr>
      </w:pPr>
      <w:r>
        <w:rPr>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635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57"/>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57"/>
                              <w:ind w:firstLine="0" w:firstLineChars="0"/>
                              <w:rPr>
                                <w:rFonts w:ascii="宋体" w:hAnsi="宋体"/>
                                <w:szCs w:val="28"/>
                              </w:rPr>
                            </w:pPr>
                            <w:r>
                              <w:rPr>
                                <w:rFonts w:hint="eastAsia" w:ascii="宋体" w:hAnsi="宋体"/>
                                <w:szCs w:val="28"/>
                              </w:rPr>
                              <w:t>特此证明。</w:t>
                            </w:r>
                          </w:p>
                          <w:p>
                            <w:pPr>
                              <w:pStyle w:val="57"/>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　　　　　　　　　　单位：　　　　　　　　　　　（盖章）</w:t>
                            </w:r>
                          </w:p>
                          <w:p>
                            <w:pPr>
                              <w:pStyle w:val="57"/>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pPr>
                        <w:pStyle w:val="57"/>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57"/>
                        <w:ind w:firstLine="0" w:firstLineChars="0"/>
                        <w:rPr>
                          <w:rFonts w:ascii="宋体" w:hAnsi="宋体"/>
                          <w:szCs w:val="28"/>
                        </w:rPr>
                      </w:pPr>
                      <w:r>
                        <w:rPr>
                          <w:rFonts w:hint="eastAsia" w:ascii="宋体" w:hAnsi="宋体"/>
                          <w:szCs w:val="28"/>
                        </w:rPr>
                        <w:t>特此证明。</w:t>
                      </w:r>
                    </w:p>
                    <w:p>
                      <w:pPr>
                        <w:pStyle w:val="57"/>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57"/>
                        <w:ind w:firstLine="0" w:firstLineChars="0"/>
                        <w:rPr>
                          <w:rFonts w:ascii="宋体" w:hAnsi="宋体"/>
                          <w:szCs w:val="28"/>
                        </w:rPr>
                      </w:pPr>
                      <w:r>
                        <w:rPr>
                          <w:rFonts w:hint="eastAsia" w:ascii="宋体" w:hAnsi="宋体"/>
                          <w:szCs w:val="28"/>
                        </w:rPr>
                        <w:t>　　　　　　　　　　单位：　　　　　　　　　　　（盖章）</w:t>
                      </w:r>
                    </w:p>
                    <w:p>
                      <w:pPr>
                        <w:pStyle w:val="57"/>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v:textbox>
                <w10:wrap type="square"/>
              </v:shape>
            </w:pict>
          </mc:Fallback>
        </mc:AlternateContent>
      </w:r>
      <w:r>
        <w:rPr>
          <w:rFonts w:hint="eastAsia"/>
          <w:snapToGrid w:val="0"/>
          <w:spacing w:val="4"/>
          <w:sz w:val="24"/>
          <w:szCs w:val="24"/>
          <w:highlight w:val="none"/>
        </w:rPr>
        <w:t>（　 ）第　号</w:t>
      </w:r>
    </w:p>
    <w:p>
      <w:pPr>
        <w:rPr>
          <w:snapToGrid w:val="0"/>
          <w:spacing w:val="4"/>
          <w:sz w:val="24"/>
          <w:szCs w:val="24"/>
          <w:highlight w:val="none"/>
        </w:rPr>
      </w:pPr>
    </w:p>
    <w:p>
      <w:pPr>
        <w:topLinePunct/>
        <w:adjustRightInd w:val="0"/>
        <w:snapToGrid w:val="0"/>
        <w:ind w:firstLine="496" w:firstLineChars="200"/>
        <w:rPr>
          <w:snapToGrid w:val="0"/>
          <w:spacing w:val="4"/>
          <w:sz w:val="24"/>
          <w:szCs w:val="24"/>
          <w:highlight w:val="none"/>
        </w:rPr>
      </w:pPr>
      <w:r>
        <w:rPr>
          <w:rFonts w:hint="eastAsia"/>
          <w:snapToGrid w:val="0"/>
          <w:spacing w:val="4"/>
          <w:sz w:val="24"/>
          <w:szCs w:val="24"/>
          <w:highlight w:val="none"/>
        </w:rPr>
        <w:t>（2）法定代表人授权委托书</w:t>
      </w:r>
    </w:p>
    <w:p>
      <w:pPr>
        <w:topLinePunct/>
        <w:adjustRightInd w:val="0"/>
        <w:snapToGrid w:val="0"/>
        <w:ind w:firstLine="496" w:firstLineChars="200"/>
        <w:rPr>
          <w:snapToGrid w:val="0"/>
          <w:spacing w:val="4"/>
          <w:sz w:val="24"/>
          <w:szCs w:val="24"/>
          <w:highlight w:val="none"/>
        </w:rPr>
      </w:pPr>
      <w:r>
        <w:rPr>
          <w:rFonts w:hint="eastAsia"/>
          <w:snapToGrid w:val="0"/>
          <w:spacing w:val="4"/>
          <w:sz w:val="24"/>
          <w:szCs w:val="24"/>
          <w:highlight w:val="none"/>
        </w:rPr>
        <w:t xml:space="preserve">                                                 （   ）第  号</w:t>
      </w:r>
    </w:p>
    <w:p>
      <w:pPr>
        <w:topLinePunct/>
        <w:adjustRightInd w:val="0"/>
        <w:snapToGrid w:val="0"/>
        <w:spacing w:line="360" w:lineRule="auto"/>
        <w:ind w:firstLine="420" w:firstLineChars="200"/>
        <w:rPr>
          <w:snapToGrid w:val="0"/>
          <w:spacing w:val="4"/>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508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57"/>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57"/>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57"/>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57"/>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pPr>
                        <w:pStyle w:val="57"/>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57"/>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57"/>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57"/>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57"/>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pPr>
        <w:rPr>
          <w:highlight w:val="none"/>
        </w:rPr>
      </w:pPr>
      <w:bookmarkStart w:id="76" w:name="_Toc4489947"/>
      <w:bookmarkStart w:id="77" w:name="_Toc4339798"/>
      <w:bookmarkStart w:id="78" w:name="_Toc4486079"/>
      <w:bookmarkStart w:id="79" w:name="_Toc3736"/>
      <w:bookmarkStart w:id="80" w:name="_Toc4340136"/>
      <w:r>
        <w:rPr>
          <w:rFonts w:hint="eastAsia"/>
          <w:highlight w:val="none"/>
        </w:rPr>
        <w:t>注：按提供的格式或使用从工商管理部门购买的格式填写。</w:t>
      </w:r>
      <w:bookmarkEnd w:id="76"/>
      <w:bookmarkEnd w:id="77"/>
      <w:bookmarkEnd w:id="78"/>
      <w:bookmarkEnd w:id="79"/>
      <w:bookmarkEnd w:id="80"/>
    </w:p>
    <w:p>
      <w:pPr>
        <w:widowControl/>
        <w:topLinePunct/>
        <w:adjustRightInd w:val="0"/>
        <w:snapToGrid w:val="0"/>
        <w:spacing w:after="200"/>
        <w:jc w:val="left"/>
        <w:outlineLvl w:val="2"/>
        <w:rPr>
          <w:rFonts w:ascii="宋体" w:hAnsi="宋体"/>
          <w:spacing w:val="4"/>
          <w:kern w:val="0"/>
          <w:sz w:val="24"/>
          <w:szCs w:val="24"/>
          <w:highlight w:val="none"/>
        </w:rPr>
      </w:pPr>
      <w:r>
        <w:rPr>
          <w:rFonts w:hint="eastAsia" w:ascii="宋体" w:hAnsi="宋体" w:cs="宋体"/>
          <w:color w:val="auto"/>
          <w:szCs w:val="21"/>
          <w:highlight w:val="none"/>
        </w:rPr>
        <w:br w:type="page"/>
      </w:r>
      <w:bookmarkStart w:id="81" w:name="_Toc62056037"/>
      <w:bookmarkStart w:id="82" w:name="_Toc29476916"/>
      <w:bookmarkStart w:id="83" w:name="_Toc4489948"/>
      <w:r>
        <w:rPr>
          <w:rFonts w:hint="eastAsia" w:ascii="宋体" w:hAnsi="宋体" w:eastAsia="宋体" w:cs="Times New Roman"/>
          <w:spacing w:val="4"/>
          <w:kern w:val="0"/>
          <w:sz w:val="24"/>
          <w:szCs w:val="24"/>
          <w:highlight w:val="none"/>
        </w:rPr>
        <w:t>格式</w:t>
      </w:r>
      <w:r>
        <w:rPr>
          <w:rFonts w:hint="eastAsia" w:ascii="宋体" w:hAnsi="宋体" w:eastAsia="宋体" w:cs="Times New Roman"/>
          <w:spacing w:val="4"/>
          <w:kern w:val="0"/>
          <w:sz w:val="24"/>
          <w:szCs w:val="24"/>
          <w:highlight w:val="none"/>
          <w:lang w:val="en-US" w:eastAsia="zh-CN"/>
        </w:rPr>
        <w:t>五</w:t>
      </w:r>
      <w:r>
        <w:rPr>
          <w:rFonts w:hint="eastAsia" w:ascii="宋体" w:hAnsi="宋体" w:eastAsia="宋体" w:cs="Times New Roman"/>
          <w:spacing w:val="4"/>
          <w:kern w:val="0"/>
          <w:sz w:val="24"/>
          <w:szCs w:val="24"/>
          <w:highlight w:val="none"/>
        </w:rPr>
        <w:t>：</w:t>
      </w:r>
      <w:bookmarkEnd w:id="81"/>
      <w:bookmarkEnd w:id="82"/>
      <w:bookmarkEnd w:id="83"/>
      <w:r>
        <w:rPr>
          <w:rFonts w:hint="eastAsia" w:ascii="宋体" w:hAnsi="宋体"/>
          <w:spacing w:val="4"/>
          <w:kern w:val="0"/>
          <w:sz w:val="24"/>
          <w:szCs w:val="24"/>
          <w:highlight w:val="none"/>
        </w:rPr>
        <w:t>投入主要人员汇总表</w:t>
      </w:r>
    </w:p>
    <w:p>
      <w:pPr>
        <w:pStyle w:val="104"/>
        <w:rPr>
          <w:rFonts w:ascii="宋体" w:hAnsi="宋体" w:eastAsia="宋体" w:cs="宋体"/>
          <w:b w:val="0"/>
          <w:color w:val="auto"/>
          <w:highlight w:val="none"/>
        </w:rPr>
      </w:pPr>
      <w:r>
        <w:rPr>
          <w:rFonts w:hint="eastAsia" w:ascii="宋体" w:hAnsi="宋体" w:eastAsia="宋体" w:cs="宋体"/>
          <w:b w:val="0"/>
          <w:color w:val="auto"/>
          <w:highlight w:val="none"/>
        </w:rPr>
        <w:t>投入主要人员汇总表</w:t>
      </w:r>
    </w:p>
    <w:tbl>
      <w:tblPr>
        <w:tblStyle w:val="39"/>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31"/>
        <w:gridCol w:w="874"/>
        <w:gridCol w:w="874"/>
        <w:gridCol w:w="874"/>
        <w:gridCol w:w="874"/>
        <w:gridCol w:w="874"/>
        <w:gridCol w:w="123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序号</w:t>
            </w:r>
          </w:p>
        </w:tc>
        <w:tc>
          <w:tcPr>
            <w:tcW w:w="1231"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spacing w:val="-6"/>
                <w:highlight w:val="none"/>
              </w:rPr>
              <w:t>在本项目担任的职务</w:t>
            </w:r>
          </w:p>
        </w:tc>
        <w:tc>
          <w:tcPr>
            <w:tcW w:w="874"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姓名</w:t>
            </w:r>
          </w:p>
        </w:tc>
        <w:tc>
          <w:tcPr>
            <w:tcW w:w="874"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年龄</w:t>
            </w:r>
          </w:p>
        </w:tc>
        <w:tc>
          <w:tcPr>
            <w:tcW w:w="874"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职称</w:t>
            </w:r>
          </w:p>
        </w:tc>
        <w:tc>
          <w:tcPr>
            <w:tcW w:w="874"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专业</w:t>
            </w:r>
          </w:p>
        </w:tc>
        <w:tc>
          <w:tcPr>
            <w:tcW w:w="874"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从事相关工作年限</w:t>
            </w:r>
          </w:p>
        </w:tc>
        <w:tc>
          <w:tcPr>
            <w:tcW w:w="1236"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工程师注册（或岗位）证号</w:t>
            </w:r>
          </w:p>
        </w:tc>
        <w:tc>
          <w:tcPr>
            <w:tcW w:w="1161" w:type="dxa"/>
            <w:vAlign w:val="center"/>
          </w:tcPr>
          <w:p>
            <w:pPr>
              <w:pStyle w:val="102"/>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pPr>
              <w:pStyle w:val="57"/>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bl>
    <w:p>
      <w:pPr>
        <w:pStyle w:val="57"/>
        <w:spacing w:line="400" w:lineRule="exact"/>
        <w:ind w:firstLine="496"/>
        <w:rPr>
          <w:rFonts w:ascii="宋体" w:hAnsi="宋体" w:cs="宋体"/>
          <w:color w:val="auto"/>
          <w:highlight w:val="none"/>
        </w:rPr>
      </w:pPr>
    </w:p>
    <w:p>
      <w:pPr>
        <w:spacing w:line="480" w:lineRule="auto"/>
        <w:ind w:right="420" w:firstLine="3596" w:firstLineChars="1450"/>
        <w:rPr>
          <w:rFonts w:hint="eastAsia" w:ascii="宋体" w:hAnsi="宋体" w:cs="Times New Roman"/>
          <w:spacing w:val="4"/>
          <w:kern w:val="0"/>
          <w:sz w:val="24"/>
          <w:szCs w:val="24"/>
          <w:highlight w:val="none"/>
        </w:rPr>
      </w:pPr>
      <w:r>
        <w:rPr>
          <w:rFonts w:hint="eastAsia" w:ascii="宋体" w:hAnsi="宋体" w:cs="Times New Roman"/>
          <w:spacing w:val="4"/>
          <w:kern w:val="0"/>
          <w:sz w:val="24"/>
          <w:szCs w:val="24"/>
          <w:highlight w:val="none"/>
        </w:rPr>
        <w:t>投标人：　　</w:t>
      </w:r>
    </w:p>
    <w:p>
      <w:pPr>
        <w:spacing w:line="480" w:lineRule="auto"/>
        <w:ind w:right="420" w:firstLine="3596" w:firstLineChars="1450"/>
        <w:rPr>
          <w:rFonts w:hint="eastAsia" w:ascii="宋体" w:hAnsi="宋体" w:cs="Times New Roman"/>
          <w:spacing w:val="4"/>
          <w:kern w:val="0"/>
          <w:sz w:val="24"/>
          <w:szCs w:val="24"/>
          <w:highlight w:val="none"/>
        </w:rPr>
      </w:pPr>
      <w:r>
        <w:rPr>
          <w:rFonts w:hint="eastAsia" w:ascii="宋体" w:hAnsi="宋体" w:cs="Times New Roman"/>
          <w:spacing w:val="4"/>
          <w:kern w:val="0"/>
          <w:sz w:val="24"/>
          <w:szCs w:val="24"/>
          <w:highlight w:val="none"/>
        </w:rPr>
        <w:t>日   期：    年    月    日</w:t>
      </w: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p>
    <w:p>
      <w:pPr>
        <w:widowControl/>
        <w:topLinePunct/>
        <w:adjustRightInd w:val="0"/>
        <w:snapToGrid w:val="0"/>
        <w:spacing w:after="200"/>
        <w:jc w:val="left"/>
        <w:outlineLvl w:val="2"/>
        <w:rPr>
          <w:rFonts w:ascii="宋体" w:hAnsi="宋体"/>
          <w:spacing w:val="4"/>
          <w:kern w:val="0"/>
          <w:sz w:val="24"/>
          <w:szCs w:val="24"/>
          <w:highlight w:val="none"/>
        </w:rPr>
      </w:pPr>
      <w:bookmarkStart w:id="84" w:name="_Toc4489950"/>
      <w:bookmarkStart w:id="85" w:name="_Toc29476918"/>
      <w:bookmarkStart w:id="86" w:name="_Toc62056040"/>
      <w:r>
        <w:rPr>
          <w:rFonts w:hint="eastAsia" w:ascii="宋体" w:hAnsi="宋体"/>
          <w:spacing w:val="4"/>
          <w:kern w:val="0"/>
          <w:sz w:val="24"/>
          <w:szCs w:val="24"/>
          <w:highlight w:val="none"/>
        </w:rPr>
        <w:br w:type="page"/>
      </w:r>
      <w:r>
        <w:rPr>
          <w:rFonts w:hint="eastAsia" w:ascii="宋体" w:hAnsi="宋体"/>
          <w:spacing w:val="4"/>
          <w:kern w:val="0"/>
          <w:sz w:val="24"/>
          <w:szCs w:val="24"/>
          <w:highlight w:val="none"/>
        </w:rPr>
        <w:t>格式</w:t>
      </w:r>
      <w:r>
        <w:rPr>
          <w:rFonts w:hint="eastAsia" w:ascii="宋体" w:hAnsi="宋体"/>
          <w:spacing w:val="4"/>
          <w:kern w:val="0"/>
          <w:sz w:val="24"/>
          <w:szCs w:val="24"/>
          <w:highlight w:val="none"/>
          <w:lang w:val="en-US" w:eastAsia="zh-CN"/>
        </w:rPr>
        <w:t>六</w:t>
      </w:r>
      <w:r>
        <w:rPr>
          <w:rFonts w:hint="eastAsia" w:ascii="宋体" w:hAnsi="宋体"/>
          <w:spacing w:val="4"/>
          <w:kern w:val="0"/>
          <w:sz w:val="24"/>
          <w:szCs w:val="24"/>
          <w:highlight w:val="none"/>
        </w:rPr>
        <w:t>：</w:t>
      </w:r>
      <w:bookmarkEnd w:id="84"/>
      <w:r>
        <w:rPr>
          <w:rFonts w:hint="eastAsia" w:ascii="宋体" w:hAnsi="宋体"/>
          <w:spacing w:val="4"/>
          <w:kern w:val="0"/>
          <w:sz w:val="24"/>
          <w:szCs w:val="24"/>
          <w:highlight w:val="none"/>
        </w:rPr>
        <w:t>主要人员简历表</w:t>
      </w:r>
      <w:bookmarkEnd w:id="85"/>
      <w:bookmarkEnd w:id="86"/>
    </w:p>
    <w:p>
      <w:pPr>
        <w:widowControl/>
        <w:topLinePunct/>
        <w:adjustRightInd w:val="0"/>
        <w:snapToGrid w:val="0"/>
        <w:spacing w:after="200" w:line="360" w:lineRule="auto"/>
        <w:jc w:val="center"/>
        <w:rPr>
          <w:rFonts w:ascii="宋体" w:hAnsi="宋体"/>
          <w:b/>
          <w:spacing w:val="4"/>
          <w:kern w:val="0"/>
          <w:sz w:val="36"/>
          <w:szCs w:val="36"/>
          <w:highlight w:val="none"/>
        </w:rPr>
      </w:pPr>
      <w:r>
        <w:rPr>
          <w:rFonts w:hint="eastAsia" w:ascii="宋体" w:hAnsi="宋体"/>
          <w:b/>
          <w:spacing w:val="4"/>
          <w:kern w:val="0"/>
          <w:sz w:val="36"/>
          <w:szCs w:val="36"/>
          <w:highlight w:val="none"/>
        </w:rPr>
        <w:t>主要人员简历表</w:t>
      </w:r>
    </w:p>
    <w:tbl>
      <w:tblPr>
        <w:tblStyle w:val="39"/>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姓名</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性别</w:t>
            </w:r>
          </w:p>
        </w:tc>
        <w:tc>
          <w:tcPr>
            <w:tcW w:w="1701"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c>
          <w:tcPr>
            <w:tcW w:w="1182"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年龄</w:t>
            </w:r>
          </w:p>
        </w:tc>
        <w:tc>
          <w:tcPr>
            <w:tcW w:w="1620"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default" w:ascii="宋体" w:hAnsi="宋体"/>
                <w:b/>
                <w:bCs/>
                <w:kern w:val="0"/>
                <w:sz w:val="22"/>
                <w:szCs w:val="21"/>
                <w:highlight w:val="none"/>
                <w:lang w:eastAsia="en-US" w:bidi="en-US"/>
              </w:rPr>
              <w:t>身份证号码</w:t>
            </w:r>
          </w:p>
        </w:tc>
        <w:tc>
          <w:tcPr>
            <w:tcW w:w="7999" w:type="dxa"/>
            <w:gridSpan w:val="1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职务</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职称</w:t>
            </w:r>
          </w:p>
        </w:tc>
        <w:tc>
          <w:tcPr>
            <w:tcW w:w="1701"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c>
          <w:tcPr>
            <w:tcW w:w="1182"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学历</w:t>
            </w:r>
          </w:p>
        </w:tc>
        <w:tc>
          <w:tcPr>
            <w:tcW w:w="1620"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参加工作</w:t>
            </w:r>
          </w:p>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时间</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担任相应职务年限</w:t>
            </w:r>
          </w:p>
        </w:tc>
        <w:tc>
          <w:tcPr>
            <w:tcW w:w="4503" w:type="dxa"/>
            <w:gridSpan w:val="5"/>
            <w:vAlign w:val="center"/>
          </w:tcPr>
          <w:p>
            <w:pPr>
              <w:keepNext/>
              <w:keepLines/>
              <w:widowControl/>
              <w:suppressLineNumbers w:val="0"/>
              <w:spacing w:before="120" w:beforeAutospacing="0" w:after="120" w:afterAutospacing="0" w:line="276" w:lineRule="auto"/>
              <w:ind w:left="0" w:right="0"/>
              <w:jc w:val="center"/>
              <w:outlineLvl w:val="0"/>
              <w:rPr>
                <w:rFonts w:hint="default" w:ascii="宋体" w:hAnsi="宋体"/>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资</w:t>
            </w:r>
            <w:bookmarkStart w:id="87" w:name="_Toc449308427"/>
            <w:bookmarkStart w:id="88" w:name="_Toc358370585"/>
            <w:bookmarkStart w:id="89" w:name="_Toc226209010"/>
            <w:bookmarkStart w:id="90" w:name="_Toc239216038"/>
            <w:bookmarkStart w:id="91" w:name="_Toc352623428"/>
            <w:bookmarkStart w:id="92" w:name="_Toc337720098"/>
            <w:bookmarkStart w:id="93" w:name="_Toc239311753"/>
            <w:bookmarkStart w:id="94" w:name="_Toc163337627"/>
            <w:bookmarkStart w:id="95" w:name="_Toc369536777"/>
            <w:bookmarkStart w:id="96" w:name="_Toc352240530"/>
            <w:bookmarkStart w:id="97" w:name="_Toc318924502"/>
            <w:bookmarkStart w:id="98" w:name="_Toc395261106"/>
            <w:r>
              <w:rPr>
                <w:rFonts w:hint="eastAsia" w:ascii="宋体" w:hAnsi="宋体"/>
                <w:b/>
                <w:kern w:val="0"/>
                <w:sz w:val="24"/>
                <w:szCs w:val="24"/>
                <w:highlight w:val="none"/>
                <w:lang w:eastAsia="en-US" w:bidi="en-US"/>
              </w:rPr>
              <w:t>格证书号</w:t>
            </w:r>
          </w:p>
        </w:tc>
        <w:tc>
          <w:tcPr>
            <w:tcW w:w="7999" w:type="dxa"/>
            <w:gridSpan w:val="10"/>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pPr>
              <w:keepNext w:val="0"/>
              <w:keepLines w:val="0"/>
              <w:widowControl/>
              <w:suppressLineNumbers w:val="0"/>
              <w:topLinePunct/>
              <w:adjustRightInd w:val="0"/>
              <w:snapToGrid w:val="0"/>
              <w:spacing w:before="240" w:beforeAutospacing="0" w:after="200" w:afterAutospacing="0"/>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建设单位</w:t>
            </w:r>
            <w:bookmarkEnd w:id="87"/>
            <w:bookmarkEnd w:id="88"/>
            <w:bookmarkEnd w:id="89"/>
            <w:bookmarkEnd w:id="90"/>
            <w:bookmarkEnd w:id="91"/>
            <w:bookmarkEnd w:id="92"/>
            <w:bookmarkEnd w:id="93"/>
            <w:bookmarkEnd w:id="94"/>
            <w:bookmarkEnd w:id="95"/>
            <w:bookmarkEnd w:id="96"/>
            <w:bookmarkEnd w:id="97"/>
            <w:bookmarkEnd w:id="98"/>
          </w:p>
        </w:tc>
        <w:tc>
          <w:tcPr>
            <w:tcW w:w="1547"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项目名称</w:t>
            </w:r>
          </w:p>
        </w:tc>
        <w:tc>
          <w:tcPr>
            <w:tcW w:w="1549"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建设规模</w:t>
            </w:r>
          </w:p>
        </w:tc>
        <w:tc>
          <w:tcPr>
            <w:tcW w:w="1783"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开、竣工日期</w:t>
            </w:r>
          </w:p>
        </w:tc>
        <w:tc>
          <w:tcPr>
            <w:tcW w:w="1547" w:type="dxa"/>
            <w:gridSpan w:val="3"/>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在建或已完</w:t>
            </w:r>
          </w:p>
        </w:tc>
        <w:tc>
          <w:tcPr>
            <w:tcW w:w="1551"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kern w:val="0"/>
                <w:sz w:val="24"/>
                <w:szCs w:val="24"/>
                <w:highlight w:val="none"/>
                <w:lang w:eastAsia="en-US" w:bidi="en-US"/>
              </w:rPr>
            </w:pPr>
            <w:r>
              <w:rPr>
                <w:rFonts w:hint="eastAsia" w:ascii="宋体" w:hAnsi="宋体"/>
                <w:b/>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c>
          <w:tcPr>
            <w:tcW w:w="1547"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c>
          <w:tcPr>
            <w:tcW w:w="1549"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c>
          <w:tcPr>
            <w:tcW w:w="1783"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c>
          <w:tcPr>
            <w:tcW w:w="1547" w:type="dxa"/>
            <w:gridSpan w:val="3"/>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c>
          <w:tcPr>
            <w:tcW w:w="1551"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c>
          <w:tcPr>
            <w:tcW w:w="1547"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c>
          <w:tcPr>
            <w:tcW w:w="1549"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c>
          <w:tcPr>
            <w:tcW w:w="1783"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c>
          <w:tcPr>
            <w:tcW w:w="1547" w:type="dxa"/>
            <w:gridSpan w:val="3"/>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c>
          <w:tcPr>
            <w:tcW w:w="1551"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spacing w:val="4"/>
                <w:sz w:val="24"/>
                <w:szCs w:val="24"/>
                <w:highlight w:val="none"/>
                <w:lang w:bidi="en-US"/>
              </w:rPr>
            </w:pPr>
          </w:p>
        </w:tc>
      </w:tr>
    </w:tbl>
    <w:p>
      <w:pPr>
        <w:ind w:firstLine="551" w:firstLineChars="196"/>
        <w:rPr>
          <w:rFonts w:ascii="仿宋" w:hAnsi="仿宋" w:eastAsia="仿宋"/>
          <w:b/>
          <w:bCs/>
          <w:sz w:val="28"/>
          <w:szCs w:val="28"/>
          <w:highlight w:val="none"/>
        </w:rPr>
      </w:pPr>
    </w:p>
    <w:p>
      <w:pPr>
        <w:widowControl/>
        <w:topLinePunct/>
        <w:adjustRightInd w:val="0"/>
        <w:snapToGrid w:val="0"/>
        <w:spacing w:after="200" w:line="360" w:lineRule="auto"/>
        <w:ind w:firstLine="198" w:firstLineChars="80"/>
        <w:jc w:val="left"/>
        <w:rPr>
          <w:rFonts w:ascii="宋体" w:hAnsi="宋体"/>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r>
        <w:rPr>
          <w:rFonts w:hint="eastAsia" w:ascii="宋体" w:hAnsi="宋体"/>
          <w:spacing w:val="4"/>
          <w:kern w:val="0"/>
          <w:sz w:val="24"/>
          <w:szCs w:val="24"/>
          <w:highlight w:val="none"/>
        </w:rPr>
        <w:t>投标人：　　</w:t>
      </w:r>
    </w:p>
    <w:p>
      <w:pPr>
        <w:ind w:right="420" w:firstLine="3596" w:firstLineChars="1450"/>
        <w:rPr>
          <w:highlight w:val="none"/>
        </w:rPr>
      </w:pPr>
      <w:r>
        <w:rPr>
          <w:rFonts w:hint="eastAsia" w:ascii="宋体" w:hAnsi="宋体"/>
          <w:spacing w:val="4"/>
          <w:kern w:val="0"/>
          <w:sz w:val="24"/>
          <w:szCs w:val="24"/>
          <w:highlight w:val="none"/>
        </w:rPr>
        <w:t xml:space="preserve">日   期：    年    月    日 </w:t>
      </w:r>
    </w:p>
    <w:p>
      <w:pPr>
        <w:widowControl/>
        <w:topLinePunct/>
        <w:adjustRightInd w:val="0"/>
        <w:snapToGrid w:val="0"/>
        <w:spacing w:after="200" w:line="240" w:lineRule="auto"/>
        <w:jc w:val="left"/>
        <w:outlineLvl w:val="2"/>
        <w:rPr>
          <w:rFonts w:hint="eastAsia" w:ascii="宋体" w:hAnsi="宋体" w:cs="Times New Roman"/>
          <w:b w:val="0"/>
          <w:bCs w:val="0"/>
          <w:spacing w:val="4"/>
          <w:kern w:val="0"/>
          <w:sz w:val="24"/>
          <w:szCs w:val="24"/>
          <w:highlight w:val="none"/>
        </w:rPr>
      </w:pPr>
      <w:r>
        <w:rPr>
          <w:rFonts w:hint="eastAsia" w:ascii="宋体" w:hAnsi="宋体" w:cs="宋体"/>
          <w:color w:val="auto"/>
          <w:szCs w:val="21"/>
          <w:highlight w:val="none"/>
        </w:rPr>
        <w:br w:type="page"/>
      </w:r>
      <w:bookmarkStart w:id="99" w:name="_Toc12738"/>
      <w:r>
        <w:rPr>
          <w:rFonts w:hint="eastAsia" w:ascii="宋体" w:hAnsi="宋体"/>
          <w:spacing w:val="4"/>
          <w:kern w:val="0"/>
          <w:sz w:val="24"/>
          <w:szCs w:val="24"/>
          <w:highlight w:val="none"/>
        </w:rPr>
        <w:t>格式</w:t>
      </w:r>
      <w:r>
        <w:rPr>
          <w:rFonts w:hint="eastAsia" w:ascii="宋体" w:hAnsi="宋体"/>
          <w:spacing w:val="4"/>
          <w:kern w:val="0"/>
          <w:sz w:val="24"/>
          <w:szCs w:val="24"/>
          <w:highlight w:val="none"/>
          <w:lang w:val="en-US" w:eastAsia="zh-CN"/>
        </w:rPr>
        <w:t>七</w:t>
      </w:r>
      <w:r>
        <w:rPr>
          <w:rFonts w:hint="eastAsia" w:ascii="宋体" w:hAnsi="宋体"/>
          <w:spacing w:val="4"/>
          <w:kern w:val="0"/>
          <w:sz w:val="24"/>
          <w:szCs w:val="24"/>
          <w:highlight w:val="none"/>
        </w:rPr>
        <w:t>：</w:t>
      </w:r>
      <w:bookmarkEnd w:id="99"/>
      <w:r>
        <w:rPr>
          <w:rFonts w:hint="eastAsia" w:ascii="宋体" w:hAnsi="宋体" w:cs="Times New Roman"/>
          <w:b w:val="0"/>
          <w:bCs w:val="0"/>
          <w:spacing w:val="4"/>
          <w:kern w:val="0"/>
          <w:sz w:val="24"/>
          <w:szCs w:val="24"/>
          <w:highlight w:val="none"/>
        </w:rPr>
        <w:t>类似业绩一览表</w:t>
      </w:r>
    </w:p>
    <w:p>
      <w:pPr>
        <w:widowControl/>
        <w:topLinePunct/>
        <w:adjustRightInd w:val="0"/>
        <w:snapToGrid w:val="0"/>
        <w:spacing w:after="200" w:line="360" w:lineRule="auto"/>
        <w:jc w:val="center"/>
        <w:rPr>
          <w:rFonts w:hint="eastAsia" w:ascii="宋体" w:hAnsi="宋体" w:eastAsia="宋体" w:cs="Times New Roman"/>
          <w:b/>
          <w:bCs w:val="0"/>
          <w:spacing w:val="4"/>
          <w:kern w:val="0"/>
          <w:sz w:val="32"/>
          <w:szCs w:val="32"/>
          <w:highlight w:val="none"/>
        </w:rPr>
      </w:pPr>
      <w:r>
        <w:rPr>
          <w:rFonts w:hint="eastAsia" w:ascii="宋体" w:hAnsi="宋体" w:eastAsia="宋体" w:cs="Times New Roman"/>
          <w:b/>
          <w:bCs w:val="0"/>
          <w:spacing w:val="4"/>
          <w:kern w:val="0"/>
          <w:sz w:val="32"/>
          <w:szCs w:val="32"/>
          <w:highlight w:val="none"/>
        </w:rPr>
        <w:t>类似业绩一览表（取自广州市住建行业信用管理平台）</w:t>
      </w:r>
    </w:p>
    <w:p>
      <w:pPr>
        <w:tabs>
          <w:tab w:val="left" w:pos="720"/>
        </w:tabs>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大学城校区国际楼A栋提升改造项目工程施工</w:t>
      </w:r>
    </w:p>
    <w:tbl>
      <w:tblPr>
        <w:tblStyle w:val="39"/>
        <w:tblW w:w="851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89"/>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289"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25"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89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9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289"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2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pPr>
        <w:tabs>
          <w:tab w:val="left" w:pos="720"/>
        </w:tabs>
        <w:snapToGrid w:val="0"/>
        <w:spacing w:line="360" w:lineRule="auto"/>
        <w:rPr>
          <w:rFonts w:hint="eastAsia" w:ascii="宋体" w:hAnsi="宋体" w:cs="宋体"/>
          <w:color w:val="auto"/>
          <w:szCs w:val="21"/>
          <w:highlight w:val="none"/>
        </w:rPr>
      </w:pP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r>
        <w:rPr>
          <w:rFonts w:hint="eastAsia" w:ascii="宋体" w:hAnsi="宋体"/>
          <w:spacing w:val="4"/>
          <w:kern w:val="0"/>
          <w:sz w:val="24"/>
          <w:szCs w:val="24"/>
          <w:highlight w:val="none"/>
        </w:rPr>
        <w:t>投标人：　　</w:t>
      </w:r>
    </w:p>
    <w:p>
      <w:pPr>
        <w:ind w:right="420" w:firstLine="3596" w:firstLineChars="1450"/>
        <w:rPr>
          <w:highlight w:val="none"/>
        </w:rPr>
      </w:pPr>
      <w:r>
        <w:rPr>
          <w:rFonts w:hint="eastAsia" w:ascii="宋体" w:hAnsi="宋体"/>
          <w:spacing w:val="4"/>
          <w:kern w:val="0"/>
          <w:sz w:val="24"/>
          <w:szCs w:val="24"/>
          <w:highlight w:val="none"/>
        </w:rPr>
        <w:t xml:space="preserve">日   期：    年    月    日 </w:t>
      </w:r>
    </w:p>
    <w:p>
      <w:pPr>
        <w:keepNext w:val="0"/>
        <w:keepLines w:val="0"/>
        <w:widowControl/>
        <w:suppressLineNumbers w:val="0"/>
        <w:jc w:val="left"/>
        <w:rPr>
          <w:rFonts w:hint="eastAsia" w:ascii="宋体" w:hAnsi="宋体" w:eastAsia="宋体" w:cs="宋体"/>
          <w:color w:val="auto"/>
          <w:szCs w:val="21"/>
          <w:highlight w:val="none"/>
          <w:lang w:val="en-US" w:eastAsia="zh-CN"/>
        </w:rPr>
      </w:pPr>
    </w:p>
    <w:p>
      <w:pPr>
        <w:widowControl/>
        <w:topLinePunct/>
        <w:adjustRightInd w:val="0"/>
        <w:snapToGrid w:val="0"/>
        <w:spacing w:after="200" w:line="360" w:lineRule="auto"/>
        <w:jc w:val="center"/>
        <w:rPr>
          <w:rFonts w:hint="eastAsia" w:ascii="宋体" w:hAnsi="宋体" w:cs="Times New Roman"/>
          <w:b/>
          <w:bCs w:val="0"/>
          <w:spacing w:val="4"/>
          <w:kern w:val="0"/>
          <w:sz w:val="36"/>
          <w:szCs w:val="36"/>
          <w:highlight w:val="none"/>
          <w:lang w:val="en-US" w:eastAsia="zh-CN"/>
        </w:rPr>
      </w:pPr>
    </w:p>
    <w:p>
      <w:pPr>
        <w:widowControl/>
        <w:topLinePunct/>
        <w:adjustRightInd w:val="0"/>
        <w:snapToGrid w:val="0"/>
        <w:spacing w:after="200" w:line="360" w:lineRule="auto"/>
        <w:jc w:val="center"/>
        <w:rPr>
          <w:rFonts w:hint="eastAsia" w:ascii="宋体" w:hAnsi="宋体" w:eastAsia="宋体" w:cs="Times New Roman"/>
          <w:b/>
          <w:bCs w:val="0"/>
          <w:spacing w:val="4"/>
          <w:kern w:val="0"/>
          <w:sz w:val="32"/>
          <w:szCs w:val="32"/>
          <w:highlight w:val="none"/>
          <w:lang w:val="en-US" w:eastAsia="zh-CN"/>
        </w:rPr>
      </w:pPr>
      <w:r>
        <w:rPr>
          <w:rFonts w:hint="eastAsia" w:ascii="宋体" w:hAnsi="宋体" w:eastAsia="宋体" w:cs="Times New Roman"/>
          <w:b/>
          <w:bCs w:val="0"/>
          <w:spacing w:val="4"/>
          <w:kern w:val="0"/>
          <w:sz w:val="32"/>
          <w:szCs w:val="32"/>
          <w:highlight w:val="none"/>
          <w:lang w:val="en-US" w:eastAsia="zh-CN"/>
        </w:rPr>
        <w:t>类似业绩一览表（不取自广州市住建行业信用管理平台）</w:t>
      </w:r>
    </w:p>
    <w:p>
      <w:pPr>
        <w:tabs>
          <w:tab w:val="left" w:pos="720"/>
        </w:tabs>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大学城校区国际楼A栋提升改造项目工程施工</w:t>
      </w:r>
    </w:p>
    <w:tbl>
      <w:tblPr>
        <w:tblStyle w:val="39"/>
        <w:tblW w:w="8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398"/>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398" w:type="dxa"/>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424" w:type="dxa"/>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合同总价（万元）</w:t>
            </w:r>
          </w:p>
        </w:tc>
        <w:tc>
          <w:tcPr>
            <w:tcW w:w="2424" w:type="dxa"/>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382"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r>
        <w:rPr>
          <w:rFonts w:hint="eastAsia" w:ascii="宋体" w:hAnsi="宋体"/>
          <w:spacing w:val="4"/>
          <w:kern w:val="0"/>
          <w:sz w:val="24"/>
          <w:szCs w:val="24"/>
          <w:highlight w:val="none"/>
        </w:rPr>
        <w:t>投标人：　　</w:t>
      </w:r>
    </w:p>
    <w:p>
      <w:pPr>
        <w:ind w:right="420" w:firstLine="3596" w:firstLineChars="1450"/>
        <w:rPr>
          <w:highlight w:val="none"/>
        </w:rPr>
      </w:pPr>
      <w:r>
        <w:rPr>
          <w:rFonts w:hint="eastAsia" w:ascii="宋体" w:hAnsi="宋体"/>
          <w:spacing w:val="4"/>
          <w:kern w:val="0"/>
          <w:sz w:val="24"/>
          <w:szCs w:val="24"/>
          <w:highlight w:val="none"/>
        </w:rPr>
        <w:t xml:space="preserve">日   期：    年    月    日 </w:t>
      </w:r>
    </w:p>
    <w:p>
      <w:pPr>
        <w:widowControl/>
        <w:topLinePunct/>
        <w:adjustRightInd w:val="0"/>
        <w:snapToGrid w:val="0"/>
        <w:spacing w:after="200" w:line="240" w:lineRule="auto"/>
        <w:jc w:val="left"/>
        <w:outlineLvl w:val="2"/>
        <w:rPr>
          <w:rFonts w:hint="eastAsia" w:ascii="宋体" w:hAnsi="宋体" w:cs="宋体"/>
          <w:b/>
          <w:bCs/>
          <w:color w:val="auto"/>
          <w:sz w:val="24"/>
          <w:szCs w:val="24"/>
          <w:highlight w:val="none"/>
        </w:rPr>
      </w:pPr>
      <w:r>
        <w:rPr>
          <w:rFonts w:hint="eastAsia" w:ascii="宋体" w:hAnsi="宋体" w:cs="Times New Roman"/>
          <w:b/>
          <w:bCs w:val="0"/>
          <w:spacing w:val="4"/>
          <w:kern w:val="0"/>
          <w:sz w:val="36"/>
          <w:szCs w:val="36"/>
          <w:highlight w:val="none"/>
          <w:lang w:val="en-US" w:eastAsia="zh-CN"/>
        </w:rPr>
        <w:br w:type="page"/>
      </w:r>
      <w:r>
        <w:rPr>
          <w:rFonts w:hint="eastAsia" w:ascii="宋体" w:hAnsi="宋体" w:cs="Times New Roman"/>
          <w:b w:val="0"/>
          <w:bCs w:val="0"/>
          <w:spacing w:val="4"/>
          <w:kern w:val="0"/>
          <w:sz w:val="24"/>
          <w:szCs w:val="24"/>
          <w:highlight w:val="none"/>
        </w:rPr>
        <w:t>格式</w:t>
      </w:r>
      <w:r>
        <w:rPr>
          <w:rFonts w:hint="eastAsia" w:ascii="宋体" w:hAnsi="宋体" w:cs="Times New Roman"/>
          <w:b w:val="0"/>
          <w:bCs w:val="0"/>
          <w:spacing w:val="4"/>
          <w:kern w:val="0"/>
          <w:sz w:val="24"/>
          <w:szCs w:val="24"/>
          <w:highlight w:val="none"/>
          <w:lang w:val="en-US" w:eastAsia="zh-CN"/>
        </w:rPr>
        <w:t>八</w:t>
      </w:r>
      <w:r>
        <w:rPr>
          <w:rFonts w:hint="eastAsia" w:ascii="宋体" w:hAnsi="宋体" w:cs="Times New Roman"/>
          <w:b w:val="0"/>
          <w:bCs w:val="0"/>
          <w:spacing w:val="4"/>
          <w:kern w:val="0"/>
          <w:sz w:val="24"/>
          <w:szCs w:val="24"/>
          <w:highlight w:val="none"/>
        </w:rPr>
        <w:t>：工程奖项一览表</w:t>
      </w:r>
    </w:p>
    <w:p>
      <w:pPr>
        <w:widowControl/>
        <w:topLinePunct/>
        <w:adjustRightInd w:val="0"/>
        <w:snapToGrid w:val="0"/>
        <w:spacing w:after="200" w:line="360" w:lineRule="auto"/>
        <w:jc w:val="center"/>
        <w:rPr>
          <w:rFonts w:hint="eastAsia" w:ascii="宋体" w:hAnsi="宋体" w:eastAsia="宋体" w:cs="Times New Roman"/>
          <w:b/>
          <w:bCs w:val="0"/>
          <w:spacing w:val="4"/>
          <w:kern w:val="0"/>
          <w:sz w:val="32"/>
          <w:szCs w:val="32"/>
          <w:highlight w:val="none"/>
        </w:rPr>
      </w:pPr>
      <w:r>
        <w:rPr>
          <w:rFonts w:hint="eastAsia" w:ascii="宋体" w:hAnsi="宋体" w:eastAsia="宋体" w:cs="Times New Roman"/>
          <w:b/>
          <w:bCs w:val="0"/>
          <w:spacing w:val="4"/>
          <w:kern w:val="0"/>
          <w:sz w:val="32"/>
          <w:szCs w:val="32"/>
          <w:highlight w:val="none"/>
        </w:rPr>
        <w:t>工程奖项一览表（取自广州市住建行业信用管理平台）</w:t>
      </w:r>
    </w:p>
    <w:p>
      <w:pPr>
        <w:tabs>
          <w:tab w:val="left" w:pos="720"/>
        </w:tabs>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大学城校区国际楼A栋提升改造项目工程施工</w:t>
      </w:r>
    </w:p>
    <w:tbl>
      <w:tblPr>
        <w:tblStyle w:val="3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331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85"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3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17"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r>
        <w:rPr>
          <w:rFonts w:hint="eastAsia" w:ascii="宋体" w:hAnsi="宋体"/>
          <w:spacing w:val="4"/>
          <w:kern w:val="0"/>
          <w:sz w:val="24"/>
          <w:szCs w:val="24"/>
          <w:highlight w:val="none"/>
        </w:rPr>
        <w:t>投标人：　　</w:t>
      </w:r>
    </w:p>
    <w:p>
      <w:pPr>
        <w:ind w:right="420" w:firstLine="3596" w:firstLineChars="1450"/>
        <w:rPr>
          <w:highlight w:val="none"/>
        </w:rPr>
      </w:pPr>
      <w:r>
        <w:rPr>
          <w:rFonts w:hint="eastAsia" w:ascii="宋体" w:hAnsi="宋体"/>
          <w:spacing w:val="4"/>
          <w:kern w:val="0"/>
          <w:sz w:val="24"/>
          <w:szCs w:val="24"/>
          <w:highlight w:val="none"/>
        </w:rPr>
        <w:t xml:space="preserve">日   期：    年    月    日 </w:t>
      </w:r>
    </w:p>
    <w:p>
      <w:pPr>
        <w:tabs>
          <w:tab w:val="left" w:pos="720"/>
        </w:tabs>
        <w:snapToGrid w:val="0"/>
        <w:spacing w:line="360" w:lineRule="auto"/>
        <w:rPr>
          <w:rFonts w:ascii="宋体" w:hAnsi="宋体" w:cs="宋体"/>
          <w:color w:val="auto"/>
          <w:szCs w:val="21"/>
          <w:highlight w:val="none"/>
        </w:rPr>
      </w:pPr>
    </w:p>
    <w:p>
      <w:pPr>
        <w:widowControl/>
        <w:topLinePunct/>
        <w:adjustRightInd w:val="0"/>
        <w:snapToGrid w:val="0"/>
        <w:spacing w:after="200" w:line="360" w:lineRule="auto"/>
        <w:jc w:val="center"/>
        <w:rPr>
          <w:rFonts w:hint="eastAsia" w:ascii="宋体" w:hAnsi="宋体" w:cs="Times New Roman"/>
          <w:b/>
          <w:bCs w:val="0"/>
          <w:spacing w:val="4"/>
          <w:kern w:val="0"/>
          <w:sz w:val="32"/>
          <w:szCs w:val="32"/>
          <w:highlight w:val="none"/>
        </w:rPr>
      </w:pPr>
      <w:r>
        <w:rPr>
          <w:rFonts w:hint="eastAsia" w:ascii="宋体" w:hAnsi="宋体" w:cs="Times New Roman"/>
          <w:b/>
          <w:bCs w:val="0"/>
          <w:spacing w:val="4"/>
          <w:kern w:val="0"/>
          <w:sz w:val="32"/>
          <w:szCs w:val="32"/>
          <w:highlight w:val="none"/>
        </w:rPr>
        <w:t>工程奖项一览表（不取自广州市住建行业信用管理平台）</w:t>
      </w:r>
    </w:p>
    <w:p>
      <w:pPr>
        <w:tabs>
          <w:tab w:val="left" w:pos="720"/>
        </w:tabs>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大学城校区国际楼A栋提升改造项目工程施工</w:t>
      </w:r>
    </w:p>
    <w:tbl>
      <w:tblPr>
        <w:tblStyle w:val="3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331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85"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311"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17" w:type="dxa"/>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获得奖项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885"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pPr>
        <w:widowControl/>
        <w:topLinePunct/>
        <w:adjustRightInd w:val="0"/>
        <w:snapToGrid w:val="0"/>
        <w:spacing w:after="200" w:line="360" w:lineRule="auto"/>
        <w:ind w:firstLine="3596" w:firstLineChars="1450"/>
        <w:jc w:val="left"/>
        <w:rPr>
          <w:rFonts w:ascii="宋体" w:hAnsi="宋体"/>
          <w:spacing w:val="4"/>
          <w:kern w:val="0"/>
          <w:sz w:val="24"/>
          <w:szCs w:val="24"/>
          <w:highlight w:val="none"/>
        </w:rPr>
      </w:pPr>
      <w:r>
        <w:rPr>
          <w:rFonts w:hint="eastAsia" w:ascii="宋体" w:hAnsi="宋体"/>
          <w:spacing w:val="4"/>
          <w:kern w:val="0"/>
          <w:sz w:val="24"/>
          <w:szCs w:val="24"/>
          <w:highlight w:val="none"/>
        </w:rPr>
        <w:t>投标人：　　</w:t>
      </w:r>
    </w:p>
    <w:p>
      <w:pPr>
        <w:ind w:right="420" w:firstLine="3596" w:firstLineChars="1450"/>
        <w:rPr>
          <w:highlight w:val="none"/>
        </w:rPr>
      </w:pPr>
      <w:r>
        <w:rPr>
          <w:rFonts w:hint="eastAsia" w:ascii="宋体" w:hAnsi="宋体"/>
          <w:spacing w:val="4"/>
          <w:kern w:val="0"/>
          <w:sz w:val="24"/>
          <w:szCs w:val="24"/>
          <w:highlight w:val="none"/>
        </w:rPr>
        <w:t xml:space="preserve">日   期：    年    月    日 </w:t>
      </w:r>
    </w:p>
    <w:p>
      <w:pPr>
        <w:widowControl/>
        <w:topLinePunct/>
        <w:adjustRightInd w:val="0"/>
        <w:snapToGrid w:val="0"/>
        <w:spacing w:after="200" w:line="240" w:lineRule="auto"/>
        <w:jc w:val="left"/>
        <w:outlineLvl w:val="2"/>
        <w:rPr>
          <w:rFonts w:hint="eastAsia" w:ascii="宋体" w:hAnsi="宋体" w:eastAsia="宋体" w:cs="Times New Roman"/>
          <w:b w:val="0"/>
          <w:bCs w:val="0"/>
          <w:color w:val="auto"/>
          <w:spacing w:val="4"/>
          <w:kern w:val="0"/>
          <w:sz w:val="24"/>
          <w:szCs w:val="24"/>
          <w:highlight w:val="none"/>
        </w:rPr>
      </w:pPr>
      <w:r>
        <w:rPr>
          <w:rFonts w:hint="eastAsia" w:ascii="宋体" w:hAnsi="宋体" w:cs="宋体"/>
          <w:snapToGrid w:val="0"/>
          <w:color w:val="auto"/>
          <w:highlight w:val="none"/>
        </w:rPr>
        <w:br w:type="page"/>
      </w:r>
      <w:bookmarkStart w:id="100" w:name="_Toc32404"/>
      <w:r>
        <w:rPr>
          <w:rFonts w:hint="eastAsia" w:ascii="宋体" w:hAnsi="宋体" w:cs="Times New Roman"/>
          <w:b w:val="0"/>
          <w:bCs w:val="0"/>
          <w:color w:val="auto"/>
          <w:spacing w:val="4"/>
          <w:kern w:val="0"/>
          <w:sz w:val="24"/>
          <w:szCs w:val="24"/>
          <w:highlight w:val="none"/>
        </w:rPr>
        <w:t>格式</w:t>
      </w:r>
      <w:r>
        <w:rPr>
          <w:rFonts w:hint="eastAsia" w:ascii="宋体" w:hAnsi="宋体" w:cs="Times New Roman"/>
          <w:b w:val="0"/>
          <w:bCs w:val="0"/>
          <w:color w:val="auto"/>
          <w:spacing w:val="4"/>
          <w:kern w:val="0"/>
          <w:sz w:val="24"/>
          <w:szCs w:val="24"/>
          <w:highlight w:val="none"/>
          <w:lang w:val="en-US" w:eastAsia="zh-CN"/>
        </w:rPr>
        <w:t>九</w:t>
      </w:r>
      <w:r>
        <w:rPr>
          <w:rFonts w:hint="eastAsia" w:ascii="宋体" w:hAnsi="宋体" w:cs="Times New Roman"/>
          <w:b w:val="0"/>
          <w:bCs w:val="0"/>
          <w:color w:val="auto"/>
          <w:spacing w:val="4"/>
          <w:kern w:val="0"/>
          <w:sz w:val="24"/>
          <w:szCs w:val="24"/>
          <w:highlight w:val="none"/>
        </w:rPr>
        <w:t>：</w:t>
      </w:r>
      <w:r>
        <w:rPr>
          <w:rFonts w:hint="eastAsia" w:ascii="宋体" w:hAnsi="宋体" w:eastAsia="宋体" w:cs="Times New Roman"/>
          <w:b w:val="0"/>
          <w:bCs w:val="0"/>
          <w:color w:val="auto"/>
          <w:spacing w:val="4"/>
          <w:kern w:val="0"/>
          <w:sz w:val="24"/>
          <w:szCs w:val="24"/>
          <w:highlight w:val="none"/>
        </w:rPr>
        <w:t>主要设备、材料拟选用品牌表</w:t>
      </w:r>
      <w:bookmarkEnd w:id="100"/>
    </w:p>
    <w:p>
      <w:pPr>
        <w:spacing w:line="360" w:lineRule="auto"/>
        <w:jc w:val="center"/>
        <w:rPr>
          <w:rFonts w:hint="eastAsia" w:ascii="宋体" w:hAnsi="宋体" w:cs="宋体"/>
          <w:color w:val="auto"/>
          <w:szCs w:val="21"/>
          <w:highlight w:val="none"/>
          <w:vertAlign w:val="baseline"/>
        </w:rPr>
      </w:pPr>
      <w:r>
        <w:rPr>
          <w:rFonts w:hint="eastAsia" w:ascii="宋体" w:hAnsi="宋体" w:cs="宋体"/>
          <w:b/>
          <w:bCs/>
          <w:color w:val="auto"/>
          <w:sz w:val="28"/>
          <w:szCs w:val="28"/>
          <w:highlight w:val="none"/>
        </w:rPr>
        <w:t>主要设备、材料拟选用品牌表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308"/>
        <w:gridCol w:w="399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材料、设备名称</w:t>
            </w:r>
          </w:p>
        </w:tc>
        <w:tc>
          <w:tcPr>
            <w:tcW w:w="0" w:type="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厂家或品牌</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cs="宋体"/>
                <w:i w:val="0"/>
                <w:iCs w:val="0"/>
                <w:color w:val="000000"/>
                <w:kern w:val="0"/>
                <w:sz w:val="22"/>
                <w:szCs w:val="22"/>
                <w:highlight w:val="none"/>
                <w:u w:val="none"/>
                <w:lang w:val="en-US" w:eastAsia="zh-CN" w:bidi="ar"/>
              </w:rPr>
              <w:t>（或相当于）</w:t>
            </w:r>
          </w:p>
        </w:tc>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投标人</w:t>
            </w:r>
            <w:r>
              <w:rPr>
                <w:rFonts w:hint="eastAsia" w:ascii="宋体" w:hAnsi="宋体" w:cs="宋体"/>
                <w:i w:val="0"/>
                <w:iCs w:val="0"/>
                <w:color w:val="000000"/>
                <w:kern w:val="0"/>
                <w:sz w:val="22"/>
                <w:szCs w:val="22"/>
                <w:highlight w:val="none"/>
                <w:u w:val="none"/>
                <w:lang w:val="en-US" w:eastAsia="zh-CN" w:bidi="ar"/>
              </w:rPr>
              <w:t>拟</w:t>
            </w:r>
            <w:r>
              <w:rPr>
                <w:rFonts w:hint="eastAsia" w:ascii="宋体" w:hAnsi="宋体" w:eastAsia="宋体" w:cs="宋体"/>
                <w:i w:val="0"/>
                <w:iCs w:val="0"/>
                <w:color w:val="000000"/>
                <w:kern w:val="0"/>
                <w:sz w:val="22"/>
                <w:szCs w:val="22"/>
                <w:highlight w:val="none"/>
                <w:u w:val="none"/>
                <w:lang w:val="en-US" w:eastAsia="zh-CN" w:bidi="ar"/>
              </w:rPr>
              <w:t>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0" w:type="auto"/>
            <w:gridSpan w:val="3"/>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vertAlign w:val="baseline"/>
              </w:rPr>
            </w:pPr>
            <w:r>
              <w:rPr>
                <w:rFonts w:hint="eastAsia" w:ascii="宋体" w:hAnsi="宋体" w:eastAsia="宋体" w:cs="宋体"/>
                <w:b/>
                <w:bCs/>
                <w:i w:val="0"/>
                <w:iCs w:val="0"/>
                <w:color w:val="FF0000"/>
                <w:kern w:val="0"/>
                <w:sz w:val="20"/>
                <w:szCs w:val="20"/>
                <w:highlight w:val="none"/>
                <w:u w:val="none"/>
                <w:lang w:val="en-US" w:eastAsia="zh-CN" w:bidi="ar"/>
              </w:rPr>
              <w:t>装修部分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水泥</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石井、海螺、金羊或其他同档次或以上品牌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无机涂料</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立邦、多乐士、五羊或其他同档次或以上品牌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阻燃木夹板</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兔宝宝、千年舟、伟业或其他同档次或以上品牌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铝单板</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中质、欧陆、高士达或其他同档次或以上品牌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陶瓷地砖</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东鹏、蒙娜丽莎、威尔斯或其他同档次或以上品牌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陶瓷面砖</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可耐福、华途仕、金霸或其他同档次或以上品牌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格栅吊顶（天棚吊顶）</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广铝、凤铝、亚铝或其他同档次或以上品牌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Cs w:val="21"/>
                <w:highlight w:val="none"/>
                <w:vertAlign w:val="baseli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铝合金门窗</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color w:val="auto"/>
                <w:szCs w:val="21"/>
                <w:highlight w:val="none"/>
                <w:vertAlign w:val="baseline"/>
              </w:rPr>
            </w:pPr>
            <w:r>
              <w:rPr>
                <w:rFonts w:hint="eastAsia" w:ascii="宋体" w:hAnsi="宋体" w:eastAsia="宋体" w:cs="Times New Roman"/>
                <w:b w:val="0"/>
                <w:bCs w:val="0"/>
                <w:kern w:val="2"/>
                <w:sz w:val="20"/>
                <w:highlight w:val="none"/>
                <w:lang w:val="en-US" w:eastAsia="zh-CN" w:bidi="ar-SA"/>
              </w:rPr>
              <w:t>广州蓝盾、佛山中南、华锋或其他同档次或以上品牌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0" w:type="auto"/>
            <w:gridSpan w:val="3"/>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vertAlign w:val="baseline"/>
              </w:rPr>
            </w:pPr>
            <w:r>
              <w:rPr>
                <w:rFonts w:hint="eastAsia" w:ascii="宋体" w:hAnsi="宋体" w:eastAsia="宋体" w:cs="宋体"/>
                <w:b/>
                <w:bCs/>
                <w:i w:val="0"/>
                <w:iCs w:val="0"/>
                <w:color w:val="FF0000"/>
                <w:kern w:val="0"/>
                <w:sz w:val="20"/>
                <w:szCs w:val="20"/>
                <w:highlight w:val="none"/>
                <w:u w:val="none"/>
                <w:lang w:val="en-US" w:eastAsia="zh-CN" w:bidi="ar"/>
              </w:rPr>
              <w:t>安装部分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灯开关、插座、电话电视插座</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西门子、施耐德、ABB或其它同档次或以上品牌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电缆、电线</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珠江、庆丰、广州电缆或其它同档次或以上品牌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灯具</w:t>
            </w:r>
          </w:p>
        </w:tc>
        <w:tc>
          <w:tcPr>
            <w:tcW w:w="0" w:type="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b w:val="0"/>
                <w:bCs w:val="0"/>
                <w:kern w:val="2"/>
                <w:sz w:val="20"/>
                <w:highlight w:val="none"/>
                <w:lang w:val="en-US" w:eastAsia="zh-CN" w:bidi="ar-SA"/>
              </w:rPr>
            </w:pPr>
            <w:r>
              <w:rPr>
                <w:rFonts w:hint="eastAsia" w:ascii="宋体" w:hAnsi="宋体" w:eastAsia="宋体" w:cs="Times New Roman"/>
                <w:b w:val="0"/>
                <w:bCs w:val="0"/>
                <w:kern w:val="2"/>
                <w:sz w:val="20"/>
                <w:highlight w:val="none"/>
                <w:lang w:val="en-US" w:eastAsia="zh-CN" w:bidi="ar-SA"/>
              </w:rPr>
              <w:t>欧普、九都、雷士、佛山照明或其它同档次或以上品牌</w:t>
            </w:r>
          </w:p>
        </w:tc>
        <w:tc>
          <w:tcPr>
            <w:tcW w:w="0" w:type="auto"/>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vertAlign w:val="baseline"/>
              </w:rPr>
            </w:pPr>
          </w:p>
        </w:tc>
      </w:tr>
    </w:tbl>
    <w:p>
      <w:pPr>
        <w:spacing w:line="360" w:lineRule="auto"/>
        <w:jc w:val="center"/>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注： 1、本表中选用的主要材料、设备由投标人视本工程具体实际情况自行填报。</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2、投标人若在技术标投标文件中选用的材料、设备与经济标投标文件中选用材料、设备不一致的，中标后，招标人有权选用质量性能较优、质量档次高的品牌/生产厂家，投标人不能因此向招标人要求调整价差。</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投标人选用的材料设备品牌或生产厂家应按上述《主要设备、材料拟选用品牌表》或相当于（或优于）《主要设备、材料拟选用品牌表》档次和质量的产品进行选用填报。如选用相当于或优于招标文件中推荐品牌（厂家）的，需提供有效的证明材料，有效证明材料需能充分证明其选用品牌的质量档次相当于或优于招标文件要求，且在采购前必须经招标人审批同意，否则，视为自行更换品牌，按招标文件和合同规定承担违约责任。</w:t>
      </w:r>
    </w:p>
    <w:p>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p>
    <w:p>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投标人：　</w:t>
      </w:r>
    </w:p>
    <w:p>
      <w:pPr>
        <w:spacing w:line="360" w:lineRule="auto"/>
        <w:ind w:right="0" w:firstLine="4620" w:firstLineChars="2200"/>
        <w:jc w:val="left"/>
        <w:rPr>
          <w:rFonts w:hint="eastAsia" w:ascii="宋体" w:hAnsi="宋体" w:cs="宋体"/>
          <w:color w:val="auto"/>
          <w:szCs w:val="21"/>
          <w:highlight w:val="none"/>
        </w:rPr>
      </w:pPr>
      <w:r>
        <w:rPr>
          <w:rFonts w:hint="eastAsia" w:ascii="宋体" w:hAnsi="宋体" w:cs="宋体"/>
          <w:color w:val="auto"/>
          <w:spacing w:val="0"/>
          <w:kern w:val="2"/>
          <w:sz w:val="21"/>
          <w:szCs w:val="21"/>
          <w:highlight w:val="none"/>
        </w:rPr>
        <w:t xml:space="preserve">日   期：    年    月    日 </w:t>
      </w:r>
    </w:p>
    <w:p>
      <w:pPr>
        <w:widowControl/>
        <w:topLinePunct/>
        <w:adjustRightInd w:val="0"/>
        <w:snapToGrid w:val="0"/>
        <w:spacing w:after="200"/>
        <w:jc w:val="left"/>
        <w:outlineLvl w:val="2"/>
        <w:rPr>
          <w:rFonts w:ascii="宋体" w:hAnsi="宋体" w:eastAsia="宋体" w:cs="宋体"/>
          <w:b w:val="0"/>
          <w:color w:val="auto"/>
          <w:spacing w:val="0"/>
          <w:kern w:val="2"/>
          <w:sz w:val="24"/>
          <w:szCs w:val="24"/>
          <w:highlight w:val="none"/>
        </w:rPr>
      </w:pPr>
      <w:r>
        <w:rPr>
          <w:rFonts w:hint="eastAsia" w:ascii="宋体" w:hAnsi="宋体" w:eastAsia="宋体" w:cs="Times New Roman"/>
          <w:b w:val="0"/>
          <w:bCs w:val="0"/>
          <w:color w:val="auto"/>
          <w:spacing w:val="4"/>
          <w:kern w:val="0"/>
          <w:sz w:val="24"/>
          <w:szCs w:val="24"/>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w:t>
      </w:r>
      <w:r>
        <w:rPr>
          <w:rFonts w:hint="eastAsia" w:ascii="宋体" w:hAnsi="宋体" w:eastAsia="宋体" w:cs="Times New Roman"/>
          <w:b w:val="0"/>
          <w:bCs w:val="0"/>
          <w:color w:val="auto"/>
          <w:spacing w:val="4"/>
          <w:kern w:val="0"/>
          <w:sz w:val="24"/>
          <w:szCs w:val="24"/>
          <w:highlight w:val="none"/>
        </w:rPr>
        <w:t>：危险性较大的分部分项工程清单及超过一定规模的危险性较大的分部分项工程清单</w:t>
      </w:r>
    </w:p>
    <w:p>
      <w:pPr>
        <w:autoSpaceDE w:val="0"/>
        <w:autoSpaceDN w:val="0"/>
        <w:adjustRightInd w:val="0"/>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危险性较大的分部分项工程清单及超过一定规模的危险性较大的分部分项工程清单</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1、根据中华人民共和国住房和城乡建设部令第37号《危险性较大的分部分项工程安全管理规定》（以下简称“37号文”），投标人在投标时须补充完善危大工程清单并明确相应的安全管理措施。</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2、招标人根据设计文件的要求及37号文的规定列出“危险性较大的分部分项工程清单及超过一定规模的危险性较大的分部分项工程清单”中与本招标项目相关的清单项，具体详见第5点“打√”标识。</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2"/>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39"/>
        <w:tblW w:w="857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suppressLineNumbers w:val="0"/>
              <w:autoSpaceDE w:val="0"/>
              <w:autoSpaceDN w:val="0"/>
              <w:adjustRightInd w:val="0"/>
              <w:spacing w:before="0" w:beforeAutospacing="0" w:after="0" w:afterAutospacing="0" w:line="240" w:lineRule="auto"/>
              <w:ind w:left="0" w:right="0" w:firstLine="482"/>
              <w:jc w:val="left"/>
              <w:rPr>
                <w:rFonts w:hint="default"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24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（四）高处作业吊篮。</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rPr>
                <w:rFonts w:hint="default"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bl>
    <w:p>
      <w:pPr>
        <w:pStyle w:val="112"/>
        <w:autoSpaceDE w:val="0"/>
        <w:autoSpaceDN w:val="0"/>
        <w:adjustRightInd w:val="0"/>
        <w:spacing w:line="240" w:lineRule="auto"/>
        <w:ind w:firstLine="480"/>
        <w:jc w:val="left"/>
        <w:rPr>
          <w:rFonts w:ascii="宋体" w:hAnsi="宋体" w:cs="宋体"/>
          <w:color w:val="auto"/>
          <w:sz w:val="24"/>
          <w:szCs w:val="28"/>
          <w:highlight w:val="none"/>
        </w:rPr>
      </w:pPr>
    </w:p>
    <w:p>
      <w:pPr>
        <w:spacing w:line="24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w:t>
      </w:r>
    </w:p>
    <w:p>
      <w:pPr>
        <w:spacing w:line="240" w:lineRule="auto"/>
        <w:ind w:firstLine="3000" w:firstLineChars="1250"/>
        <w:rPr>
          <w:rFonts w:ascii="宋体" w:hAnsi="宋体" w:cs="宋体"/>
          <w:color w:val="auto"/>
          <w:highlight w:val="none"/>
        </w:rPr>
      </w:pPr>
      <w:r>
        <w:rPr>
          <w:rFonts w:hint="eastAsia" w:ascii="宋体" w:hAnsi="宋体" w:cs="宋体"/>
          <w:color w:val="auto"/>
          <w:sz w:val="24"/>
          <w:szCs w:val="20"/>
          <w:highlight w:val="none"/>
        </w:rPr>
        <w:t>日期：   年  月  日</w:t>
      </w:r>
    </w:p>
    <w:p>
      <w:pPr>
        <w:widowControl/>
        <w:tabs>
          <w:tab w:val="left" w:pos="720"/>
        </w:tabs>
        <w:topLinePunct w:val="0"/>
        <w:adjustRightInd/>
        <w:snapToGrid w:val="0"/>
        <w:spacing w:after="0" w:line="360" w:lineRule="auto"/>
        <w:jc w:val="left"/>
        <w:outlineLvl w:val="9"/>
        <w:rPr>
          <w:rFonts w:hint="eastAsia" w:ascii="宋体" w:hAnsi="宋体" w:eastAsia="宋体" w:cs="Times New Roman"/>
          <w:b w:val="0"/>
          <w:bCs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十一</w:t>
      </w:r>
      <w:r>
        <w:rPr>
          <w:rFonts w:hint="eastAsia" w:ascii="宋体" w:hAnsi="宋体" w:eastAsia="宋体" w:cs="Times New Roman"/>
          <w:b w:val="0"/>
          <w:bCs w:val="0"/>
          <w:color w:val="auto"/>
          <w:spacing w:val="4"/>
          <w:kern w:val="0"/>
          <w:sz w:val="24"/>
          <w:szCs w:val="24"/>
          <w:highlight w:val="none"/>
        </w:rPr>
        <w:t>：参与编制技术标投标文件人员名单</w:t>
      </w:r>
    </w:p>
    <w:p>
      <w:pPr>
        <w:tabs>
          <w:tab w:val="left" w:pos="720"/>
        </w:tabs>
        <w:snapToGrid w:val="0"/>
        <w:spacing w:line="360" w:lineRule="auto"/>
        <w:jc w:val="center"/>
        <w:rPr>
          <w:rFonts w:hint="eastAsia"/>
          <w:b/>
          <w:bCs/>
          <w:sz w:val="24"/>
          <w:szCs w:val="24"/>
          <w:highlight w:val="none"/>
        </w:rPr>
      </w:pPr>
    </w:p>
    <w:p>
      <w:pPr>
        <w:tabs>
          <w:tab w:val="left" w:pos="720"/>
        </w:tabs>
        <w:snapToGrid w:val="0"/>
        <w:spacing w:line="360" w:lineRule="auto"/>
        <w:jc w:val="center"/>
        <w:rPr>
          <w:b/>
          <w:bCs/>
          <w:sz w:val="24"/>
          <w:szCs w:val="24"/>
          <w:highlight w:val="none"/>
        </w:rPr>
      </w:pPr>
      <w:r>
        <w:rPr>
          <w:rFonts w:hint="eastAsia"/>
          <w:b/>
          <w:bCs/>
          <w:sz w:val="24"/>
          <w:szCs w:val="24"/>
          <w:highlight w:val="none"/>
        </w:rPr>
        <w:t>参与编制技术标投标文件人员名单</w:t>
      </w:r>
    </w:p>
    <w:tbl>
      <w:tblPr>
        <w:tblStyle w:val="3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528"/>
        <w:gridCol w:w="2581"/>
        <w:gridCol w:w="247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姓名</w:t>
            </w: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职务</w:t>
            </w: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所承担工作</w:t>
            </w: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身份证号码</w:t>
            </w: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bl>
    <w:p>
      <w:pPr>
        <w:tabs>
          <w:tab w:val="left" w:pos="720"/>
        </w:tabs>
        <w:snapToGrid w:val="0"/>
        <w:spacing w:line="360" w:lineRule="auto"/>
        <w:rPr>
          <w:b/>
          <w:bCs/>
          <w:sz w:val="24"/>
          <w:szCs w:val="24"/>
          <w:highlight w:val="none"/>
        </w:rPr>
      </w:pPr>
      <w:r>
        <w:rPr>
          <w:rFonts w:hint="eastAsia" w:ascii="宋体" w:hAnsi="宋体"/>
          <w:b/>
          <w:bCs/>
          <w:szCs w:val="21"/>
          <w:highlight w:val="none"/>
        </w:rPr>
        <w:t>注：参与编制技术标投标文件所有人员名单应包括如编制技术投标方案、负责清样校对、负责打印及复印等所有人员在内的人员名单。</w:t>
      </w:r>
    </w:p>
    <w:p>
      <w:pPr>
        <w:widowControl/>
        <w:topLinePunct/>
        <w:adjustRightInd w:val="0"/>
        <w:snapToGrid w:val="0"/>
        <w:spacing w:after="200"/>
        <w:jc w:val="left"/>
        <w:outlineLvl w:val="1"/>
        <w:rPr>
          <w:rFonts w:ascii="宋体" w:hAnsi="宋体"/>
          <w:b/>
          <w:sz w:val="28"/>
          <w:highlight w:val="none"/>
        </w:rPr>
      </w:pPr>
      <w:r>
        <w:rPr>
          <w:rFonts w:hint="eastAsia" w:ascii="宋体" w:hAnsi="宋体" w:cs="宋体"/>
          <w:color w:val="auto"/>
          <w:highlight w:val="none"/>
        </w:rPr>
        <w:br w:type="page"/>
      </w:r>
      <w:bookmarkStart w:id="101" w:name="_Toc62056047"/>
      <w:bookmarkStart w:id="102" w:name="_Toc504722518"/>
      <w:bookmarkStart w:id="103" w:name="_Toc1507"/>
      <w:r>
        <w:rPr>
          <w:rFonts w:hint="eastAsia" w:ascii="宋体" w:hAnsi="宋体"/>
          <w:b/>
          <w:sz w:val="28"/>
          <w:highlight w:val="none"/>
        </w:rPr>
        <w:t>二、经济标投标文件格式</w:t>
      </w:r>
      <w:bookmarkEnd w:id="101"/>
      <w:bookmarkEnd w:id="102"/>
      <w:bookmarkEnd w:id="103"/>
    </w:p>
    <w:p>
      <w:pPr>
        <w:widowControl/>
        <w:topLinePunct/>
        <w:adjustRightInd w:val="0"/>
        <w:snapToGrid w:val="0"/>
        <w:spacing w:after="200"/>
        <w:jc w:val="left"/>
        <w:outlineLvl w:val="2"/>
        <w:rPr>
          <w:rFonts w:ascii="宋体" w:hAnsi="宋体"/>
          <w:spacing w:val="4"/>
          <w:kern w:val="0"/>
          <w:sz w:val="24"/>
          <w:szCs w:val="24"/>
          <w:highlight w:val="none"/>
        </w:rPr>
      </w:pPr>
      <w:bookmarkStart w:id="104" w:name="_Toc22912"/>
      <w:bookmarkStart w:id="105" w:name="_Toc4489953"/>
      <w:bookmarkStart w:id="106" w:name="_Toc504722519"/>
      <w:bookmarkStart w:id="107" w:name="_Toc29476922"/>
      <w:bookmarkStart w:id="108" w:name="_Toc62056048"/>
      <w:r>
        <w:rPr>
          <w:rFonts w:hint="eastAsia" w:ascii="宋体" w:hAnsi="宋体"/>
          <w:spacing w:val="4"/>
          <w:kern w:val="0"/>
          <w:sz w:val="24"/>
          <w:szCs w:val="24"/>
          <w:highlight w:val="none"/>
        </w:rPr>
        <w:t>格式一：经济标封面</w:t>
      </w:r>
      <w:bookmarkEnd w:id="104"/>
      <w:bookmarkEnd w:id="105"/>
      <w:bookmarkEnd w:id="106"/>
      <w:bookmarkEnd w:id="107"/>
      <w:bookmarkEnd w:id="108"/>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第二册 （经济标书）</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bookmarkStart w:id="109" w:name="_Toc239216052"/>
      <w:bookmarkStart w:id="110" w:name="_Toc163337643"/>
      <w:bookmarkStart w:id="111" w:name="_Toc239311767"/>
      <w:bookmarkStart w:id="112" w:name="_Toc337720111"/>
      <w:bookmarkStart w:id="113" w:name="_Toc226209025"/>
      <w:bookmarkStart w:id="114" w:name="_Toc318924517"/>
      <w:bookmarkStart w:id="115" w:name="_Toc395261116"/>
      <w:bookmarkStart w:id="116" w:name="_Toc464131240"/>
      <w:bookmarkStart w:id="117" w:name="_Toc352623441"/>
      <w:bookmarkStart w:id="118" w:name="_Toc352240543"/>
      <w:bookmarkStart w:id="119" w:name="_Toc484958710"/>
      <w:bookmarkStart w:id="120" w:name="_Toc358370596"/>
      <w:bookmarkStart w:id="121" w:name="_Toc449308436"/>
      <w:bookmarkStart w:id="122" w:name="_Toc369536788"/>
      <w:r>
        <w:rPr>
          <w:rFonts w:hint="eastAsia" w:ascii="宋体" w:hAnsi="宋体"/>
          <w:spacing w:val="4"/>
          <w:kern w:val="0"/>
          <w:sz w:val="30"/>
          <w:szCs w:val="30"/>
          <w:highlight w:val="none"/>
          <w:u w:val="single"/>
        </w:rPr>
        <w:t xml:space="preserve">       （填写投标人单位</w:t>
      </w:r>
      <w:bookmarkEnd w:id="109"/>
      <w:bookmarkEnd w:id="110"/>
      <w:bookmarkEnd w:id="111"/>
      <w:bookmarkEnd w:id="112"/>
      <w:bookmarkEnd w:id="113"/>
      <w:bookmarkEnd w:id="114"/>
      <w:r>
        <w:rPr>
          <w:rFonts w:hint="eastAsia" w:ascii="宋体" w:hAnsi="宋体"/>
          <w:spacing w:val="4"/>
          <w:kern w:val="0"/>
          <w:sz w:val="30"/>
          <w:szCs w:val="30"/>
          <w:highlight w:val="none"/>
          <w:u w:val="single"/>
        </w:rPr>
        <w:t xml:space="preserve">名称）  </w:t>
      </w:r>
      <w:bookmarkEnd w:id="115"/>
      <w:bookmarkEnd w:id="116"/>
      <w:bookmarkEnd w:id="117"/>
      <w:bookmarkEnd w:id="118"/>
      <w:bookmarkEnd w:id="119"/>
      <w:bookmarkEnd w:id="120"/>
      <w:bookmarkEnd w:id="121"/>
      <w:bookmarkEnd w:id="122"/>
      <w:r>
        <w:rPr>
          <w:rFonts w:hint="eastAsia" w:ascii="宋体" w:hAnsi="宋体"/>
          <w:spacing w:val="4"/>
          <w:kern w:val="0"/>
          <w:sz w:val="30"/>
          <w:szCs w:val="30"/>
          <w:highlight w:val="none"/>
          <w:u w:val="single"/>
        </w:rPr>
        <w:t xml:space="preserve">     </w:t>
      </w: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其委托代理人：</w:t>
      </w:r>
      <w:r>
        <w:rPr>
          <w:rFonts w:hint="eastAsia" w:ascii="宋体" w:hAnsi="宋体"/>
          <w:spacing w:val="4"/>
          <w:kern w:val="0"/>
          <w:sz w:val="30"/>
          <w:szCs w:val="30"/>
          <w:highlight w:val="none"/>
          <w:u w:val="single"/>
        </w:rPr>
        <w:t xml:space="preserve">                       （签字或盖章）</w:t>
      </w:r>
    </w:p>
    <w:p>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日  期：</w:t>
      </w:r>
      <w:r>
        <w:rPr>
          <w:rFonts w:hint="eastAsia" w:ascii="宋体" w:hAnsi="宋体"/>
          <w:spacing w:val="4"/>
          <w:kern w:val="0"/>
          <w:sz w:val="30"/>
          <w:szCs w:val="30"/>
          <w:highlight w:val="none"/>
          <w:u w:val="single"/>
        </w:rPr>
        <w:t xml:space="preserve">                                        </w:t>
      </w:r>
      <w:r>
        <w:rPr>
          <w:rFonts w:ascii="宋体" w:hAnsi="宋体"/>
          <w:spacing w:val="4"/>
          <w:kern w:val="0"/>
          <w:sz w:val="30"/>
          <w:szCs w:val="30"/>
          <w:highlight w:val="none"/>
        </w:rPr>
        <w:t xml:space="preserve"> </w:t>
      </w:r>
    </w:p>
    <w:p>
      <w:pPr>
        <w:widowControl/>
        <w:topLinePunct/>
        <w:adjustRightInd w:val="0"/>
        <w:snapToGrid w:val="0"/>
        <w:spacing w:after="200"/>
        <w:jc w:val="left"/>
        <w:outlineLvl w:val="2"/>
        <w:rPr>
          <w:rFonts w:ascii="黑体" w:hAnsi="宋体" w:eastAsia="黑体"/>
          <w:b/>
          <w:spacing w:val="4"/>
          <w:kern w:val="0"/>
          <w:sz w:val="24"/>
          <w:szCs w:val="24"/>
          <w:highlight w:val="none"/>
        </w:rPr>
      </w:pPr>
      <w:r>
        <w:rPr>
          <w:rFonts w:ascii="宋体" w:hAnsi="宋体"/>
          <w:spacing w:val="4"/>
          <w:kern w:val="0"/>
          <w:sz w:val="24"/>
          <w:szCs w:val="24"/>
          <w:highlight w:val="none"/>
        </w:rPr>
        <w:br w:type="page"/>
      </w:r>
      <w:bookmarkStart w:id="123" w:name="_Toc4489954"/>
      <w:bookmarkStart w:id="124" w:name="_Toc29476923"/>
      <w:bookmarkStart w:id="125" w:name="_Toc62056049"/>
      <w:r>
        <w:rPr>
          <w:rFonts w:hint="eastAsia" w:ascii="宋体" w:hAnsi="宋体"/>
          <w:spacing w:val="4"/>
          <w:kern w:val="0"/>
          <w:sz w:val="24"/>
          <w:szCs w:val="24"/>
          <w:highlight w:val="none"/>
        </w:rPr>
        <w:t>格式二</w:t>
      </w:r>
      <w:bookmarkStart w:id="126" w:name="_Toc504722521"/>
      <w:bookmarkStart w:id="127" w:name="_Toc29524"/>
      <w:r>
        <w:rPr>
          <w:rFonts w:hint="eastAsia" w:ascii="宋体" w:hAnsi="宋体"/>
          <w:spacing w:val="4"/>
          <w:kern w:val="0"/>
          <w:sz w:val="24"/>
          <w:szCs w:val="24"/>
          <w:highlight w:val="none"/>
        </w:rPr>
        <w:t>：工程量清单计价表</w:t>
      </w:r>
      <w:bookmarkEnd w:id="123"/>
      <w:bookmarkEnd w:id="124"/>
      <w:bookmarkEnd w:id="125"/>
      <w:bookmarkEnd w:id="126"/>
      <w:bookmarkEnd w:id="127"/>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widowControl/>
        <w:topLinePunct/>
        <w:adjustRightInd w:val="0"/>
        <w:snapToGrid w:val="0"/>
        <w:spacing w:after="200" w:line="360" w:lineRule="auto"/>
        <w:ind w:firstLine="617"/>
        <w:jc w:val="center"/>
        <w:rPr>
          <w:rFonts w:ascii="宋体" w:hAnsi="宋体"/>
          <w:spacing w:val="4"/>
          <w:kern w:val="0"/>
          <w:sz w:val="36"/>
          <w:szCs w:val="36"/>
          <w:highlight w:val="none"/>
        </w:rPr>
      </w:pPr>
      <w:r>
        <w:rPr>
          <w:rFonts w:hint="eastAsia" w:ascii="宋体" w:hAnsi="宋体"/>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pPr>
        <w:tabs>
          <w:tab w:val="left" w:pos="720"/>
        </w:tabs>
        <w:snapToGrid w:val="0"/>
        <w:spacing w:line="360" w:lineRule="auto"/>
        <w:jc w:val="center"/>
        <w:rPr>
          <w:rFonts w:ascii="宋体" w:hAnsi="宋体"/>
          <w:highlight w:val="none"/>
        </w:rPr>
      </w:pPr>
      <w:r>
        <w:rPr>
          <w:rFonts w:hint="eastAsia" w:ascii="宋体" w:hAnsi="宋体"/>
          <w:highlight w:val="none"/>
        </w:rPr>
        <w:t>本部分内容详见招标文件第七章工程量清单。</w:t>
      </w:r>
    </w:p>
    <w:p>
      <w:pPr>
        <w:tabs>
          <w:tab w:val="left" w:pos="720"/>
        </w:tabs>
        <w:snapToGrid w:val="0"/>
        <w:spacing w:line="360" w:lineRule="auto"/>
        <w:outlineLvl w:val="2"/>
        <w:rPr>
          <w:rFonts w:ascii="宋体" w:hAnsi="宋体"/>
          <w:snapToGrid w:val="0"/>
          <w:spacing w:val="4"/>
          <w:kern w:val="0"/>
          <w:sz w:val="24"/>
          <w:szCs w:val="24"/>
          <w:highlight w:val="none"/>
        </w:rPr>
      </w:pPr>
      <w:r>
        <w:rPr>
          <w:highlight w:val="none"/>
        </w:rPr>
        <w:br w:type="page"/>
      </w:r>
      <w:bookmarkStart w:id="128" w:name="_Toc62056050"/>
      <w:r>
        <w:rPr>
          <w:rFonts w:hint="eastAsia" w:ascii="宋体" w:hAnsi="宋体"/>
          <w:snapToGrid w:val="0"/>
          <w:spacing w:val="4"/>
          <w:kern w:val="0"/>
          <w:sz w:val="24"/>
          <w:szCs w:val="24"/>
          <w:highlight w:val="none"/>
        </w:rPr>
        <w:t>格式三：</w:t>
      </w:r>
      <w:r>
        <w:rPr>
          <w:rFonts w:hint="eastAsia"/>
          <w:sz w:val="24"/>
          <w:szCs w:val="24"/>
          <w:highlight w:val="none"/>
        </w:rPr>
        <w:t>参与编制经济标投标文件人员名单</w:t>
      </w:r>
      <w:bookmarkEnd w:id="128"/>
    </w:p>
    <w:p>
      <w:pPr>
        <w:tabs>
          <w:tab w:val="left" w:pos="720"/>
        </w:tabs>
        <w:snapToGrid w:val="0"/>
        <w:spacing w:line="360" w:lineRule="auto"/>
        <w:jc w:val="center"/>
        <w:rPr>
          <w:b/>
          <w:szCs w:val="21"/>
          <w:highlight w:val="none"/>
        </w:rPr>
      </w:pPr>
      <w:r>
        <w:rPr>
          <w:rFonts w:hint="eastAsia"/>
          <w:b/>
          <w:szCs w:val="21"/>
          <w:highlight w:val="none"/>
        </w:rPr>
        <w:t>参与编制经济标投标文件人员名单</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szCs w:val="21"/>
                <w:highlight w:val="none"/>
              </w:rPr>
            </w:pPr>
          </w:p>
        </w:tc>
      </w:tr>
    </w:tbl>
    <w:p>
      <w:pPr>
        <w:tabs>
          <w:tab w:val="left" w:pos="720"/>
        </w:tabs>
        <w:snapToGrid w:val="0"/>
        <w:spacing w:line="360" w:lineRule="auto"/>
        <w:rPr>
          <w:sz w:val="24"/>
          <w:szCs w:val="24"/>
          <w:highlight w:val="none"/>
        </w:rPr>
      </w:pPr>
    </w:p>
    <w:p>
      <w:pPr>
        <w:spacing w:line="360" w:lineRule="auto"/>
        <w:ind w:left="-2" w:leftChars="-1" w:firstLine="350" w:firstLineChars="175"/>
        <w:jc w:val="left"/>
        <w:rPr>
          <w:kern w:val="0"/>
          <w:sz w:val="20"/>
          <w:szCs w:val="21"/>
          <w:highlight w:val="none"/>
        </w:rPr>
      </w:pPr>
      <w:r>
        <w:rPr>
          <w:rFonts w:hint="eastAsia"/>
          <w:kern w:val="0"/>
          <w:sz w:val="2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kern w:val="0"/>
          <w:sz w:val="24"/>
          <w:szCs w:val="24"/>
          <w:highlight w:val="none"/>
        </w:rPr>
      </w:pPr>
    </w:p>
    <w:p>
      <w:pPr>
        <w:autoSpaceDE w:val="0"/>
        <w:autoSpaceDN w:val="0"/>
        <w:adjustRightInd w:val="0"/>
        <w:outlineLvl w:val="2"/>
        <w:rPr>
          <w:szCs w:val="21"/>
          <w:highlight w:val="none"/>
        </w:rPr>
      </w:pPr>
      <w:r>
        <w:rPr>
          <w:szCs w:val="21"/>
          <w:highlight w:val="none"/>
        </w:rPr>
        <w:br w:type="page"/>
      </w:r>
      <w:bookmarkStart w:id="129" w:name="_Toc62056051"/>
      <w:r>
        <w:rPr>
          <w:rFonts w:hint="eastAsia" w:ascii="宋体" w:hAnsi="宋体"/>
          <w:snapToGrid w:val="0"/>
          <w:spacing w:val="4"/>
          <w:kern w:val="0"/>
          <w:sz w:val="24"/>
          <w:szCs w:val="24"/>
          <w:highlight w:val="none"/>
        </w:rPr>
        <w:t>格式四：对投标文件编制的承诺</w:t>
      </w:r>
      <w:bookmarkEnd w:id="129"/>
    </w:p>
    <w:p>
      <w:pPr>
        <w:spacing w:line="360" w:lineRule="auto"/>
        <w:jc w:val="center"/>
        <w:rPr>
          <w:kern w:val="0"/>
          <w:sz w:val="32"/>
          <w:szCs w:val="32"/>
          <w:highlight w:val="none"/>
        </w:rPr>
      </w:pPr>
      <w:r>
        <w:rPr>
          <w:rFonts w:hint="eastAsia"/>
          <w:b/>
          <w:kern w:val="0"/>
          <w:sz w:val="32"/>
          <w:szCs w:val="32"/>
          <w:highlight w:val="none"/>
        </w:rPr>
        <w:t>对投标文件编制的承诺</w:t>
      </w:r>
    </w:p>
    <w:p>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本公司授权</w:t>
      </w:r>
      <w:r>
        <w:rPr>
          <w:rFonts w:hint="eastAsia" w:ascii="宋体" w:hAnsi="宋体"/>
          <w:kern w:val="0"/>
          <w:sz w:val="24"/>
          <w:szCs w:val="24"/>
          <w:highlight w:val="none"/>
          <w:u w:val="single"/>
        </w:rPr>
        <w:t xml:space="preserve">         （身份证号：               ）</w:t>
      </w:r>
      <w:r>
        <w:rPr>
          <w:rFonts w:hint="eastAsia" w:ascii="宋体" w:hAnsi="宋体"/>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如由于未遵守上述承诺内容之一导致无法进行澄清的，我公司认可和接受评标委员会作出的评审结论。</w:t>
      </w:r>
    </w:p>
    <w:p>
      <w:pPr>
        <w:spacing w:line="360" w:lineRule="auto"/>
        <w:ind w:firstLine="360" w:firstLineChars="150"/>
        <w:rPr>
          <w:rFonts w:ascii="宋体" w:hAnsi="宋体"/>
          <w:kern w:val="0"/>
          <w:sz w:val="24"/>
          <w:szCs w:val="24"/>
          <w:highlight w:val="none"/>
        </w:rPr>
      </w:pPr>
      <w:r>
        <w:rPr>
          <w:rFonts w:hint="eastAsia" w:ascii="宋体" w:hAnsi="宋体"/>
          <w:kern w:val="0"/>
          <w:sz w:val="24"/>
          <w:szCs w:val="24"/>
          <w:highlight w:val="none"/>
        </w:rPr>
        <w:t xml:space="preserve"> </w:t>
      </w:r>
    </w:p>
    <w:p>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w:t>
      </w:r>
      <w:r>
        <w:rPr>
          <w:rFonts w:hint="eastAsia" w:ascii="宋体" w:hAnsi="宋体"/>
          <w:sz w:val="24"/>
          <w:szCs w:val="24"/>
          <w:highlight w:val="none"/>
          <w:u w:val="single"/>
        </w:rPr>
        <w:t xml:space="preserve">                  </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r>
        <w:rPr>
          <w:rFonts w:hint="eastAsia" w:ascii="宋体" w:hAnsi="宋体"/>
          <w:sz w:val="24"/>
          <w:szCs w:val="24"/>
          <w:highlight w:val="none"/>
          <w:u w:val="single"/>
        </w:rPr>
        <w:t xml:space="preserve">                  </w:t>
      </w:r>
    </w:p>
    <w:p>
      <w:pPr>
        <w:spacing w:line="360" w:lineRule="auto"/>
        <w:ind w:firstLine="4440" w:firstLineChars="1850"/>
        <w:jc w:val="center"/>
        <w:rPr>
          <w:sz w:val="24"/>
          <w:szCs w:val="24"/>
          <w:highlight w:val="none"/>
        </w:rPr>
      </w:pPr>
      <w:r>
        <w:rPr>
          <w:rFonts w:hint="eastAsia"/>
          <w:sz w:val="24"/>
          <w:szCs w:val="24"/>
          <w:highlight w:val="none"/>
        </w:rPr>
        <w:t xml:space="preserve"> 日期：      年   月   日 </w:t>
      </w:r>
      <w:r>
        <w:rPr>
          <w:rFonts w:hint="eastAsia"/>
          <w:sz w:val="18"/>
          <w:szCs w:val="18"/>
          <w:highlight w:val="none"/>
        </w:rPr>
        <w:t xml:space="preserve"> </w:t>
      </w:r>
      <w:r>
        <w:rPr>
          <w:rFonts w:hint="eastAsia"/>
          <w:sz w:val="24"/>
          <w:szCs w:val="24"/>
          <w:highlight w:val="none"/>
        </w:rPr>
        <w:t xml:space="preserve">    </w:t>
      </w:r>
    </w:p>
    <w:p>
      <w:pPr>
        <w:spacing w:line="360" w:lineRule="auto"/>
        <w:rPr>
          <w:b/>
          <w:kern w:val="0"/>
          <w:sz w:val="32"/>
          <w:szCs w:val="32"/>
          <w:highlight w:val="none"/>
        </w:rPr>
      </w:pPr>
    </w:p>
    <w:p>
      <w:pPr>
        <w:spacing w:line="360" w:lineRule="auto"/>
        <w:ind w:firstLine="643" w:firstLineChars="200"/>
        <w:jc w:val="center"/>
        <w:rPr>
          <w:kern w:val="0"/>
          <w:sz w:val="18"/>
          <w:szCs w:val="18"/>
          <w:highlight w:val="none"/>
        </w:rPr>
      </w:pPr>
      <w:r>
        <w:rPr>
          <w:rFonts w:hint="eastAsia"/>
          <w:b/>
          <w:kern w:val="0"/>
          <w:sz w:val="32"/>
          <w:szCs w:val="32"/>
          <w:highlight w:val="none"/>
        </w:rPr>
        <w:t>投标文件编制情况</w:t>
      </w:r>
    </w:p>
    <w:p>
      <w:pPr>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rPr>
        <w:t>1.投标文件报价编制方式： □自行编制的，编制的负责人：</w:t>
      </w:r>
      <w:r>
        <w:rPr>
          <w:rFonts w:hint="eastAsia" w:ascii="宋体" w:hAnsi="宋体"/>
          <w:kern w:val="0"/>
          <w:sz w:val="24"/>
          <w:szCs w:val="24"/>
          <w:highlight w:val="none"/>
          <w:u w:val="single"/>
        </w:rPr>
        <w:t xml:space="preserve"> （盖造价工程师执业专用章或全国建设工程造价员章，执业单位应与投标人一致） </w:t>
      </w:r>
      <w:r>
        <w:rPr>
          <w:rFonts w:hint="eastAsia" w:ascii="宋体" w:hAnsi="宋体"/>
          <w:kern w:val="0"/>
          <w:sz w:val="24"/>
          <w:szCs w:val="24"/>
          <w:highlight w:val="none"/>
        </w:rPr>
        <w:t>。□委托编制的，受委托单位</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，编制的负责人：</w:t>
      </w:r>
      <w:r>
        <w:rPr>
          <w:rFonts w:hint="eastAsia" w:ascii="宋体" w:hAnsi="宋体"/>
          <w:kern w:val="0"/>
          <w:sz w:val="24"/>
          <w:szCs w:val="24"/>
          <w:highlight w:val="none"/>
          <w:u w:val="single"/>
        </w:rPr>
        <w:t xml:space="preserve"> （盖造价工程师执业专用章或全国建设工程造价员章，执业单位应与受委托单位一致） </w:t>
      </w:r>
      <w:r>
        <w:rPr>
          <w:rFonts w:hint="eastAsia" w:ascii="宋体" w:hAnsi="宋体"/>
          <w:kern w:val="0"/>
          <w:sz w:val="24"/>
          <w:szCs w:val="24"/>
          <w:highlight w:val="none"/>
        </w:rPr>
        <w:t>。</w:t>
      </w:r>
    </w:p>
    <w:p>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2.投标文件加密打包的电脑情况</w:t>
      </w:r>
    </w:p>
    <w:tbl>
      <w:tblPr>
        <w:tblStyle w:val="39"/>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投标文件加密打包的电脑     自有    □      外包    □     其他    □</w:t>
            </w:r>
          </w:p>
          <w:p>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电脑类型</w:t>
            </w:r>
          </w:p>
          <w:p>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电脑所属单位</w:t>
            </w:r>
          </w:p>
          <w:p>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电脑所在地址   （如××市××区(县) ××街（路）××号××大厦××房）</w:t>
            </w:r>
          </w:p>
        </w:tc>
      </w:tr>
    </w:tbl>
    <w:p>
      <w:pPr>
        <w:jc w:val="center"/>
        <w:rPr>
          <w:rStyle w:val="55"/>
          <w:rFonts w:ascii="宋体" w:hAnsi="宋体" w:cs="宋体"/>
          <w:color w:val="auto"/>
          <w:highlight w:val="none"/>
        </w:rPr>
      </w:pPr>
      <w:r>
        <w:rPr>
          <w:rFonts w:hint="eastAsia" w:ascii="宋体" w:hAnsi="宋体" w:cs="宋体"/>
          <w:color w:val="auto"/>
          <w:highlight w:val="none"/>
        </w:rPr>
        <w:br w:type="page"/>
      </w:r>
      <w:bookmarkStart w:id="130" w:name="_Toc22889"/>
      <w:r>
        <w:rPr>
          <w:rStyle w:val="55"/>
          <w:rFonts w:hint="eastAsia" w:ascii="宋体" w:hAnsi="宋体" w:cs="宋体"/>
          <w:color w:val="auto"/>
          <w:highlight w:val="none"/>
        </w:rPr>
        <w:t>第五章  技术条件（工程建设标准）</w:t>
      </w:r>
      <w:bookmarkEnd w:id="130"/>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bookmarkStart w:id="131" w:name="_Toc17006"/>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具体按施工图纸、中华人民共和国现行技术和验收规范、图纸中规定的其它技术和验收标准、遵照招标人相关规定要求为准</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依据招标文件及相关文件的要求，本招标工程项目的材料、设备、施工须达到中华人民共和国以及省、市或行业的工程建设标准、规范的要求。</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施工现场建筑垃圾源头减量的具体要求和建筑垃圾综合利用产品的使用要求。</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3.1工程</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3.2建筑垃圾应当按照国家有关规定进行分类，实行分类收集、分类贮存、分类运输、分类处置。</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3.3建设单位应当建立建筑垃圾分类收集、贮存以及台账管理等制度，督促施工单位开展建筑垃圾分类和合法装载，并及时向工程所在地县级人民政府建筑垃圾主管部门报送建筑垃圾处理方案。</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施工单位应当建立建筑垃圾管理台账，分类收集、贮存和及时清运施工过程中产生的建筑垃圾，采取有效措施防止混合已分类的建筑垃圾。</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工程施工单位应当将建筑垃圾的产生量与种类、清运时间、最终去向等信息在施工现场公示，接受社会监督。</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建筑垃圾运输车辆、船舶应当符合相应的载运技术条件。建筑垃圾处置场所为陆域的，不得采用开底式船舶运输建筑垃圾。</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3.5工程泥浆应当在施工现场进行脱水固化处理。施工现场不具备条件的，应当采用罐装器具密闭运输至依法设置的建筑垃圾处置场所进行处置。水上工程中依法无需经脱水处理的除外。</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具备现场综合利用条件的建设工程，应当进行建筑垃圾现场综合利用。</w:t>
      </w:r>
    </w:p>
    <w:p>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3.7建设单位和施工单位严格遵守并执行《广东省建筑垃圾管理条例》。</w:t>
      </w:r>
    </w:p>
    <w:p>
      <w:pPr>
        <w:numPr>
          <w:ilvl w:val="0"/>
          <w:numId w:val="0"/>
        </w:numPr>
        <w:shd w:val="clear" w:color="auto" w:fill="auto"/>
        <w:spacing w:line="360" w:lineRule="auto"/>
        <w:ind w:firstLine="480" w:firstLineChars="200"/>
        <w:rPr>
          <w:rFonts w:hint="eastAsia"/>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其他要求详见《大学城校区国际楼A栋提升改造项目实施需求书》。</w:t>
      </w:r>
    </w:p>
    <w:p>
      <w:pPr>
        <w:pStyle w:val="139"/>
        <w:keepNext w:val="0"/>
        <w:keepLines w:val="0"/>
        <w:pageBreakBefore w:val="0"/>
        <w:widowControl/>
        <w:kinsoku/>
        <w:wordWrap/>
        <w:overflowPunct/>
        <w:topLinePunct w:val="0"/>
        <w:autoSpaceDE/>
        <w:autoSpaceDN/>
        <w:bidi w:val="0"/>
        <w:adjustRightInd/>
        <w:snapToGrid/>
        <w:spacing w:before="0" w:after="0" w:line="560" w:lineRule="exact"/>
        <w:ind w:right="-519" w:rightChars="-247"/>
        <w:jc w:val="center"/>
        <w:textAlignment w:val="auto"/>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br w:type="page"/>
      </w:r>
      <w:r>
        <w:rPr>
          <w:rFonts w:hint="eastAsia" w:ascii="方正小标宋简体" w:hAnsi="方正小标宋简体" w:eastAsia="方正小标宋简体" w:cs="方正小标宋简体"/>
          <w:b w:val="0"/>
          <w:bCs w:val="0"/>
          <w:sz w:val="36"/>
          <w:szCs w:val="36"/>
          <w:highlight w:val="none"/>
          <w:lang w:eastAsia="zh-CN"/>
        </w:rPr>
        <w:t>大学城校区国际楼A栋提升改造项目</w:t>
      </w:r>
      <w:r>
        <w:rPr>
          <w:rFonts w:hint="eastAsia" w:ascii="方正小标宋简体" w:hAnsi="方正小标宋简体" w:eastAsia="方正小标宋简体" w:cs="方正小标宋简体"/>
          <w:b w:val="0"/>
          <w:bCs w:val="0"/>
          <w:sz w:val="36"/>
          <w:szCs w:val="36"/>
          <w:highlight w:val="none"/>
        </w:rPr>
        <w:t>实施需求书</w:t>
      </w:r>
    </w:p>
    <w:p>
      <w:pPr>
        <w:pStyle w:val="5"/>
        <w:kinsoku w:val="0"/>
        <w:overflowPunct w:val="0"/>
        <w:spacing w:line="360" w:lineRule="auto"/>
        <w:ind w:left="0"/>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一、项目概况</w:t>
      </w:r>
    </w:p>
    <w:p>
      <w:pPr>
        <w:pStyle w:val="5"/>
        <w:kinsoku w:val="0"/>
        <w:overflowPunct w:val="0"/>
        <w:spacing w:line="360" w:lineRule="auto"/>
        <w:ind w:left="0" w:firstLine="422" w:firstLineChars="200"/>
        <w:rPr>
          <w:rFonts w:hint="eastAsia" w:ascii="宋体" w:hAnsi="宋体" w:eastAsia="宋体" w:cs="宋体"/>
          <w:color w:val="auto"/>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rPr>
        <w:t xml:space="preserve"> 大学城校区国际楼A栋提升改造项目 </w:t>
      </w:r>
    </w:p>
    <w:p>
      <w:pPr>
        <w:pStyle w:val="5"/>
        <w:kinsoku w:val="0"/>
        <w:overflowPunct w:val="0"/>
        <w:spacing w:line="360" w:lineRule="auto"/>
        <w:ind w:left="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2.建设地点：</w:t>
      </w:r>
      <w:r>
        <w:rPr>
          <w:rFonts w:hint="eastAsia" w:ascii="宋体" w:hAnsi="宋体" w:eastAsia="宋体" w:cs="宋体"/>
          <w:color w:val="auto"/>
          <w:sz w:val="21"/>
          <w:szCs w:val="21"/>
          <w:highlight w:val="none"/>
          <w:u w:val="single"/>
        </w:rPr>
        <w:t xml:space="preserve">  广州市番禺区广州大学城外环东路232号 </w:t>
      </w:r>
      <w:r>
        <w:rPr>
          <w:rFonts w:hint="eastAsia" w:ascii="宋体" w:hAnsi="宋体" w:eastAsia="宋体" w:cs="宋体"/>
          <w:color w:val="auto"/>
          <w:sz w:val="21"/>
          <w:szCs w:val="21"/>
          <w:highlight w:val="none"/>
        </w:rPr>
        <w:t xml:space="preserve"> </w:t>
      </w:r>
    </w:p>
    <w:p>
      <w:pPr>
        <w:spacing w:line="50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bCs/>
          <w:sz w:val="21"/>
          <w:szCs w:val="21"/>
          <w:highlight w:val="none"/>
        </w:rPr>
        <w:t>3.建设规模及内容：</w:t>
      </w:r>
      <w:r>
        <w:rPr>
          <w:rFonts w:hint="eastAsia" w:ascii="宋体" w:hAnsi="宋体" w:eastAsia="宋体" w:cs="宋体"/>
          <w:b w:val="0"/>
          <w:bCs w:val="0"/>
          <w:sz w:val="21"/>
          <w:szCs w:val="21"/>
          <w:highlight w:val="none"/>
          <w:u w:val="single"/>
          <w:lang w:val="en-US" w:eastAsia="zh-CN"/>
        </w:rPr>
        <w:t>对</w:t>
      </w:r>
      <w:r>
        <w:rPr>
          <w:rFonts w:hint="eastAsia" w:ascii="宋体" w:hAnsi="宋体" w:eastAsia="宋体" w:cs="宋体"/>
          <w:sz w:val="21"/>
          <w:szCs w:val="21"/>
          <w:highlight w:val="none"/>
          <w:u w:val="single"/>
        </w:rPr>
        <w:t>大学城校区国际楼</w:t>
      </w:r>
      <w:r>
        <w:rPr>
          <w:rFonts w:hint="eastAsia" w:ascii="宋体" w:hAnsi="宋体" w:eastAsia="宋体" w:cs="宋体"/>
          <w:sz w:val="21"/>
          <w:szCs w:val="21"/>
          <w:highlight w:val="none"/>
          <w:u w:val="single"/>
          <w:lang w:val="en-US" w:eastAsia="zh-CN"/>
        </w:rPr>
        <w:t>A</w:t>
      </w:r>
      <w:r>
        <w:rPr>
          <w:rFonts w:hint="eastAsia" w:ascii="宋体" w:hAnsi="宋体" w:eastAsia="宋体" w:cs="宋体"/>
          <w:sz w:val="21"/>
          <w:szCs w:val="21"/>
          <w:highlight w:val="none"/>
          <w:u w:val="single"/>
        </w:rPr>
        <w:t>栋宿舍进行整体</w:t>
      </w:r>
      <w:r>
        <w:rPr>
          <w:rFonts w:hint="eastAsia" w:ascii="宋体" w:hAnsi="宋体" w:eastAsia="宋体" w:cs="宋体"/>
          <w:sz w:val="21"/>
          <w:szCs w:val="21"/>
          <w:highlight w:val="none"/>
          <w:u w:val="single"/>
          <w:lang w:val="en-US" w:eastAsia="zh-CN"/>
        </w:rPr>
        <w:t>提升改造</w:t>
      </w:r>
      <w:r>
        <w:rPr>
          <w:rFonts w:hint="eastAsia" w:ascii="宋体" w:hAnsi="宋体" w:eastAsia="宋体" w:cs="宋体"/>
          <w:sz w:val="21"/>
          <w:szCs w:val="21"/>
          <w:highlight w:val="none"/>
          <w:u w:val="single"/>
        </w:rPr>
        <w:t>，具体维修改造内容包括</w:t>
      </w:r>
      <w:r>
        <w:rPr>
          <w:rFonts w:hint="eastAsia" w:ascii="宋体" w:hAnsi="宋体" w:eastAsia="宋体" w:cs="宋体"/>
          <w:sz w:val="21"/>
          <w:szCs w:val="21"/>
          <w:highlight w:val="none"/>
          <w:u w:val="single"/>
          <w:lang w:val="en-US" w:eastAsia="zh-CN"/>
        </w:rPr>
        <w:t>对国际楼A栋</w:t>
      </w:r>
      <w:r>
        <w:rPr>
          <w:rFonts w:hint="eastAsia" w:ascii="宋体" w:hAnsi="宋体" w:eastAsia="宋体" w:cs="宋体"/>
          <w:sz w:val="21"/>
          <w:szCs w:val="21"/>
          <w:highlight w:val="none"/>
          <w:u w:val="single"/>
        </w:rPr>
        <w:t>四至九楼</w:t>
      </w:r>
      <w:r>
        <w:rPr>
          <w:rFonts w:hint="eastAsia" w:ascii="宋体" w:hAnsi="宋体" w:eastAsia="宋体" w:cs="宋体"/>
          <w:sz w:val="21"/>
          <w:szCs w:val="21"/>
          <w:highlight w:val="none"/>
          <w:u w:val="single"/>
          <w:lang w:val="en-US" w:eastAsia="zh-CN"/>
        </w:rPr>
        <w:t>96间宿舍以及2间活动室：</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u w:val="single"/>
          <w:lang w:eastAsia="zh-CN"/>
        </w:rPr>
        <w:t>）宿舍内墙铲除原有涂料层后扇灰刷白色无机涂料；（</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）铲除房间内木纹地板贴片及地毯后更换地砖；（</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）新做隔断作为阳台，做铝合金推拉门；（</w:t>
      </w: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u w:val="single"/>
          <w:lang w:eastAsia="zh-CN"/>
        </w:rPr>
        <w:t>）宿舍卫生间拆除部分墙体后重做，地面防水层、地砖与批荡拆除重</w:t>
      </w:r>
      <w:r>
        <w:rPr>
          <w:rFonts w:hint="eastAsia" w:ascii="宋体" w:hAnsi="宋体" w:eastAsia="宋体" w:cs="宋体"/>
          <w:color w:val="auto"/>
          <w:sz w:val="21"/>
          <w:szCs w:val="21"/>
          <w:highlight w:val="none"/>
          <w:u w:val="single"/>
          <w:lang w:eastAsia="zh-CN"/>
        </w:rPr>
        <w:t>做；（</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）卫生间卫浴设施更换；（</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）走廊墙面及地面铲除原有涂料装饰层及地砖后重做，天花吊顶拆除重新做铝方通吊顶；（</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eastAsia="zh-CN"/>
        </w:rPr>
        <w:t>）重新设计电线与灯具、插座、空调冷凝管排水位等</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根据</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提供的</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文件、施工图纸、工程量清单等结合现场实际情况、工程性质、特点等要求，采取包施工、包材料、包质量、包工期、包安全文明施工、包环境卫生、包竣工资料收集整理及竣工图编制、包验收移交、包保修等。</w:t>
      </w:r>
    </w:p>
    <w:p>
      <w:pPr>
        <w:pStyle w:val="5"/>
        <w:kinsoku w:val="0"/>
        <w:overflowPunct w:val="0"/>
        <w:spacing w:line="360" w:lineRule="auto"/>
        <w:ind w:left="0"/>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lang w:val="en-US" w:eastAsia="zh-CN"/>
        </w:rPr>
        <w:t>二</w:t>
      </w:r>
      <w:r>
        <w:rPr>
          <w:rFonts w:hint="eastAsia" w:ascii="宋体" w:hAnsi="宋体" w:eastAsia="宋体" w:cs="宋体"/>
          <w:b/>
          <w:bCs/>
          <w:spacing w:val="11"/>
          <w:sz w:val="21"/>
          <w:szCs w:val="21"/>
          <w:highlight w:val="none"/>
        </w:rPr>
        <w:t>、商务及技术要求</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1.施工要求</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进场前提交完整的施工组织设计及组织人员架构表。</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在工程施工期间，须严格遵守政府职能部门的各项规章制度，由于管理不善，导致政府职能部门的罚款和停工整改，由其发生的费用与损失由</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自行承担，且发包人保留暂缓支付工程款的权利。</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在工程施工期间，必须配备专职安全员，建立健全安全制度，严格遵守国家、省、市有关安全文明施工等规定，由于</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的责任造成的一切人员的伤亡及财产损失，均由</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承担由此产生的一切赔偿等后果。</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施工中应采用可行的措施对原有的建筑物、构筑物等进行保护，如由于</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原因造成原有的建筑物、构筑物等损坏，由</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负责修复并赔偿。</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（5）施工过程中应采取必要的</w:t>
      </w:r>
      <w:r>
        <w:rPr>
          <w:rFonts w:hint="eastAsia" w:ascii="宋体" w:hAnsi="宋体" w:eastAsia="宋体" w:cs="宋体"/>
          <w:kern w:val="2"/>
          <w:sz w:val="21"/>
          <w:szCs w:val="21"/>
          <w:highlight w:val="none"/>
          <w:lang w:val="en-US" w:eastAsia="zh-CN"/>
        </w:rPr>
        <w:t>有</w:t>
      </w:r>
      <w:r>
        <w:rPr>
          <w:rFonts w:hint="eastAsia" w:ascii="宋体" w:hAnsi="宋体" w:eastAsia="宋体" w:cs="宋体"/>
          <w:kern w:val="2"/>
          <w:sz w:val="21"/>
          <w:szCs w:val="21"/>
          <w:highlight w:val="none"/>
        </w:rPr>
        <w:t>效措施减少对学校师生的影响，建筑垃圾必须及时清运。</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2.质量要求</w:t>
      </w:r>
    </w:p>
    <w:p>
      <w:pPr>
        <w:spacing w:line="360" w:lineRule="auto"/>
        <w:ind w:firstLine="420" w:firstLineChars="200"/>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Hans"/>
        </w:rPr>
        <w:t>符合设计图纸要求和国家、省、市相关法律法规规定要求及行业颁发的工程质量合格标准。</w:t>
      </w:r>
    </w:p>
    <w:p>
      <w:pPr>
        <w:snapToGrid w:val="0"/>
        <w:spacing w:line="360" w:lineRule="auto"/>
        <w:ind w:firstLine="420" w:firstLineChars="200"/>
        <w:contextualSpacing/>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lang w:eastAsia="zh-Hans"/>
        </w:rPr>
        <w:t>确保使用的材料安全、环保，竣工验收前提交室内环境检测报告，检测费用由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承担</w:t>
      </w:r>
      <w:r>
        <w:rPr>
          <w:rFonts w:hint="eastAsia" w:ascii="宋体" w:hAnsi="宋体" w:eastAsia="宋体" w:cs="宋体"/>
          <w:sz w:val="21"/>
          <w:szCs w:val="21"/>
          <w:highlight w:val="none"/>
          <w:lang w:eastAsia="zh-Hans"/>
        </w:rPr>
        <w:t>，如检测不合格由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lang w:eastAsia="zh-Hans"/>
        </w:rPr>
        <w:t>负责整改至合格为止，并承担相关费用。</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3.工期要求</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val="0"/>
          <w:bCs w:val="0"/>
          <w:sz w:val="21"/>
          <w:szCs w:val="21"/>
          <w:highlight w:val="none"/>
          <w:u w:val="none"/>
          <w:lang w:eastAsia="zh-CN"/>
        </w:rPr>
        <w:t>工程合同工期总日历天数：</w:t>
      </w:r>
      <w:r>
        <w:rPr>
          <w:rFonts w:hint="eastAsia" w:ascii="宋体" w:hAnsi="宋体" w:eastAsia="宋体" w:cs="宋体"/>
          <w:b w:val="0"/>
          <w:bCs w:val="0"/>
          <w:sz w:val="21"/>
          <w:szCs w:val="21"/>
          <w:highlight w:val="none"/>
          <w:u w:val="none"/>
          <w:lang w:val="en-US" w:eastAsia="zh-CN"/>
        </w:rPr>
        <w:t>90</w:t>
      </w:r>
      <w:r>
        <w:rPr>
          <w:rFonts w:hint="eastAsia" w:ascii="宋体" w:hAnsi="宋体" w:eastAsia="宋体" w:cs="宋体"/>
          <w:b w:val="0"/>
          <w:bCs w:val="0"/>
          <w:sz w:val="21"/>
          <w:szCs w:val="21"/>
          <w:highlight w:val="none"/>
          <w:u w:val="none"/>
          <w:lang w:eastAsia="zh-CN"/>
        </w:rPr>
        <w:t>天，具体开工日期以签发的开工令日期为准，不可抗力因素及甲方原因引起的不能施工，则工期顺延。</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根据企业自身实际能力，在施工组织和施工方法合理、可行的前提下，对本工程的工期进行优化，缩短工期。其中雨天、节假日及因施工单位的施工质量不合格或施工工序颠倒造成的返工所耽误的工期，不能顺延。</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（3）因不可抗力、发包人原因造成工期延误的，经确认后，工期可相应顺延；若因</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的原因造成工期延误的，每延迟一天扣罚合同价款0.2%，罚款合计不超过合同价款5%，结算时扣罚。如因</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工期延误给发包人造成损失的，</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赔偿相应损失。</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（4）由于</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原因造成工期延误且多次催促后仍未采取相关补救措施的，发包人有权取消</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的承包资格，并终止合同。</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4.材料、设备要求</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（1）本工程项目的材料、设备、施工须达到现行中华人民共和国以及广东省行业的工程建设标准、规范的要求。</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sz w:val="21"/>
          <w:szCs w:val="21"/>
          <w:highlight w:val="none"/>
        </w:rPr>
        <w:t>（2）本工程所承包范围内所需的材料及设备、成品、未成品的采购、运输、保管、质量等责任均由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承担，发包人不提供任何材料。</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（3）本项目使用的主要材料及装饰材料须提供三个或以上样板并经</w:t>
      </w:r>
      <w:r>
        <w:rPr>
          <w:rFonts w:hint="eastAsia" w:ascii="宋体" w:hAnsi="宋体" w:eastAsia="宋体" w:cs="宋体"/>
          <w:sz w:val="21"/>
          <w:szCs w:val="21"/>
          <w:highlight w:val="none"/>
          <w:lang w:val="zh-CN"/>
        </w:rPr>
        <w:t>发包人</w:t>
      </w:r>
      <w:r>
        <w:rPr>
          <w:rFonts w:hint="eastAsia" w:ascii="宋体" w:hAnsi="宋体" w:eastAsia="宋体" w:cs="宋体"/>
          <w:sz w:val="21"/>
          <w:szCs w:val="21"/>
          <w:highlight w:val="none"/>
        </w:rPr>
        <w:t>确认符合项目要求后，方可订货使用。如发现货不对板和质量问题的，</w:t>
      </w:r>
      <w:r>
        <w:rPr>
          <w:rFonts w:hint="eastAsia" w:ascii="宋体" w:hAnsi="宋体" w:eastAsia="宋体" w:cs="宋体"/>
          <w:sz w:val="21"/>
          <w:szCs w:val="21"/>
          <w:highlight w:val="none"/>
          <w:lang w:val="zh-CN"/>
        </w:rPr>
        <w:t>发包人</w:t>
      </w:r>
      <w:r>
        <w:rPr>
          <w:rFonts w:hint="eastAsia" w:ascii="宋体" w:hAnsi="宋体" w:eastAsia="宋体" w:cs="宋体"/>
          <w:sz w:val="21"/>
          <w:szCs w:val="21"/>
          <w:highlight w:val="none"/>
        </w:rPr>
        <w:t>有权拒用，并由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承担损失。</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（4）由于</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提供的伪劣、假冒等所有不合格材料而导致的损失，事故及一切后果，均由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负责并赔偿</w:t>
      </w:r>
      <w:r>
        <w:rPr>
          <w:rFonts w:hint="eastAsia" w:ascii="宋体" w:hAnsi="宋体" w:eastAsia="宋体" w:cs="宋体"/>
          <w:sz w:val="21"/>
          <w:szCs w:val="21"/>
          <w:highlight w:val="none"/>
          <w:lang w:val="zh-CN"/>
        </w:rPr>
        <w:t>发包人</w:t>
      </w:r>
      <w:r>
        <w:rPr>
          <w:rFonts w:hint="eastAsia" w:ascii="宋体" w:hAnsi="宋体" w:eastAsia="宋体" w:cs="宋体"/>
          <w:sz w:val="21"/>
          <w:szCs w:val="21"/>
          <w:highlight w:val="none"/>
        </w:rPr>
        <w:t>所有损失，并负责免费更换所有已施工的不合格材料。</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5.工程变更要求</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（1）施工期间人工费、材料费及机械台班价格上涨由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自行承担涨价风险，单价不予变更。</w:t>
      </w:r>
    </w:p>
    <w:p>
      <w:pPr>
        <w:snapToGrid w:val="0"/>
        <w:spacing w:line="360" w:lineRule="auto"/>
        <w:ind w:firstLine="315" w:firstLineChars="15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（2）现场签证或设计变更应经发包人确认并按发包人的有关规定办理相关手续，否则不认可。</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6.报价要求</w:t>
      </w:r>
    </w:p>
    <w:p>
      <w:pPr>
        <w:pStyle w:val="140"/>
        <w:ind w:firstLine="44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项目按清单计价办法，执行《建设工程工程量清单计价规范》及省市的有关规定。主要工程量依据委托单位提供工程量清单并结合项目实际施工情况确定，工程量清单与现场实际不符的，在施工前报由发包人确认。套用：</w:t>
      </w:r>
      <w:r>
        <w:rPr>
          <w:rFonts w:hint="eastAsia" w:ascii="宋体" w:hAnsi="宋体" w:cs="宋体"/>
          <w:kern w:val="0"/>
          <w:sz w:val="21"/>
          <w:szCs w:val="21"/>
          <w:highlight w:val="none"/>
          <w:lang w:eastAsia="zh-CN"/>
        </w:rPr>
        <w:t>《建设工程工程量清单计价规范》（GB50500-2013）</w:t>
      </w:r>
      <w:r>
        <w:rPr>
          <w:rFonts w:hint="eastAsia" w:ascii="宋体" w:hAnsi="宋体" w:eastAsia="宋体" w:cs="宋体"/>
          <w:kern w:val="0"/>
          <w:sz w:val="21"/>
          <w:szCs w:val="21"/>
          <w:highlight w:val="none"/>
        </w:rPr>
        <w:t>，《广东省建设工程计价依据（2018）》，《广东省建筑工程综合定额（2018）》，《广东省市政工程综合定额（2018）》，《广东省安装工程综合定额（2018年）》及其计价办法。</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（2）按照《广东省建设厅建筑工程安全防护、文明施工措施费用管理办法》的有关规定，工程预算中各专业工程的安全防护、文明施工措施费用实行专款专用。</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（4）中标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出现严重不平衡报价时，</w:t>
      </w:r>
      <w:r>
        <w:rPr>
          <w:rFonts w:hint="eastAsia" w:ascii="宋体" w:hAnsi="宋体" w:eastAsia="宋体" w:cs="宋体"/>
          <w:sz w:val="21"/>
          <w:szCs w:val="21"/>
          <w:highlight w:val="none"/>
          <w:lang w:eastAsia="zh-CN"/>
        </w:rPr>
        <w:t>招标人</w:t>
      </w:r>
      <w:r>
        <w:rPr>
          <w:rFonts w:hint="eastAsia" w:ascii="宋体" w:hAnsi="宋体" w:eastAsia="宋体" w:cs="宋体"/>
          <w:sz w:val="21"/>
          <w:szCs w:val="21"/>
          <w:highlight w:val="none"/>
        </w:rPr>
        <w:t>保留调整单价的权利。本项目中标价为中标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所报投标总价，中标价经确认无严重不平衡报价后作为合同价。</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5）除非合同中另有规定，承包人在报价中具有标价的工程量清单中所报的单价和合价，以及投标报价汇总表中的价格均包括完成该工程项目的成本、利润、税金、开办费、技术措施费、大型机械进出场费、风险费、政策性文件规定费用、各项检测等所有费用。</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7.付款方式</w:t>
      </w:r>
    </w:p>
    <w:p>
      <w:pPr>
        <w:snapToGrid w:val="0"/>
        <w:spacing w:line="360" w:lineRule="auto"/>
        <w:ind w:firstLine="420" w:firstLineChars="200"/>
        <w:contextualSpacing/>
        <w:rPr>
          <w:rFonts w:hint="eastAsia" w:ascii="宋体" w:hAnsi="宋体" w:eastAsia="宋体" w:cs="宋体"/>
          <w:position w:val="1"/>
          <w:sz w:val="21"/>
          <w:szCs w:val="21"/>
          <w:highlight w:val="none"/>
        </w:rPr>
      </w:pPr>
      <w:r>
        <w:rPr>
          <w:rFonts w:hint="eastAsia" w:ascii="宋体" w:hAnsi="宋体" w:eastAsia="宋体" w:cs="宋体"/>
          <w:position w:val="1"/>
          <w:sz w:val="21"/>
          <w:szCs w:val="21"/>
          <w:highlight w:val="none"/>
        </w:rPr>
        <w:t>（1）预付款：预付款的金额为合同价（扣除暂列金额）的30%，预付款直接作为工程款不扣回；</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（2）进度款：工程完成60%时支付合同价（扣除暂列金额）</w:t>
      </w:r>
      <w:r>
        <w:rPr>
          <w:rFonts w:hint="eastAsia" w:ascii="宋体" w:hAnsi="宋体" w:eastAsia="宋体" w:cs="宋体"/>
          <w:position w:val="1"/>
          <w:sz w:val="21"/>
          <w:szCs w:val="21"/>
          <w:highlight w:val="none"/>
          <w:lang w:val="en-US" w:eastAsia="zh-CN"/>
        </w:rPr>
        <w:t>2</w:t>
      </w:r>
      <w:r>
        <w:rPr>
          <w:rFonts w:hint="eastAsia" w:ascii="宋体" w:hAnsi="宋体" w:eastAsia="宋体" w:cs="宋体"/>
          <w:position w:val="1"/>
          <w:sz w:val="21"/>
          <w:szCs w:val="21"/>
          <w:highlight w:val="none"/>
        </w:rPr>
        <w:t>0%，</w:t>
      </w:r>
      <w:r>
        <w:rPr>
          <w:rFonts w:hint="eastAsia" w:ascii="宋体" w:hAnsi="宋体" w:eastAsia="宋体" w:cs="宋体"/>
          <w:sz w:val="21"/>
          <w:szCs w:val="21"/>
          <w:highlight w:val="none"/>
        </w:rPr>
        <w:t>工程竣工验收合格</w:t>
      </w:r>
      <w:r>
        <w:rPr>
          <w:rFonts w:hint="eastAsia" w:ascii="宋体" w:hAnsi="宋体" w:eastAsia="宋体" w:cs="宋体"/>
          <w:position w:val="1"/>
          <w:sz w:val="21"/>
          <w:szCs w:val="21"/>
          <w:highlight w:val="none"/>
        </w:rPr>
        <w:t>后支付合同价（扣除暂列金额）</w:t>
      </w:r>
      <w:r>
        <w:rPr>
          <w:rFonts w:hint="eastAsia" w:ascii="宋体" w:hAnsi="宋体" w:eastAsia="宋体" w:cs="宋体"/>
          <w:position w:val="1"/>
          <w:sz w:val="21"/>
          <w:szCs w:val="21"/>
          <w:highlight w:val="none"/>
          <w:lang w:val="en-US" w:eastAsia="zh-CN"/>
        </w:rPr>
        <w:t>3</w:t>
      </w:r>
      <w:r>
        <w:rPr>
          <w:rFonts w:hint="eastAsia" w:ascii="宋体" w:hAnsi="宋体" w:eastAsia="宋体" w:cs="宋体"/>
          <w:position w:val="1"/>
          <w:sz w:val="21"/>
          <w:szCs w:val="21"/>
          <w:highlight w:val="none"/>
        </w:rPr>
        <w:t>0%</w:t>
      </w:r>
      <w:r>
        <w:rPr>
          <w:rFonts w:hint="eastAsia" w:ascii="宋体" w:hAnsi="宋体" w:eastAsia="宋体" w:cs="宋体"/>
          <w:sz w:val="21"/>
          <w:szCs w:val="21"/>
          <w:highlight w:val="none"/>
        </w:rPr>
        <w:t>；</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（3）结算款：通过</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委托的审核单位完成结算审核、工程档案资料按</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规定移交后支付至结算价的100%，结算款支付前</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应提交审定结算价的3%作为工程质量保修金，保修期满后保修金无息退还（扣除不按本合同专用条款的违约金）</w:t>
      </w:r>
    </w:p>
    <w:p>
      <w:pPr>
        <w:snapToGrid w:val="0"/>
        <w:spacing w:line="360" w:lineRule="auto"/>
        <w:ind w:firstLine="422" w:firstLineChars="200"/>
        <w:contextualSpacing/>
        <w:rPr>
          <w:rFonts w:hint="eastAsia" w:ascii="宋体" w:hAnsi="宋体" w:eastAsia="宋体" w:cs="宋体"/>
          <w:b/>
          <w:sz w:val="21"/>
          <w:szCs w:val="21"/>
          <w:highlight w:val="none"/>
        </w:rPr>
      </w:pPr>
      <w:r>
        <w:rPr>
          <w:rFonts w:hint="eastAsia" w:ascii="宋体" w:hAnsi="宋体" w:eastAsia="宋体" w:cs="宋体"/>
          <w:b/>
          <w:sz w:val="21"/>
          <w:szCs w:val="21"/>
          <w:highlight w:val="none"/>
        </w:rPr>
        <w:t>8.工程资料要求</w:t>
      </w:r>
    </w:p>
    <w:p>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（1）档案收集：</w:t>
      </w:r>
      <w:r>
        <w:rPr>
          <w:rFonts w:hint="eastAsia" w:ascii="宋体" w:hAnsi="宋体" w:eastAsia="宋体" w:cs="宋体"/>
          <w:kern w:val="2"/>
          <w:sz w:val="21"/>
          <w:szCs w:val="21"/>
          <w:highlight w:val="none"/>
          <w:lang w:eastAsia="zh-CN"/>
        </w:rPr>
        <w:t>中标人</w:t>
      </w:r>
      <w:r>
        <w:rPr>
          <w:rFonts w:hint="eastAsia" w:ascii="宋体" w:hAnsi="宋体" w:eastAsia="宋体" w:cs="宋体"/>
          <w:kern w:val="2"/>
          <w:sz w:val="21"/>
          <w:szCs w:val="21"/>
          <w:highlight w:val="none"/>
        </w:rPr>
        <w:t>应按照城市建设档案管理的有关规定，在工程施工过程中及时做好工程档案的收集、汇总、整理工作。</w:t>
      </w:r>
    </w:p>
    <w:p>
      <w:pPr>
        <w:spacing w:line="360" w:lineRule="auto"/>
        <w:ind w:firstLine="435"/>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（2）档案提交：承包人在工程竣工验收后、结算款支付前，应向发包人提供符合国家档案部门要求，按规格编制成册的完整的工程竣工图、有关的工程技术档案资料等归档，并同时提交有关归档的证明文件。</w:t>
      </w:r>
    </w:p>
    <w:p>
      <w:pPr>
        <w:kinsoku w:val="0"/>
        <w:overflowPunct w:val="0"/>
        <w:spacing w:before="2"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9.工程质量保修要求</w:t>
      </w:r>
    </w:p>
    <w:p>
      <w:pPr>
        <w:tabs>
          <w:tab w:val="left" w:pos="7740"/>
        </w:tabs>
        <w:snapToGrid w:val="0"/>
        <w:spacing w:line="360" w:lineRule="auto"/>
        <w:ind w:firstLine="315" w:firstLineChars="150"/>
        <w:contextualSpacing/>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（1）工程的保修按中华人民共和国国务院令第279号《建设工程质量管理条例》规定执行。</w:t>
      </w:r>
    </w:p>
    <w:p>
      <w:pPr>
        <w:tabs>
          <w:tab w:val="left" w:pos="7740"/>
        </w:tabs>
        <w:snapToGrid w:val="0"/>
        <w:spacing w:line="360" w:lineRule="auto"/>
        <w:ind w:firstLine="315" w:firstLineChars="150"/>
        <w:contextualSpacing/>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在提交竣工验收报告时，应出具质量保修书。质量保修书中应当明确工程的保修范围，保修期限和保修责任等。</w:t>
      </w:r>
    </w:p>
    <w:p>
      <w:pPr>
        <w:tabs>
          <w:tab w:val="left" w:pos="7740"/>
        </w:tabs>
        <w:snapToGrid w:val="0"/>
        <w:spacing w:line="360" w:lineRule="auto"/>
        <w:ind w:firstLine="315" w:firstLineChars="150"/>
        <w:contextualSpacing/>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（3）响应时间：接到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2"/>
          <w:sz w:val="21"/>
          <w:szCs w:val="21"/>
          <w:highlight w:val="none"/>
          <w14:textFill>
            <w14:solidFill>
              <w14:schemeClr w14:val="tx1"/>
            </w14:solidFill>
          </w14:textFill>
        </w:rPr>
        <w:t>（广州中医药大学）通知后一天内赶到现场，3天内修复。</w:t>
      </w:r>
    </w:p>
    <w:p>
      <w:pPr>
        <w:tabs>
          <w:tab w:val="left" w:pos="7740"/>
        </w:tabs>
        <w:snapToGrid w:val="0"/>
        <w:spacing w:line="360" w:lineRule="auto"/>
        <w:ind w:firstLine="315" w:firstLineChars="150"/>
        <w:contextualSpacing/>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（4）保修期内，</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负责对其提供的整个项目进行维修和维护，不再收取任何费用，但非</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责任的人为因素、自然因素（如火灾、雷击等）造成的故障除外。</w:t>
      </w:r>
    </w:p>
    <w:p>
      <w:pPr>
        <w:tabs>
          <w:tab w:val="left" w:pos="7740"/>
        </w:tabs>
        <w:snapToGrid w:val="0"/>
        <w:spacing w:line="360" w:lineRule="auto"/>
        <w:ind w:firstLine="315" w:firstLineChars="150"/>
        <w:contextualSpacing/>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（5）质保服务方式均为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上门维修，即由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派员到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2"/>
          <w:sz w:val="21"/>
          <w:szCs w:val="21"/>
          <w:highlight w:val="none"/>
          <w14:textFill>
            <w14:solidFill>
              <w14:schemeClr w14:val="tx1"/>
            </w14:solidFill>
          </w14:textFill>
        </w:rPr>
        <w:t>（广州中医药大学）现场维修，由此产生的一切费用均由</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承担。</w:t>
      </w:r>
    </w:p>
    <w:p>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第六章  图纸及勘察资料</w:t>
      </w:r>
      <w:bookmarkEnd w:id="131"/>
    </w:p>
    <w:p>
      <w:pPr>
        <w:jc w:val="center"/>
        <w:rPr>
          <w:rFonts w:ascii="宋体" w:hAnsi="宋体" w:cs="宋体"/>
          <w:b/>
          <w:color w:val="auto"/>
          <w:sz w:val="36"/>
          <w:szCs w:val="36"/>
          <w:highlight w:val="none"/>
        </w:rPr>
      </w:pPr>
      <w:r>
        <w:rPr>
          <w:rFonts w:hint="eastAsia" w:ascii="宋体" w:hAnsi="宋体" w:cs="宋体"/>
          <w:color w:val="auto"/>
          <w:szCs w:val="21"/>
          <w:highlight w:val="none"/>
        </w:rPr>
        <w:t>另册。</w:t>
      </w:r>
    </w:p>
    <w:p>
      <w:pPr>
        <w:pStyle w:val="2"/>
        <w:ind w:firstLine="420"/>
        <w:jc w:val="center"/>
        <w:rPr>
          <w:rFonts w:ascii="宋体" w:hAnsi="宋体" w:cs="宋体"/>
          <w:color w:val="auto"/>
          <w:highlight w:val="none"/>
        </w:rPr>
      </w:pPr>
      <w:r>
        <w:rPr>
          <w:rFonts w:hint="eastAsia" w:ascii="宋体" w:hAnsi="宋体" w:cs="宋体"/>
          <w:color w:val="auto"/>
          <w:sz w:val="24"/>
          <w:szCs w:val="24"/>
          <w:highlight w:val="none"/>
        </w:rPr>
        <w:br w:type="page"/>
      </w:r>
      <w:bookmarkStart w:id="132" w:name="_Toc2247"/>
      <w:r>
        <w:rPr>
          <w:rFonts w:hint="eastAsia" w:ascii="宋体" w:hAnsi="宋体" w:cs="宋体"/>
          <w:color w:val="auto"/>
          <w:highlight w:val="none"/>
        </w:rPr>
        <w:t>第七章  工程量清单</w:t>
      </w:r>
      <w:bookmarkEnd w:id="132"/>
    </w:p>
    <w:p>
      <w:pPr>
        <w:jc w:val="center"/>
        <w:rPr>
          <w:rFonts w:ascii="宋体" w:hAnsi="宋体" w:cs="宋体"/>
          <w:b/>
          <w:color w:val="auto"/>
          <w:sz w:val="36"/>
          <w:szCs w:val="36"/>
          <w:highlight w:val="none"/>
        </w:rPr>
      </w:pPr>
      <w:r>
        <w:rPr>
          <w:rFonts w:hint="eastAsia" w:ascii="宋体" w:hAnsi="宋体" w:cs="宋体"/>
          <w:color w:val="auto"/>
          <w:szCs w:val="21"/>
          <w:highlight w:val="none"/>
        </w:rPr>
        <w:t>另册。</w:t>
      </w:r>
    </w:p>
    <w:p>
      <w:pPr>
        <w:pStyle w:val="4"/>
        <w:spacing w:after="0" w:line="360" w:lineRule="auto"/>
        <w:ind w:left="-2" w:leftChars="-1" w:firstLine="960" w:firstLineChars="400"/>
        <w:rPr>
          <w:rFonts w:ascii="宋体" w:hAnsi="宋体" w:cs="宋体"/>
          <w:color w:val="auto"/>
          <w:sz w:val="24"/>
          <w:highlight w:val="none"/>
        </w:rPr>
      </w:pPr>
    </w:p>
    <w:p>
      <w:pPr>
        <w:pStyle w:val="2"/>
        <w:rPr>
          <w:rFonts w:ascii="宋体" w:hAnsi="宋体" w:cs="宋体"/>
          <w:color w:val="auto"/>
          <w:highlight w:val="none"/>
        </w:rPr>
      </w:pPr>
    </w:p>
    <w:p>
      <w:pPr>
        <w:pStyle w:val="2"/>
        <w:jc w:val="center"/>
        <w:rPr>
          <w:rFonts w:ascii="宋体" w:hAnsi="宋体" w:cs="宋体"/>
          <w:color w:val="auto"/>
          <w:highlight w:val="none"/>
        </w:rPr>
      </w:pPr>
      <w:r>
        <w:rPr>
          <w:rFonts w:hint="eastAsia" w:ascii="宋体" w:hAnsi="宋体" w:cs="宋体"/>
          <w:color w:val="auto"/>
          <w:sz w:val="24"/>
          <w:szCs w:val="24"/>
          <w:highlight w:val="none"/>
        </w:rPr>
        <w:br w:type="page"/>
      </w:r>
      <w:bookmarkStart w:id="133" w:name="_Toc10163"/>
      <w:r>
        <w:rPr>
          <w:rFonts w:hint="eastAsia" w:ascii="宋体" w:hAnsi="宋体" w:cs="宋体"/>
          <w:color w:val="auto"/>
          <w:highlight w:val="none"/>
        </w:rPr>
        <w:t>第八章  最高投标限价</w:t>
      </w:r>
      <w:bookmarkEnd w:id="133"/>
    </w:p>
    <w:p>
      <w:pPr>
        <w:jc w:val="center"/>
        <w:rPr>
          <w:rFonts w:ascii="宋体" w:hAnsi="宋体" w:cs="宋体"/>
          <w:b/>
          <w:color w:val="auto"/>
          <w:sz w:val="36"/>
          <w:szCs w:val="36"/>
          <w:highlight w:val="none"/>
        </w:rPr>
      </w:pPr>
      <w:r>
        <w:rPr>
          <w:rFonts w:hint="eastAsia" w:ascii="宋体" w:hAnsi="宋体" w:cs="宋体"/>
          <w:color w:val="auto"/>
          <w:szCs w:val="21"/>
          <w:highlight w:val="none"/>
        </w:rPr>
        <w:t>另册。</w:t>
      </w:r>
    </w:p>
    <w:p>
      <w:pPr>
        <w:rPr>
          <w:rFonts w:ascii="宋体" w:hAnsi="宋体" w:cs="宋体"/>
          <w:color w:val="auto"/>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simsong">
    <w:altName w:val="宋体"/>
    <w:panose1 w:val="02020300000000000000"/>
    <w:charset w:val="86"/>
    <w:family w:val="auto"/>
    <w:pitch w:val="default"/>
    <w:sig w:usb0="00000000" w:usb1="00000000" w:usb2="00000016" w:usb3="00000000" w:csb0="0004000D"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dit="comments"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rsids>
    <w:rsidRoot w:val="00000000"/>
    <w:rsid w:val="00B83C7E"/>
    <w:rsid w:val="06410E51"/>
    <w:rsid w:val="091A7535"/>
    <w:rsid w:val="098506D5"/>
    <w:rsid w:val="0D4552B3"/>
    <w:rsid w:val="0E346049"/>
    <w:rsid w:val="12420729"/>
    <w:rsid w:val="13BB6894"/>
    <w:rsid w:val="151121DB"/>
    <w:rsid w:val="173D69EE"/>
    <w:rsid w:val="179A07A1"/>
    <w:rsid w:val="18D94D16"/>
    <w:rsid w:val="1E423876"/>
    <w:rsid w:val="1FA717B9"/>
    <w:rsid w:val="2059673D"/>
    <w:rsid w:val="20A43E5C"/>
    <w:rsid w:val="220D5A31"/>
    <w:rsid w:val="2B7E34FB"/>
    <w:rsid w:val="2BC03B14"/>
    <w:rsid w:val="30406FD1"/>
    <w:rsid w:val="30495A2A"/>
    <w:rsid w:val="357A52BE"/>
    <w:rsid w:val="36662172"/>
    <w:rsid w:val="38764A05"/>
    <w:rsid w:val="39145216"/>
    <w:rsid w:val="3B195B28"/>
    <w:rsid w:val="3B6E70E8"/>
    <w:rsid w:val="3D033860"/>
    <w:rsid w:val="3D793B23"/>
    <w:rsid w:val="3F9E5AC2"/>
    <w:rsid w:val="3FAA18C7"/>
    <w:rsid w:val="42AE0712"/>
    <w:rsid w:val="4511135A"/>
    <w:rsid w:val="48A26623"/>
    <w:rsid w:val="49492140"/>
    <w:rsid w:val="49B51C60"/>
    <w:rsid w:val="4A4060F4"/>
    <w:rsid w:val="4B6B0F4E"/>
    <w:rsid w:val="4FCC0CFB"/>
    <w:rsid w:val="4FD670C3"/>
    <w:rsid w:val="500D081B"/>
    <w:rsid w:val="50F4724F"/>
    <w:rsid w:val="536B5669"/>
    <w:rsid w:val="53950AA5"/>
    <w:rsid w:val="557625F5"/>
    <w:rsid w:val="567A473C"/>
    <w:rsid w:val="57F17839"/>
    <w:rsid w:val="58226E39"/>
    <w:rsid w:val="5A98409D"/>
    <w:rsid w:val="5CDC1396"/>
    <w:rsid w:val="61A01328"/>
    <w:rsid w:val="62E03669"/>
    <w:rsid w:val="6324615B"/>
    <w:rsid w:val="66030841"/>
    <w:rsid w:val="67801DCE"/>
    <w:rsid w:val="6AA95622"/>
    <w:rsid w:val="6C6849F4"/>
    <w:rsid w:val="6E261CFE"/>
    <w:rsid w:val="6E8F13E6"/>
    <w:rsid w:val="6F8E34B9"/>
    <w:rsid w:val="70E909E4"/>
    <w:rsid w:val="71CD192E"/>
    <w:rsid w:val="735D0BD3"/>
    <w:rsid w:val="74901D19"/>
    <w:rsid w:val="762B1026"/>
    <w:rsid w:val="76E960F7"/>
    <w:rsid w:val="7A5657A6"/>
    <w:rsid w:val="7AD5DFB3"/>
    <w:rsid w:val="7B644801"/>
    <w:rsid w:val="7CBFE2F4"/>
    <w:rsid w:val="7DCD7102"/>
    <w:rsid w:val="7E3FB001"/>
    <w:rsid w:val="7FC22431"/>
    <w:rsid w:val="F2777EEC"/>
    <w:rsid w:val="FB790FEE"/>
    <w:rsid w:val="FEED6337"/>
    <w:rsid w:val="FFF6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55"/>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9"/>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10">
    <w:name w:val="heading 5"/>
    <w:basedOn w:val="8"/>
    <w:next w:val="9"/>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9"/>
    <w:qFormat/>
    <w:uiPriority w:val="0"/>
    <w:pPr>
      <w:keepNext/>
      <w:keepLines/>
      <w:spacing w:before="240" w:after="64" w:line="319" w:lineRule="auto"/>
      <w:outlineLvl w:val="6"/>
    </w:pPr>
    <w:rPr>
      <w:b/>
      <w:kern w:val="0"/>
      <w:sz w:val="24"/>
      <w:szCs w:val="20"/>
    </w:rPr>
  </w:style>
  <w:style w:type="paragraph" w:styleId="13">
    <w:name w:val="heading 8"/>
    <w:basedOn w:val="1"/>
    <w:next w:val="9"/>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9"/>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link w:val="56"/>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kern w:val="0"/>
      <w:sz w:val="20"/>
      <w:szCs w:val="20"/>
    </w:rPr>
  </w:style>
  <w:style w:type="paragraph" w:styleId="9">
    <w:name w:val="Normal Indent"/>
    <w:basedOn w:val="1"/>
    <w:next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20"/>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qFormat/>
    <w:uiPriority w:val="0"/>
    <w:rPr>
      <w:rFonts w:ascii="宋体"/>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3">
    <w:name w:val="Body Text 2"/>
    <w:basedOn w:val="1"/>
    <w:qFormat/>
    <w:uiPriority w:val="0"/>
    <w:rPr>
      <w:rFonts w:asci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36">
    <w:name w:val="index 1"/>
    <w:basedOn w:val="1"/>
    <w:next w:val="1"/>
    <w:qFormat/>
    <w:uiPriority w:val="0"/>
    <w:rPr>
      <w:rFonts w:eastAsia="仿宋_GB2312"/>
      <w:sz w:val="28"/>
      <w:szCs w:val="20"/>
    </w:rPr>
  </w:style>
  <w:style w:type="paragraph" w:styleId="37">
    <w:name w:val="annotation subject"/>
    <w:basedOn w:val="16"/>
    <w:next w:val="16"/>
    <w:qFormat/>
    <w:uiPriority w:val="0"/>
    <w:rPr>
      <w:b/>
      <w:bCs/>
    </w:rPr>
  </w:style>
  <w:style w:type="paragraph" w:styleId="38">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table" w:styleId="40">
    <w:name w:val="Table Grid"/>
    <w:basedOn w:val="3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Emphasis"/>
    <w:basedOn w:val="41"/>
    <w:qFormat/>
    <w:uiPriority w:val="0"/>
    <w:rPr>
      <w:i/>
    </w:rPr>
  </w:style>
  <w:style w:type="character" w:styleId="47">
    <w:name w:val="HTML Definition"/>
    <w:basedOn w:val="41"/>
    <w:qFormat/>
    <w:uiPriority w:val="0"/>
    <w:rPr>
      <w:i/>
      <w:iCs/>
    </w:rPr>
  </w:style>
  <w:style w:type="character" w:styleId="48">
    <w:name w:val="Hyperlink"/>
    <w:qFormat/>
    <w:uiPriority w:val="0"/>
    <w:rPr>
      <w:color w:val="0000FF"/>
      <w:u w:val="single"/>
    </w:rPr>
  </w:style>
  <w:style w:type="character" w:styleId="49">
    <w:name w:val="HTML Code"/>
    <w:basedOn w:val="41"/>
    <w:qFormat/>
    <w:uiPriority w:val="0"/>
    <w:rPr>
      <w:rFonts w:ascii="Consolas" w:hAnsi="Consolas" w:eastAsia="Consolas" w:cs="Consolas"/>
      <w:color w:val="C7254E"/>
      <w:sz w:val="21"/>
      <w:szCs w:val="21"/>
      <w:bdr w:val="single" w:color="E1E1E1" w:sz="2" w:space="0"/>
      <w:shd w:val="clear" w:fill="F9F2F4"/>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styleId="52">
    <w:name w:val="HTML Keyboard"/>
    <w:basedOn w:val="41"/>
    <w:qFormat/>
    <w:uiPriority w:val="0"/>
    <w:rPr>
      <w:rFonts w:hint="default" w:ascii="Consolas" w:hAnsi="Consolas" w:eastAsia="Consolas" w:cs="Consolas"/>
      <w:color w:val="FFFFFF"/>
      <w:sz w:val="21"/>
      <w:szCs w:val="21"/>
      <w:shd w:val="clear" w:fill="333333"/>
    </w:rPr>
  </w:style>
  <w:style w:type="character" w:styleId="53">
    <w:name w:val="HTML Sample"/>
    <w:basedOn w:val="41"/>
    <w:qFormat/>
    <w:uiPriority w:val="0"/>
    <w:rPr>
      <w:rFonts w:hint="default" w:ascii="Consolas" w:hAnsi="Consolas" w:eastAsia="Consolas" w:cs="Consolas"/>
      <w:sz w:val="21"/>
      <w:szCs w:val="21"/>
    </w:rPr>
  </w:style>
  <w:style w:type="paragraph" w:customStyle="1" w:styleId="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1 Char"/>
    <w:basedOn w:val="56"/>
    <w:link w:val="2"/>
    <w:qFormat/>
    <w:uiPriority w:val="0"/>
    <w:rPr>
      <w:rFonts w:ascii="Arial" w:hAnsi="Arial" w:eastAsia="宋体" w:cs="Times New Roman"/>
      <w:kern w:val="44"/>
      <w:sz w:val="28"/>
      <w:szCs w:val="28"/>
      <w:lang w:val="en-US" w:eastAsia="zh-CN" w:bidi="ar-SA"/>
    </w:rPr>
  </w:style>
  <w:style w:type="character" w:customStyle="1" w:styleId="56">
    <w:name w:val="标题 Char"/>
    <w:basedOn w:val="41"/>
    <w:link w:val="3"/>
    <w:qFormat/>
    <w:uiPriority w:val="0"/>
    <w:rPr>
      <w:rFonts w:ascii="Arial" w:hAnsi="Arial" w:eastAsia="宋体" w:cs="Times New Roman"/>
      <w:b/>
      <w:kern w:val="0"/>
      <w:sz w:val="44"/>
      <w:szCs w:val="20"/>
      <w:lang w:val="en-US" w:eastAsia="zh-CN" w:bidi="ar-SA"/>
    </w:rPr>
  </w:style>
  <w:style w:type="paragraph" w:customStyle="1" w:styleId="57">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8">
    <w:name w:val="纯文本 字符"/>
    <w:qFormat/>
    <w:uiPriority w:val="0"/>
    <w:rPr>
      <w:rFonts w:ascii="等线" w:hAnsi="等线" w:cs="Courier New"/>
    </w:rPr>
  </w:style>
  <w:style w:type="character" w:customStyle="1" w:styleId="59">
    <w:name w:val="批注文字 字符"/>
    <w:qFormat/>
    <w:uiPriority w:val="0"/>
    <w:rPr>
      <w:rFonts w:ascii="Calibri" w:hAnsi="Calibri" w:eastAsia="宋体" w:cs="Times New Roman"/>
    </w:rPr>
  </w:style>
  <w:style w:type="character" w:customStyle="1" w:styleId="60">
    <w:name w:val="标题 5 字符"/>
    <w:qFormat/>
    <w:uiPriority w:val="0"/>
    <w:rPr>
      <w:rFonts w:ascii="Calibri" w:hAnsi="Calibri" w:eastAsia="宋体" w:cs="Times New Roman"/>
      <w:b/>
      <w:bCs/>
      <w:sz w:val="28"/>
      <w:szCs w:val="28"/>
    </w:rPr>
  </w:style>
  <w:style w:type="paragraph" w:customStyle="1" w:styleId="61">
    <w:name w:val="_Style 48"/>
    <w:basedOn w:val="5"/>
    <w:next w:val="4"/>
    <w:qFormat/>
    <w:uiPriority w:val="0"/>
    <w:pPr>
      <w:ind w:firstLine="420"/>
    </w:pPr>
  </w:style>
  <w:style w:type="character" w:customStyle="1" w:styleId="62">
    <w:name w:val="正文文本缩进 字符"/>
    <w:qFormat/>
    <w:uiPriority w:val="0"/>
    <w:rPr>
      <w:rFonts w:ascii="Calibri" w:hAnsi="Calibri" w:eastAsia="宋体" w:cs="Times New Roman"/>
    </w:rPr>
  </w:style>
  <w:style w:type="character" w:customStyle="1" w:styleId="63">
    <w:name w:val="文档结构图 字符"/>
    <w:qFormat/>
    <w:uiPriority w:val="0"/>
    <w:rPr>
      <w:rFonts w:ascii="Microsoft YaHei UI" w:hAnsi="Microsoft YaHei UI" w:eastAsia="Microsoft YaHei UI" w:cs="Times New Roman"/>
      <w:sz w:val="18"/>
      <w:szCs w:val="18"/>
    </w:rPr>
  </w:style>
  <w:style w:type="character" w:customStyle="1" w:styleId="64">
    <w:name w:val="标题 2 字符"/>
    <w:qFormat/>
    <w:uiPriority w:val="0"/>
    <w:rPr>
      <w:rFonts w:ascii="等线 Light" w:eastAsia="等线 Light" w:cs="Times New Roman"/>
      <w:b/>
      <w:bCs/>
      <w:sz w:val="32"/>
      <w:szCs w:val="32"/>
    </w:rPr>
  </w:style>
  <w:style w:type="character" w:customStyle="1" w:styleId="65">
    <w:name w:val="正文文本缩进 3 字符"/>
    <w:qFormat/>
    <w:uiPriority w:val="0"/>
    <w:rPr>
      <w:rFonts w:ascii="Calibri" w:hAnsi="Calibri" w:eastAsia="宋体" w:cs="Times New Roman"/>
      <w:sz w:val="16"/>
      <w:szCs w:val="16"/>
    </w:rPr>
  </w:style>
  <w:style w:type="character" w:customStyle="1" w:styleId="66">
    <w:name w:val="正文首行缩进 字符"/>
    <w:qFormat/>
    <w:uiPriority w:val="0"/>
  </w:style>
  <w:style w:type="character" w:customStyle="1" w:styleId="67">
    <w:name w:val="日期 字符"/>
    <w:qFormat/>
    <w:uiPriority w:val="0"/>
    <w:rPr>
      <w:rFonts w:ascii="Calibri" w:hAnsi="Calibri" w:eastAsia="宋体" w:cs="Times New Roman"/>
    </w:rPr>
  </w:style>
  <w:style w:type="character" w:customStyle="1" w:styleId="68">
    <w:name w:val="批注主题 字符"/>
    <w:qFormat/>
    <w:uiPriority w:val="0"/>
    <w:rPr>
      <w:rFonts w:ascii="Calibri" w:hAnsi="Calibri" w:eastAsia="宋体" w:cs="Times New Roman"/>
      <w:b/>
      <w:bCs/>
    </w:rPr>
  </w:style>
  <w:style w:type="character" w:customStyle="1" w:styleId="69">
    <w:name w:val="页脚 字符"/>
    <w:qFormat/>
    <w:uiPriority w:val="0"/>
    <w:rPr>
      <w:rFonts w:ascii="Calibri" w:hAnsi="Calibri" w:eastAsia="宋体" w:cs="Times New Roman"/>
      <w:sz w:val="18"/>
      <w:szCs w:val="18"/>
    </w:rPr>
  </w:style>
  <w:style w:type="character" w:customStyle="1" w:styleId="70">
    <w:name w:val="尾注文本 字符"/>
    <w:qFormat/>
    <w:uiPriority w:val="0"/>
    <w:rPr>
      <w:rFonts w:ascii="Calibri" w:hAnsi="Calibri" w:eastAsia="宋体" w:cs="Times New Roman"/>
    </w:rPr>
  </w:style>
  <w:style w:type="character" w:customStyle="1" w:styleId="71">
    <w:name w:val="正文文本 字符"/>
    <w:qFormat/>
    <w:uiPriority w:val="0"/>
    <w:rPr>
      <w:rFonts w:ascii="Calibri" w:hAnsi="Calibri" w:eastAsia="宋体" w:cs="Times New Roman"/>
    </w:rPr>
  </w:style>
  <w:style w:type="character" w:customStyle="1" w:styleId="72">
    <w:name w:val="标题 8 字符"/>
    <w:qFormat/>
    <w:uiPriority w:val="0"/>
    <w:rPr>
      <w:rFonts w:ascii="等线 Light" w:eastAsia="等线 Light" w:cs="Times New Roman"/>
      <w:sz w:val="24"/>
      <w:szCs w:val="24"/>
    </w:rPr>
  </w:style>
  <w:style w:type="character" w:customStyle="1" w:styleId="73">
    <w:name w:val="正文文本 2 字符"/>
    <w:qFormat/>
    <w:uiPriority w:val="0"/>
    <w:rPr>
      <w:rFonts w:ascii="Calibri" w:hAnsi="Calibri" w:eastAsia="宋体" w:cs="Times New Roman"/>
    </w:rPr>
  </w:style>
  <w:style w:type="character" w:customStyle="1" w:styleId="74">
    <w:name w:val="标题 9 字符"/>
    <w:qFormat/>
    <w:uiPriority w:val="0"/>
    <w:rPr>
      <w:rFonts w:ascii="等线 Light" w:eastAsia="等线 Light" w:cs="Times New Roman"/>
      <w:szCs w:val="21"/>
    </w:rPr>
  </w:style>
  <w:style w:type="character" w:customStyle="1" w:styleId="75">
    <w:name w:val="标题 4 字符"/>
    <w:qFormat/>
    <w:uiPriority w:val="0"/>
    <w:rPr>
      <w:rFonts w:ascii="等线 Light" w:eastAsia="等线 Light" w:cs="Times New Roman"/>
      <w:b/>
      <w:bCs/>
      <w:sz w:val="28"/>
      <w:szCs w:val="28"/>
    </w:rPr>
  </w:style>
  <w:style w:type="character" w:customStyle="1" w:styleId="76">
    <w:name w:val="页眉 字符"/>
    <w:qFormat/>
    <w:uiPriority w:val="0"/>
    <w:rPr>
      <w:rFonts w:ascii="Calibri" w:hAnsi="Calibri" w:eastAsia="宋体" w:cs="Times New Roman"/>
      <w:sz w:val="18"/>
      <w:szCs w:val="18"/>
    </w:rPr>
  </w:style>
  <w:style w:type="character" w:customStyle="1" w:styleId="77">
    <w:name w:val="标题 3 字符"/>
    <w:qFormat/>
    <w:uiPriority w:val="0"/>
    <w:rPr>
      <w:rFonts w:ascii="Calibri" w:hAnsi="Calibri" w:eastAsia="宋体" w:cs="Times New Roman"/>
      <w:b/>
      <w:bCs/>
      <w:sz w:val="32"/>
      <w:szCs w:val="32"/>
    </w:rPr>
  </w:style>
  <w:style w:type="character" w:customStyle="1" w:styleId="78">
    <w:name w:val="正文文本缩进 2 字符"/>
    <w:qFormat/>
    <w:uiPriority w:val="0"/>
    <w:rPr>
      <w:rFonts w:ascii="Calibri" w:hAnsi="Calibri" w:eastAsia="宋体" w:cs="Times New Roman"/>
    </w:rPr>
  </w:style>
  <w:style w:type="character" w:customStyle="1" w:styleId="79">
    <w:name w:val="批注框文本 字符"/>
    <w:qFormat/>
    <w:uiPriority w:val="0"/>
    <w:rPr>
      <w:rFonts w:ascii="Calibri" w:hAnsi="Calibri" w:eastAsia="宋体" w:cs="Times New Roman"/>
      <w:sz w:val="18"/>
      <w:szCs w:val="18"/>
    </w:rPr>
  </w:style>
  <w:style w:type="character" w:customStyle="1" w:styleId="80">
    <w:name w:val="标题 1 字符"/>
    <w:qFormat/>
    <w:uiPriority w:val="0"/>
    <w:rPr>
      <w:rFonts w:ascii="Calibri" w:hAnsi="Calibri" w:eastAsia="宋体" w:cs="Times New Roman"/>
      <w:b/>
      <w:bCs/>
      <w:kern w:val="44"/>
      <w:sz w:val="44"/>
      <w:szCs w:val="44"/>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character" w:customStyle="1" w:styleId="82">
    <w:name w:val="脚注文本 字符"/>
    <w:qFormat/>
    <w:uiPriority w:val="0"/>
    <w:rPr>
      <w:rFonts w:ascii="Calibri" w:hAnsi="Calibri" w:eastAsia="宋体" w:cs="Times New Roman"/>
      <w:sz w:val="18"/>
      <w:szCs w:val="18"/>
    </w:rPr>
  </w:style>
  <w:style w:type="character" w:customStyle="1" w:styleId="83">
    <w:name w:val="标题 6 字符"/>
    <w:qFormat/>
    <w:uiPriority w:val="0"/>
    <w:rPr>
      <w:rFonts w:ascii="等线 Light" w:eastAsia="等线 Light" w:cs="Times New Roman"/>
      <w:b/>
      <w:bCs/>
      <w:sz w:val="24"/>
      <w:szCs w:val="24"/>
    </w:rPr>
  </w:style>
  <w:style w:type="character" w:customStyle="1" w:styleId="84">
    <w:name w:val="标题 字符"/>
    <w:qFormat/>
    <w:uiPriority w:val="0"/>
    <w:rPr>
      <w:rFonts w:ascii="等线 Light" w:eastAsia="等线 Light" w:cs="Times New Roman"/>
      <w:b/>
      <w:bCs/>
      <w:sz w:val="32"/>
      <w:szCs w:val="32"/>
    </w:rPr>
  </w:style>
  <w:style w:type="character" w:customStyle="1" w:styleId="85">
    <w:name w:val="标题 7 字符"/>
    <w:qFormat/>
    <w:uiPriority w:val="0"/>
    <w:rPr>
      <w:rFonts w:ascii="Calibri" w:hAnsi="Calibri" w:eastAsia="宋体" w:cs="Times New Roman"/>
      <w:b/>
      <w:bCs/>
      <w:sz w:val="24"/>
      <w:szCs w:val="24"/>
    </w:rPr>
  </w:style>
  <w:style w:type="paragraph" w:customStyle="1" w:styleId="86">
    <w:name w:val="TOC 标题1"/>
    <w:basedOn w:val="2"/>
    <w:next w:val="1"/>
    <w:qFormat/>
    <w:uiPriority w:val="0"/>
    <w:pPr>
      <w:widowControl/>
      <w:spacing w:before="480" w:after="0" w:line="276" w:lineRule="auto"/>
      <w:outlineLvl w:val="9"/>
    </w:pPr>
    <w:rPr>
      <w:rFonts w:ascii="Cambria" w:hAnsi="Cambria"/>
      <w:color w:val="365F91"/>
      <w:kern w:val="0"/>
    </w:rPr>
  </w:style>
  <w:style w:type="paragraph" w:customStyle="1" w:styleId="87">
    <w:name w:val="Char Char Char Char"/>
    <w:basedOn w:val="1"/>
    <w:qFormat/>
    <w:uiPriority w:val="0"/>
    <w:rPr>
      <w:sz w:val="30"/>
      <w:szCs w:val="24"/>
    </w:rPr>
  </w:style>
  <w:style w:type="paragraph" w:customStyle="1" w:styleId="88">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9">
    <w:name w:val="发文落款"/>
    <w:basedOn w:val="88"/>
    <w:qFormat/>
    <w:uiPriority w:val="0"/>
    <w:pPr>
      <w:ind w:left="4094" w:right="607" w:firstLine="0"/>
      <w:jc w:val="center"/>
    </w:pPr>
  </w:style>
  <w:style w:type="paragraph" w:customStyle="1" w:styleId="90">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91">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2">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3">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4">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5">
    <w:name w:val="1"/>
    <w:basedOn w:val="1"/>
    <w:next w:val="1"/>
    <w:qFormat/>
    <w:uiPriority w:val="0"/>
  </w:style>
  <w:style w:type="paragraph" w:customStyle="1" w:styleId="96">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7">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8">
    <w:name w:val="表头"/>
    <w:basedOn w:val="1"/>
    <w:qFormat/>
    <w:uiPriority w:val="0"/>
    <w:pPr>
      <w:spacing w:line="360" w:lineRule="auto"/>
      <w:jc w:val="center"/>
    </w:pPr>
    <w:rPr>
      <w:rFonts w:ascii="黑体" w:eastAsia="黑体"/>
      <w:kern w:val="0"/>
      <w:sz w:val="24"/>
      <w:szCs w:val="20"/>
    </w:rPr>
  </w:style>
  <w:style w:type="paragraph" w:customStyle="1" w:styleId="99">
    <w:name w:val="修订1"/>
    <w:qFormat/>
    <w:uiPriority w:val="0"/>
    <w:rPr>
      <w:rFonts w:ascii="Times New Roman" w:hAnsi="Times New Roman" w:eastAsia="宋体" w:cs="Times New Roman"/>
      <w:kern w:val="2"/>
      <w:sz w:val="21"/>
      <w:lang w:val="en-US" w:eastAsia="zh-CN" w:bidi="ar-SA"/>
    </w:rPr>
  </w:style>
  <w:style w:type="paragraph" w:customStyle="1" w:styleId="100">
    <w:name w:val="列出段落2"/>
    <w:basedOn w:val="1"/>
    <w:qFormat/>
    <w:uiPriority w:val="0"/>
    <w:pPr>
      <w:ind w:firstLine="200" w:firstLineChars="200"/>
    </w:pPr>
    <w:rPr>
      <w:szCs w:val="20"/>
    </w:rPr>
  </w:style>
  <w:style w:type="paragraph" w:customStyle="1" w:styleId="101">
    <w:name w:val="公文抬头"/>
    <w:basedOn w:val="9"/>
    <w:qFormat/>
    <w:uiPriority w:val="0"/>
    <w:pPr>
      <w:ind w:firstLine="0"/>
    </w:pPr>
    <w:rPr>
      <w:rFonts w:ascii="仿宋_GB2312" w:eastAsia="仿宋_GB2312"/>
      <w:sz w:val="30"/>
      <w:szCs w:val="24"/>
    </w:rPr>
  </w:style>
  <w:style w:type="paragraph" w:customStyle="1" w:styleId="102">
    <w:name w:val="文二"/>
    <w:basedOn w:val="1"/>
    <w:qFormat/>
    <w:uiPriority w:val="0"/>
    <w:pPr>
      <w:jc w:val="left"/>
    </w:pPr>
    <w:rPr>
      <w:rFonts w:ascii="宋体"/>
      <w:szCs w:val="21"/>
    </w:rPr>
  </w:style>
  <w:style w:type="paragraph" w:customStyle="1" w:styleId="103">
    <w:name w:val="_Style 49"/>
    <w:basedOn w:val="5"/>
    <w:next w:val="4"/>
    <w:qFormat/>
    <w:uiPriority w:val="0"/>
    <w:pPr>
      <w:ind w:firstLine="420"/>
    </w:pPr>
  </w:style>
  <w:style w:type="paragraph" w:customStyle="1" w:styleId="104">
    <w:name w:val="正题"/>
    <w:basedOn w:val="57"/>
    <w:next w:val="57"/>
    <w:qFormat/>
    <w:uiPriority w:val="0"/>
    <w:pPr>
      <w:ind w:firstLine="0" w:firstLineChars="0"/>
      <w:jc w:val="center"/>
    </w:pPr>
    <w:rPr>
      <w:rFonts w:eastAsia="黑体"/>
      <w:b/>
      <w:sz w:val="36"/>
      <w:szCs w:val="36"/>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7">
    <w:name w:val="Char"/>
    <w:basedOn w:val="1"/>
    <w:qFormat/>
    <w:uiPriority w:val="0"/>
    <w:rPr>
      <w:rFonts w:ascii="Tahoma" w:hAnsi="Tahoma"/>
      <w:sz w:val="24"/>
      <w:szCs w:val="20"/>
    </w:rPr>
  </w:style>
  <w:style w:type="paragraph" w:customStyle="1" w:styleId="108">
    <w:name w:val="Char Char Char1 Char"/>
    <w:basedOn w:val="15"/>
    <w:qFormat/>
    <w:uiPriority w:val="0"/>
    <w:rPr>
      <w:rFonts w:ascii="Tahoma" w:hAnsi="Tahoma"/>
      <w:sz w:val="24"/>
      <w:szCs w:val="24"/>
    </w:rPr>
  </w:style>
  <w:style w:type="paragraph" w:customStyle="1" w:styleId="109">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0">
    <w:name w:val="Char1"/>
    <w:basedOn w:val="1"/>
    <w:qFormat/>
    <w:uiPriority w:val="0"/>
    <w:pPr>
      <w:ind w:left="567" w:hanging="279"/>
    </w:pPr>
    <w:rPr>
      <w:sz w:val="24"/>
      <w:szCs w:val="24"/>
    </w:rPr>
  </w:style>
  <w:style w:type="paragraph" w:customStyle="1" w:styleId="111">
    <w:name w:val="章节三"/>
    <w:basedOn w:val="57"/>
    <w:next w:val="57"/>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2">
    <w:name w:val="_Style 4"/>
    <w:basedOn w:val="1"/>
    <w:qFormat/>
    <w:uiPriority w:val="0"/>
    <w:pPr>
      <w:ind w:firstLine="200" w:firstLineChars="200"/>
    </w:pPr>
    <w:rPr>
      <w:szCs w:val="20"/>
    </w:rPr>
  </w:style>
  <w:style w:type="paragraph" w:customStyle="1" w:styleId="113">
    <w:name w:val="列出段落21"/>
    <w:basedOn w:val="1"/>
    <w:qFormat/>
    <w:uiPriority w:val="0"/>
    <w:pPr>
      <w:ind w:firstLine="200" w:firstLineChars="200"/>
    </w:pPr>
  </w:style>
  <w:style w:type="paragraph" w:customStyle="1" w:styleId="114">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5">
    <w:name w:val="font21"/>
    <w:basedOn w:val="41"/>
    <w:qFormat/>
    <w:uiPriority w:val="0"/>
    <w:rPr>
      <w:rFonts w:ascii="微软雅黑" w:eastAsia="微软雅黑" w:cs="微软雅黑"/>
      <w:color w:val="000000"/>
      <w:sz w:val="22"/>
      <w:szCs w:val="22"/>
      <w:u w:val="none"/>
    </w:rPr>
  </w:style>
  <w:style w:type="paragraph" w:customStyle="1" w:styleId="116">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列出段落11"/>
    <w:basedOn w:val="1"/>
    <w:qFormat/>
    <w:uiPriority w:val="0"/>
    <w:pPr>
      <w:ind w:firstLine="200" w:firstLineChars="200"/>
    </w:pPr>
  </w:style>
  <w:style w:type="paragraph" w:customStyle="1" w:styleId="118">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119">
    <w:name w:val="font61"/>
    <w:qFormat/>
    <w:uiPriority w:val="0"/>
    <w:rPr>
      <w:rFonts w:hint="eastAsia" w:ascii="新宋体" w:hAnsi="新宋体" w:eastAsia="新宋体" w:cs="新宋体"/>
      <w:color w:val="000000"/>
      <w:sz w:val="22"/>
      <w:szCs w:val="22"/>
      <w:u w:val="none"/>
    </w:rPr>
  </w:style>
  <w:style w:type="character" w:customStyle="1" w:styleId="120">
    <w:name w:val="font01"/>
    <w:qFormat/>
    <w:uiPriority w:val="0"/>
    <w:rPr>
      <w:rFonts w:hint="eastAsia" w:ascii="宋体" w:hAnsi="宋体" w:eastAsia="宋体" w:cs="宋体"/>
      <w:color w:val="FF0000"/>
      <w:sz w:val="21"/>
      <w:szCs w:val="21"/>
      <w:u w:val="none"/>
    </w:rPr>
  </w:style>
  <w:style w:type="character" w:customStyle="1" w:styleId="121">
    <w:name w:val="font71"/>
    <w:qFormat/>
    <w:uiPriority w:val="0"/>
    <w:rPr>
      <w:rFonts w:hint="eastAsia" w:ascii="宋体" w:hAnsi="宋体" w:eastAsia="宋体" w:cs="宋体"/>
      <w:color w:val="000000"/>
      <w:sz w:val="22"/>
      <w:szCs w:val="22"/>
      <w:u w:val="none"/>
    </w:rPr>
  </w:style>
  <w:style w:type="character" w:customStyle="1" w:styleId="122">
    <w:name w:val="font112"/>
    <w:qFormat/>
    <w:uiPriority w:val="0"/>
    <w:rPr>
      <w:rFonts w:hint="eastAsia" w:ascii="新宋体" w:hAnsi="新宋体" w:eastAsia="新宋体" w:cs="新宋体"/>
      <w:color w:val="FF0000"/>
      <w:sz w:val="22"/>
      <w:szCs w:val="22"/>
      <w:u w:val="none"/>
    </w:rPr>
  </w:style>
  <w:style w:type="character" w:customStyle="1" w:styleId="123">
    <w:name w:val="font141"/>
    <w:qFormat/>
    <w:uiPriority w:val="0"/>
    <w:rPr>
      <w:rFonts w:hint="eastAsia" w:ascii="宋体" w:hAnsi="宋体" w:eastAsia="宋体" w:cs="宋体"/>
      <w:color w:val="000000"/>
      <w:sz w:val="22"/>
      <w:szCs w:val="22"/>
      <w:u w:val="none"/>
    </w:rPr>
  </w:style>
  <w:style w:type="paragraph" w:customStyle="1" w:styleId="12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125">
    <w:name w:val="List Paragraph"/>
    <w:basedOn w:val="1"/>
    <w:qFormat/>
    <w:uiPriority w:val="34"/>
    <w:pPr>
      <w:ind w:firstLine="420" w:firstLineChars="200"/>
    </w:pPr>
  </w:style>
  <w:style w:type="character" w:customStyle="1" w:styleId="126">
    <w:name w:val="username"/>
    <w:basedOn w:val="41"/>
    <w:qFormat/>
    <w:uiPriority w:val="0"/>
  </w:style>
  <w:style w:type="character" w:customStyle="1" w:styleId="127">
    <w:name w:val="title26"/>
    <w:basedOn w:val="41"/>
    <w:qFormat/>
    <w:uiPriority w:val="0"/>
  </w:style>
  <w:style w:type="character" w:customStyle="1" w:styleId="128">
    <w:name w:val="title24"/>
    <w:basedOn w:val="41"/>
    <w:qFormat/>
    <w:uiPriority w:val="0"/>
  </w:style>
  <w:style w:type="character" w:customStyle="1" w:styleId="129">
    <w:name w:val="title23"/>
    <w:basedOn w:val="41"/>
    <w:qFormat/>
    <w:uiPriority w:val="0"/>
  </w:style>
  <w:style w:type="character" w:customStyle="1" w:styleId="130">
    <w:name w:val="title22"/>
    <w:basedOn w:val="41"/>
    <w:qFormat/>
    <w:uiPriority w:val="0"/>
  </w:style>
  <w:style w:type="character" w:customStyle="1" w:styleId="131">
    <w:name w:val="title21"/>
    <w:basedOn w:val="41"/>
    <w:qFormat/>
    <w:uiPriority w:val="0"/>
  </w:style>
  <w:style w:type="paragraph" w:customStyle="1" w:styleId="132">
    <w:name w:val="null3"/>
    <w:qFormat/>
    <w:uiPriority w:val="0"/>
    <w:rPr>
      <w:rFonts w:hint="eastAsia" w:ascii="Calibri" w:hAnsi="Calibri" w:eastAsia="宋体" w:cs="Times New Roman"/>
      <w:lang w:val="en-US" w:eastAsia="zh-Hans" w:bidi="ar-SA"/>
    </w:rPr>
  </w:style>
  <w:style w:type="paragraph" w:customStyle="1" w:styleId="133">
    <w:name w:val="p1"/>
    <w:basedOn w:val="1"/>
    <w:qFormat/>
    <w:uiPriority w:val="0"/>
    <w:pPr>
      <w:shd w:val="clear" w:fill="FFFFFF"/>
      <w:spacing w:before="0" w:beforeAutospacing="0" w:after="0" w:afterAutospacing="0"/>
      <w:ind w:left="0" w:right="0"/>
      <w:jc w:val="left"/>
    </w:pPr>
    <w:rPr>
      <w:rFonts w:ascii="simsong" w:hAnsi="simsong" w:eastAsia="simsong" w:cs="simsong"/>
      <w:color w:val="000000"/>
      <w:kern w:val="0"/>
      <w:sz w:val="16"/>
      <w:szCs w:val="16"/>
      <w:lang w:val="en-US" w:eastAsia="zh-CN" w:bidi="ar"/>
    </w:rPr>
  </w:style>
  <w:style w:type="paragraph" w:customStyle="1" w:styleId="134">
    <w:name w:val="p2"/>
    <w:basedOn w:val="1"/>
    <w:qFormat/>
    <w:uiPriority w:val="0"/>
    <w:pPr>
      <w:spacing w:before="0" w:beforeAutospacing="0" w:after="0" w:afterAutospacing="0" w:line="340" w:lineRule="atLeast"/>
      <w:ind w:left="0" w:right="0"/>
      <w:jc w:val="both"/>
    </w:pPr>
    <w:rPr>
      <w:rFonts w:ascii="simsong" w:hAnsi="simsong" w:eastAsia="simsong" w:cs="simsong"/>
      <w:color w:val="000000"/>
      <w:kern w:val="0"/>
      <w:sz w:val="16"/>
      <w:szCs w:val="16"/>
      <w:lang w:val="en-US" w:eastAsia="zh-CN" w:bidi="ar"/>
    </w:rPr>
  </w:style>
  <w:style w:type="character" w:customStyle="1" w:styleId="135">
    <w:name w:val="s1"/>
    <w:basedOn w:val="41"/>
    <w:qFormat/>
    <w:uiPriority w:val="0"/>
    <w:rPr>
      <w:rFonts w:ascii="Times New Roman" w:hAnsi="Times New Roman" w:cs="Times New Roman"/>
      <w:sz w:val="16"/>
      <w:szCs w:val="16"/>
    </w:rPr>
  </w:style>
  <w:style w:type="paragraph" w:customStyle="1" w:styleId="136">
    <w:name w:val="p3"/>
    <w:basedOn w:val="1"/>
    <w:qFormat/>
    <w:uiPriority w:val="0"/>
    <w:pPr>
      <w:shd w:val="clear" w:fill="FFFFFF"/>
      <w:spacing w:before="0" w:beforeAutospacing="0" w:after="0" w:afterAutospacing="0"/>
      <w:ind w:left="0" w:right="0"/>
      <w:jc w:val="left"/>
    </w:pPr>
    <w:rPr>
      <w:rFonts w:hint="eastAsia" w:ascii="simsong" w:hAnsi="simsong" w:eastAsia="simsong" w:cs="simsong"/>
      <w:color w:val="000000"/>
      <w:kern w:val="0"/>
      <w:sz w:val="16"/>
      <w:szCs w:val="16"/>
      <w:lang w:val="en-US" w:eastAsia="zh-CN" w:bidi="ar"/>
    </w:rPr>
  </w:style>
  <w:style w:type="paragraph" w:customStyle="1" w:styleId="137">
    <w:name w:val="Other|1"/>
    <w:basedOn w:val="1"/>
    <w:qFormat/>
    <w:uiPriority w:val="0"/>
    <w:pPr>
      <w:keepNext w:val="0"/>
      <w:keepLines w:val="0"/>
      <w:widowControl w:val="0"/>
      <w:suppressLineNumbers w:val="0"/>
      <w:spacing w:before="0" w:beforeAutospacing="0" w:after="0" w:afterAutospacing="0" w:line="228" w:lineRule="exact"/>
      <w:ind w:left="0" w:right="0"/>
      <w:jc w:val="both"/>
    </w:pPr>
    <w:rPr>
      <w:rFonts w:hint="eastAsia" w:ascii="宋体" w:hAnsi="宋体" w:eastAsia="宋体" w:cs="宋体"/>
      <w:kern w:val="2"/>
      <w:sz w:val="17"/>
      <w:szCs w:val="17"/>
      <w:lang w:val="en-US" w:eastAsia="zh-CN" w:bidi="ar"/>
    </w:rPr>
  </w:style>
  <w:style w:type="paragraph" w:customStyle="1" w:styleId="138">
    <w:name w:val="Compact"/>
    <w:basedOn w:val="5"/>
    <w:qFormat/>
    <w:uiPriority w:val="0"/>
    <w:pPr>
      <w:spacing w:before="36" w:after="36"/>
    </w:pPr>
  </w:style>
  <w:style w:type="paragraph" w:customStyle="1" w:styleId="139">
    <w:name w:val="First Paragraph"/>
    <w:basedOn w:val="5"/>
    <w:next w:val="5"/>
    <w:qFormat/>
    <w:uiPriority w:val="0"/>
  </w:style>
  <w:style w:type="paragraph" w:customStyle="1" w:styleId="140">
    <w:name w:val="正文1"/>
    <w:basedOn w:val="1"/>
    <w:qFormat/>
    <w:uiPriority w:val="0"/>
    <w:pPr>
      <w:autoSpaceDE/>
      <w:autoSpaceDN/>
      <w:adjustRightInd/>
      <w:spacing w:line="360" w:lineRule="auto"/>
      <w:ind w:firstLine="200" w:firstLineChars="200"/>
      <w:textAlignment w:val="baseline"/>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90</Pages>
  <Words>216</Words>
  <Characters>230</Characters>
  <Lines>1</Lines>
  <Paragraphs>1</Paragraphs>
  <TotalTime>20</TotalTime>
  <ScaleCrop>false</ScaleCrop>
  <LinksUpToDate>false</LinksUpToDate>
  <CharactersWithSpaces>271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2025-01-10T23:28:00Z</dcterms:created>
  <dc:creator>管理员</dc:creator>
  <cp:lastModifiedBy>省机电</cp:lastModifiedBy>
  <cp:lastPrinted>2022-03-26T16:45:00Z</cp:lastPrinted>
  <dcterms:modified xsi:type="dcterms:W3CDTF">2025-08-29T07:16:06Z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CE499811E3684EEC949E9E68E3F63DCB</vt:lpwstr>
  </property>
  <property fmtid="{D5CDD505-2E9C-101B-9397-08002B2CF9AE}" pid="4" name="commondata">
    <vt:lpwstr>eyJoZGlkIjoiNDcxNjdiZTdjOTc2MTkwNWM3NDg3YmYxMTBjZDU5ODgifQ==</vt:lpwstr>
  </property>
  <property fmtid="{D5CDD505-2E9C-101B-9397-08002B2CF9AE}" pid="5" name="KSOTemplateDocerSaveRecord">
    <vt:lpwstr>eyJoZGlkIjoiZjc0OWVkOWIyOWI0MmRkOTVlMmNlZDA5NDlmMzM0ZWIiLCJ1c2VySWQiOiI0Mjg4ODAzNjgifQ==</vt:lpwstr>
  </property>
</Properties>
</file>