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5B39C0">
      <w:pPr>
        <w:pStyle w:val="5"/>
        <w:pageBreakBefore w:val="0"/>
        <w:widowControl w:val="0"/>
        <w:kinsoku/>
        <w:wordWrap/>
        <w:overflowPunct/>
        <w:topLinePunct w:val="0"/>
        <w:autoSpaceDE/>
        <w:autoSpaceDN/>
        <w:bidi w:val="0"/>
        <w:adjustRightInd w:val="0"/>
        <w:snapToGrid w:val="0"/>
        <w:spacing w:line="360" w:lineRule="auto"/>
        <w:ind w:left="0" w:leftChars="0" w:right="240" w:firstLine="0" w:firstLineChars="0"/>
        <w:jc w:val="left"/>
        <w:textAlignment w:val="auto"/>
        <w:rPr>
          <w:rFonts w:hint="eastAsia" w:ascii="黑体" w:hAnsi="黑体" w:eastAsia="黑体" w:cs="黑体"/>
          <w:b w:val="0"/>
          <w:bCs w:val="0"/>
          <w:color w:val="auto"/>
          <w:kern w:val="2"/>
          <w:sz w:val="36"/>
          <w:szCs w:val="36"/>
          <w:u w:val="single"/>
          <w:lang w:val="en-US" w:eastAsia="zh-CN" w:bidi="ar-SA"/>
        </w:rPr>
      </w:pPr>
    </w:p>
    <w:p w14:paraId="757D50C9">
      <w:pPr>
        <w:ind w:right="240"/>
        <w:jc w:val="center"/>
        <w:rPr>
          <w:rFonts w:hint="default" w:ascii="黑体" w:hAnsi="黑体" w:eastAsia="黑体" w:cs="黑体"/>
          <w:b w:val="0"/>
          <w:bCs w:val="0"/>
          <w:color w:val="auto"/>
          <w:kern w:val="2"/>
          <w:sz w:val="36"/>
          <w:szCs w:val="36"/>
          <w:u w:val="single"/>
          <w:lang w:val="en-US" w:eastAsia="zh-CN" w:bidi="ar-SA"/>
        </w:rPr>
      </w:pPr>
      <w:r>
        <w:rPr>
          <w:rFonts w:hint="eastAsia" w:ascii="黑体" w:hAnsi="黑体" w:eastAsia="黑体" w:cs="黑体"/>
          <w:b w:val="0"/>
          <w:bCs w:val="0"/>
          <w:color w:val="auto"/>
          <w:kern w:val="2"/>
          <w:sz w:val="36"/>
          <w:szCs w:val="36"/>
          <w:u w:val="single"/>
          <w:lang w:val="en-US" w:eastAsia="zh-CN" w:bidi="ar-SA"/>
        </w:rPr>
        <w:t>广州市天河区2112低空服务保障及配套产业基础设施项目方案设计及初步设计</w:t>
      </w:r>
      <w:r>
        <w:rPr>
          <w:rFonts w:hint="default" w:ascii="黑体" w:hAnsi="黑体" w:eastAsia="黑体" w:cs="黑体"/>
          <w:b w:val="0"/>
          <w:bCs w:val="0"/>
          <w:color w:val="auto"/>
          <w:kern w:val="2"/>
          <w:sz w:val="36"/>
          <w:szCs w:val="36"/>
          <w:u w:val="single"/>
          <w:lang w:val="en-US" w:eastAsia="zh-CN" w:bidi="ar-SA"/>
        </w:rPr>
        <w:t>（含基坑支护设计）</w:t>
      </w:r>
    </w:p>
    <w:p w14:paraId="10B168CD">
      <w:pPr>
        <w:ind w:left="240" w:right="240" w:firstLine="1920" w:firstLineChars="800"/>
        <w:jc w:val="center"/>
        <w:rPr>
          <w:rFonts w:hint="default" w:ascii="黑体" w:hAnsi="黑体" w:eastAsia="黑体"/>
          <w:color w:val="auto"/>
          <w:lang w:val="en-US"/>
        </w:rPr>
      </w:pPr>
    </w:p>
    <w:p w14:paraId="0969CC56">
      <w:pPr>
        <w:ind w:left="240" w:right="240" w:firstLine="480"/>
        <w:rPr>
          <w:color w:val="auto"/>
        </w:rPr>
      </w:pPr>
    </w:p>
    <w:p w14:paraId="59E8588A">
      <w:pPr>
        <w:ind w:left="240" w:right="240" w:firstLine="480"/>
        <w:rPr>
          <w:rFonts w:ascii="黑体" w:hAnsi="黑体" w:eastAsia="黑体"/>
          <w:color w:val="auto"/>
        </w:rPr>
      </w:pPr>
    </w:p>
    <w:p w14:paraId="4853C719">
      <w:pPr>
        <w:ind w:left="240" w:right="240" w:firstLine="480"/>
        <w:rPr>
          <w:rFonts w:ascii="黑体" w:hAnsi="黑体" w:eastAsia="黑体"/>
          <w:color w:val="auto"/>
        </w:rPr>
      </w:pPr>
    </w:p>
    <w:p w14:paraId="6D538649">
      <w:pPr>
        <w:pStyle w:val="5"/>
        <w:ind w:left="240" w:right="240"/>
        <w:outlineLvl w:val="9"/>
        <w:rPr>
          <w:color w:val="auto"/>
        </w:rPr>
      </w:pPr>
    </w:p>
    <w:p w14:paraId="3138B5BE">
      <w:pPr>
        <w:ind w:left="240" w:right="240"/>
        <w:rPr>
          <w:rFonts w:hint="eastAsia"/>
          <w:color w:val="auto"/>
        </w:rPr>
      </w:pPr>
    </w:p>
    <w:p w14:paraId="7D675C89">
      <w:pPr>
        <w:ind w:left="240" w:right="240" w:firstLine="0"/>
        <w:jc w:val="center"/>
        <w:outlineLvl w:val="0"/>
        <w:rPr>
          <w:rFonts w:hint="eastAsia" w:ascii="宋体" w:hAnsi="宋体" w:eastAsia="宋体" w:cs="宋体"/>
          <w:b/>
          <w:bCs w:val="0"/>
          <w:color w:val="auto"/>
          <w:sz w:val="56"/>
          <w:szCs w:val="56"/>
        </w:rPr>
      </w:pPr>
      <w:bookmarkStart w:id="0" w:name="_Toc181365021"/>
      <w:bookmarkStart w:id="1" w:name="_Toc180949216"/>
      <w:bookmarkStart w:id="2" w:name="_Toc180953479"/>
      <w:bookmarkStart w:id="3" w:name="_Toc7845"/>
      <w:bookmarkStart w:id="4" w:name="_Toc180996060"/>
      <w:bookmarkStart w:id="5" w:name="_Toc31364"/>
      <w:bookmarkStart w:id="6" w:name="_Toc181365559"/>
      <w:bookmarkStart w:id="7" w:name="_Toc180958835"/>
      <w:bookmarkStart w:id="8" w:name="_Toc14915"/>
      <w:bookmarkStart w:id="9" w:name="_Toc181569831"/>
      <w:bookmarkStart w:id="10" w:name="_Toc2362"/>
      <w:bookmarkStart w:id="11" w:name="_Toc180949336"/>
      <w:bookmarkStart w:id="12" w:name="_Toc11389"/>
      <w:bookmarkStart w:id="13" w:name="_Toc30157"/>
      <w:bookmarkStart w:id="14" w:name="_Toc180949625"/>
      <w:bookmarkStart w:id="15" w:name="_Toc180958133"/>
      <w:bookmarkStart w:id="16" w:name="_Toc181182873"/>
      <w:r>
        <w:rPr>
          <w:rFonts w:hint="eastAsia" w:ascii="宋体" w:hAnsi="宋体" w:eastAsia="宋体" w:cs="宋体"/>
          <w:b/>
          <w:bCs w:val="0"/>
          <w:color w:val="auto"/>
          <w:sz w:val="56"/>
          <w:szCs w:val="56"/>
        </w:rPr>
        <w:t>设计任务书</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37190BAF">
      <w:pPr>
        <w:ind w:left="240" w:right="240" w:firstLine="480"/>
        <w:rPr>
          <w:color w:val="auto"/>
        </w:rPr>
      </w:pPr>
    </w:p>
    <w:p w14:paraId="2740AE41">
      <w:pPr>
        <w:ind w:left="240" w:right="240" w:firstLine="480"/>
        <w:rPr>
          <w:color w:val="auto"/>
        </w:rPr>
      </w:pPr>
    </w:p>
    <w:p w14:paraId="12565720">
      <w:pPr>
        <w:ind w:left="240" w:right="240" w:firstLine="480"/>
        <w:rPr>
          <w:color w:val="auto"/>
        </w:rPr>
      </w:pPr>
    </w:p>
    <w:p w14:paraId="2E8FC022">
      <w:pPr>
        <w:ind w:left="240" w:right="240" w:firstLine="480"/>
        <w:rPr>
          <w:color w:val="auto"/>
        </w:rPr>
      </w:pPr>
    </w:p>
    <w:p w14:paraId="3FC3F4AA">
      <w:pPr>
        <w:ind w:left="240" w:right="240" w:firstLine="480"/>
        <w:rPr>
          <w:color w:val="auto"/>
        </w:rPr>
      </w:pPr>
    </w:p>
    <w:p w14:paraId="44D7E804">
      <w:pPr>
        <w:ind w:left="240" w:right="240" w:firstLine="480"/>
        <w:rPr>
          <w:rFonts w:hint="eastAsia"/>
          <w:color w:val="auto"/>
        </w:rPr>
      </w:pPr>
    </w:p>
    <w:p w14:paraId="7BCF0B20">
      <w:pPr>
        <w:ind w:left="240" w:right="240" w:firstLine="480"/>
        <w:rPr>
          <w:rFonts w:hint="eastAsia"/>
          <w:color w:val="auto"/>
        </w:rPr>
      </w:pPr>
    </w:p>
    <w:p w14:paraId="3656CA9A">
      <w:pPr>
        <w:ind w:left="240" w:right="240" w:firstLine="480"/>
        <w:rPr>
          <w:rFonts w:hint="eastAsia"/>
          <w:color w:val="auto"/>
        </w:rPr>
      </w:pPr>
    </w:p>
    <w:p w14:paraId="38637F76">
      <w:pPr>
        <w:ind w:left="240" w:right="240" w:firstLine="3000" w:firstLineChars="1000"/>
        <w:jc w:val="both"/>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rPr>
        <w:t>202</w:t>
      </w:r>
      <w:r>
        <w:rPr>
          <w:rFonts w:hint="eastAsia" w:ascii="黑体" w:hAnsi="黑体" w:eastAsia="黑体" w:cs="黑体"/>
          <w:color w:val="auto"/>
          <w:sz w:val="30"/>
          <w:szCs w:val="30"/>
          <w:highlight w:val="none"/>
          <w:lang w:val="en-US" w:eastAsia="zh-CN"/>
        </w:rPr>
        <w:t>5</w:t>
      </w:r>
      <w:r>
        <w:rPr>
          <w:rFonts w:hint="eastAsia" w:ascii="黑体" w:hAnsi="黑体" w:eastAsia="黑体" w:cs="黑体"/>
          <w:color w:val="auto"/>
          <w:sz w:val="30"/>
          <w:szCs w:val="30"/>
          <w:highlight w:val="none"/>
        </w:rPr>
        <w:t>年</w:t>
      </w:r>
      <w:r>
        <w:rPr>
          <w:rFonts w:hint="eastAsia" w:ascii="黑体" w:hAnsi="黑体" w:eastAsia="黑体" w:cs="黑体"/>
          <w:color w:val="auto"/>
          <w:sz w:val="30"/>
          <w:szCs w:val="30"/>
          <w:highlight w:val="none"/>
          <w:lang w:val="en-US" w:eastAsia="zh-CN"/>
        </w:rPr>
        <w:t>08</w:t>
      </w:r>
      <w:r>
        <w:rPr>
          <w:rFonts w:hint="eastAsia" w:ascii="黑体" w:hAnsi="黑体" w:eastAsia="黑体" w:cs="黑体"/>
          <w:color w:val="auto"/>
          <w:sz w:val="30"/>
          <w:szCs w:val="30"/>
          <w:highlight w:val="none"/>
        </w:rPr>
        <w:t>月</w:t>
      </w:r>
    </w:p>
    <w:p w14:paraId="30F06CEA">
      <w:pPr>
        <w:rPr>
          <w:rFonts w:hint="eastAsia" w:ascii="宋体" w:hAnsi="宋体" w:eastAsia="宋体" w:cs="宋体"/>
          <w:b/>
          <w:color w:val="auto"/>
          <w:kern w:val="2"/>
          <w:sz w:val="24"/>
          <w:szCs w:val="24"/>
          <w:lang w:val="en-US" w:eastAsia="zh-CN" w:bidi="ar-SA"/>
        </w:rPr>
      </w:pPr>
      <w:r>
        <w:rPr>
          <w:color w:val="auto"/>
        </w:rPr>
        <w:br w:type="page"/>
      </w:r>
      <w:r>
        <w:rPr>
          <w:rFonts w:hint="eastAsia" w:ascii="黑体" w:hAnsi="黑体" w:eastAsia="黑体" w:cs="黑体"/>
          <w:b/>
          <w:bCs/>
          <w:color w:val="auto"/>
          <w:sz w:val="44"/>
          <w:szCs w:val="44"/>
        </w:rPr>
        <w:t>目</w:t>
      </w:r>
      <w:r>
        <w:rPr>
          <w:rFonts w:hint="eastAsia" w:ascii="黑体" w:hAnsi="黑体" w:eastAsia="黑体" w:cs="黑体"/>
          <w:b/>
          <w:bCs/>
          <w:color w:val="auto"/>
          <w:sz w:val="44"/>
          <w:szCs w:val="44"/>
          <w:lang w:val="en-US" w:eastAsia="zh-CN"/>
        </w:rPr>
        <w:t xml:space="preserve">  </w:t>
      </w:r>
      <w:r>
        <w:rPr>
          <w:rFonts w:hint="eastAsia" w:ascii="黑体" w:hAnsi="黑体" w:eastAsia="黑体" w:cs="黑体"/>
          <w:b/>
          <w:bCs/>
          <w:color w:val="auto"/>
          <w:sz w:val="44"/>
          <w:szCs w:val="44"/>
        </w:rPr>
        <w:t>录</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TOC \o "1-2" \h \u </w:instrText>
      </w:r>
      <w:r>
        <w:rPr>
          <w:rFonts w:hint="eastAsia" w:ascii="宋体" w:hAnsi="宋体" w:eastAsia="宋体" w:cs="宋体"/>
          <w:color w:val="auto"/>
          <w:sz w:val="24"/>
          <w:szCs w:val="24"/>
        </w:rPr>
        <w:fldChar w:fldCharType="separate"/>
      </w:r>
    </w:p>
    <w:p w14:paraId="4AA43553">
      <w:pPr>
        <w:pStyle w:val="32"/>
        <w:tabs>
          <w:tab w:val="right" w:leader="dot" w:pos="8306"/>
        </w:tabs>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color w:val="auto"/>
          <w:sz w:val="20"/>
          <w:szCs w:val="20"/>
        </w:rPr>
        <w:fldChar w:fldCharType="begin"/>
      </w:r>
      <w:r>
        <w:rPr>
          <w:rFonts w:hint="eastAsia" w:asciiTheme="majorEastAsia" w:hAnsiTheme="majorEastAsia" w:eastAsiaTheme="majorEastAsia" w:cstheme="majorEastAsia"/>
          <w:sz w:val="20"/>
          <w:szCs w:val="20"/>
        </w:rPr>
        <w:instrText xml:space="preserve"> HYPERLINK \l _Toc22203 </w:instrText>
      </w:r>
      <w:r>
        <w:rPr>
          <w:rFonts w:hint="eastAsia" w:asciiTheme="majorEastAsia" w:hAnsiTheme="majorEastAsia" w:eastAsiaTheme="majorEastAsia" w:cstheme="majorEastAsia"/>
          <w:sz w:val="20"/>
          <w:szCs w:val="20"/>
        </w:rPr>
        <w:fldChar w:fldCharType="separate"/>
      </w:r>
      <w:r>
        <w:rPr>
          <w:rFonts w:hint="eastAsia" w:asciiTheme="majorEastAsia" w:hAnsiTheme="majorEastAsia" w:eastAsiaTheme="majorEastAsia" w:cstheme="majorEastAsia"/>
          <w:sz w:val="20"/>
          <w:szCs w:val="20"/>
        </w:rPr>
        <w:t>第一章</w:t>
      </w:r>
      <w:r>
        <w:rPr>
          <w:rFonts w:hint="eastAsia" w:asciiTheme="majorEastAsia" w:hAnsiTheme="majorEastAsia" w:eastAsiaTheme="majorEastAsia" w:cstheme="majorEastAsia"/>
          <w:sz w:val="20"/>
          <w:szCs w:val="20"/>
          <w:lang w:val="en-US" w:eastAsia="zh-CN"/>
        </w:rPr>
        <w:t xml:space="preserve"> </w:t>
      </w:r>
      <w:r>
        <w:rPr>
          <w:rFonts w:hint="eastAsia" w:asciiTheme="majorEastAsia" w:hAnsiTheme="majorEastAsia" w:eastAsiaTheme="majorEastAsia" w:cstheme="majorEastAsia"/>
          <w:sz w:val="20"/>
          <w:szCs w:val="20"/>
        </w:rPr>
        <w:t>项目概况</w:t>
      </w:r>
      <w:r>
        <w:rPr>
          <w:rFonts w:hint="eastAsia" w:asciiTheme="majorEastAsia" w:hAnsiTheme="majorEastAsia" w:eastAsiaTheme="majorEastAsia" w:cstheme="majorEastAsia"/>
          <w:sz w:val="20"/>
          <w:szCs w:val="20"/>
        </w:rPr>
        <w:tab/>
      </w:r>
      <w:r>
        <w:rPr>
          <w:rFonts w:hint="eastAsia" w:asciiTheme="majorEastAsia" w:hAnsiTheme="majorEastAsia" w:eastAsiaTheme="majorEastAsia" w:cstheme="majorEastAsia"/>
          <w:sz w:val="20"/>
          <w:szCs w:val="20"/>
          <w:lang w:val="en-US" w:eastAsia="zh-CN"/>
        </w:rPr>
        <w:t>1</w:t>
      </w:r>
      <w:r>
        <w:rPr>
          <w:rFonts w:hint="eastAsia" w:asciiTheme="majorEastAsia" w:hAnsiTheme="majorEastAsia" w:eastAsiaTheme="majorEastAsia" w:cstheme="majorEastAsia"/>
          <w:color w:val="auto"/>
          <w:sz w:val="20"/>
          <w:szCs w:val="20"/>
        </w:rPr>
        <w:fldChar w:fldCharType="end"/>
      </w:r>
    </w:p>
    <w:p w14:paraId="485E1A88">
      <w:pPr>
        <w:pStyle w:val="32"/>
        <w:tabs>
          <w:tab w:val="right" w:leader="dot" w:pos="8306"/>
        </w:tabs>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color w:val="auto"/>
          <w:sz w:val="20"/>
          <w:szCs w:val="20"/>
        </w:rPr>
        <w:fldChar w:fldCharType="begin"/>
      </w:r>
      <w:r>
        <w:rPr>
          <w:rFonts w:hint="eastAsia" w:asciiTheme="majorEastAsia" w:hAnsiTheme="majorEastAsia" w:eastAsiaTheme="majorEastAsia" w:cstheme="majorEastAsia"/>
          <w:sz w:val="20"/>
          <w:szCs w:val="20"/>
        </w:rPr>
        <w:instrText xml:space="preserve"> HYPERLINK \l _Toc21876 </w:instrText>
      </w:r>
      <w:r>
        <w:rPr>
          <w:rFonts w:hint="eastAsia" w:asciiTheme="majorEastAsia" w:hAnsiTheme="majorEastAsia" w:eastAsiaTheme="majorEastAsia" w:cstheme="majorEastAsia"/>
          <w:sz w:val="20"/>
          <w:szCs w:val="20"/>
        </w:rPr>
        <w:fldChar w:fldCharType="separate"/>
      </w:r>
      <w:r>
        <w:rPr>
          <w:rFonts w:hint="eastAsia" w:asciiTheme="majorEastAsia" w:hAnsiTheme="majorEastAsia" w:eastAsiaTheme="majorEastAsia" w:cstheme="majorEastAsia"/>
          <w:sz w:val="20"/>
          <w:szCs w:val="20"/>
        </w:rPr>
        <w:t>第二章</w:t>
      </w:r>
      <w:r>
        <w:rPr>
          <w:rFonts w:hint="eastAsia" w:asciiTheme="majorEastAsia" w:hAnsiTheme="majorEastAsia" w:eastAsiaTheme="majorEastAsia" w:cstheme="majorEastAsia"/>
          <w:sz w:val="20"/>
          <w:szCs w:val="20"/>
          <w:lang w:val="en-US" w:eastAsia="zh-CN"/>
        </w:rPr>
        <w:t xml:space="preserve"> </w:t>
      </w:r>
      <w:r>
        <w:rPr>
          <w:rFonts w:hint="eastAsia" w:asciiTheme="majorEastAsia" w:hAnsiTheme="majorEastAsia" w:eastAsiaTheme="majorEastAsia" w:cstheme="majorEastAsia"/>
          <w:sz w:val="20"/>
          <w:szCs w:val="20"/>
        </w:rPr>
        <w:t>总体设计原则</w:t>
      </w:r>
      <w:r>
        <w:rPr>
          <w:rFonts w:hint="eastAsia" w:asciiTheme="majorEastAsia" w:hAnsiTheme="majorEastAsia" w:eastAsiaTheme="majorEastAsia" w:cstheme="majorEastAsia"/>
          <w:sz w:val="20"/>
          <w:szCs w:val="20"/>
        </w:rPr>
        <w:tab/>
      </w:r>
      <w:r>
        <w:rPr>
          <w:rFonts w:hint="eastAsia" w:asciiTheme="majorEastAsia" w:hAnsiTheme="majorEastAsia" w:eastAsiaTheme="majorEastAsia" w:cstheme="majorEastAsia"/>
          <w:sz w:val="20"/>
          <w:szCs w:val="20"/>
          <w:lang w:val="en-US" w:eastAsia="zh-CN"/>
        </w:rPr>
        <w:t>2</w:t>
      </w:r>
      <w:r>
        <w:rPr>
          <w:rFonts w:hint="eastAsia" w:asciiTheme="majorEastAsia" w:hAnsiTheme="majorEastAsia" w:eastAsiaTheme="majorEastAsia" w:cstheme="majorEastAsia"/>
          <w:color w:val="auto"/>
          <w:sz w:val="20"/>
          <w:szCs w:val="20"/>
        </w:rPr>
        <w:fldChar w:fldCharType="end"/>
      </w:r>
    </w:p>
    <w:p w14:paraId="2C890CA9">
      <w:pPr>
        <w:pStyle w:val="32"/>
        <w:tabs>
          <w:tab w:val="right" w:leader="dot" w:pos="8306"/>
        </w:tabs>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color w:val="auto"/>
          <w:sz w:val="20"/>
          <w:szCs w:val="20"/>
        </w:rPr>
        <w:fldChar w:fldCharType="begin"/>
      </w:r>
      <w:r>
        <w:rPr>
          <w:rFonts w:hint="eastAsia" w:asciiTheme="majorEastAsia" w:hAnsiTheme="majorEastAsia" w:eastAsiaTheme="majorEastAsia" w:cstheme="majorEastAsia"/>
          <w:sz w:val="20"/>
          <w:szCs w:val="20"/>
        </w:rPr>
        <w:instrText xml:space="preserve"> HYPERLINK \l _Toc16025 </w:instrText>
      </w:r>
      <w:r>
        <w:rPr>
          <w:rFonts w:hint="eastAsia" w:asciiTheme="majorEastAsia" w:hAnsiTheme="majorEastAsia" w:eastAsiaTheme="majorEastAsia" w:cstheme="majorEastAsia"/>
          <w:sz w:val="20"/>
          <w:szCs w:val="20"/>
        </w:rPr>
        <w:fldChar w:fldCharType="separate"/>
      </w:r>
      <w:r>
        <w:rPr>
          <w:rFonts w:hint="eastAsia" w:asciiTheme="majorEastAsia" w:hAnsiTheme="majorEastAsia" w:eastAsiaTheme="majorEastAsia" w:cstheme="majorEastAsia"/>
          <w:sz w:val="20"/>
          <w:szCs w:val="20"/>
        </w:rPr>
        <w:t>第</w:t>
      </w:r>
      <w:r>
        <w:rPr>
          <w:rFonts w:hint="eastAsia" w:asciiTheme="majorEastAsia" w:hAnsiTheme="majorEastAsia" w:eastAsiaTheme="majorEastAsia" w:cstheme="majorEastAsia"/>
          <w:sz w:val="20"/>
          <w:szCs w:val="20"/>
          <w:lang w:eastAsia="zh-CN"/>
        </w:rPr>
        <w:t>三</w:t>
      </w:r>
      <w:r>
        <w:rPr>
          <w:rFonts w:hint="eastAsia" w:asciiTheme="majorEastAsia" w:hAnsiTheme="majorEastAsia" w:eastAsiaTheme="majorEastAsia" w:cstheme="majorEastAsia"/>
          <w:sz w:val="20"/>
          <w:szCs w:val="20"/>
        </w:rPr>
        <w:t>章</w:t>
      </w:r>
      <w:r>
        <w:rPr>
          <w:rFonts w:hint="eastAsia" w:asciiTheme="majorEastAsia" w:hAnsiTheme="majorEastAsia" w:eastAsiaTheme="majorEastAsia" w:cstheme="majorEastAsia"/>
          <w:sz w:val="20"/>
          <w:szCs w:val="20"/>
          <w:lang w:val="en-US" w:eastAsia="zh-CN"/>
        </w:rPr>
        <w:t xml:space="preserve"> </w:t>
      </w:r>
      <w:r>
        <w:rPr>
          <w:rFonts w:hint="eastAsia" w:asciiTheme="majorEastAsia" w:hAnsiTheme="majorEastAsia" w:eastAsiaTheme="majorEastAsia" w:cstheme="majorEastAsia"/>
          <w:sz w:val="20"/>
          <w:szCs w:val="20"/>
        </w:rPr>
        <w:t>项目规划设计条件</w:t>
      </w:r>
      <w:r>
        <w:rPr>
          <w:rFonts w:hint="eastAsia" w:asciiTheme="majorEastAsia" w:hAnsiTheme="majorEastAsia" w:eastAsiaTheme="majorEastAsia" w:cstheme="majorEastAsia"/>
          <w:sz w:val="20"/>
          <w:szCs w:val="20"/>
        </w:rPr>
        <w:tab/>
      </w:r>
      <w:r>
        <w:rPr>
          <w:rFonts w:hint="eastAsia" w:asciiTheme="majorEastAsia" w:hAnsiTheme="majorEastAsia" w:eastAsiaTheme="majorEastAsia" w:cstheme="majorEastAsia"/>
          <w:sz w:val="20"/>
          <w:szCs w:val="20"/>
          <w:lang w:val="en-US" w:eastAsia="zh-CN"/>
        </w:rPr>
        <w:t>3</w:t>
      </w:r>
      <w:r>
        <w:rPr>
          <w:rFonts w:hint="eastAsia" w:asciiTheme="majorEastAsia" w:hAnsiTheme="majorEastAsia" w:eastAsiaTheme="majorEastAsia" w:cstheme="majorEastAsia"/>
          <w:color w:val="auto"/>
          <w:sz w:val="20"/>
          <w:szCs w:val="20"/>
        </w:rPr>
        <w:fldChar w:fldCharType="end"/>
      </w:r>
    </w:p>
    <w:p w14:paraId="39E6B4A4">
      <w:pPr>
        <w:pStyle w:val="32"/>
        <w:tabs>
          <w:tab w:val="right" w:leader="dot" w:pos="8306"/>
        </w:tabs>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color w:val="auto"/>
          <w:sz w:val="20"/>
          <w:szCs w:val="20"/>
        </w:rPr>
        <w:fldChar w:fldCharType="begin"/>
      </w:r>
      <w:r>
        <w:rPr>
          <w:rFonts w:hint="eastAsia" w:asciiTheme="majorEastAsia" w:hAnsiTheme="majorEastAsia" w:eastAsiaTheme="majorEastAsia" w:cstheme="majorEastAsia"/>
          <w:sz w:val="20"/>
          <w:szCs w:val="20"/>
        </w:rPr>
        <w:instrText xml:space="preserve"> HYPERLINK \l _Toc26941 </w:instrText>
      </w:r>
      <w:r>
        <w:rPr>
          <w:rFonts w:hint="eastAsia" w:asciiTheme="majorEastAsia" w:hAnsiTheme="majorEastAsia" w:eastAsiaTheme="majorEastAsia" w:cstheme="majorEastAsia"/>
          <w:sz w:val="20"/>
          <w:szCs w:val="20"/>
        </w:rPr>
        <w:fldChar w:fldCharType="separate"/>
      </w:r>
      <w:r>
        <w:rPr>
          <w:rFonts w:hint="eastAsia" w:asciiTheme="majorEastAsia" w:hAnsiTheme="majorEastAsia" w:eastAsiaTheme="majorEastAsia" w:cstheme="majorEastAsia"/>
          <w:sz w:val="20"/>
          <w:szCs w:val="20"/>
        </w:rPr>
        <w:t>第</w:t>
      </w:r>
      <w:r>
        <w:rPr>
          <w:rFonts w:hint="eastAsia" w:asciiTheme="majorEastAsia" w:hAnsiTheme="majorEastAsia" w:eastAsiaTheme="majorEastAsia" w:cstheme="majorEastAsia"/>
          <w:sz w:val="20"/>
          <w:szCs w:val="20"/>
          <w:lang w:eastAsia="zh-CN"/>
        </w:rPr>
        <w:t>四</w:t>
      </w:r>
      <w:r>
        <w:rPr>
          <w:rFonts w:hint="eastAsia" w:asciiTheme="majorEastAsia" w:hAnsiTheme="majorEastAsia" w:eastAsiaTheme="majorEastAsia" w:cstheme="majorEastAsia"/>
          <w:sz w:val="20"/>
          <w:szCs w:val="20"/>
        </w:rPr>
        <w:t>章</w:t>
      </w:r>
      <w:r>
        <w:rPr>
          <w:rFonts w:hint="eastAsia" w:asciiTheme="majorEastAsia" w:hAnsiTheme="majorEastAsia" w:eastAsiaTheme="majorEastAsia" w:cstheme="majorEastAsia"/>
          <w:sz w:val="20"/>
          <w:szCs w:val="20"/>
          <w:lang w:val="en-US" w:eastAsia="zh-CN"/>
        </w:rPr>
        <w:t xml:space="preserve"> </w:t>
      </w:r>
      <w:r>
        <w:rPr>
          <w:rFonts w:hint="eastAsia" w:asciiTheme="majorEastAsia" w:hAnsiTheme="majorEastAsia" w:eastAsiaTheme="majorEastAsia" w:cstheme="majorEastAsia"/>
          <w:sz w:val="20"/>
          <w:szCs w:val="20"/>
        </w:rPr>
        <w:t>工程设计阶段与服务</w:t>
      </w:r>
      <w:r>
        <w:rPr>
          <w:rFonts w:hint="eastAsia" w:asciiTheme="majorEastAsia" w:hAnsiTheme="majorEastAsia" w:eastAsiaTheme="majorEastAsia" w:cstheme="majorEastAsia"/>
          <w:sz w:val="20"/>
          <w:szCs w:val="20"/>
          <w:lang w:val="en-US" w:eastAsia="zh-CN"/>
        </w:rPr>
        <w:t>范围</w:t>
      </w:r>
      <w:r>
        <w:rPr>
          <w:rFonts w:hint="eastAsia" w:asciiTheme="majorEastAsia" w:hAnsiTheme="majorEastAsia" w:eastAsiaTheme="majorEastAsia" w:cstheme="majorEastAsia"/>
          <w:sz w:val="20"/>
          <w:szCs w:val="20"/>
        </w:rPr>
        <w:tab/>
      </w:r>
      <w:r>
        <w:rPr>
          <w:rFonts w:hint="eastAsia" w:asciiTheme="majorEastAsia" w:hAnsiTheme="majorEastAsia" w:eastAsiaTheme="majorEastAsia" w:cstheme="majorEastAsia"/>
          <w:sz w:val="20"/>
          <w:szCs w:val="20"/>
          <w:lang w:val="en-US" w:eastAsia="zh-CN"/>
        </w:rPr>
        <w:t>3</w:t>
      </w:r>
      <w:r>
        <w:rPr>
          <w:rFonts w:hint="eastAsia" w:asciiTheme="majorEastAsia" w:hAnsiTheme="majorEastAsia" w:eastAsiaTheme="majorEastAsia" w:cstheme="majorEastAsia"/>
          <w:color w:val="auto"/>
          <w:sz w:val="20"/>
          <w:szCs w:val="20"/>
        </w:rPr>
        <w:fldChar w:fldCharType="end"/>
      </w:r>
    </w:p>
    <w:p w14:paraId="79DE41F5">
      <w:pPr>
        <w:pStyle w:val="32"/>
        <w:tabs>
          <w:tab w:val="right" w:leader="dot" w:pos="8306"/>
        </w:tabs>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color w:val="auto"/>
          <w:sz w:val="20"/>
          <w:szCs w:val="20"/>
        </w:rPr>
        <w:fldChar w:fldCharType="begin"/>
      </w:r>
      <w:r>
        <w:rPr>
          <w:rFonts w:hint="eastAsia" w:asciiTheme="majorEastAsia" w:hAnsiTheme="majorEastAsia" w:eastAsiaTheme="majorEastAsia" w:cstheme="majorEastAsia"/>
          <w:sz w:val="20"/>
          <w:szCs w:val="20"/>
        </w:rPr>
        <w:instrText xml:space="preserve"> HYPERLINK \l _Toc555 </w:instrText>
      </w:r>
      <w:r>
        <w:rPr>
          <w:rFonts w:hint="eastAsia" w:asciiTheme="majorEastAsia" w:hAnsiTheme="majorEastAsia" w:eastAsiaTheme="majorEastAsia" w:cstheme="majorEastAsia"/>
          <w:sz w:val="20"/>
          <w:szCs w:val="20"/>
        </w:rPr>
        <w:fldChar w:fldCharType="separate"/>
      </w:r>
      <w:r>
        <w:rPr>
          <w:rFonts w:hint="eastAsia" w:asciiTheme="majorEastAsia" w:hAnsiTheme="majorEastAsia" w:eastAsiaTheme="majorEastAsia" w:cstheme="majorEastAsia"/>
          <w:sz w:val="20"/>
          <w:szCs w:val="20"/>
        </w:rPr>
        <w:t>第</w:t>
      </w:r>
      <w:r>
        <w:rPr>
          <w:rFonts w:hint="eastAsia" w:asciiTheme="majorEastAsia" w:hAnsiTheme="majorEastAsia" w:eastAsiaTheme="majorEastAsia" w:cstheme="majorEastAsia"/>
          <w:sz w:val="20"/>
          <w:szCs w:val="20"/>
          <w:lang w:eastAsia="zh-CN"/>
        </w:rPr>
        <w:t>五</w:t>
      </w:r>
      <w:r>
        <w:rPr>
          <w:rFonts w:hint="eastAsia" w:asciiTheme="majorEastAsia" w:hAnsiTheme="majorEastAsia" w:eastAsiaTheme="majorEastAsia" w:cstheme="majorEastAsia"/>
          <w:sz w:val="20"/>
          <w:szCs w:val="20"/>
        </w:rPr>
        <w:t>章</w:t>
      </w:r>
      <w:r>
        <w:rPr>
          <w:rFonts w:hint="eastAsia" w:asciiTheme="majorEastAsia" w:hAnsiTheme="majorEastAsia" w:eastAsiaTheme="majorEastAsia" w:cstheme="majorEastAsia"/>
          <w:sz w:val="20"/>
          <w:szCs w:val="20"/>
          <w:lang w:val="en-US" w:eastAsia="zh-CN"/>
        </w:rPr>
        <w:t xml:space="preserve"> </w:t>
      </w:r>
      <w:r>
        <w:rPr>
          <w:rFonts w:hint="eastAsia" w:asciiTheme="majorEastAsia" w:hAnsiTheme="majorEastAsia" w:eastAsiaTheme="majorEastAsia" w:cstheme="majorEastAsia"/>
          <w:sz w:val="20"/>
          <w:szCs w:val="20"/>
        </w:rPr>
        <w:t>设计内容及各专业要求</w:t>
      </w:r>
      <w:r>
        <w:rPr>
          <w:rFonts w:hint="eastAsia" w:asciiTheme="majorEastAsia" w:hAnsiTheme="majorEastAsia" w:eastAsiaTheme="majorEastAsia" w:cstheme="majorEastAsia"/>
          <w:sz w:val="20"/>
          <w:szCs w:val="20"/>
        </w:rPr>
        <w:tab/>
      </w:r>
      <w:r>
        <w:rPr>
          <w:rFonts w:hint="eastAsia" w:asciiTheme="majorEastAsia" w:hAnsiTheme="majorEastAsia" w:eastAsiaTheme="majorEastAsia" w:cstheme="majorEastAsia"/>
          <w:sz w:val="20"/>
          <w:szCs w:val="20"/>
          <w:lang w:val="en-US" w:eastAsia="zh-CN"/>
        </w:rPr>
        <w:t>5</w:t>
      </w:r>
      <w:r>
        <w:rPr>
          <w:rFonts w:hint="eastAsia" w:asciiTheme="majorEastAsia" w:hAnsiTheme="majorEastAsia" w:eastAsiaTheme="majorEastAsia" w:cstheme="majorEastAsia"/>
          <w:color w:val="auto"/>
          <w:sz w:val="20"/>
          <w:szCs w:val="20"/>
        </w:rPr>
        <w:fldChar w:fldCharType="end"/>
      </w:r>
    </w:p>
    <w:p w14:paraId="4FF14031">
      <w:pPr>
        <w:pStyle w:val="32"/>
        <w:tabs>
          <w:tab w:val="right" w:leader="dot" w:pos="8306"/>
        </w:tabs>
        <w:rPr>
          <w:rFonts w:hint="eastAsia" w:asciiTheme="majorEastAsia" w:hAnsiTheme="majorEastAsia" w:eastAsiaTheme="majorEastAsia" w:cstheme="majorEastAsia"/>
          <w:sz w:val="20"/>
          <w:szCs w:val="20"/>
          <w:lang w:val="en-US" w:eastAsia="zh-CN"/>
        </w:rPr>
      </w:pPr>
      <w:r>
        <w:rPr>
          <w:rFonts w:hint="eastAsia" w:asciiTheme="majorEastAsia" w:hAnsiTheme="majorEastAsia" w:eastAsiaTheme="majorEastAsia" w:cstheme="majorEastAsia"/>
          <w:color w:val="auto"/>
          <w:sz w:val="20"/>
          <w:szCs w:val="20"/>
        </w:rPr>
        <w:fldChar w:fldCharType="begin"/>
      </w:r>
      <w:r>
        <w:rPr>
          <w:rFonts w:hint="eastAsia" w:asciiTheme="majorEastAsia" w:hAnsiTheme="majorEastAsia" w:eastAsiaTheme="majorEastAsia" w:cstheme="majorEastAsia"/>
          <w:sz w:val="20"/>
          <w:szCs w:val="20"/>
        </w:rPr>
        <w:instrText xml:space="preserve"> HYPERLINK \l _Toc8548 </w:instrText>
      </w:r>
      <w:r>
        <w:rPr>
          <w:rFonts w:hint="eastAsia" w:asciiTheme="majorEastAsia" w:hAnsiTheme="majorEastAsia" w:eastAsiaTheme="majorEastAsia" w:cstheme="majorEastAsia"/>
          <w:sz w:val="20"/>
          <w:szCs w:val="20"/>
        </w:rPr>
        <w:fldChar w:fldCharType="separate"/>
      </w:r>
      <w:r>
        <w:rPr>
          <w:rFonts w:hint="eastAsia" w:asciiTheme="majorEastAsia" w:hAnsiTheme="majorEastAsia" w:eastAsiaTheme="majorEastAsia" w:cstheme="majorEastAsia"/>
          <w:sz w:val="20"/>
          <w:szCs w:val="20"/>
        </w:rPr>
        <w:t>第</w:t>
      </w:r>
      <w:r>
        <w:rPr>
          <w:rFonts w:hint="eastAsia" w:asciiTheme="majorEastAsia" w:hAnsiTheme="majorEastAsia" w:eastAsiaTheme="majorEastAsia" w:cstheme="majorEastAsia"/>
          <w:sz w:val="20"/>
          <w:szCs w:val="20"/>
          <w:lang w:eastAsia="zh-CN"/>
        </w:rPr>
        <w:t>六</w:t>
      </w:r>
      <w:r>
        <w:rPr>
          <w:rFonts w:hint="eastAsia" w:asciiTheme="majorEastAsia" w:hAnsiTheme="majorEastAsia" w:eastAsiaTheme="majorEastAsia" w:cstheme="majorEastAsia"/>
          <w:sz w:val="20"/>
          <w:szCs w:val="20"/>
        </w:rPr>
        <w:t>章</w:t>
      </w:r>
      <w:r>
        <w:rPr>
          <w:rFonts w:hint="eastAsia" w:asciiTheme="majorEastAsia" w:hAnsiTheme="majorEastAsia" w:eastAsiaTheme="majorEastAsia" w:cstheme="majorEastAsia"/>
          <w:sz w:val="20"/>
          <w:szCs w:val="20"/>
          <w:lang w:val="en-US" w:eastAsia="zh-CN"/>
        </w:rPr>
        <w:t xml:space="preserve"> </w:t>
      </w:r>
      <w:r>
        <w:rPr>
          <w:rFonts w:hint="eastAsia" w:asciiTheme="majorEastAsia" w:hAnsiTheme="majorEastAsia" w:eastAsiaTheme="majorEastAsia" w:cstheme="majorEastAsia"/>
          <w:sz w:val="20"/>
          <w:szCs w:val="20"/>
        </w:rPr>
        <w:t>设计成果及要求</w:t>
      </w:r>
      <w:r>
        <w:rPr>
          <w:rFonts w:hint="eastAsia" w:asciiTheme="majorEastAsia" w:hAnsiTheme="majorEastAsia" w:eastAsiaTheme="majorEastAsia" w:cstheme="majorEastAsia"/>
          <w:sz w:val="20"/>
          <w:szCs w:val="20"/>
        </w:rPr>
        <w:tab/>
      </w:r>
      <w:r>
        <w:rPr>
          <w:rFonts w:hint="eastAsia" w:asciiTheme="majorEastAsia" w:hAnsiTheme="majorEastAsia" w:eastAsiaTheme="majorEastAsia" w:cstheme="majorEastAsia"/>
          <w:sz w:val="20"/>
          <w:szCs w:val="20"/>
          <w:lang w:val="en-US" w:eastAsia="zh-CN"/>
        </w:rPr>
        <w:t>12</w:t>
      </w:r>
      <w:r>
        <w:rPr>
          <w:rFonts w:hint="eastAsia" w:asciiTheme="majorEastAsia" w:hAnsiTheme="majorEastAsia" w:eastAsiaTheme="majorEastAsia" w:cstheme="majorEastAsia"/>
          <w:color w:val="auto"/>
          <w:sz w:val="20"/>
          <w:szCs w:val="20"/>
        </w:rPr>
        <w:fldChar w:fldCharType="end"/>
      </w:r>
    </w:p>
    <w:p w14:paraId="188B246D">
      <w:pPr>
        <w:pStyle w:val="32"/>
        <w:tabs>
          <w:tab w:val="right" w:leader="dot" w:pos="8306"/>
        </w:tabs>
        <w:rPr>
          <w:rFonts w:hint="eastAsia" w:asciiTheme="majorEastAsia" w:hAnsiTheme="majorEastAsia" w:eastAsiaTheme="majorEastAsia" w:cstheme="majorEastAsia"/>
          <w:sz w:val="20"/>
          <w:szCs w:val="20"/>
          <w:lang w:val="en-US" w:eastAsia="zh-CN"/>
        </w:rPr>
      </w:pPr>
      <w:r>
        <w:rPr>
          <w:rFonts w:hint="eastAsia" w:asciiTheme="majorEastAsia" w:hAnsiTheme="majorEastAsia" w:eastAsiaTheme="majorEastAsia" w:cstheme="majorEastAsia"/>
          <w:color w:val="auto"/>
          <w:sz w:val="20"/>
          <w:szCs w:val="20"/>
        </w:rPr>
        <w:fldChar w:fldCharType="begin"/>
      </w:r>
      <w:r>
        <w:rPr>
          <w:rFonts w:hint="eastAsia" w:asciiTheme="majorEastAsia" w:hAnsiTheme="majorEastAsia" w:eastAsiaTheme="majorEastAsia" w:cstheme="majorEastAsia"/>
          <w:sz w:val="20"/>
          <w:szCs w:val="20"/>
        </w:rPr>
        <w:instrText xml:space="preserve"> HYPERLINK \l _Toc29908 </w:instrText>
      </w:r>
      <w:r>
        <w:rPr>
          <w:rFonts w:hint="eastAsia" w:asciiTheme="majorEastAsia" w:hAnsiTheme="majorEastAsia" w:eastAsiaTheme="majorEastAsia" w:cstheme="majorEastAsia"/>
          <w:sz w:val="20"/>
          <w:szCs w:val="20"/>
        </w:rPr>
        <w:fldChar w:fldCharType="separate"/>
      </w:r>
      <w:r>
        <w:rPr>
          <w:rFonts w:hint="eastAsia" w:asciiTheme="majorEastAsia" w:hAnsiTheme="majorEastAsia" w:eastAsiaTheme="majorEastAsia" w:cstheme="majorEastAsia"/>
          <w:bCs/>
          <w:sz w:val="20"/>
          <w:szCs w:val="20"/>
        </w:rPr>
        <w:t>第</w:t>
      </w:r>
      <w:r>
        <w:rPr>
          <w:rFonts w:hint="eastAsia" w:asciiTheme="majorEastAsia" w:hAnsiTheme="majorEastAsia" w:eastAsiaTheme="majorEastAsia" w:cstheme="majorEastAsia"/>
          <w:bCs/>
          <w:sz w:val="20"/>
          <w:szCs w:val="20"/>
          <w:lang w:val="en-US" w:eastAsia="zh-CN"/>
        </w:rPr>
        <w:t>七</w:t>
      </w:r>
      <w:r>
        <w:rPr>
          <w:rFonts w:hint="eastAsia" w:asciiTheme="majorEastAsia" w:hAnsiTheme="majorEastAsia" w:eastAsiaTheme="majorEastAsia" w:cstheme="majorEastAsia"/>
          <w:bCs/>
          <w:sz w:val="20"/>
          <w:szCs w:val="20"/>
        </w:rPr>
        <w:t>章</w:t>
      </w:r>
      <w:r>
        <w:rPr>
          <w:rFonts w:hint="eastAsia" w:asciiTheme="majorEastAsia" w:hAnsiTheme="majorEastAsia" w:eastAsiaTheme="majorEastAsia" w:cstheme="majorEastAsia"/>
          <w:bCs/>
          <w:sz w:val="20"/>
          <w:szCs w:val="20"/>
          <w:lang w:val="en-US" w:eastAsia="zh-CN"/>
        </w:rPr>
        <w:t xml:space="preserve"> </w:t>
      </w:r>
      <w:r>
        <w:rPr>
          <w:rFonts w:hint="eastAsia" w:asciiTheme="majorEastAsia" w:hAnsiTheme="majorEastAsia" w:eastAsiaTheme="majorEastAsia" w:cstheme="majorEastAsia"/>
          <w:bCs/>
          <w:sz w:val="20"/>
          <w:szCs w:val="20"/>
        </w:rPr>
        <w:t>技术标准和建筑法规</w:t>
      </w:r>
      <w:r>
        <w:rPr>
          <w:rFonts w:hint="eastAsia" w:asciiTheme="majorEastAsia" w:hAnsiTheme="majorEastAsia" w:eastAsiaTheme="majorEastAsia" w:cstheme="majorEastAsia"/>
          <w:sz w:val="20"/>
          <w:szCs w:val="20"/>
        </w:rPr>
        <w:tab/>
      </w:r>
      <w:r>
        <w:rPr>
          <w:rFonts w:hint="eastAsia" w:asciiTheme="majorEastAsia" w:hAnsiTheme="majorEastAsia" w:eastAsiaTheme="majorEastAsia" w:cstheme="majorEastAsia"/>
          <w:sz w:val="20"/>
          <w:szCs w:val="20"/>
          <w:lang w:val="en-US" w:eastAsia="zh-CN"/>
        </w:rPr>
        <w:t>1</w:t>
      </w:r>
      <w:r>
        <w:rPr>
          <w:rFonts w:hint="eastAsia" w:asciiTheme="majorEastAsia" w:hAnsiTheme="majorEastAsia" w:eastAsiaTheme="majorEastAsia" w:cstheme="majorEastAsia"/>
          <w:color w:val="auto"/>
          <w:sz w:val="20"/>
          <w:szCs w:val="20"/>
        </w:rPr>
        <w:fldChar w:fldCharType="end"/>
      </w:r>
      <w:r>
        <w:rPr>
          <w:rFonts w:hint="eastAsia" w:asciiTheme="majorEastAsia" w:hAnsiTheme="majorEastAsia" w:eastAsiaTheme="majorEastAsia" w:cstheme="majorEastAsia"/>
          <w:color w:val="auto"/>
          <w:sz w:val="20"/>
          <w:szCs w:val="20"/>
          <w:lang w:val="en-US" w:eastAsia="zh-CN"/>
        </w:rPr>
        <w:t>4</w:t>
      </w:r>
      <w:bookmarkStart w:id="145" w:name="_GoBack"/>
      <w:bookmarkEnd w:id="145"/>
    </w:p>
    <w:p w14:paraId="6CABA35F">
      <w:pPr>
        <w:pStyle w:val="32"/>
        <w:tabs>
          <w:tab w:val="right" w:leader="dot" w:pos="8306"/>
        </w:tabs>
        <w:rPr>
          <w:rFonts w:hint="eastAsia" w:eastAsiaTheme="majorEastAsia"/>
          <w:lang w:val="en-US" w:eastAsia="zh-CN"/>
        </w:rPr>
      </w:pPr>
      <w:r>
        <w:rPr>
          <w:rFonts w:hint="eastAsia" w:asciiTheme="majorEastAsia" w:hAnsiTheme="majorEastAsia" w:eastAsiaTheme="majorEastAsia" w:cstheme="majorEastAsia"/>
          <w:color w:val="auto"/>
          <w:sz w:val="20"/>
          <w:szCs w:val="20"/>
        </w:rPr>
        <w:fldChar w:fldCharType="begin"/>
      </w:r>
      <w:r>
        <w:rPr>
          <w:rFonts w:hint="eastAsia" w:asciiTheme="majorEastAsia" w:hAnsiTheme="majorEastAsia" w:eastAsiaTheme="majorEastAsia" w:cstheme="majorEastAsia"/>
          <w:sz w:val="20"/>
          <w:szCs w:val="20"/>
        </w:rPr>
        <w:instrText xml:space="preserve"> HYPERLINK \l _Toc13401 </w:instrText>
      </w:r>
      <w:r>
        <w:rPr>
          <w:rFonts w:hint="eastAsia" w:asciiTheme="majorEastAsia" w:hAnsiTheme="majorEastAsia" w:eastAsiaTheme="majorEastAsia" w:cstheme="majorEastAsia"/>
          <w:sz w:val="20"/>
          <w:szCs w:val="20"/>
        </w:rPr>
        <w:fldChar w:fldCharType="separate"/>
      </w:r>
      <w:r>
        <w:rPr>
          <w:rFonts w:hint="eastAsia" w:asciiTheme="majorEastAsia" w:hAnsiTheme="majorEastAsia" w:eastAsiaTheme="majorEastAsia" w:cstheme="majorEastAsia"/>
          <w:sz w:val="20"/>
          <w:szCs w:val="20"/>
        </w:rPr>
        <w:t>第</w:t>
      </w:r>
      <w:r>
        <w:rPr>
          <w:rFonts w:hint="eastAsia" w:asciiTheme="majorEastAsia" w:hAnsiTheme="majorEastAsia" w:eastAsiaTheme="majorEastAsia" w:cstheme="majorEastAsia"/>
          <w:sz w:val="20"/>
          <w:szCs w:val="20"/>
          <w:lang w:val="en-US" w:eastAsia="zh-CN"/>
        </w:rPr>
        <w:t>八</w:t>
      </w:r>
      <w:r>
        <w:rPr>
          <w:rFonts w:hint="eastAsia" w:asciiTheme="majorEastAsia" w:hAnsiTheme="majorEastAsia" w:eastAsiaTheme="majorEastAsia" w:cstheme="majorEastAsia"/>
          <w:sz w:val="20"/>
          <w:szCs w:val="20"/>
        </w:rPr>
        <w:t>章</w:t>
      </w:r>
      <w:r>
        <w:rPr>
          <w:rFonts w:hint="eastAsia" w:asciiTheme="majorEastAsia" w:hAnsiTheme="majorEastAsia" w:eastAsiaTheme="majorEastAsia" w:cstheme="majorEastAsia"/>
          <w:sz w:val="20"/>
          <w:szCs w:val="20"/>
          <w:lang w:val="en-US" w:eastAsia="zh-CN"/>
        </w:rPr>
        <w:t xml:space="preserve"> </w:t>
      </w:r>
      <w:r>
        <w:rPr>
          <w:rFonts w:hint="eastAsia" w:asciiTheme="majorEastAsia" w:hAnsiTheme="majorEastAsia" w:eastAsiaTheme="majorEastAsia" w:cstheme="majorEastAsia"/>
          <w:sz w:val="20"/>
          <w:szCs w:val="20"/>
        </w:rPr>
        <w:t>设计管理要求</w:t>
      </w:r>
      <w:r>
        <w:rPr>
          <w:rFonts w:hint="eastAsia" w:asciiTheme="majorEastAsia" w:hAnsiTheme="majorEastAsia" w:eastAsiaTheme="majorEastAsia" w:cstheme="majorEastAsia"/>
          <w:sz w:val="20"/>
          <w:szCs w:val="20"/>
        </w:rPr>
        <w:tab/>
      </w:r>
      <w:r>
        <w:rPr>
          <w:rFonts w:hint="eastAsia" w:asciiTheme="majorEastAsia" w:hAnsiTheme="majorEastAsia" w:eastAsiaTheme="majorEastAsia" w:cstheme="majorEastAsia"/>
          <w:sz w:val="20"/>
          <w:szCs w:val="20"/>
          <w:lang w:val="en-US" w:eastAsia="zh-CN"/>
        </w:rPr>
        <w:t>1</w:t>
      </w:r>
      <w:r>
        <w:rPr>
          <w:rFonts w:hint="eastAsia" w:asciiTheme="majorEastAsia" w:hAnsiTheme="majorEastAsia" w:eastAsiaTheme="majorEastAsia" w:cstheme="majorEastAsia"/>
          <w:color w:val="auto"/>
          <w:sz w:val="20"/>
          <w:szCs w:val="20"/>
        </w:rPr>
        <w:fldChar w:fldCharType="end"/>
      </w:r>
      <w:r>
        <w:rPr>
          <w:rFonts w:hint="eastAsia" w:asciiTheme="majorEastAsia" w:hAnsiTheme="majorEastAsia" w:eastAsiaTheme="majorEastAsia" w:cstheme="majorEastAsia"/>
          <w:color w:val="auto"/>
          <w:sz w:val="20"/>
          <w:szCs w:val="20"/>
          <w:lang w:val="en-US" w:eastAsia="zh-CN"/>
        </w:rPr>
        <w:t>4</w:t>
      </w:r>
    </w:p>
    <w:p w14:paraId="7CDA6680">
      <w:pPr>
        <w:ind w:left="240" w:right="240" w:firstLine="480"/>
        <w:jc w:val="center"/>
        <w:rPr>
          <w:b/>
          <w:color w:val="auto"/>
        </w:rPr>
      </w:pPr>
      <w:r>
        <w:rPr>
          <w:rFonts w:hint="eastAsia" w:ascii="宋体" w:hAnsi="宋体" w:eastAsia="宋体" w:cs="宋体"/>
          <w:b/>
          <w:color w:val="auto"/>
          <w:sz w:val="24"/>
          <w:szCs w:val="24"/>
        </w:rPr>
        <w:fldChar w:fldCharType="end"/>
      </w:r>
    </w:p>
    <w:p w14:paraId="4C94E8B1">
      <w:pPr>
        <w:pStyle w:val="4"/>
        <w:ind w:left="240" w:right="240" w:firstLine="602"/>
        <w:jc w:val="center"/>
        <w:rPr>
          <w:color w:val="auto"/>
        </w:rPr>
        <w:sectPr>
          <w:headerReference r:id="rId6" w:type="first"/>
          <w:footerReference r:id="rId9" w:type="first"/>
          <w:footerReference r:id="rId7" w:type="default"/>
          <w:headerReference r:id="rId5" w:type="even"/>
          <w:footerReference r:id="rId8" w:type="even"/>
          <w:pgSz w:w="11906" w:h="16838"/>
          <w:pgMar w:top="1440" w:right="1800" w:bottom="1440" w:left="1800" w:header="851" w:footer="992" w:gutter="0"/>
          <w:pgNumType w:fmt="decimal" w:start="1"/>
          <w:cols w:space="720" w:num="1"/>
          <w:docGrid w:type="lines" w:linePitch="312" w:charSpace="0"/>
        </w:sectPr>
      </w:pPr>
      <w:bookmarkStart w:id="17" w:name="_Toc7101"/>
      <w:bookmarkStart w:id="18" w:name="_Toc22203"/>
      <w:bookmarkStart w:id="19" w:name="_Toc31513"/>
      <w:bookmarkStart w:id="20" w:name="_Toc626"/>
    </w:p>
    <w:p w14:paraId="53883063">
      <w:pPr>
        <w:pStyle w:val="4"/>
        <w:ind w:left="240" w:right="240" w:firstLine="602"/>
        <w:jc w:val="center"/>
        <w:rPr>
          <w:rFonts w:hint="eastAsia"/>
          <w:color w:val="auto"/>
        </w:rPr>
      </w:pPr>
      <w:r>
        <w:rPr>
          <w:rFonts w:hint="eastAsia" w:ascii="黑体" w:hAnsi="黑体" w:eastAsia="黑体" w:cs="黑体"/>
          <w:color w:val="auto"/>
          <w:sz w:val="32"/>
          <w:szCs w:val="32"/>
        </w:rPr>
        <w:t>第一章</w:t>
      </w:r>
      <w:r>
        <w:rPr>
          <w:rFonts w:hint="eastAsia" w:ascii="黑体" w:hAnsi="黑体" w:eastAsia="黑体" w:cs="黑体"/>
          <w:color w:val="auto"/>
          <w:sz w:val="32"/>
          <w:szCs w:val="32"/>
          <w:lang w:val="en-US" w:eastAsia="zh-CN"/>
        </w:rPr>
        <w:t xml:space="preserve"> </w:t>
      </w:r>
      <w:r>
        <w:rPr>
          <w:rFonts w:hint="eastAsia" w:ascii="黑体" w:hAnsi="黑体" w:eastAsia="黑体" w:cs="黑体"/>
          <w:color w:val="auto"/>
          <w:sz w:val="32"/>
          <w:szCs w:val="32"/>
        </w:rPr>
        <w:t>项目概况</w:t>
      </w:r>
      <w:bookmarkEnd w:id="17"/>
      <w:bookmarkEnd w:id="18"/>
      <w:bookmarkEnd w:id="19"/>
      <w:bookmarkEnd w:id="20"/>
    </w:p>
    <w:p w14:paraId="476F02FA">
      <w:pPr>
        <w:keepNext/>
        <w:keepLines/>
        <w:pageBreakBefore w:val="0"/>
        <w:widowControl w:val="0"/>
        <w:kinsoku/>
        <w:wordWrap/>
        <w:overflowPunct/>
        <w:topLinePunct w:val="0"/>
        <w:autoSpaceDE/>
        <w:autoSpaceDN/>
        <w:bidi w:val="0"/>
        <w:adjustRightInd w:val="0"/>
        <w:snapToGrid w:val="0"/>
        <w:spacing w:before="0" w:after="0" w:line="400" w:lineRule="exact"/>
        <w:ind w:left="0" w:leftChars="0" w:right="0" w:rightChars="0"/>
        <w:jc w:val="left"/>
        <w:textAlignment w:val="auto"/>
        <w:outlineLvl w:val="9"/>
        <w:rPr>
          <w:rFonts w:hint="eastAsia"/>
          <w:lang w:val="en-US" w:eastAsia="zh-CN"/>
        </w:rPr>
      </w:pPr>
      <w:bookmarkStart w:id="21" w:name="_Toc860"/>
      <w:bookmarkStart w:id="22" w:name="_Toc23216"/>
      <w:bookmarkStart w:id="23" w:name="_Toc15553"/>
      <w:bookmarkStart w:id="24" w:name="_Toc395556180"/>
      <w:bookmarkStart w:id="25" w:name="_Toc395556139"/>
      <w:r>
        <w:rPr>
          <w:rFonts w:hint="eastAsia"/>
          <w:lang w:val="en-US" w:eastAsia="zh-CN"/>
        </w:rPr>
        <w:t>1.1 项目名称</w:t>
      </w:r>
      <w:bookmarkEnd w:id="21"/>
      <w:bookmarkEnd w:id="22"/>
      <w:bookmarkEnd w:id="23"/>
      <w:bookmarkStart w:id="26" w:name="_Toc11826"/>
    </w:p>
    <w:p w14:paraId="04BF38FC">
      <w:pPr>
        <w:keepNext/>
        <w:keepLines/>
        <w:pageBreakBefore w:val="0"/>
        <w:widowControl w:val="0"/>
        <w:kinsoku/>
        <w:wordWrap/>
        <w:overflowPunct/>
        <w:topLinePunct w:val="0"/>
        <w:autoSpaceDE/>
        <w:autoSpaceDN/>
        <w:bidi w:val="0"/>
        <w:adjustRightInd w:val="0"/>
        <w:snapToGrid w:val="0"/>
        <w:spacing w:before="0" w:after="0" w:line="400" w:lineRule="exact"/>
        <w:ind w:left="0" w:leftChars="0" w:right="0" w:rightChars="0" w:firstLine="480" w:firstLineChars="200"/>
        <w:jc w:val="left"/>
        <w:textAlignment w:val="auto"/>
        <w:outlineLvl w:val="9"/>
        <w:rPr>
          <w:rFonts w:hint="eastAsia"/>
          <w:lang w:val="en-US" w:eastAsia="zh-CN"/>
        </w:rPr>
      </w:pPr>
      <w:r>
        <w:rPr>
          <w:rFonts w:hint="eastAsia"/>
          <w:lang w:val="en-US" w:eastAsia="zh-CN"/>
        </w:rPr>
        <w:t>广州市天河区2112低空服务保障及配套产业基础设施项目</w:t>
      </w:r>
    </w:p>
    <w:p w14:paraId="63A0B0FD">
      <w:pPr>
        <w:keepNext/>
        <w:keepLines/>
        <w:pageBreakBefore w:val="0"/>
        <w:widowControl w:val="0"/>
        <w:kinsoku/>
        <w:wordWrap/>
        <w:overflowPunct/>
        <w:topLinePunct w:val="0"/>
        <w:autoSpaceDE/>
        <w:autoSpaceDN/>
        <w:bidi w:val="0"/>
        <w:adjustRightInd w:val="0"/>
        <w:snapToGrid w:val="0"/>
        <w:spacing w:before="0" w:after="0" w:line="400" w:lineRule="exact"/>
        <w:ind w:left="0" w:leftChars="0" w:right="0" w:rightChars="0" w:firstLine="480" w:firstLineChars="200"/>
        <w:jc w:val="left"/>
        <w:textAlignment w:val="auto"/>
        <w:outlineLvl w:val="9"/>
        <w:rPr>
          <w:rFonts w:hint="eastAsia"/>
          <w:lang w:val="en-US" w:eastAsia="zh-CN"/>
        </w:rPr>
      </w:pPr>
    </w:p>
    <w:p w14:paraId="2F59680B">
      <w:pPr>
        <w:keepNext/>
        <w:keepLines/>
        <w:pageBreakBefore w:val="0"/>
        <w:widowControl w:val="0"/>
        <w:kinsoku/>
        <w:wordWrap/>
        <w:overflowPunct/>
        <w:topLinePunct w:val="0"/>
        <w:autoSpaceDE/>
        <w:autoSpaceDN/>
        <w:bidi w:val="0"/>
        <w:adjustRightInd w:val="0"/>
        <w:snapToGrid w:val="0"/>
        <w:spacing w:before="0" w:after="0" w:line="400" w:lineRule="exact"/>
        <w:ind w:left="0" w:leftChars="0" w:right="0" w:rightChars="0"/>
        <w:jc w:val="left"/>
        <w:textAlignment w:val="auto"/>
        <w:outlineLvl w:val="9"/>
        <w:rPr>
          <w:rFonts w:hint="eastAsia"/>
          <w:lang w:val="en-US" w:eastAsia="zh-CN"/>
        </w:rPr>
      </w:pPr>
      <w:r>
        <w:rPr>
          <w:rFonts w:hint="eastAsia"/>
          <w:lang w:val="en-US" w:eastAsia="zh-CN"/>
        </w:rPr>
        <w:t>1.2 项目建设单位</w:t>
      </w:r>
      <w:bookmarkEnd w:id="24"/>
      <w:bookmarkEnd w:id="25"/>
      <w:bookmarkEnd w:id="26"/>
      <w:bookmarkStart w:id="27" w:name="_Toc10097"/>
      <w:bookmarkStart w:id="28" w:name="_Toc26305"/>
    </w:p>
    <w:p w14:paraId="2B82BEC6">
      <w:pPr>
        <w:keepNext/>
        <w:keepLines/>
        <w:pageBreakBefore w:val="0"/>
        <w:widowControl w:val="0"/>
        <w:kinsoku/>
        <w:wordWrap/>
        <w:overflowPunct/>
        <w:topLinePunct w:val="0"/>
        <w:autoSpaceDE/>
        <w:autoSpaceDN/>
        <w:bidi w:val="0"/>
        <w:adjustRightInd w:val="0"/>
        <w:snapToGrid w:val="0"/>
        <w:spacing w:before="0" w:after="0" w:line="400" w:lineRule="exact"/>
        <w:ind w:left="0" w:leftChars="0" w:right="0" w:rightChars="0" w:firstLine="480" w:firstLineChars="200"/>
        <w:jc w:val="left"/>
        <w:textAlignment w:val="auto"/>
        <w:outlineLvl w:val="9"/>
        <w:rPr>
          <w:rFonts w:hint="eastAsia"/>
          <w:lang w:val="en-US" w:eastAsia="zh-CN"/>
        </w:rPr>
      </w:pPr>
      <w:r>
        <w:rPr>
          <w:rFonts w:hint="eastAsia"/>
          <w:lang w:val="en-US" w:eastAsia="zh-CN"/>
        </w:rPr>
        <w:t>广州天河城市建设发展有限公司</w:t>
      </w:r>
    </w:p>
    <w:p w14:paraId="3C01BF23">
      <w:pPr>
        <w:keepNext/>
        <w:keepLines/>
        <w:pageBreakBefore w:val="0"/>
        <w:widowControl w:val="0"/>
        <w:kinsoku/>
        <w:wordWrap/>
        <w:overflowPunct/>
        <w:topLinePunct w:val="0"/>
        <w:autoSpaceDE/>
        <w:autoSpaceDN/>
        <w:bidi w:val="0"/>
        <w:adjustRightInd w:val="0"/>
        <w:snapToGrid w:val="0"/>
        <w:spacing w:before="0" w:after="0" w:line="400" w:lineRule="exact"/>
        <w:ind w:left="0" w:leftChars="0" w:right="0" w:rightChars="0" w:firstLine="480" w:firstLineChars="200"/>
        <w:jc w:val="left"/>
        <w:textAlignment w:val="auto"/>
        <w:outlineLvl w:val="9"/>
        <w:rPr>
          <w:rFonts w:hint="eastAsia"/>
          <w:lang w:val="en-US" w:eastAsia="zh-CN"/>
        </w:rPr>
      </w:pPr>
    </w:p>
    <w:p w14:paraId="4D6748D2">
      <w:pPr>
        <w:keepNext/>
        <w:keepLines/>
        <w:pageBreakBefore w:val="0"/>
        <w:widowControl w:val="0"/>
        <w:kinsoku/>
        <w:wordWrap/>
        <w:overflowPunct/>
        <w:topLinePunct w:val="0"/>
        <w:autoSpaceDE/>
        <w:autoSpaceDN/>
        <w:bidi w:val="0"/>
        <w:adjustRightInd w:val="0"/>
        <w:snapToGrid w:val="0"/>
        <w:spacing w:before="0" w:after="0" w:line="400" w:lineRule="exact"/>
        <w:ind w:left="0" w:leftChars="0" w:right="0" w:rightChars="0"/>
        <w:jc w:val="left"/>
        <w:textAlignment w:val="auto"/>
        <w:outlineLvl w:val="9"/>
        <w:rPr>
          <w:rFonts w:hint="eastAsia"/>
          <w:lang w:val="en-US" w:eastAsia="zh-CN"/>
        </w:rPr>
      </w:pPr>
      <w:bookmarkStart w:id="29" w:name="_Toc28833"/>
      <w:r>
        <w:rPr>
          <w:rFonts w:hint="eastAsia"/>
          <w:lang w:val="en-US" w:eastAsia="zh-CN"/>
        </w:rPr>
        <w:t>1.3 项目位置</w:t>
      </w:r>
      <w:bookmarkEnd w:id="27"/>
      <w:bookmarkEnd w:id="28"/>
      <w:bookmarkEnd w:id="29"/>
    </w:p>
    <w:p w14:paraId="2799EF4E">
      <w:pPr>
        <w:keepNext/>
        <w:keepLines/>
        <w:pageBreakBefore w:val="0"/>
        <w:widowControl w:val="0"/>
        <w:kinsoku/>
        <w:wordWrap/>
        <w:overflowPunct/>
        <w:topLinePunct w:val="0"/>
        <w:autoSpaceDE/>
        <w:autoSpaceDN/>
        <w:bidi w:val="0"/>
        <w:adjustRightInd w:val="0"/>
        <w:snapToGrid w:val="0"/>
        <w:spacing w:before="0" w:after="0" w:line="400" w:lineRule="exact"/>
        <w:ind w:left="0" w:leftChars="0" w:right="0" w:rightChars="0" w:firstLine="480" w:firstLineChars="200"/>
        <w:jc w:val="left"/>
        <w:textAlignment w:val="auto"/>
        <w:outlineLvl w:val="9"/>
        <w:rPr>
          <w:rFonts w:hint="eastAsia"/>
        </w:rPr>
      </w:pPr>
      <w:bookmarkStart w:id="30" w:name="_Hlk184462344"/>
      <w:r>
        <w:rPr>
          <w:rFonts w:hint="eastAsia"/>
          <w:lang w:val="en-US" w:eastAsia="zh-CN"/>
        </w:rPr>
        <w:t>项目地块位于</w:t>
      </w:r>
      <w:r>
        <w:rPr>
          <w:rFonts w:hint="eastAsia"/>
        </w:rPr>
        <w:t>广州市</w:t>
      </w:r>
      <w:r>
        <w:rPr>
          <w:rFonts w:hint="eastAsia"/>
          <w:lang w:val="en-US" w:eastAsia="zh-CN"/>
        </w:rPr>
        <w:t>天河区凤凰街道，地处天河智慧城核心区北门户，</w:t>
      </w:r>
      <w:bookmarkEnd w:id="30"/>
      <w:r>
        <w:rPr>
          <w:rFonts w:hint="eastAsia"/>
          <w:lang w:val="en-US" w:eastAsia="zh-CN"/>
        </w:rPr>
        <w:t>北邻广汕二路和地铁6号线的高塘石地铁站，东临高普路，南侧为高科路</w:t>
      </w:r>
      <w:r>
        <w:rPr>
          <w:rFonts w:hint="eastAsia"/>
        </w:rPr>
        <w:t>。</w:t>
      </w:r>
    </w:p>
    <w:p w14:paraId="1814CA79">
      <w:pPr>
        <w:keepNext/>
        <w:keepLines/>
        <w:pageBreakBefore w:val="0"/>
        <w:widowControl w:val="0"/>
        <w:kinsoku/>
        <w:wordWrap/>
        <w:overflowPunct/>
        <w:topLinePunct w:val="0"/>
        <w:autoSpaceDE/>
        <w:autoSpaceDN/>
        <w:bidi w:val="0"/>
        <w:adjustRightInd w:val="0"/>
        <w:snapToGrid w:val="0"/>
        <w:spacing w:before="0" w:after="0" w:line="400" w:lineRule="exact"/>
        <w:ind w:left="0" w:leftChars="0" w:right="0" w:rightChars="0" w:firstLine="480" w:firstLineChars="200"/>
        <w:jc w:val="left"/>
        <w:textAlignment w:val="auto"/>
        <w:outlineLvl w:val="9"/>
        <w:rPr>
          <w:rFonts w:hint="eastAsia"/>
        </w:rPr>
      </w:pPr>
    </w:p>
    <w:p w14:paraId="64958A3A">
      <w:pPr>
        <w:keepNext/>
        <w:keepLines/>
        <w:pageBreakBefore w:val="0"/>
        <w:widowControl w:val="0"/>
        <w:kinsoku/>
        <w:wordWrap/>
        <w:overflowPunct/>
        <w:topLinePunct w:val="0"/>
        <w:autoSpaceDE/>
        <w:autoSpaceDN/>
        <w:bidi w:val="0"/>
        <w:adjustRightInd w:val="0"/>
        <w:snapToGrid w:val="0"/>
        <w:spacing w:before="0" w:after="0" w:line="400" w:lineRule="exact"/>
        <w:ind w:left="0" w:leftChars="0" w:right="0" w:rightChars="0"/>
        <w:jc w:val="left"/>
        <w:textAlignment w:val="auto"/>
        <w:outlineLvl w:val="9"/>
        <w:rPr>
          <w:rFonts w:hint="default"/>
          <w:lang w:val="en-US" w:eastAsia="zh-CN"/>
        </w:rPr>
      </w:pPr>
      <w:r>
        <w:rPr>
          <w:rFonts w:hint="eastAsia"/>
          <w:lang w:val="en-US" w:eastAsia="zh-CN"/>
        </w:rPr>
        <w:t>1.4 总体建设定位</w:t>
      </w:r>
    </w:p>
    <w:p w14:paraId="1B3175B5">
      <w:pPr>
        <w:keepNext/>
        <w:keepLines/>
        <w:pageBreakBefore w:val="0"/>
        <w:widowControl w:val="0"/>
        <w:kinsoku/>
        <w:wordWrap/>
        <w:overflowPunct/>
        <w:topLinePunct w:val="0"/>
        <w:autoSpaceDE/>
        <w:autoSpaceDN/>
        <w:bidi w:val="0"/>
        <w:adjustRightInd w:val="0"/>
        <w:snapToGrid w:val="0"/>
        <w:spacing w:before="0" w:after="0" w:line="400" w:lineRule="exact"/>
        <w:ind w:left="0" w:leftChars="0" w:right="0" w:rightChars="0" w:firstLine="480" w:firstLineChars="200"/>
        <w:jc w:val="left"/>
        <w:textAlignment w:val="auto"/>
        <w:outlineLvl w:val="9"/>
        <w:rPr>
          <w:rFonts w:hint="eastAsia"/>
          <w:lang w:val="en-US" w:eastAsia="zh-CN"/>
        </w:rPr>
      </w:pPr>
      <w:r>
        <w:rPr>
          <w:rFonts w:hint="eastAsia"/>
          <w:lang w:val="en-US" w:eastAsia="zh-CN"/>
        </w:rPr>
        <w:t xml:space="preserve">本项目总体建设定位为国家级都市工业社区标杆、天河智慧城北部生态创新智慧门户。通过牵引产业资源、营造产业生态、激发产业动能，打造撬动千亿产业集群的先行示范区、激发创新潜力和引领科创聚合的产业综合服务核心、促进人才交流和体验生态特色的站城一体城市公共广场，打造 </w:t>
      </w:r>
      <w:r>
        <w:rPr>
          <w:rFonts w:hint="default"/>
          <w:lang w:val="en-US" w:eastAsia="zh-CN"/>
        </w:rPr>
        <w:t xml:space="preserve">2112 </w:t>
      </w:r>
      <w:r>
        <w:rPr>
          <w:rFonts w:hint="eastAsia"/>
          <w:lang w:val="en-US" w:eastAsia="zh-CN"/>
        </w:rPr>
        <w:t>工园北门户地标建筑。</w:t>
      </w:r>
    </w:p>
    <w:p w14:paraId="03A317B1">
      <w:pPr>
        <w:keepNext w:val="0"/>
        <w:keepLines w:val="0"/>
        <w:pageBreakBefore w:val="0"/>
        <w:widowControl w:val="0"/>
        <w:kinsoku/>
        <w:wordWrap/>
        <w:overflowPunct/>
        <w:topLinePunct w:val="0"/>
        <w:autoSpaceDE/>
        <w:autoSpaceDN/>
        <w:bidi w:val="0"/>
        <w:adjustRightInd w:val="0"/>
        <w:snapToGrid w:val="0"/>
        <w:spacing w:before="0" w:after="0" w:line="400" w:lineRule="exact"/>
        <w:ind w:left="0" w:leftChars="0" w:right="0" w:rightChars="0" w:firstLine="480" w:firstLineChars="200"/>
        <w:jc w:val="left"/>
        <w:textAlignment w:val="auto"/>
        <w:rPr>
          <w:rFonts w:hint="eastAsia"/>
        </w:rPr>
      </w:pPr>
      <w:bookmarkStart w:id="31" w:name="_Toc27909"/>
      <w:bookmarkStart w:id="32" w:name="_Toc29769"/>
    </w:p>
    <w:p w14:paraId="27931783">
      <w:pPr>
        <w:keepNext w:val="0"/>
        <w:keepLines w:val="0"/>
        <w:pageBreakBefore w:val="0"/>
        <w:widowControl w:val="0"/>
        <w:kinsoku/>
        <w:wordWrap/>
        <w:overflowPunct/>
        <w:topLinePunct w:val="0"/>
        <w:autoSpaceDE/>
        <w:autoSpaceDN/>
        <w:bidi w:val="0"/>
        <w:adjustRightInd w:val="0"/>
        <w:snapToGrid w:val="0"/>
        <w:spacing w:before="0" w:after="0" w:line="400" w:lineRule="exact"/>
        <w:ind w:left="0" w:leftChars="0" w:right="0" w:rightChars="0"/>
        <w:jc w:val="left"/>
        <w:textAlignment w:val="auto"/>
        <w:rPr>
          <w:rFonts w:hint="eastAsia"/>
          <w:lang w:val="en-US" w:eastAsia="zh-CN"/>
        </w:rPr>
      </w:pPr>
      <w:bookmarkStart w:id="33" w:name="_Toc14863"/>
      <w:r>
        <w:rPr>
          <w:rFonts w:hint="eastAsia"/>
          <w:color w:val="auto"/>
          <w:highlight w:val="none"/>
          <w:lang w:val="en-US" w:eastAsia="zh-CN"/>
        </w:rPr>
        <w:t>1.5</w:t>
      </w:r>
      <w:r>
        <w:rPr>
          <w:rFonts w:hint="eastAsia"/>
          <w:lang w:val="en-US" w:eastAsia="zh-CN"/>
        </w:rPr>
        <w:t xml:space="preserve"> 场地</w:t>
      </w:r>
      <w:bookmarkEnd w:id="31"/>
      <w:bookmarkEnd w:id="32"/>
      <w:r>
        <w:rPr>
          <w:rFonts w:hint="eastAsia"/>
          <w:lang w:val="en-US" w:eastAsia="zh-CN"/>
        </w:rPr>
        <w:t>现状</w:t>
      </w:r>
      <w:bookmarkEnd w:id="33"/>
    </w:p>
    <w:p w14:paraId="4DA7BA78">
      <w:pPr>
        <w:keepNext w:val="0"/>
        <w:keepLines w:val="0"/>
        <w:pageBreakBefore w:val="0"/>
        <w:widowControl w:val="0"/>
        <w:kinsoku/>
        <w:wordWrap/>
        <w:overflowPunct/>
        <w:topLinePunct w:val="0"/>
        <w:autoSpaceDE/>
        <w:autoSpaceDN/>
        <w:bidi w:val="0"/>
        <w:adjustRightInd w:val="0"/>
        <w:snapToGrid w:val="0"/>
        <w:spacing w:before="0" w:after="0" w:line="400" w:lineRule="exact"/>
        <w:ind w:left="0" w:leftChars="0" w:right="0" w:rightChars="0" w:firstLine="480" w:firstLineChars="200"/>
        <w:jc w:val="left"/>
        <w:textAlignment w:val="auto"/>
        <w:rPr>
          <w:rFonts w:hint="default"/>
          <w:sz w:val="21"/>
          <w:szCs w:val="21"/>
          <w:lang w:val="en-US" w:eastAsia="zh-CN"/>
        </w:rPr>
      </w:pPr>
      <w:bookmarkStart w:id="34" w:name="_Toc30415"/>
      <w:r>
        <w:drawing>
          <wp:anchor distT="0" distB="0" distL="114300" distR="114300" simplePos="0" relativeHeight="251659264" behindDoc="0" locked="0" layoutInCell="1" allowOverlap="1">
            <wp:simplePos x="0" y="0"/>
            <wp:positionH relativeFrom="column">
              <wp:posOffset>428625</wp:posOffset>
            </wp:positionH>
            <wp:positionV relativeFrom="paragraph">
              <wp:posOffset>932815</wp:posOffset>
            </wp:positionV>
            <wp:extent cx="4965065" cy="3122930"/>
            <wp:effectExtent l="0" t="0" r="6985" b="1270"/>
            <wp:wrapTopAndBottom/>
            <wp:docPr id="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
                    <pic:cNvPicPr>
                      <a:picLocks noChangeAspect="1"/>
                    </pic:cNvPicPr>
                  </pic:nvPicPr>
                  <pic:blipFill>
                    <a:blip r:embed="rId12"/>
                    <a:stretch>
                      <a:fillRect/>
                    </a:stretch>
                  </pic:blipFill>
                  <pic:spPr>
                    <a:xfrm>
                      <a:off x="0" y="0"/>
                      <a:ext cx="4965065" cy="3122930"/>
                    </a:xfrm>
                    <a:prstGeom prst="rect">
                      <a:avLst/>
                    </a:prstGeom>
                    <a:noFill/>
                    <a:ln>
                      <a:noFill/>
                    </a:ln>
                  </pic:spPr>
                </pic:pic>
              </a:graphicData>
            </a:graphic>
          </wp:anchor>
        </w:drawing>
      </w:r>
      <w:bookmarkEnd w:id="34"/>
      <w:r>
        <w:rPr>
          <w:rFonts w:hint="eastAsia"/>
          <w:lang w:val="en-US" w:eastAsia="zh-CN"/>
        </w:rPr>
        <w:t>场地南侧为高塘石公园，东侧和北侧分别为已建高塘石地铁站A、B出口，以及地铁风亭、冷却塔等地面设施，西侧为柯木塱村，地势较平坦、开阔，</w:t>
      </w:r>
      <w:r>
        <w:rPr>
          <w:rFonts w:hint="eastAsia"/>
        </w:rPr>
        <w:t>交通条件便利</w:t>
      </w:r>
      <w:r>
        <w:rPr>
          <w:rFonts w:hint="eastAsia"/>
          <w:lang w:eastAsia="zh-CN"/>
        </w:rPr>
        <w:t>，</w:t>
      </w:r>
      <w:r>
        <w:rPr>
          <w:rFonts w:hint="eastAsia"/>
          <w:lang w:val="en-US" w:eastAsia="zh-CN"/>
        </w:rPr>
        <w:t>自然生态环境良好</w:t>
      </w:r>
      <w:r>
        <w:rPr>
          <w:rFonts w:hint="eastAsia"/>
        </w:rPr>
        <w:t>。</w:t>
      </w:r>
    </w:p>
    <w:p w14:paraId="7E8EE522">
      <w:pPr>
        <w:pStyle w:val="4"/>
        <w:ind w:left="240" w:right="240" w:firstLine="602"/>
        <w:jc w:val="center"/>
        <w:rPr>
          <w:rFonts w:hint="eastAsia" w:ascii="黑体" w:hAnsi="黑体" w:eastAsia="黑体" w:cs="黑体"/>
          <w:color w:val="auto"/>
          <w:sz w:val="32"/>
          <w:szCs w:val="32"/>
        </w:rPr>
      </w:pPr>
      <w:bookmarkStart w:id="35" w:name="_Toc22454"/>
      <w:bookmarkStart w:id="36" w:name="_Toc21342"/>
      <w:bookmarkStart w:id="37" w:name="_Toc21876"/>
      <w:bookmarkStart w:id="38" w:name="_Toc29442"/>
      <w:r>
        <w:rPr>
          <w:rFonts w:hint="default" w:ascii="黑体" w:hAnsi="黑体" w:eastAsia="黑体" w:cs="黑体"/>
          <w:color w:val="auto"/>
          <w:sz w:val="32"/>
          <w:szCs w:val="32"/>
        </w:rPr>
        <w:t>第二章</w:t>
      </w:r>
      <w:r>
        <w:rPr>
          <w:rFonts w:hint="eastAsia" w:ascii="黑体" w:hAnsi="黑体" w:eastAsia="黑体" w:cs="黑体"/>
          <w:color w:val="auto"/>
          <w:sz w:val="32"/>
          <w:szCs w:val="32"/>
          <w:lang w:val="en-US" w:eastAsia="zh-CN"/>
        </w:rPr>
        <w:t xml:space="preserve"> </w:t>
      </w:r>
      <w:r>
        <w:rPr>
          <w:rFonts w:hint="default" w:ascii="黑体" w:hAnsi="黑体" w:eastAsia="黑体" w:cs="黑体"/>
          <w:color w:val="auto"/>
          <w:sz w:val="32"/>
          <w:szCs w:val="32"/>
        </w:rPr>
        <w:t>总体设计原则</w:t>
      </w:r>
      <w:bookmarkEnd w:id="35"/>
      <w:bookmarkEnd w:id="36"/>
      <w:bookmarkEnd w:id="37"/>
      <w:bookmarkEnd w:id="38"/>
    </w:p>
    <w:p w14:paraId="6CFDC30C">
      <w:pPr>
        <w:keepNext w:val="0"/>
        <w:keepLines w:val="0"/>
        <w:pageBreakBefore w:val="0"/>
        <w:widowControl w:val="0"/>
        <w:kinsoku/>
        <w:wordWrap/>
        <w:overflowPunct/>
        <w:topLinePunct w:val="0"/>
        <w:autoSpaceDE/>
        <w:autoSpaceDN/>
        <w:bidi w:val="0"/>
        <w:adjustRightInd w:val="0"/>
        <w:snapToGrid w:val="0"/>
        <w:spacing w:before="0" w:after="0" w:line="400" w:lineRule="exact"/>
        <w:ind w:left="0" w:leftChars="0" w:right="0" w:rightChars="0"/>
        <w:jc w:val="left"/>
        <w:textAlignment w:val="auto"/>
        <w:rPr>
          <w:rFonts w:hint="eastAsia"/>
          <w:lang w:val="en-US" w:eastAsia="zh-CN"/>
        </w:rPr>
      </w:pPr>
      <w:bookmarkStart w:id="39" w:name="_Toc22352"/>
      <w:bookmarkStart w:id="40" w:name="_Toc19427"/>
      <w:bookmarkStart w:id="41" w:name="_Toc32200"/>
      <w:r>
        <w:rPr>
          <w:rFonts w:hint="eastAsia"/>
          <w:lang w:val="en-US" w:eastAsia="zh-CN"/>
        </w:rPr>
        <w:t>2.1 功能性原则</w:t>
      </w:r>
      <w:bookmarkEnd w:id="39"/>
      <w:bookmarkEnd w:id="40"/>
      <w:bookmarkEnd w:id="41"/>
    </w:p>
    <w:p w14:paraId="379A83DB">
      <w:pPr>
        <w:keepNext w:val="0"/>
        <w:keepLines w:val="0"/>
        <w:pageBreakBefore w:val="0"/>
        <w:widowControl w:val="0"/>
        <w:kinsoku/>
        <w:wordWrap/>
        <w:overflowPunct/>
        <w:topLinePunct w:val="0"/>
        <w:autoSpaceDE/>
        <w:autoSpaceDN/>
        <w:bidi w:val="0"/>
        <w:adjustRightInd w:val="0"/>
        <w:snapToGrid w:val="0"/>
        <w:spacing w:before="0" w:after="0" w:line="400" w:lineRule="exact"/>
        <w:ind w:left="0" w:leftChars="0" w:right="0" w:rightChars="0" w:firstLine="480" w:firstLineChars="200"/>
        <w:jc w:val="left"/>
        <w:textAlignment w:val="auto"/>
        <w:rPr>
          <w:rFonts w:hint="eastAsia"/>
        </w:rPr>
      </w:pPr>
      <w:r>
        <w:rPr>
          <w:rFonts w:hint="eastAsia"/>
          <w:lang w:val="en-US" w:eastAsia="zh-CN"/>
        </w:rPr>
        <w:t>根据</w:t>
      </w:r>
      <w:r>
        <w:rPr>
          <w:rFonts w:hint="eastAsia"/>
        </w:rPr>
        <w:t>项目特点，合理地进行总体布局，竖向布置，达到造价合理，实用的效果。设计人应该全面理解、掌握发包人的设计要求，充分及合理体现设计的细节。</w:t>
      </w:r>
    </w:p>
    <w:p w14:paraId="33F4912E">
      <w:pPr>
        <w:keepNext w:val="0"/>
        <w:keepLines w:val="0"/>
        <w:pageBreakBefore w:val="0"/>
        <w:widowControl w:val="0"/>
        <w:kinsoku/>
        <w:wordWrap/>
        <w:overflowPunct/>
        <w:topLinePunct w:val="0"/>
        <w:autoSpaceDE/>
        <w:autoSpaceDN/>
        <w:bidi w:val="0"/>
        <w:adjustRightInd w:val="0"/>
        <w:snapToGrid w:val="0"/>
        <w:spacing w:before="0" w:after="0" w:line="400" w:lineRule="exact"/>
        <w:ind w:left="0" w:leftChars="0" w:right="0" w:rightChars="0" w:firstLine="480" w:firstLineChars="200"/>
        <w:jc w:val="left"/>
        <w:textAlignment w:val="auto"/>
        <w:rPr>
          <w:rFonts w:hint="eastAsia"/>
        </w:rPr>
      </w:pPr>
    </w:p>
    <w:p w14:paraId="3BD14645">
      <w:pPr>
        <w:keepNext w:val="0"/>
        <w:keepLines w:val="0"/>
        <w:pageBreakBefore w:val="0"/>
        <w:widowControl w:val="0"/>
        <w:kinsoku/>
        <w:wordWrap/>
        <w:overflowPunct/>
        <w:topLinePunct w:val="0"/>
        <w:autoSpaceDE/>
        <w:autoSpaceDN/>
        <w:bidi w:val="0"/>
        <w:adjustRightInd w:val="0"/>
        <w:snapToGrid w:val="0"/>
        <w:spacing w:before="0" w:after="0" w:line="400" w:lineRule="exact"/>
        <w:ind w:left="0" w:leftChars="0" w:right="0" w:rightChars="0"/>
        <w:jc w:val="left"/>
        <w:textAlignment w:val="auto"/>
        <w:rPr>
          <w:rFonts w:hint="eastAsia"/>
          <w:lang w:val="en-US" w:eastAsia="zh-CN"/>
        </w:rPr>
      </w:pPr>
      <w:bookmarkStart w:id="42" w:name="_Toc3692"/>
      <w:bookmarkStart w:id="43" w:name="_Toc28464"/>
      <w:bookmarkStart w:id="44" w:name="_Toc5542"/>
      <w:r>
        <w:rPr>
          <w:rFonts w:hint="eastAsia"/>
          <w:lang w:val="en-US" w:eastAsia="zh-CN"/>
        </w:rPr>
        <w:t>2.2 经济适用原则</w:t>
      </w:r>
      <w:bookmarkEnd w:id="42"/>
      <w:bookmarkEnd w:id="43"/>
      <w:bookmarkEnd w:id="44"/>
    </w:p>
    <w:p w14:paraId="41D7108E">
      <w:pPr>
        <w:keepNext w:val="0"/>
        <w:keepLines w:val="0"/>
        <w:pageBreakBefore w:val="0"/>
        <w:widowControl w:val="0"/>
        <w:kinsoku/>
        <w:wordWrap/>
        <w:overflowPunct/>
        <w:topLinePunct w:val="0"/>
        <w:autoSpaceDE/>
        <w:autoSpaceDN/>
        <w:bidi w:val="0"/>
        <w:adjustRightInd w:val="0"/>
        <w:snapToGrid w:val="0"/>
        <w:spacing w:before="0" w:after="0" w:line="400" w:lineRule="exact"/>
        <w:ind w:left="0" w:leftChars="0" w:right="0" w:rightChars="0" w:firstLine="480" w:firstLineChars="200"/>
        <w:jc w:val="left"/>
        <w:textAlignment w:val="auto"/>
        <w:rPr>
          <w:rFonts w:hint="eastAsia"/>
          <w:lang w:eastAsia="zh-CN"/>
        </w:rPr>
      </w:pPr>
      <w:r>
        <w:rPr>
          <w:rFonts w:hint="eastAsia"/>
        </w:rPr>
        <w:t>设计方案突出严格控制建设成本，以安全、实用、</w:t>
      </w:r>
      <w:r>
        <w:rPr>
          <w:rFonts w:hint="eastAsia"/>
          <w:lang w:val="en-US" w:eastAsia="zh-CN"/>
        </w:rPr>
        <w:t>人流、车行</w:t>
      </w:r>
      <w:r>
        <w:rPr>
          <w:rFonts w:hint="eastAsia"/>
        </w:rPr>
        <w:t>路线清晰高效为基本原则，杜绝奢华、高档、华而不实、观赏性为目标的设计方案；</w:t>
      </w:r>
      <w:r>
        <w:t>结构设计须经济合理，结构体系应受力明确、传力简洁、刚度合理，做到精心设计、不断优化，结构造价和含钢量</w:t>
      </w:r>
      <w:r>
        <w:rPr>
          <w:rFonts w:hint="eastAsia"/>
        </w:rPr>
        <w:t>等</w:t>
      </w:r>
      <w:r>
        <w:t>控制在合理范围内</w:t>
      </w:r>
      <w:r>
        <w:rPr>
          <w:rFonts w:hint="eastAsia"/>
          <w:lang w:eastAsia="zh-CN"/>
        </w:rPr>
        <w:t>。</w:t>
      </w:r>
    </w:p>
    <w:p w14:paraId="106D60FC">
      <w:pPr>
        <w:keepNext w:val="0"/>
        <w:keepLines w:val="0"/>
        <w:pageBreakBefore w:val="0"/>
        <w:widowControl w:val="0"/>
        <w:kinsoku/>
        <w:wordWrap/>
        <w:overflowPunct/>
        <w:topLinePunct w:val="0"/>
        <w:autoSpaceDE/>
        <w:autoSpaceDN/>
        <w:bidi w:val="0"/>
        <w:adjustRightInd w:val="0"/>
        <w:snapToGrid w:val="0"/>
        <w:spacing w:before="0" w:after="0" w:line="400" w:lineRule="exact"/>
        <w:ind w:left="0" w:leftChars="0" w:right="0" w:rightChars="0" w:firstLine="480" w:firstLineChars="200"/>
        <w:jc w:val="left"/>
        <w:textAlignment w:val="auto"/>
        <w:rPr>
          <w:rFonts w:hint="eastAsia"/>
          <w:lang w:eastAsia="zh-CN"/>
        </w:rPr>
      </w:pPr>
    </w:p>
    <w:p w14:paraId="0327D2C8">
      <w:pPr>
        <w:keepNext w:val="0"/>
        <w:keepLines w:val="0"/>
        <w:pageBreakBefore w:val="0"/>
        <w:widowControl w:val="0"/>
        <w:kinsoku/>
        <w:wordWrap/>
        <w:overflowPunct/>
        <w:topLinePunct w:val="0"/>
        <w:autoSpaceDE/>
        <w:autoSpaceDN/>
        <w:bidi w:val="0"/>
        <w:adjustRightInd w:val="0"/>
        <w:snapToGrid w:val="0"/>
        <w:spacing w:before="0" w:after="0" w:line="400" w:lineRule="exact"/>
        <w:ind w:left="0" w:leftChars="0" w:right="0" w:rightChars="0"/>
        <w:jc w:val="left"/>
        <w:textAlignment w:val="auto"/>
        <w:rPr>
          <w:rFonts w:hint="eastAsia"/>
          <w:lang w:val="en-US" w:eastAsia="zh-CN"/>
        </w:rPr>
      </w:pPr>
      <w:bookmarkStart w:id="45" w:name="_Toc25357"/>
      <w:bookmarkStart w:id="46" w:name="_Toc574"/>
      <w:bookmarkStart w:id="47" w:name="_Toc30270"/>
      <w:r>
        <w:rPr>
          <w:rFonts w:hint="eastAsia"/>
          <w:lang w:val="en-US" w:eastAsia="zh-CN"/>
        </w:rPr>
        <w:t>2.3 以人为本原则</w:t>
      </w:r>
      <w:bookmarkEnd w:id="45"/>
      <w:bookmarkEnd w:id="46"/>
      <w:bookmarkEnd w:id="47"/>
    </w:p>
    <w:p w14:paraId="59808291">
      <w:pPr>
        <w:keepNext w:val="0"/>
        <w:keepLines w:val="0"/>
        <w:pageBreakBefore w:val="0"/>
        <w:widowControl w:val="0"/>
        <w:kinsoku/>
        <w:wordWrap/>
        <w:overflowPunct/>
        <w:topLinePunct w:val="0"/>
        <w:autoSpaceDE/>
        <w:autoSpaceDN/>
        <w:bidi w:val="0"/>
        <w:adjustRightInd w:val="0"/>
        <w:snapToGrid w:val="0"/>
        <w:spacing w:before="0" w:after="0" w:line="400" w:lineRule="exact"/>
        <w:ind w:left="0" w:leftChars="0" w:right="0" w:rightChars="0" w:firstLine="480" w:firstLineChars="200"/>
        <w:jc w:val="left"/>
        <w:textAlignment w:val="auto"/>
        <w:rPr>
          <w:rFonts w:hint="eastAsia"/>
        </w:rPr>
      </w:pPr>
      <w:r>
        <w:rPr>
          <w:rFonts w:hint="eastAsia"/>
        </w:rPr>
        <w:t>充分考虑工作人员的需求和便利，</w:t>
      </w:r>
      <w:r>
        <w:t>注重</w:t>
      </w:r>
      <w:r>
        <w:rPr>
          <w:rFonts w:hint="eastAsia"/>
        </w:rPr>
        <w:t>项目</w:t>
      </w:r>
      <w:r>
        <w:t>的环境设计，</w:t>
      </w:r>
      <w:r>
        <w:rPr>
          <w:rFonts w:hint="eastAsia"/>
          <w:lang w:val="en-US" w:eastAsia="zh-CN"/>
        </w:rPr>
        <w:t>与南侧山体公园的融合，与地铁衔接的地下空间一体化设计，</w:t>
      </w:r>
      <w:r>
        <w:t>充分考虑人在室内</w:t>
      </w:r>
      <w:r>
        <w:rPr>
          <w:rFonts w:hint="eastAsia"/>
        </w:rPr>
        <w:t>外、</w:t>
      </w:r>
      <w:r>
        <w:t>公共空间的视线直观感受和空间尺度，</w:t>
      </w:r>
      <w:r>
        <w:rPr>
          <w:rFonts w:hint="eastAsia"/>
        </w:rPr>
        <w:t>创造舒适、宜人</w:t>
      </w:r>
      <w:r>
        <w:rPr>
          <w:rFonts w:hint="eastAsia"/>
          <w:lang w:eastAsia="zh-CN"/>
        </w:rPr>
        <w:t>、</w:t>
      </w:r>
      <w:r>
        <w:rPr>
          <w:rFonts w:hint="eastAsia"/>
          <w:lang w:val="en-US" w:eastAsia="zh-CN"/>
        </w:rPr>
        <w:t>便利</w:t>
      </w:r>
      <w:r>
        <w:rPr>
          <w:rFonts w:hint="eastAsia"/>
        </w:rPr>
        <w:t>的内外环境。</w:t>
      </w:r>
    </w:p>
    <w:p w14:paraId="5DDA02F0">
      <w:pPr>
        <w:keepNext w:val="0"/>
        <w:keepLines w:val="0"/>
        <w:pageBreakBefore w:val="0"/>
        <w:widowControl w:val="0"/>
        <w:kinsoku/>
        <w:wordWrap/>
        <w:overflowPunct/>
        <w:topLinePunct w:val="0"/>
        <w:autoSpaceDE/>
        <w:autoSpaceDN/>
        <w:bidi w:val="0"/>
        <w:adjustRightInd w:val="0"/>
        <w:snapToGrid w:val="0"/>
        <w:spacing w:before="0" w:after="0" w:line="400" w:lineRule="exact"/>
        <w:ind w:left="0" w:leftChars="0" w:right="0" w:rightChars="0"/>
        <w:jc w:val="left"/>
        <w:textAlignment w:val="auto"/>
        <w:rPr>
          <w:rFonts w:hint="eastAsia"/>
          <w:lang w:val="en-US" w:eastAsia="zh-CN"/>
        </w:rPr>
      </w:pPr>
      <w:bookmarkStart w:id="48" w:name="_Toc19382"/>
      <w:bookmarkStart w:id="49" w:name="_Toc16373"/>
      <w:bookmarkStart w:id="50" w:name="_Toc27854"/>
      <w:r>
        <w:rPr>
          <w:rFonts w:hint="eastAsia"/>
          <w:lang w:val="en-US" w:eastAsia="zh-CN"/>
        </w:rPr>
        <w:t>2.4 合规性原则</w:t>
      </w:r>
      <w:bookmarkEnd w:id="48"/>
      <w:bookmarkEnd w:id="49"/>
      <w:bookmarkEnd w:id="50"/>
    </w:p>
    <w:p w14:paraId="6AC2A89B">
      <w:pPr>
        <w:keepNext w:val="0"/>
        <w:keepLines w:val="0"/>
        <w:pageBreakBefore w:val="0"/>
        <w:widowControl w:val="0"/>
        <w:kinsoku/>
        <w:wordWrap/>
        <w:overflowPunct/>
        <w:topLinePunct w:val="0"/>
        <w:autoSpaceDE/>
        <w:autoSpaceDN/>
        <w:bidi w:val="0"/>
        <w:adjustRightInd w:val="0"/>
        <w:snapToGrid w:val="0"/>
        <w:spacing w:before="0" w:after="0" w:line="400" w:lineRule="exact"/>
        <w:ind w:left="0" w:leftChars="0" w:right="0" w:rightChars="0" w:firstLine="480" w:firstLineChars="200"/>
        <w:jc w:val="left"/>
        <w:textAlignment w:val="auto"/>
        <w:rPr>
          <w:rFonts w:hint="eastAsia"/>
        </w:rPr>
      </w:pPr>
      <w:r>
        <w:rPr>
          <w:rFonts w:hint="eastAsia"/>
        </w:rPr>
        <w:t>设计应遵循国家有关法律、法规和方针、政策，做出符合国情、布置合理、生产安全、技术先进、经济效益、社会效益和环境效益好的设计。</w:t>
      </w:r>
    </w:p>
    <w:p w14:paraId="151D55BC">
      <w:pPr>
        <w:keepNext w:val="0"/>
        <w:keepLines w:val="0"/>
        <w:pageBreakBefore w:val="0"/>
        <w:widowControl w:val="0"/>
        <w:kinsoku/>
        <w:wordWrap/>
        <w:overflowPunct/>
        <w:topLinePunct w:val="0"/>
        <w:autoSpaceDE/>
        <w:autoSpaceDN/>
        <w:bidi w:val="0"/>
        <w:adjustRightInd w:val="0"/>
        <w:snapToGrid w:val="0"/>
        <w:spacing w:before="0" w:after="0" w:line="400" w:lineRule="exact"/>
        <w:ind w:left="0" w:leftChars="0" w:right="0" w:rightChars="0" w:firstLine="480" w:firstLineChars="200"/>
        <w:jc w:val="left"/>
        <w:textAlignment w:val="auto"/>
        <w:rPr>
          <w:rFonts w:hint="eastAsia"/>
          <w:lang w:val="en-US" w:eastAsia="zh-CN"/>
        </w:rPr>
      </w:pPr>
    </w:p>
    <w:p w14:paraId="7E239EC3">
      <w:pPr>
        <w:keepNext w:val="0"/>
        <w:keepLines w:val="0"/>
        <w:pageBreakBefore w:val="0"/>
        <w:widowControl w:val="0"/>
        <w:kinsoku/>
        <w:wordWrap/>
        <w:overflowPunct/>
        <w:topLinePunct w:val="0"/>
        <w:autoSpaceDE/>
        <w:autoSpaceDN/>
        <w:bidi w:val="0"/>
        <w:adjustRightInd w:val="0"/>
        <w:snapToGrid w:val="0"/>
        <w:spacing w:before="0" w:after="0" w:line="400" w:lineRule="exact"/>
        <w:ind w:left="0" w:leftChars="0" w:right="0" w:rightChars="0"/>
        <w:jc w:val="left"/>
        <w:textAlignment w:val="auto"/>
        <w:rPr>
          <w:rFonts w:hint="eastAsia"/>
          <w:lang w:val="en-US" w:eastAsia="zh-CN"/>
        </w:rPr>
      </w:pPr>
      <w:bookmarkStart w:id="51" w:name="_Toc13336"/>
      <w:bookmarkStart w:id="52" w:name="_Toc6174"/>
      <w:bookmarkStart w:id="53" w:name="_Toc15097"/>
      <w:r>
        <w:rPr>
          <w:rFonts w:hint="eastAsia"/>
          <w:lang w:val="en-US" w:eastAsia="zh-CN"/>
        </w:rPr>
        <w:t>2.5 绿色建筑原则</w:t>
      </w:r>
      <w:bookmarkEnd w:id="51"/>
      <w:bookmarkEnd w:id="52"/>
      <w:bookmarkEnd w:id="53"/>
    </w:p>
    <w:p w14:paraId="515A4DA6">
      <w:pPr>
        <w:keepNext w:val="0"/>
        <w:keepLines w:val="0"/>
        <w:pageBreakBefore w:val="0"/>
        <w:widowControl w:val="0"/>
        <w:kinsoku/>
        <w:wordWrap/>
        <w:overflowPunct/>
        <w:topLinePunct w:val="0"/>
        <w:autoSpaceDE/>
        <w:autoSpaceDN/>
        <w:bidi w:val="0"/>
        <w:adjustRightInd w:val="0"/>
        <w:snapToGrid w:val="0"/>
        <w:spacing w:before="0" w:after="0" w:line="400" w:lineRule="exact"/>
        <w:ind w:left="0" w:leftChars="0" w:right="0" w:rightChars="0" w:firstLine="480" w:firstLineChars="200"/>
        <w:jc w:val="left"/>
        <w:textAlignment w:val="auto"/>
        <w:rPr>
          <w:rFonts w:hint="eastAsia"/>
        </w:rPr>
      </w:pPr>
      <w:r>
        <w:rPr>
          <w:rFonts w:hint="eastAsia"/>
        </w:rPr>
        <w:t>建筑环境与空间造型和谐统一，充分协调好周边建筑景观的关系，视野开阔、利用自然风光，合理布置</w:t>
      </w:r>
      <w:r>
        <w:rPr>
          <w:rFonts w:hint="eastAsia"/>
          <w:lang w:val="en-US" w:eastAsia="zh-CN"/>
        </w:rPr>
        <w:t>绿化景观</w:t>
      </w:r>
      <w:r>
        <w:rPr>
          <w:rFonts w:hint="eastAsia"/>
        </w:rPr>
        <w:t>。设计方案符合节能绿色规范，采取的节能绿色技术措施充分考虑建筑所在地的气候特点，最大限度地节约资源、保护环境、减少污染，提供健康、适应和高效的使用空间。</w:t>
      </w:r>
    </w:p>
    <w:p w14:paraId="634A5662">
      <w:pPr>
        <w:keepNext w:val="0"/>
        <w:keepLines w:val="0"/>
        <w:pageBreakBefore w:val="0"/>
        <w:widowControl w:val="0"/>
        <w:kinsoku/>
        <w:wordWrap/>
        <w:overflowPunct/>
        <w:topLinePunct w:val="0"/>
        <w:autoSpaceDE/>
        <w:autoSpaceDN/>
        <w:bidi w:val="0"/>
        <w:adjustRightInd w:val="0"/>
        <w:snapToGrid w:val="0"/>
        <w:spacing w:before="0" w:after="0" w:line="400" w:lineRule="exact"/>
        <w:ind w:left="0" w:leftChars="0" w:right="0" w:rightChars="0" w:firstLine="0" w:firstLineChars="0"/>
        <w:jc w:val="left"/>
        <w:textAlignment w:val="auto"/>
        <w:rPr>
          <w:rFonts w:hint="eastAsia"/>
        </w:rPr>
      </w:pPr>
    </w:p>
    <w:p w14:paraId="3BE23ED6">
      <w:pPr>
        <w:keepNext w:val="0"/>
        <w:keepLines w:val="0"/>
        <w:pageBreakBefore w:val="0"/>
        <w:widowControl w:val="0"/>
        <w:kinsoku/>
        <w:wordWrap/>
        <w:overflowPunct/>
        <w:topLinePunct w:val="0"/>
        <w:autoSpaceDE/>
        <w:autoSpaceDN/>
        <w:bidi w:val="0"/>
        <w:adjustRightInd w:val="0"/>
        <w:snapToGrid w:val="0"/>
        <w:spacing w:before="0" w:after="0" w:line="400" w:lineRule="exact"/>
        <w:ind w:left="0" w:leftChars="0" w:right="0" w:rightChars="0"/>
        <w:jc w:val="left"/>
        <w:textAlignment w:val="auto"/>
        <w:rPr>
          <w:rFonts w:hint="eastAsia"/>
          <w:lang w:val="en-US" w:eastAsia="zh-CN"/>
        </w:rPr>
      </w:pPr>
      <w:bookmarkStart w:id="54" w:name="_Toc23050"/>
      <w:bookmarkStart w:id="55" w:name="_Toc8488"/>
      <w:bookmarkStart w:id="56" w:name="_Toc6873"/>
      <w:r>
        <w:rPr>
          <w:rFonts w:hint="eastAsia"/>
          <w:lang w:val="en-US" w:eastAsia="zh-CN"/>
        </w:rPr>
        <w:t>2.6 低碳环保原则</w:t>
      </w:r>
      <w:bookmarkEnd w:id="54"/>
      <w:bookmarkEnd w:id="55"/>
      <w:bookmarkEnd w:id="56"/>
    </w:p>
    <w:p w14:paraId="71BC29C1">
      <w:pPr>
        <w:keepNext w:val="0"/>
        <w:keepLines w:val="0"/>
        <w:pageBreakBefore w:val="0"/>
        <w:widowControl w:val="0"/>
        <w:kinsoku/>
        <w:wordWrap/>
        <w:overflowPunct/>
        <w:topLinePunct w:val="0"/>
        <w:autoSpaceDE/>
        <w:autoSpaceDN/>
        <w:bidi w:val="0"/>
        <w:adjustRightInd w:val="0"/>
        <w:snapToGrid w:val="0"/>
        <w:spacing w:before="0" w:after="0" w:line="400" w:lineRule="exact"/>
        <w:ind w:left="0" w:leftChars="0" w:right="0" w:rightChars="0" w:firstLine="480" w:firstLineChars="200"/>
        <w:jc w:val="left"/>
        <w:textAlignment w:val="auto"/>
        <w:rPr>
          <w:rFonts w:hint="eastAsia"/>
        </w:rPr>
      </w:pPr>
      <w:r>
        <w:rPr>
          <w:rFonts w:hint="eastAsia"/>
        </w:rPr>
        <w:t>项目应严格执行国家有关节约能源、保护生态环境、应对气候变化的法律、法规、落实碳达峰、碳中和决策部署，提高能源资源利用效率，推动可再生能源利用，降低建筑碳排放，营造良好的建筑室内环境，满足经济社会高质量发展的需求。</w:t>
      </w:r>
      <w:r>
        <w:t>采用先进的技术，将环境保护、资源可持续利用、绿色建筑等理念运用于建筑与环境设计中，降低</w:t>
      </w:r>
      <w:r>
        <w:rPr>
          <w:rFonts w:hint="eastAsia"/>
          <w:lang w:eastAsia="zh-CN"/>
        </w:rPr>
        <w:t>本项目的</w:t>
      </w:r>
      <w:r>
        <w:t>运行能耗</w:t>
      </w:r>
      <w:r>
        <w:rPr>
          <w:rFonts w:hint="eastAsia"/>
        </w:rPr>
        <w:t>。</w:t>
      </w:r>
    </w:p>
    <w:p w14:paraId="4F8B6F0A">
      <w:pPr>
        <w:pStyle w:val="4"/>
        <w:numPr>
          <w:ilvl w:val="0"/>
          <w:numId w:val="6"/>
        </w:numPr>
        <w:ind w:left="240" w:right="240" w:firstLine="602"/>
        <w:jc w:val="center"/>
        <w:rPr>
          <w:rFonts w:hint="default" w:ascii="黑体" w:hAnsi="黑体" w:eastAsia="黑体" w:cs="黑体"/>
          <w:color w:val="auto"/>
          <w:sz w:val="32"/>
          <w:szCs w:val="32"/>
        </w:rPr>
      </w:pPr>
      <w:bookmarkStart w:id="57" w:name="_Toc41"/>
      <w:bookmarkStart w:id="58" w:name="_Toc11500"/>
      <w:bookmarkStart w:id="59" w:name="_Toc30472"/>
      <w:bookmarkStart w:id="60" w:name="_Toc16025"/>
      <w:r>
        <w:rPr>
          <w:rFonts w:hint="default" w:ascii="黑体" w:hAnsi="黑体" w:eastAsia="黑体" w:cs="黑体"/>
          <w:color w:val="auto"/>
          <w:sz w:val="32"/>
          <w:szCs w:val="32"/>
        </w:rPr>
        <w:t>项目规划设计条件</w:t>
      </w:r>
      <w:bookmarkEnd w:id="57"/>
      <w:bookmarkEnd w:id="58"/>
      <w:bookmarkEnd w:id="59"/>
      <w:bookmarkEnd w:id="60"/>
    </w:p>
    <w:p w14:paraId="0BD3372B">
      <w:pPr>
        <w:keepNext w:val="0"/>
        <w:keepLines w:val="0"/>
        <w:pageBreakBefore w:val="0"/>
        <w:widowControl w:val="0"/>
        <w:kinsoku/>
        <w:wordWrap/>
        <w:overflowPunct/>
        <w:topLinePunct w:val="0"/>
        <w:autoSpaceDE/>
        <w:autoSpaceDN/>
        <w:bidi w:val="0"/>
        <w:adjustRightInd w:val="0"/>
        <w:snapToGrid w:val="0"/>
        <w:spacing w:before="0" w:after="0" w:line="400" w:lineRule="exact"/>
        <w:ind w:left="0" w:leftChars="0" w:right="0" w:rightChars="0" w:firstLine="0" w:firstLineChars="0"/>
        <w:jc w:val="left"/>
        <w:textAlignment w:val="auto"/>
        <w:outlineLvl w:val="9"/>
        <w:rPr>
          <w:rFonts w:hint="default"/>
          <w:color w:val="auto"/>
          <w:highlight w:val="none"/>
          <w:lang w:val="en-US" w:eastAsia="zh-CN"/>
        </w:rPr>
      </w:pPr>
      <w:r>
        <w:rPr>
          <w:rFonts w:hint="eastAsia"/>
          <w:color w:val="auto"/>
          <w:highlight w:val="none"/>
          <w:lang w:val="en-US" w:eastAsia="zh-CN"/>
        </w:rPr>
        <w:t>3.1</w:t>
      </w:r>
      <w:r>
        <w:rPr>
          <w:rFonts w:hint="eastAsia" w:ascii="宋体" w:hAnsi="宋体" w:eastAsia="宋体" w:cs="宋体"/>
          <w:b w:val="0"/>
          <w:bCs w:val="0"/>
          <w:color w:val="auto"/>
          <w:kern w:val="2"/>
          <w:sz w:val="24"/>
          <w:szCs w:val="22"/>
          <w:lang w:val="en-US" w:eastAsia="zh-CN" w:bidi="ar-SA"/>
        </w:rPr>
        <w:t xml:space="preserve"> </w:t>
      </w:r>
      <w:r>
        <w:rPr>
          <w:rFonts w:hint="eastAsia" w:ascii="宋体" w:hAnsi="宋体" w:cs="宋体"/>
          <w:b w:val="0"/>
          <w:bCs w:val="0"/>
          <w:color w:val="auto"/>
          <w:kern w:val="2"/>
          <w:sz w:val="24"/>
          <w:szCs w:val="22"/>
          <w:lang w:val="en-US" w:eastAsia="zh-CN" w:bidi="ar-SA"/>
        </w:rPr>
        <w:t>广州市建设用地规划条件主要内容</w:t>
      </w:r>
    </w:p>
    <w:p w14:paraId="71A33139">
      <w:pPr>
        <w:keepNext w:val="0"/>
        <w:keepLines w:val="0"/>
        <w:pageBreakBefore w:val="0"/>
        <w:widowControl w:val="0"/>
        <w:kinsoku/>
        <w:wordWrap/>
        <w:overflowPunct/>
        <w:topLinePunct w:val="0"/>
        <w:autoSpaceDE/>
        <w:autoSpaceDN/>
        <w:bidi w:val="0"/>
        <w:adjustRightInd w:val="0"/>
        <w:snapToGrid w:val="0"/>
        <w:spacing w:before="0" w:after="0" w:line="400" w:lineRule="exact"/>
        <w:ind w:left="0" w:leftChars="0" w:right="0" w:rightChars="0" w:firstLine="480" w:firstLineChars="200"/>
        <w:jc w:val="left"/>
        <w:textAlignment w:val="auto"/>
        <w:rPr>
          <w:rFonts w:hint="eastAsia"/>
        </w:rPr>
      </w:pPr>
      <w:r>
        <w:rPr>
          <w:rFonts w:hint="eastAsia"/>
          <w:color w:val="auto"/>
          <w:highlight w:val="none"/>
          <w:lang w:val="en-US" w:eastAsia="zh-CN"/>
        </w:rPr>
        <w:t>用地性质为一类工业用地兼容商业用地（M1/B1），</w:t>
      </w:r>
      <w:r>
        <w:rPr>
          <w:rFonts w:hint="eastAsia" w:ascii="Times New Roman" w:hAnsi="Times New Roman" w:eastAsia="宋体" w:cs="Times New Roman"/>
          <w:color w:val="auto"/>
          <w:highlight w:val="none"/>
          <w:lang w:val="en-US" w:eastAsia="zh-CN"/>
        </w:rPr>
        <w:t>总用地面积20820.51㎡，其中可建设用地面积8286.53㎡，绿地用地面积12533.98㎡。</w:t>
      </w:r>
      <w:r>
        <w:rPr>
          <w:rFonts w:hint="eastAsia" w:ascii="Times New Roman" w:hAnsi="Times New Roman" w:eastAsia="宋体" w:cs="Times New Roman"/>
          <w:color w:val="auto"/>
          <w:kern w:val="2"/>
          <w:highlight w:val="none"/>
        </w:rPr>
        <w:t>容积率</w:t>
      </w:r>
      <w:r>
        <w:rPr>
          <w:rFonts w:hint="eastAsia" w:ascii="Times New Roman" w:hAnsi="Times New Roman" w:eastAsia="宋体" w:cs="Times New Roman"/>
          <w:color w:val="auto"/>
          <w:kern w:val="2"/>
          <w:highlight w:val="none"/>
          <w:lang w:val="en-US" w:eastAsia="zh-CN"/>
        </w:rPr>
        <w:t>≥2.0且</w:t>
      </w:r>
      <w:r>
        <w:rPr>
          <w:rFonts w:hint="eastAsia" w:ascii="Times New Roman" w:hAnsi="Times New Roman" w:eastAsia="宋体" w:cs="Times New Roman"/>
          <w:color w:val="auto"/>
          <w:kern w:val="2"/>
          <w:highlight w:val="none"/>
        </w:rPr>
        <w:t>≤</w:t>
      </w:r>
      <w:r>
        <w:rPr>
          <w:rFonts w:hint="eastAsia" w:ascii="Times New Roman" w:hAnsi="Times New Roman" w:eastAsia="宋体" w:cs="Times New Roman"/>
          <w:color w:val="auto"/>
          <w:kern w:val="2"/>
          <w:highlight w:val="none"/>
          <w:lang w:val="en-US" w:eastAsia="zh-CN"/>
        </w:rPr>
        <w:t>3</w:t>
      </w:r>
      <w:r>
        <w:rPr>
          <w:rFonts w:hint="eastAsia" w:ascii="Times New Roman" w:hAnsi="Times New Roman" w:eastAsia="宋体" w:cs="Times New Roman"/>
          <w:color w:val="auto"/>
          <w:kern w:val="2"/>
          <w:highlight w:val="none"/>
        </w:rPr>
        <w:t>.0</w:t>
      </w:r>
      <w:r>
        <w:rPr>
          <w:rFonts w:hint="eastAsia" w:ascii="Times New Roman" w:hAnsi="Times New Roman" w:eastAsia="宋体" w:cs="Times New Roman"/>
          <w:color w:val="auto"/>
          <w:kern w:val="2"/>
          <w:highlight w:val="none"/>
          <w:lang w:eastAsia="zh-CN"/>
        </w:rPr>
        <w:t>，</w:t>
      </w:r>
      <w:r>
        <w:rPr>
          <w:rFonts w:hint="eastAsia" w:ascii="Times New Roman" w:hAnsi="Times New Roman" w:eastAsia="宋体" w:cs="Times New Roman"/>
          <w:color w:val="auto"/>
          <w:kern w:val="2"/>
          <w:highlight w:val="none"/>
          <w:lang w:val="en-US" w:eastAsia="zh-CN"/>
        </w:rPr>
        <w:t>规划计容建筑面积≥16573㎡，且≤24860㎡。</w:t>
      </w:r>
      <w:r>
        <w:rPr>
          <w:rFonts w:hint="eastAsia"/>
        </w:rPr>
        <w:t>建筑密度≥</w:t>
      </w:r>
      <w:r>
        <w:rPr>
          <w:rFonts w:hint="eastAsia"/>
          <w:lang w:val="en-US" w:eastAsia="zh-CN"/>
        </w:rPr>
        <w:t>3</w:t>
      </w:r>
      <w:r>
        <w:rPr>
          <w:rFonts w:hint="eastAsia"/>
        </w:rPr>
        <w:t>0%</w:t>
      </w:r>
      <w:r>
        <w:rPr>
          <w:rFonts w:hint="eastAsia"/>
          <w:lang w:eastAsia="zh-CN"/>
        </w:rPr>
        <w:t>。</w:t>
      </w:r>
      <w:r>
        <w:rPr>
          <w:rFonts w:hint="eastAsia"/>
          <w:lang w:val="en-US" w:eastAsia="zh-CN"/>
        </w:rPr>
        <w:t>绿地率≥10%，且≤20%</w:t>
      </w:r>
      <w:r>
        <w:rPr>
          <w:rFonts w:hint="eastAsia"/>
        </w:rPr>
        <w:t>。建筑限高≤</w:t>
      </w:r>
      <w:r>
        <w:rPr>
          <w:rFonts w:hint="eastAsia"/>
          <w:lang w:val="en-US" w:eastAsia="zh-CN"/>
        </w:rPr>
        <w:t>60m</w:t>
      </w:r>
      <w:r>
        <w:rPr>
          <w:rFonts w:hint="eastAsia"/>
        </w:rPr>
        <w:t>。</w:t>
      </w:r>
    </w:p>
    <w:p w14:paraId="44ECF303">
      <w:pPr>
        <w:keepNext w:val="0"/>
        <w:keepLines w:val="0"/>
        <w:pageBreakBefore w:val="0"/>
        <w:widowControl w:val="0"/>
        <w:kinsoku/>
        <w:wordWrap/>
        <w:overflowPunct/>
        <w:topLinePunct w:val="0"/>
        <w:autoSpaceDE/>
        <w:autoSpaceDN/>
        <w:bidi w:val="0"/>
        <w:adjustRightInd w:val="0"/>
        <w:snapToGrid w:val="0"/>
        <w:spacing w:before="0" w:after="0" w:line="400" w:lineRule="exact"/>
        <w:ind w:left="0" w:leftChars="0" w:right="0" w:rightChars="0" w:firstLine="480" w:firstLineChars="200"/>
        <w:jc w:val="lef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地块工业功能计容建筑面积占比60%，计容建筑面积≤14916㎡（含集成式综合服务设施5500㎡）；商业功能计容建筑面积占</w:t>
      </w:r>
      <w:r>
        <w:rPr>
          <w:rFonts w:hint="eastAsia" w:cs="Times New Roman"/>
          <w:color w:val="auto"/>
          <w:highlight w:val="none"/>
          <w:lang w:val="en-US" w:eastAsia="zh-CN"/>
        </w:rPr>
        <w:t>比</w:t>
      </w:r>
      <w:r>
        <w:rPr>
          <w:rFonts w:hint="eastAsia" w:ascii="Times New Roman" w:hAnsi="Times New Roman" w:eastAsia="宋体" w:cs="Times New Roman"/>
          <w:color w:val="auto"/>
          <w:highlight w:val="none"/>
          <w:lang w:val="en-US" w:eastAsia="zh-CN"/>
        </w:rPr>
        <w:t>40%，计容建筑面积≤9944㎡；</w:t>
      </w:r>
      <w:r>
        <w:rPr>
          <w:rFonts w:hint="eastAsia" w:cs="Times New Roman"/>
          <w:color w:val="auto"/>
          <w:highlight w:val="none"/>
          <w:lang w:val="en-US" w:eastAsia="zh-CN"/>
        </w:rPr>
        <w:t>项目北侧</w:t>
      </w:r>
      <w:r>
        <w:rPr>
          <w:rFonts w:hint="eastAsia" w:ascii="Times New Roman" w:hAnsi="Times New Roman" w:eastAsia="宋体" w:cs="Times New Roman"/>
          <w:color w:val="auto"/>
          <w:highlight w:val="none"/>
          <w:lang w:val="en-US" w:eastAsia="zh-CN"/>
        </w:rPr>
        <w:t>AT0305061地块用地性质为防护绿地</w:t>
      </w:r>
      <w:r>
        <w:rPr>
          <w:rFonts w:hint="eastAsia" w:cs="Times New Roman"/>
          <w:color w:val="auto"/>
          <w:highlight w:val="none"/>
          <w:lang w:val="en-US" w:eastAsia="zh-CN"/>
        </w:rPr>
        <w:t>，南侧</w:t>
      </w:r>
      <w:r>
        <w:rPr>
          <w:rFonts w:hint="eastAsia" w:ascii="Times New Roman" w:hAnsi="Times New Roman" w:eastAsia="宋体" w:cs="Times New Roman"/>
          <w:color w:val="auto"/>
          <w:highlight w:val="none"/>
          <w:lang w:val="en-US" w:eastAsia="zh-CN"/>
        </w:rPr>
        <w:t>AT0305063地块用地性质为公园绿地。</w:t>
      </w:r>
    </w:p>
    <w:p w14:paraId="3A7D18E6">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lang w:eastAsia="zh-CN"/>
        </w:rPr>
      </w:pPr>
    </w:p>
    <w:p w14:paraId="186C8646">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lang w:val="en-US" w:eastAsia="zh-CN"/>
        </w:rPr>
      </w:pPr>
      <w:bookmarkStart w:id="61" w:name="_Toc1943"/>
      <w:bookmarkStart w:id="62" w:name="_Toc11380"/>
      <w:bookmarkStart w:id="63" w:name="_Toc14485"/>
      <w:r>
        <w:rPr>
          <w:rFonts w:hint="eastAsia"/>
          <w:lang w:val="en-US" w:eastAsia="zh-CN"/>
        </w:rPr>
        <w:t>3.2公建配套项目要求</w:t>
      </w:r>
      <w:bookmarkEnd w:id="61"/>
      <w:bookmarkEnd w:id="62"/>
      <w:bookmarkEnd w:id="63"/>
    </w:p>
    <w:p w14:paraId="2BC86DA6">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480" w:firstLineChars="200"/>
        <w:jc w:val="left"/>
        <w:textAlignment w:val="auto"/>
        <w:rPr>
          <w:rFonts w:hint="eastAsia"/>
        </w:rPr>
      </w:pPr>
      <w:r>
        <w:rPr>
          <w:rFonts w:hint="eastAsia"/>
        </w:rPr>
        <w:t>用地内配套</w:t>
      </w:r>
      <w:r>
        <w:rPr>
          <w:rFonts w:hint="eastAsia"/>
          <w:lang w:eastAsia="zh-CN"/>
        </w:rPr>
        <w:t>设施：</w:t>
      </w:r>
      <w:r>
        <w:rPr>
          <w:rFonts w:hint="eastAsia"/>
          <w:lang w:val="en-US" w:eastAsia="zh-CN"/>
        </w:rPr>
        <w:t>5500平方米集成式综合服务设施和5G基站</w:t>
      </w:r>
      <w:r>
        <w:rPr>
          <w:rFonts w:hint="eastAsia"/>
          <w:lang w:eastAsia="zh-CN"/>
        </w:rPr>
        <w:t>，具体要求以规划</w:t>
      </w:r>
      <w:r>
        <w:rPr>
          <w:rFonts w:hint="eastAsia"/>
          <w:lang w:val="en-US" w:eastAsia="zh-CN"/>
        </w:rPr>
        <w:t>条件</w:t>
      </w:r>
      <w:r>
        <w:rPr>
          <w:rFonts w:hint="eastAsia"/>
          <w:lang w:eastAsia="zh-CN"/>
        </w:rPr>
        <w:t>为准</w:t>
      </w:r>
      <w:r>
        <w:rPr>
          <w:rFonts w:hint="eastAsia"/>
        </w:rPr>
        <w:t>。</w:t>
      </w:r>
    </w:p>
    <w:p w14:paraId="57090025">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480" w:firstLineChars="200"/>
        <w:jc w:val="left"/>
        <w:textAlignment w:val="auto"/>
        <w:rPr>
          <w:rFonts w:hint="eastAsia"/>
        </w:rPr>
      </w:pPr>
    </w:p>
    <w:p w14:paraId="0021825C">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lang w:val="en-US" w:eastAsia="zh-CN"/>
        </w:rPr>
      </w:pPr>
      <w:bookmarkStart w:id="64" w:name="_Toc6681"/>
      <w:bookmarkStart w:id="65" w:name="_Toc24349"/>
      <w:bookmarkStart w:id="66" w:name="_Toc10091"/>
      <w:r>
        <w:rPr>
          <w:rFonts w:hint="eastAsia"/>
          <w:lang w:val="en-US" w:eastAsia="zh-CN"/>
        </w:rPr>
        <w:t>3.3其他设计要求</w:t>
      </w:r>
      <w:bookmarkEnd w:id="64"/>
      <w:bookmarkEnd w:id="65"/>
      <w:bookmarkEnd w:id="66"/>
    </w:p>
    <w:p w14:paraId="79B3929F">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rPr>
        <w:t>（1）建筑消防设计：项目各建筑单体均执行</w:t>
      </w:r>
      <w:r>
        <w:rPr>
          <w:rFonts w:hint="eastAsia"/>
          <w:lang w:eastAsia="zh-CN"/>
        </w:rPr>
        <w:t>《</w:t>
      </w:r>
      <w:r>
        <w:rPr>
          <w:rFonts w:hint="eastAsia"/>
          <w:lang w:val="en-US" w:eastAsia="zh-CN"/>
        </w:rPr>
        <w:t>建筑防火通用规范</w:t>
      </w:r>
      <w:r>
        <w:rPr>
          <w:rFonts w:hint="eastAsia"/>
          <w:lang w:eastAsia="zh-CN"/>
        </w:rPr>
        <w:t>》</w:t>
      </w:r>
      <w:r>
        <w:rPr>
          <w:rFonts w:hint="eastAsia"/>
          <w:lang w:val="en-US" w:eastAsia="zh-CN"/>
        </w:rPr>
        <w:t>(GB55037-2022),</w:t>
      </w:r>
      <w:r>
        <w:rPr>
          <w:rFonts w:hint="eastAsia"/>
        </w:rPr>
        <w:t>《建筑设计防火规范》（GB50016-2014）（2018版）相关规定。</w:t>
      </w:r>
    </w:p>
    <w:p w14:paraId="5146511F">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rPr>
        <w:t>（2）建筑节能设计：项目处于夏热冬暖地区，应满足夏季防热要求。项目含工业建筑、公共建筑，应当按照</w:t>
      </w:r>
      <w:r>
        <w:rPr>
          <w:rFonts w:hint="eastAsia"/>
          <w:lang w:eastAsia="zh-CN"/>
        </w:rPr>
        <w:t>《</w:t>
      </w:r>
      <w:r>
        <w:rPr>
          <w:rFonts w:hint="eastAsia"/>
          <w:lang w:val="en-US" w:eastAsia="zh-CN"/>
        </w:rPr>
        <w:t>建筑节能与可再生能源利用通用规范</w:t>
      </w:r>
      <w:r>
        <w:rPr>
          <w:rFonts w:hint="eastAsia"/>
          <w:lang w:eastAsia="zh-CN"/>
        </w:rPr>
        <w:t>》</w:t>
      </w:r>
      <w:r>
        <w:rPr>
          <w:rFonts w:hint="eastAsia"/>
          <w:lang w:val="en-US" w:eastAsia="zh-CN"/>
        </w:rPr>
        <w:t>(GB55015-2021),</w:t>
      </w:r>
      <w:r>
        <w:rPr>
          <w:rFonts w:hint="eastAsia"/>
        </w:rPr>
        <w:t>《工业建筑节能设计统一标准》（GB51245-2017）、《公共建筑节能设计标准》（GB50189-2015）的要求进行节能设计。</w:t>
      </w:r>
    </w:p>
    <w:p w14:paraId="173F7926">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rPr>
      </w:pPr>
      <w:r>
        <w:rPr>
          <w:rFonts w:hint="eastAsia"/>
        </w:rPr>
        <w:t>（3）建筑无障碍设计：项目各建筑单体均应按</w:t>
      </w:r>
      <w:r>
        <w:rPr>
          <w:rFonts w:hint="eastAsia"/>
          <w:lang w:eastAsia="zh-CN"/>
        </w:rPr>
        <w:t>《</w:t>
      </w:r>
      <w:r>
        <w:rPr>
          <w:rFonts w:hint="eastAsia"/>
          <w:lang w:val="en-US" w:eastAsia="zh-CN"/>
        </w:rPr>
        <w:t>建筑与市政工程无障碍通用规范</w:t>
      </w:r>
      <w:r>
        <w:rPr>
          <w:rFonts w:hint="eastAsia"/>
          <w:lang w:eastAsia="zh-CN"/>
        </w:rPr>
        <w:t>》</w:t>
      </w:r>
      <w:r>
        <w:rPr>
          <w:rFonts w:hint="eastAsia"/>
          <w:lang w:val="en-US" w:eastAsia="zh-CN"/>
        </w:rPr>
        <w:t>(GB 55019-2021),</w:t>
      </w:r>
      <w:r>
        <w:rPr>
          <w:rFonts w:hint="eastAsia"/>
        </w:rPr>
        <w:t>《无障碍设计规范》（GB 50763-2012）进行无障碍设计。</w:t>
      </w:r>
    </w:p>
    <w:p w14:paraId="2AA2F058">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default" w:eastAsia="宋体"/>
          <w:lang w:val="en-US" w:eastAsia="zh-CN"/>
        </w:rPr>
      </w:pPr>
      <w:r>
        <w:rPr>
          <w:rFonts w:hint="eastAsia"/>
          <w:lang w:eastAsia="zh-CN"/>
        </w:rPr>
        <w:t>（</w:t>
      </w:r>
      <w:r>
        <w:rPr>
          <w:rFonts w:hint="eastAsia"/>
          <w:lang w:val="en-US" w:eastAsia="zh-CN"/>
        </w:rPr>
        <w:t>4</w:t>
      </w:r>
      <w:r>
        <w:rPr>
          <w:rFonts w:hint="eastAsia"/>
          <w:lang w:eastAsia="zh-CN"/>
        </w:rPr>
        <w:t>）</w:t>
      </w:r>
      <w:r>
        <w:rPr>
          <w:rFonts w:hint="eastAsia"/>
          <w:lang w:val="en-US" w:eastAsia="zh-CN"/>
        </w:rPr>
        <w:t>其余要求需根据本项目的用地规划条件严格执行。</w:t>
      </w:r>
    </w:p>
    <w:p w14:paraId="54CD941F">
      <w:pPr>
        <w:pStyle w:val="4"/>
        <w:ind w:left="240" w:right="240" w:firstLine="602"/>
        <w:jc w:val="center"/>
        <w:rPr>
          <w:rFonts w:hint="default" w:ascii="黑体" w:hAnsi="黑体" w:eastAsia="黑体" w:cs="黑体"/>
          <w:color w:val="auto"/>
          <w:sz w:val="32"/>
          <w:szCs w:val="32"/>
          <w:lang w:val="en-US" w:eastAsia="zh-CN"/>
        </w:rPr>
      </w:pPr>
      <w:bookmarkStart w:id="67" w:name="_Toc28631"/>
      <w:bookmarkStart w:id="68" w:name="_Toc3720"/>
      <w:bookmarkStart w:id="69" w:name="_Toc26941"/>
      <w:bookmarkStart w:id="70" w:name="_Toc19528"/>
      <w:r>
        <w:rPr>
          <w:rFonts w:hint="default" w:ascii="黑体" w:hAnsi="黑体" w:eastAsia="黑体" w:cs="黑体"/>
          <w:color w:val="auto"/>
          <w:sz w:val="32"/>
          <w:szCs w:val="32"/>
        </w:rPr>
        <w:t>第</w:t>
      </w:r>
      <w:r>
        <w:rPr>
          <w:rFonts w:hint="default" w:ascii="黑体" w:hAnsi="黑体" w:eastAsia="黑体" w:cs="黑体"/>
          <w:color w:val="auto"/>
          <w:sz w:val="32"/>
          <w:szCs w:val="32"/>
          <w:lang w:eastAsia="zh-CN"/>
        </w:rPr>
        <w:t>四</w:t>
      </w:r>
      <w:r>
        <w:rPr>
          <w:rFonts w:hint="default" w:ascii="黑体" w:hAnsi="黑体" w:eastAsia="黑体" w:cs="黑体"/>
          <w:color w:val="auto"/>
          <w:sz w:val="32"/>
          <w:szCs w:val="32"/>
        </w:rPr>
        <w:t>章</w:t>
      </w:r>
      <w:r>
        <w:rPr>
          <w:rFonts w:hint="eastAsia" w:ascii="黑体" w:hAnsi="黑体" w:eastAsia="黑体" w:cs="黑体"/>
          <w:color w:val="auto"/>
          <w:sz w:val="32"/>
          <w:szCs w:val="32"/>
          <w:lang w:val="en-US" w:eastAsia="zh-CN"/>
        </w:rPr>
        <w:t xml:space="preserve"> </w:t>
      </w:r>
      <w:r>
        <w:rPr>
          <w:rFonts w:hint="default" w:ascii="黑体" w:hAnsi="黑体" w:eastAsia="黑体" w:cs="黑体"/>
          <w:color w:val="auto"/>
          <w:sz w:val="32"/>
          <w:szCs w:val="32"/>
        </w:rPr>
        <w:t>工程设计阶段</w:t>
      </w:r>
      <w:r>
        <w:rPr>
          <w:rFonts w:hint="eastAsia" w:ascii="黑体" w:hAnsi="黑体" w:eastAsia="黑体" w:cs="黑体"/>
          <w:color w:val="auto"/>
          <w:sz w:val="32"/>
          <w:szCs w:val="32"/>
          <w:lang w:val="en-US" w:eastAsia="zh-CN"/>
        </w:rPr>
        <w:t>及</w:t>
      </w:r>
      <w:r>
        <w:rPr>
          <w:rFonts w:hint="default" w:ascii="黑体" w:hAnsi="黑体" w:eastAsia="黑体" w:cs="黑体"/>
          <w:color w:val="auto"/>
          <w:sz w:val="32"/>
          <w:szCs w:val="32"/>
        </w:rPr>
        <w:t>服务</w:t>
      </w:r>
      <w:bookmarkEnd w:id="67"/>
      <w:bookmarkEnd w:id="68"/>
      <w:bookmarkEnd w:id="69"/>
      <w:bookmarkEnd w:id="70"/>
      <w:r>
        <w:rPr>
          <w:rFonts w:hint="eastAsia" w:ascii="黑体" w:hAnsi="黑体" w:eastAsia="黑体" w:cs="黑体"/>
          <w:color w:val="auto"/>
          <w:sz w:val="32"/>
          <w:szCs w:val="32"/>
          <w:lang w:val="en-US" w:eastAsia="zh-CN"/>
        </w:rPr>
        <w:t>范围</w:t>
      </w:r>
    </w:p>
    <w:p w14:paraId="2538120F">
      <w:pPr>
        <w:keepNext w:val="0"/>
        <w:keepLines w:val="0"/>
        <w:pageBreakBefore w:val="0"/>
        <w:widowControl w:val="0"/>
        <w:kinsoku/>
        <w:wordWrap/>
        <w:overflowPunct/>
        <w:topLinePunct w:val="0"/>
        <w:autoSpaceDE/>
        <w:autoSpaceDN/>
        <w:bidi w:val="0"/>
        <w:adjustRightInd w:val="0"/>
        <w:snapToGrid w:val="0"/>
        <w:spacing w:before="0" w:after="0" w:line="400" w:lineRule="exact"/>
        <w:ind w:left="0" w:leftChars="0" w:right="0" w:rightChars="0"/>
        <w:jc w:val="left"/>
        <w:textAlignment w:val="auto"/>
        <w:rPr>
          <w:rFonts w:hint="eastAsia"/>
          <w:lang w:eastAsia="zh-CN"/>
        </w:rPr>
      </w:pPr>
      <w:bookmarkStart w:id="71" w:name="_Toc25281"/>
      <w:bookmarkStart w:id="72" w:name="_Toc17284"/>
      <w:bookmarkStart w:id="73" w:name="_Toc16965"/>
      <w:r>
        <w:rPr>
          <w:rFonts w:hint="eastAsia"/>
          <w:lang w:val="en-US" w:eastAsia="zh-CN"/>
        </w:rPr>
        <w:t>4.1</w:t>
      </w:r>
      <w:bookmarkEnd w:id="71"/>
      <w:bookmarkEnd w:id="72"/>
      <w:bookmarkEnd w:id="73"/>
      <w:bookmarkStart w:id="74" w:name="_Toc6615"/>
      <w:bookmarkStart w:id="75" w:name="_Toc30657"/>
      <w:bookmarkStart w:id="76" w:name="_Toc5643"/>
      <w:r>
        <w:rPr>
          <w:rFonts w:hint="eastAsia"/>
          <w:lang w:eastAsia="zh-CN"/>
        </w:rPr>
        <w:t>设计</w:t>
      </w:r>
      <w:r>
        <w:rPr>
          <w:rFonts w:hint="eastAsia"/>
          <w:lang w:val="en-US" w:eastAsia="zh-CN"/>
        </w:rPr>
        <w:t>阶段</w:t>
      </w:r>
      <w:r>
        <w:rPr>
          <w:rFonts w:hint="eastAsia"/>
          <w:lang w:eastAsia="zh-CN"/>
        </w:rPr>
        <w:t>：</w:t>
      </w:r>
    </w:p>
    <w:p w14:paraId="36EF6DB8">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480" w:firstLineChars="200"/>
        <w:jc w:val="left"/>
        <w:textAlignment w:val="auto"/>
        <w:rPr>
          <w:rFonts w:hint="eastAsia"/>
          <w:lang w:val="en-US" w:eastAsia="zh-CN"/>
        </w:rPr>
      </w:pPr>
      <w:r>
        <w:rPr>
          <w:rFonts w:hint="eastAsia"/>
          <w:lang w:val="en-US" w:eastAsia="zh-CN"/>
        </w:rPr>
        <w:t>设计阶段包括但不限于方案深化阶段、</w:t>
      </w:r>
      <w:r>
        <w:rPr>
          <w:rFonts w:hint="eastAsia"/>
          <w:lang w:eastAsia="zh-CN"/>
        </w:rPr>
        <w:t>初步设计阶段（</w:t>
      </w:r>
      <w:r>
        <w:rPr>
          <w:rFonts w:hint="eastAsia"/>
          <w:lang w:val="en-US" w:eastAsia="zh-CN"/>
        </w:rPr>
        <w:t>含概算编制</w:t>
      </w:r>
      <w:r>
        <w:rPr>
          <w:rFonts w:hint="eastAsia"/>
          <w:lang w:eastAsia="zh-CN"/>
        </w:rPr>
        <w:t>）、</w:t>
      </w:r>
      <w:r>
        <w:rPr>
          <w:rFonts w:hint="eastAsia"/>
          <w:lang w:val="en-US" w:eastAsia="zh-CN"/>
        </w:rPr>
        <w:t>基坑支护设计全阶段</w:t>
      </w:r>
      <w:r>
        <w:rPr>
          <w:rFonts w:hint="eastAsia"/>
          <w:lang w:eastAsia="zh-CN"/>
        </w:rPr>
        <w:t>。设计深度需满足政府主管部门</w:t>
      </w:r>
      <w:r>
        <w:rPr>
          <w:rFonts w:hint="eastAsia"/>
          <w:lang w:val="en-US" w:eastAsia="zh-CN"/>
        </w:rPr>
        <w:t>的</w:t>
      </w:r>
      <w:r>
        <w:rPr>
          <w:rFonts w:hint="eastAsia"/>
          <w:lang w:eastAsia="zh-CN"/>
        </w:rPr>
        <w:t>报批</w:t>
      </w:r>
      <w:r>
        <w:rPr>
          <w:rFonts w:hint="eastAsia"/>
          <w:lang w:val="en-US" w:eastAsia="zh-CN"/>
        </w:rPr>
        <w:t>要求并获得相关部门的批复，</w:t>
      </w:r>
      <w:r>
        <w:rPr>
          <w:rFonts w:hint="eastAsia"/>
          <w:lang w:eastAsia="zh-CN"/>
        </w:rPr>
        <w:t>初步设计</w:t>
      </w:r>
      <w:r>
        <w:rPr>
          <w:rFonts w:hint="eastAsia"/>
          <w:lang w:val="en-US" w:eastAsia="zh-CN"/>
        </w:rPr>
        <w:t>需通过业主组织的初步设计评审</w:t>
      </w:r>
      <w:r>
        <w:rPr>
          <w:rFonts w:hint="eastAsia"/>
          <w:lang w:eastAsia="zh-CN"/>
        </w:rPr>
        <w:t>，</w:t>
      </w:r>
      <w:r>
        <w:rPr>
          <w:rFonts w:hint="eastAsia"/>
          <w:lang w:val="en-US" w:eastAsia="zh-CN"/>
        </w:rPr>
        <w:t>基坑支护设计需满足相关施工图审查及第三方专家评审。</w:t>
      </w:r>
    </w:p>
    <w:p w14:paraId="62984C55">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480" w:firstLineChars="200"/>
        <w:jc w:val="left"/>
        <w:textAlignment w:val="auto"/>
        <w:rPr>
          <w:rFonts w:hint="eastAsia"/>
          <w:lang w:val="en-US" w:eastAsia="zh-CN"/>
        </w:rPr>
      </w:pPr>
    </w:p>
    <w:p w14:paraId="74090049">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lang w:val="en-US" w:eastAsia="zh-CN"/>
        </w:rPr>
      </w:pPr>
      <w:r>
        <w:rPr>
          <w:rFonts w:hint="eastAsia"/>
          <w:lang w:val="en-US" w:eastAsia="zh-CN"/>
        </w:rPr>
        <w:t>4.2服务范围：</w:t>
      </w:r>
    </w:p>
    <w:p w14:paraId="07785922">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left"/>
        <w:textAlignment w:val="auto"/>
        <w:rPr>
          <w:rFonts w:hint="default"/>
          <w:lang w:val="en-US" w:eastAsia="zh-CN"/>
        </w:rPr>
      </w:pPr>
      <w:r>
        <w:rPr>
          <w:rFonts w:hint="eastAsia"/>
          <w:lang w:val="en-US" w:eastAsia="zh-CN"/>
        </w:rPr>
        <w:t>4.2.1</w:t>
      </w:r>
      <w:r>
        <w:rPr>
          <w:rFonts w:hint="default"/>
          <w:lang w:eastAsia="zh-CN"/>
        </w:rPr>
        <w:t>项目</w:t>
      </w:r>
      <w:r>
        <w:rPr>
          <w:rFonts w:hint="eastAsia"/>
          <w:lang w:val="en-US" w:eastAsia="zh-CN"/>
        </w:rPr>
        <w:t>方案设计及</w:t>
      </w:r>
      <w:r>
        <w:rPr>
          <w:rFonts w:hint="default"/>
          <w:lang w:val="en-US" w:eastAsia="zh-CN"/>
        </w:rPr>
        <w:t>初步</w:t>
      </w:r>
      <w:r>
        <w:rPr>
          <w:rFonts w:hint="default"/>
          <w:lang w:eastAsia="zh-CN"/>
        </w:rPr>
        <w:t>设计</w:t>
      </w:r>
      <w:r>
        <w:rPr>
          <w:rFonts w:hint="eastAsia"/>
          <w:lang w:val="en-US" w:eastAsia="zh-CN"/>
        </w:rPr>
        <w:t>（</w:t>
      </w:r>
      <w:r>
        <w:rPr>
          <w:rFonts w:hint="default"/>
          <w:lang w:val="en-US" w:eastAsia="zh-CN"/>
        </w:rPr>
        <w:t>含基坑支护设计）服务</w:t>
      </w:r>
      <w:r>
        <w:rPr>
          <w:rFonts w:hint="default"/>
          <w:lang w:eastAsia="zh-CN"/>
        </w:rPr>
        <w:t>包括但不限于以下内容：方案</w:t>
      </w:r>
      <w:r>
        <w:rPr>
          <w:rFonts w:hint="default"/>
          <w:lang w:val="en-US" w:eastAsia="zh-CN"/>
        </w:rPr>
        <w:t>深化</w:t>
      </w:r>
      <w:r>
        <w:rPr>
          <w:rFonts w:hint="default"/>
          <w:lang w:eastAsia="zh-CN"/>
        </w:rPr>
        <w:t>设计、初步设计、概算编制、</w:t>
      </w:r>
      <w:r>
        <w:rPr>
          <w:rFonts w:hint="default"/>
          <w:lang w:val="en-US" w:eastAsia="zh-CN"/>
        </w:rPr>
        <w:t>基坑支护施工图</w:t>
      </w:r>
      <w:r>
        <w:rPr>
          <w:rFonts w:hint="default"/>
          <w:lang w:eastAsia="zh-CN"/>
        </w:rPr>
        <w:t>，并根据招标人要求配合项目</w:t>
      </w:r>
      <w:r>
        <w:rPr>
          <w:rFonts w:hint="default"/>
          <w:lang w:val="en-US" w:eastAsia="zh-CN"/>
        </w:rPr>
        <w:t>方案深化及初步设计</w:t>
      </w:r>
      <w:r>
        <w:rPr>
          <w:rFonts w:hint="default"/>
          <w:lang w:eastAsia="zh-CN"/>
        </w:rPr>
        <w:t>阶段的</w:t>
      </w:r>
      <w:r>
        <w:rPr>
          <w:rFonts w:hint="default"/>
          <w:lang w:val="en-US" w:eastAsia="zh-CN"/>
        </w:rPr>
        <w:t>咨询、</w:t>
      </w:r>
      <w:r>
        <w:rPr>
          <w:rFonts w:hint="default"/>
          <w:lang w:eastAsia="zh-CN"/>
        </w:rPr>
        <w:t>报批、评审、招标、</w:t>
      </w:r>
      <w:r>
        <w:rPr>
          <w:rFonts w:hint="default"/>
          <w:lang w:val="en-US" w:eastAsia="zh-CN"/>
        </w:rPr>
        <w:t>涉铁沟通等</w:t>
      </w:r>
      <w:r>
        <w:rPr>
          <w:rFonts w:hint="default"/>
          <w:lang w:eastAsia="zh-CN"/>
        </w:rPr>
        <w:t>相关工作。设计范围包括红线范围内的工程设计，包括</w:t>
      </w:r>
      <w:r>
        <w:rPr>
          <w:rFonts w:hint="default"/>
          <w:lang w:val="en-US" w:eastAsia="zh-CN"/>
        </w:rPr>
        <w:t>总图设计、</w:t>
      </w:r>
      <w:r>
        <w:rPr>
          <w:rFonts w:hint="default"/>
          <w:lang w:eastAsia="zh-CN"/>
        </w:rPr>
        <w:t>建筑、结构（含装配式）、给排水、电气、暖通、智能化系统、</w:t>
      </w:r>
      <w:r>
        <w:rPr>
          <w:rFonts w:hint="eastAsia"/>
          <w:lang w:val="en-US" w:eastAsia="zh-CN"/>
        </w:rPr>
        <w:t>消防、外立面及</w:t>
      </w:r>
      <w:r>
        <w:rPr>
          <w:rFonts w:hint="default"/>
          <w:lang w:eastAsia="zh-CN"/>
        </w:rPr>
        <w:t>幕墙</w:t>
      </w:r>
      <w:r>
        <w:rPr>
          <w:rFonts w:hint="eastAsia"/>
          <w:lang w:val="en-US" w:eastAsia="zh-CN"/>
        </w:rPr>
        <w:t>深化</w:t>
      </w:r>
      <w:r>
        <w:rPr>
          <w:rFonts w:hint="default"/>
          <w:lang w:eastAsia="zh-CN"/>
        </w:rPr>
        <w:t>、室内精装修、</w:t>
      </w:r>
      <w:r>
        <w:rPr>
          <w:rFonts w:hint="default"/>
          <w:lang w:val="en-US" w:eastAsia="zh-CN"/>
        </w:rPr>
        <w:t>电梯、燃气、</w:t>
      </w:r>
      <w:r>
        <w:rPr>
          <w:rFonts w:hint="eastAsia"/>
          <w:lang w:val="en-US" w:eastAsia="zh-CN"/>
        </w:rPr>
        <w:t>室外工程及</w:t>
      </w:r>
      <w:r>
        <w:rPr>
          <w:rFonts w:hint="default"/>
          <w:lang w:val="en-US" w:eastAsia="zh-CN"/>
        </w:rPr>
        <w:t>小市政</w:t>
      </w:r>
      <w:r>
        <w:rPr>
          <w:rFonts w:hint="default"/>
          <w:lang w:eastAsia="zh-CN"/>
        </w:rPr>
        <w:t>、园林景观、地下室及人防设计、</w:t>
      </w:r>
      <w:r>
        <w:rPr>
          <w:rFonts w:hint="eastAsia"/>
          <w:lang w:val="en-US" w:eastAsia="zh-CN"/>
        </w:rPr>
        <w:t>节能、</w:t>
      </w:r>
      <w:r>
        <w:rPr>
          <w:rFonts w:hint="default"/>
          <w:lang w:eastAsia="zh-CN"/>
        </w:rPr>
        <w:t>绿色建筑、海绵城市、泛光、标志标识、基坑支护等。</w:t>
      </w:r>
    </w:p>
    <w:p w14:paraId="7BC0C98C">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lang w:eastAsia="zh-CN"/>
        </w:rPr>
      </w:pPr>
      <w:r>
        <w:rPr>
          <w:rFonts w:hint="eastAsia"/>
          <w:lang w:val="en-US" w:eastAsia="zh-CN"/>
        </w:rPr>
        <w:t>4.2.2</w:t>
      </w:r>
      <w:r>
        <w:rPr>
          <w:rFonts w:hint="default"/>
          <w:lang w:eastAsia="zh-CN"/>
        </w:rPr>
        <w:t>完成总体规划和方案设计，提供满足深度的修规、方案设计图纸</w:t>
      </w:r>
      <w:r>
        <w:rPr>
          <w:rFonts w:hint="eastAsia"/>
          <w:lang w:eastAsia="zh-CN"/>
        </w:rPr>
        <w:t>、</w:t>
      </w:r>
      <w:r>
        <w:rPr>
          <w:rFonts w:hint="eastAsia"/>
          <w:lang w:val="en-US" w:eastAsia="zh-CN"/>
        </w:rPr>
        <w:t>初步设计文件、基坑设计图纸</w:t>
      </w:r>
      <w:r>
        <w:rPr>
          <w:rFonts w:hint="default"/>
          <w:lang w:eastAsia="zh-CN"/>
        </w:rPr>
        <w:t>，并制作符合政府部门要求的规划意见书与设计方案报批文件，协助发包人进行</w:t>
      </w:r>
      <w:r>
        <w:rPr>
          <w:rFonts w:hint="eastAsia"/>
          <w:lang w:val="en-US" w:eastAsia="zh-CN"/>
        </w:rPr>
        <w:t>各项</w:t>
      </w:r>
      <w:r>
        <w:rPr>
          <w:rFonts w:hint="default"/>
          <w:lang w:eastAsia="zh-CN"/>
        </w:rPr>
        <w:t>报批</w:t>
      </w:r>
      <w:r>
        <w:rPr>
          <w:rFonts w:hint="eastAsia"/>
          <w:lang w:val="en-US" w:eastAsia="zh-CN"/>
        </w:rPr>
        <w:t>及评审</w:t>
      </w:r>
      <w:r>
        <w:rPr>
          <w:rFonts w:hint="default"/>
          <w:lang w:eastAsia="zh-CN"/>
        </w:rPr>
        <w:t>工作</w:t>
      </w:r>
      <w:r>
        <w:rPr>
          <w:rFonts w:hint="eastAsia"/>
          <w:lang w:eastAsia="zh-CN"/>
        </w:rPr>
        <w:t>。</w:t>
      </w:r>
    </w:p>
    <w:p w14:paraId="0A23B0B0">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lang w:eastAsia="zh-CN"/>
        </w:rPr>
      </w:pPr>
      <w:r>
        <w:rPr>
          <w:rFonts w:hint="eastAsia"/>
          <w:lang w:val="en-US" w:eastAsia="zh-CN"/>
        </w:rPr>
        <w:t>4.2.3</w:t>
      </w:r>
      <w:r>
        <w:rPr>
          <w:rFonts w:hint="default"/>
          <w:lang w:eastAsia="zh-CN"/>
        </w:rPr>
        <w:t>根据</w:t>
      </w:r>
      <w:r>
        <w:rPr>
          <w:rFonts w:hint="eastAsia"/>
          <w:lang w:val="en-US" w:eastAsia="zh-CN"/>
        </w:rPr>
        <w:t>评审意见及</w:t>
      </w:r>
      <w:r>
        <w:rPr>
          <w:rFonts w:hint="default"/>
          <w:lang w:eastAsia="zh-CN"/>
        </w:rPr>
        <w:t>政府部门的审批意见在本合同约定的范围内对设计进行</w:t>
      </w:r>
      <w:r>
        <w:rPr>
          <w:rFonts w:hint="eastAsia"/>
          <w:lang w:val="en-US" w:eastAsia="zh-CN"/>
        </w:rPr>
        <w:t>无条件、无偿</w:t>
      </w:r>
      <w:r>
        <w:rPr>
          <w:rFonts w:hint="default"/>
          <w:lang w:eastAsia="zh-CN"/>
        </w:rPr>
        <w:t>修改，以通过</w:t>
      </w:r>
      <w:r>
        <w:rPr>
          <w:rFonts w:hint="eastAsia"/>
          <w:lang w:val="en-US" w:eastAsia="zh-CN"/>
        </w:rPr>
        <w:t>第三方机构、专家评审、</w:t>
      </w:r>
      <w:r>
        <w:rPr>
          <w:rFonts w:hint="default"/>
          <w:lang w:eastAsia="zh-CN"/>
        </w:rPr>
        <w:t>政府部门</w:t>
      </w:r>
      <w:r>
        <w:rPr>
          <w:rFonts w:hint="eastAsia"/>
          <w:lang w:val="en-US" w:eastAsia="zh-CN"/>
        </w:rPr>
        <w:t>及地保办的</w:t>
      </w:r>
      <w:r>
        <w:rPr>
          <w:rFonts w:hint="default"/>
          <w:lang w:eastAsia="zh-CN"/>
        </w:rPr>
        <w:t>审查批准</w:t>
      </w:r>
      <w:r>
        <w:rPr>
          <w:rFonts w:hint="eastAsia"/>
          <w:lang w:eastAsia="zh-CN"/>
        </w:rPr>
        <w:t>。</w:t>
      </w:r>
      <w:r>
        <w:rPr>
          <w:rFonts w:hint="eastAsia"/>
          <w:lang w:val="en-US" w:eastAsia="zh-CN"/>
        </w:rPr>
        <w:t>评审所产生的费用均已包含在合同设计费总额之中。</w:t>
      </w:r>
    </w:p>
    <w:p w14:paraId="57D8C519">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default"/>
          <w:lang w:eastAsia="zh-CN"/>
        </w:rPr>
      </w:pPr>
      <w:r>
        <w:rPr>
          <w:rFonts w:hint="eastAsia"/>
          <w:lang w:val="en-US" w:eastAsia="zh-CN"/>
        </w:rPr>
        <w:t>4.2.4</w:t>
      </w:r>
      <w:r>
        <w:rPr>
          <w:rFonts w:hint="eastAsia"/>
          <w:lang w:eastAsia="zh-CN"/>
        </w:rPr>
        <w:t>协调设计优化、造价咨询等专业顾问公司的工作，对设计方案和技术经济指标进行审核，提供咨询意见。在保证与该项目总体方案设计相一致的情况下，接受经发包人确认的顾问公司的合理化建议并对方案进行调整。</w:t>
      </w:r>
    </w:p>
    <w:p w14:paraId="3490C95C">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lang w:val="en-US" w:eastAsia="zh-CN"/>
        </w:rPr>
      </w:pPr>
      <w:r>
        <w:rPr>
          <w:rFonts w:hint="eastAsia"/>
          <w:lang w:val="en-US" w:eastAsia="zh-CN"/>
        </w:rPr>
        <w:t>4.2.5配合甲方进行人防、消防、交通、绿化及市政管网等方面的咨询工作，并完成人防、消防等规划方案的报批工作。</w:t>
      </w:r>
    </w:p>
    <w:p w14:paraId="6D5578D2">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lang w:val="en-US" w:eastAsia="zh-CN"/>
        </w:rPr>
      </w:pPr>
      <w:r>
        <w:rPr>
          <w:rFonts w:hint="eastAsia"/>
          <w:lang w:val="en-US" w:eastAsia="zh-CN"/>
        </w:rPr>
        <w:t>4.2.6编制项目总概算（含所有专业、专项），负责有关解释和修改，并由注册造价工程师签字及盖章，应根据审批后的初步设计调整项目总概算。项目总概算须通过甲方或第三方的审核，并通过有关部门审批，确定项目总概算。</w:t>
      </w:r>
    </w:p>
    <w:p w14:paraId="74729994">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lang w:val="en-US" w:eastAsia="zh-CN"/>
        </w:rPr>
      </w:pPr>
      <w:r>
        <w:rPr>
          <w:rFonts w:hint="eastAsia"/>
          <w:lang w:val="en-US" w:eastAsia="zh-CN"/>
        </w:rPr>
        <w:t>4.2.7根据甲方的要求在保证项目质量的前提下完成限额设计。</w:t>
      </w:r>
      <w:r>
        <w:rPr>
          <w:rFonts w:hint="eastAsia"/>
          <w:lang w:eastAsia="zh-CN"/>
        </w:rPr>
        <w:t>应</w:t>
      </w:r>
      <w:r>
        <w:rPr>
          <w:rFonts w:hint="eastAsia"/>
          <w:lang w:val="en-US" w:eastAsia="zh-CN"/>
        </w:rPr>
        <w:t>满足</w:t>
      </w:r>
      <w:r>
        <w:rPr>
          <w:rFonts w:hint="eastAsia"/>
          <w:lang w:eastAsia="zh-CN"/>
        </w:rPr>
        <w:t>功能适用、标准合理、经济合理的原则，确保工程概预算不突破限额目标。</w:t>
      </w:r>
    </w:p>
    <w:p w14:paraId="295BF70F">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lang w:val="en-US" w:eastAsia="zh-CN"/>
        </w:rPr>
      </w:pPr>
      <w:r>
        <w:rPr>
          <w:rFonts w:hint="eastAsia"/>
          <w:lang w:val="en-US" w:eastAsia="zh-CN"/>
        </w:rPr>
        <w:t>4.2.8基坑支护设计：应在确保基坑支护安全的条件下，做到经济合理、节约工期、就近选材。乙方应结合各因素进行基坑方案比选，尽快完成设计与评审工作，提供建设单位用于基坑支护工程施工。设计单位应组织基坑支护设计专家评审会，相关费用已包含在合同设计费总额之中。</w:t>
      </w:r>
    </w:p>
    <w:p w14:paraId="35AFCE99">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lang w:eastAsia="zh-CN"/>
        </w:rPr>
      </w:pPr>
      <w:r>
        <w:rPr>
          <w:rFonts w:hint="eastAsia"/>
          <w:lang w:val="en-US" w:eastAsia="zh-CN"/>
        </w:rPr>
        <w:t>4.2.9</w:t>
      </w:r>
      <w:r>
        <w:rPr>
          <w:rFonts w:hint="eastAsia"/>
          <w:lang w:eastAsia="zh-CN"/>
        </w:rPr>
        <w:t>乙方为</w:t>
      </w:r>
      <w:r>
        <w:rPr>
          <w:rFonts w:hint="eastAsia"/>
          <w:lang w:val="en-US" w:eastAsia="zh-CN"/>
        </w:rPr>
        <w:t>本合同范围内</w:t>
      </w:r>
      <w:r>
        <w:rPr>
          <w:rFonts w:hint="eastAsia"/>
          <w:lang w:eastAsia="zh-CN"/>
        </w:rPr>
        <w:t>设计阶段</w:t>
      </w:r>
      <w:r>
        <w:rPr>
          <w:rFonts w:hint="eastAsia"/>
          <w:lang w:val="en-US" w:eastAsia="zh-CN"/>
        </w:rPr>
        <w:t>的</w:t>
      </w:r>
      <w:r>
        <w:rPr>
          <w:rFonts w:hint="eastAsia"/>
          <w:lang w:eastAsia="zh-CN"/>
        </w:rPr>
        <w:t>总协调单位，除完成其设计职责范围的内容外，应在方案设计、初步设计和</w:t>
      </w:r>
      <w:r>
        <w:rPr>
          <w:rFonts w:hint="eastAsia"/>
          <w:lang w:val="en-US" w:eastAsia="zh-CN"/>
        </w:rPr>
        <w:t>基坑设计阶段</w:t>
      </w:r>
      <w:r>
        <w:rPr>
          <w:rFonts w:hint="eastAsia"/>
          <w:lang w:eastAsia="zh-CN"/>
        </w:rPr>
        <w:t>考虑</w:t>
      </w:r>
      <w:r>
        <w:rPr>
          <w:rFonts w:hint="eastAsia"/>
          <w:lang w:val="en-US" w:eastAsia="zh-CN"/>
        </w:rPr>
        <w:t>后续施工图阶段及施工阶段的可延续性，做好</w:t>
      </w:r>
      <w:r>
        <w:rPr>
          <w:rFonts w:hint="eastAsia"/>
          <w:lang w:eastAsia="zh-CN"/>
        </w:rPr>
        <w:t>预留、预埋及配套设计，</w:t>
      </w:r>
      <w:r>
        <w:rPr>
          <w:rFonts w:hint="eastAsia"/>
          <w:lang w:val="en-US" w:eastAsia="zh-CN"/>
        </w:rPr>
        <w:t>后续需</w:t>
      </w:r>
      <w:r>
        <w:rPr>
          <w:rFonts w:hint="eastAsia"/>
          <w:lang w:eastAsia="zh-CN"/>
        </w:rPr>
        <w:t>配合</w:t>
      </w:r>
      <w:r>
        <w:rPr>
          <w:rFonts w:hint="eastAsia"/>
          <w:lang w:val="en-US" w:eastAsia="zh-CN"/>
        </w:rPr>
        <w:t>审查</w:t>
      </w:r>
      <w:r>
        <w:rPr>
          <w:rFonts w:hint="eastAsia"/>
          <w:lang w:eastAsia="zh-CN"/>
        </w:rPr>
        <w:t>相关的施工图设计，确认图纸</w:t>
      </w:r>
      <w:r>
        <w:rPr>
          <w:rFonts w:hint="eastAsia"/>
          <w:lang w:val="en-US" w:eastAsia="zh-CN"/>
        </w:rPr>
        <w:t>合理性</w:t>
      </w:r>
      <w:r>
        <w:rPr>
          <w:rFonts w:hint="eastAsia"/>
          <w:lang w:eastAsia="zh-CN"/>
        </w:rPr>
        <w:t>或提出专业意见。</w:t>
      </w:r>
    </w:p>
    <w:p w14:paraId="7CADE3EF">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lang w:val="en-US" w:eastAsia="zh-CN"/>
        </w:rPr>
      </w:pPr>
      <w:r>
        <w:rPr>
          <w:rFonts w:hint="eastAsia"/>
          <w:lang w:val="en-US" w:eastAsia="zh-CN"/>
        </w:rPr>
        <w:t>4.2.10</w:t>
      </w:r>
      <w:r>
        <w:rPr>
          <w:rFonts w:hint="eastAsia"/>
          <w:lang w:eastAsia="zh-CN"/>
        </w:rPr>
        <w:t>配合编制</w:t>
      </w:r>
      <w:r>
        <w:rPr>
          <w:rFonts w:hint="eastAsia"/>
          <w:lang w:val="en-US" w:eastAsia="zh-CN"/>
        </w:rPr>
        <w:t>项目的</w:t>
      </w:r>
      <w:r>
        <w:rPr>
          <w:rFonts w:hint="eastAsia"/>
          <w:lang w:eastAsia="zh-CN"/>
        </w:rPr>
        <w:t>宣传图册，</w:t>
      </w:r>
      <w:r>
        <w:rPr>
          <w:rFonts w:hint="eastAsia"/>
          <w:lang w:val="en-US" w:eastAsia="zh-CN"/>
        </w:rPr>
        <w:t>配合向甲方、意向租售方、政府部门等开展宣传、讲解及答疑工作。</w:t>
      </w:r>
    </w:p>
    <w:p w14:paraId="6A37C558">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lang w:eastAsia="zh-CN"/>
        </w:rPr>
      </w:pPr>
      <w:r>
        <w:rPr>
          <w:rFonts w:hint="eastAsia"/>
          <w:lang w:val="en-US" w:eastAsia="zh-CN"/>
        </w:rPr>
        <w:t>4.2.11配合甲方的各类招标工作，</w:t>
      </w:r>
      <w:r>
        <w:rPr>
          <w:rFonts w:hint="eastAsia"/>
          <w:lang w:eastAsia="zh-CN"/>
        </w:rPr>
        <w:t>提供完整用招标图</w:t>
      </w:r>
      <w:r>
        <w:rPr>
          <w:rFonts w:hint="eastAsia"/>
          <w:lang w:val="en-US" w:eastAsia="zh-CN"/>
        </w:rPr>
        <w:t>及相关资料</w:t>
      </w:r>
      <w:r>
        <w:rPr>
          <w:rFonts w:hint="eastAsia"/>
          <w:lang w:eastAsia="zh-CN"/>
        </w:rPr>
        <w:t>，评审相关技术规范或文件，配合甲方进行招标答疑、疑问卷回复和技术标评比等相关工作。</w:t>
      </w:r>
    </w:p>
    <w:p w14:paraId="398ED7CD">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default"/>
          <w:lang w:val="en-US" w:eastAsia="zh-CN"/>
        </w:rPr>
      </w:pPr>
      <w:r>
        <w:rPr>
          <w:rFonts w:hint="eastAsia"/>
          <w:lang w:val="en-US" w:eastAsia="zh-CN"/>
        </w:rPr>
        <w:t>4.2.12乙方需提供专人负责配合项目的各类报批协调工作，及报批资料整理审核工作。</w:t>
      </w:r>
    </w:p>
    <w:p w14:paraId="045F58A8">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color w:val="auto"/>
          <w:lang w:val="en-US" w:eastAsia="zh-CN"/>
        </w:rPr>
      </w:pPr>
      <w:r>
        <w:rPr>
          <w:rFonts w:hint="eastAsia"/>
          <w:lang w:val="en-US" w:eastAsia="zh-CN"/>
        </w:rPr>
        <w:t>4.2.13</w:t>
      </w:r>
      <w:r>
        <w:rPr>
          <w:rFonts w:hint="eastAsia"/>
          <w:lang w:eastAsia="zh-CN"/>
        </w:rPr>
        <w:t>发包人要求的其他工作。</w:t>
      </w:r>
      <w:bookmarkEnd w:id="74"/>
      <w:bookmarkEnd w:id="75"/>
      <w:bookmarkEnd w:id="76"/>
    </w:p>
    <w:p w14:paraId="1561D029">
      <w:pPr>
        <w:pStyle w:val="4"/>
        <w:tabs>
          <w:tab w:val="left" w:pos="0"/>
        </w:tabs>
        <w:ind w:left="240" w:leftChars="0" w:right="240" w:firstLine="0" w:firstLineChars="0"/>
        <w:jc w:val="center"/>
        <w:outlineLvl w:val="9"/>
        <w:rPr>
          <w:color w:val="auto"/>
          <w:sz w:val="44"/>
        </w:rPr>
      </w:pPr>
      <w:bookmarkStart w:id="77" w:name="_Toc19991"/>
      <w:bookmarkStart w:id="78" w:name="_Toc555"/>
      <w:bookmarkStart w:id="79" w:name="_Toc3768"/>
      <w:bookmarkStart w:id="80" w:name="_Toc12919"/>
      <w:r>
        <w:rPr>
          <w:rFonts w:hint="eastAsia" w:ascii="黑体" w:hAnsi="黑体" w:eastAsia="黑体" w:cs="黑体"/>
          <w:color w:val="auto"/>
          <w:sz w:val="32"/>
          <w:szCs w:val="32"/>
        </w:rPr>
        <w:t>第</w:t>
      </w:r>
      <w:r>
        <w:rPr>
          <w:rFonts w:hint="eastAsia" w:ascii="黑体" w:hAnsi="黑体" w:eastAsia="黑体" w:cs="黑体"/>
          <w:color w:val="auto"/>
          <w:sz w:val="32"/>
          <w:szCs w:val="32"/>
          <w:lang w:eastAsia="zh-CN"/>
        </w:rPr>
        <w:t>五</w:t>
      </w:r>
      <w:r>
        <w:rPr>
          <w:rFonts w:hint="eastAsia" w:ascii="黑体" w:hAnsi="黑体" w:eastAsia="黑体" w:cs="黑体"/>
          <w:color w:val="auto"/>
          <w:sz w:val="32"/>
          <w:szCs w:val="32"/>
        </w:rPr>
        <w:t>章</w:t>
      </w:r>
      <w:r>
        <w:rPr>
          <w:rFonts w:hint="eastAsia" w:ascii="黑体" w:hAnsi="黑体" w:eastAsia="黑体" w:cs="黑体"/>
          <w:color w:val="auto"/>
          <w:sz w:val="32"/>
          <w:szCs w:val="32"/>
          <w:lang w:val="en-US" w:eastAsia="zh-CN"/>
        </w:rPr>
        <w:t xml:space="preserve"> </w:t>
      </w:r>
      <w:r>
        <w:rPr>
          <w:rFonts w:hint="eastAsia" w:ascii="黑体" w:hAnsi="黑体" w:eastAsia="黑体" w:cs="黑体"/>
          <w:color w:val="auto"/>
          <w:sz w:val="32"/>
          <w:szCs w:val="32"/>
        </w:rPr>
        <w:t>设计内容及各专业要求</w:t>
      </w:r>
      <w:bookmarkEnd w:id="77"/>
      <w:bookmarkEnd w:id="78"/>
      <w:bookmarkEnd w:id="79"/>
      <w:bookmarkEnd w:id="80"/>
    </w:p>
    <w:p w14:paraId="375BD0A1">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lang w:val="en-US" w:eastAsia="zh-CN"/>
        </w:rPr>
      </w:pPr>
      <w:bookmarkStart w:id="81" w:name="_Toc28362"/>
      <w:bookmarkStart w:id="82" w:name="_Toc22253"/>
      <w:bookmarkStart w:id="83" w:name="_Toc28075"/>
      <w:bookmarkStart w:id="84" w:name="_Hlk181621399"/>
      <w:r>
        <w:rPr>
          <w:rFonts w:hint="eastAsia"/>
          <w:lang w:val="en-US" w:eastAsia="zh-CN"/>
        </w:rPr>
        <w:t>5.1设计限额及标准</w:t>
      </w:r>
      <w:bookmarkEnd w:id="81"/>
      <w:bookmarkEnd w:id="82"/>
      <w:bookmarkEnd w:id="83"/>
    </w:p>
    <w:p w14:paraId="0DE1242B">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480" w:firstLineChars="200"/>
        <w:jc w:val="left"/>
        <w:textAlignment w:val="auto"/>
      </w:pPr>
      <w:r>
        <w:rPr>
          <w:rFonts w:hint="eastAsia"/>
        </w:rPr>
        <w:t>设计单位在保证设计质量的前提下，应遵循功能适用、标准合理、经济合理的原则开展设计工作，实行限额设计，确保工程概算不突破限额目标。项目工程造价参照已审批可研估算进行控制，</w:t>
      </w:r>
      <w:r>
        <w:rPr>
          <w:rFonts w:hint="eastAsia"/>
          <w:lang w:val="en-US" w:eastAsia="zh-CN"/>
        </w:rPr>
        <w:t>概算总投资</w:t>
      </w:r>
      <w:r>
        <w:rPr>
          <w:rFonts w:hint="eastAsia"/>
        </w:rPr>
        <w:t>不可超出</w:t>
      </w:r>
      <w:r>
        <w:rPr>
          <w:rFonts w:hint="eastAsia"/>
          <w:lang w:val="en-US" w:eastAsia="zh-CN"/>
        </w:rPr>
        <w:t>可研</w:t>
      </w:r>
      <w:r>
        <w:rPr>
          <w:rFonts w:hint="eastAsia"/>
        </w:rPr>
        <w:t>估算</w:t>
      </w:r>
      <w:r>
        <w:rPr>
          <w:rFonts w:hint="eastAsia"/>
          <w:lang w:val="en-US" w:eastAsia="zh-CN"/>
        </w:rPr>
        <w:t>总投资</w:t>
      </w:r>
      <w:r>
        <w:rPr>
          <w:rFonts w:hint="eastAsia"/>
        </w:rPr>
        <w:t>指标。</w:t>
      </w:r>
    </w:p>
    <w:p w14:paraId="7CE2FD06">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480" w:firstLineChars="200"/>
        <w:jc w:val="left"/>
        <w:textAlignment w:val="auto"/>
        <w:rPr>
          <w:rFonts w:hint="eastAsia"/>
        </w:rPr>
      </w:pPr>
      <w:r>
        <w:rPr>
          <w:rFonts w:hint="eastAsia"/>
          <w:lang w:val="en-US" w:eastAsia="zh-CN"/>
        </w:rPr>
        <w:t>设计的</w:t>
      </w:r>
      <w:r>
        <w:rPr>
          <w:rFonts w:hint="eastAsia"/>
        </w:rPr>
        <w:t>相关材料应具属于通用型产品以保证项目开发的经济性要求；设计应充分考虑现有施工技术，包括选择易于施工的材料。采用节能环保技术和设计，保证产品及材料长期运营经济，并要在其使用寿命内取得最大的经济效益。 综合考虑结构、材料、设备等因素，以最少的能耗和运行费用来提供一个舒适的内部环境。</w:t>
      </w:r>
    </w:p>
    <w:p w14:paraId="23B90DE8">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480" w:firstLineChars="200"/>
        <w:jc w:val="left"/>
        <w:textAlignment w:val="auto"/>
        <w:rPr>
          <w:rFonts w:hint="eastAsia"/>
        </w:rPr>
      </w:pPr>
      <w:r>
        <w:rPr>
          <w:rFonts w:hint="eastAsia"/>
        </w:rPr>
        <w:t>结构设计应符合技术先进、安全适用、经济合理、确保质量的基本要求,在满足建筑方案设计的前提下，在结构的可靠与经济之间选择合理的平衡，优化设计，使结构可靠、安全，满足各种预定的功能要求。</w:t>
      </w:r>
    </w:p>
    <w:p w14:paraId="3DA32A16">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480" w:firstLineChars="200"/>
        <w:jc w:val="left"/>
        <w:textAlignment w:val="auto"/>
        <w:rPr>
          <w:rFonts w:hint="eastAsia"/>
        </w:rPr>
      </w:pPr>
    </w:p>
    <w:bookmarkEnd w:id="84"/>
    <w:p w14:paraId="3AECD57C">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lang w:val="en-US" w:eastAsia="zh-CN"/>
        </w:rPr>
      </w:pPr>
      <w:r>
        <w:rPr>
          <w:rFonts w:hint="eastAsia"/>
          <w:lang w:val="en-US" w:eastAsia="zh-CN"/>
        </w:rPr>
        <w:t>5.2总平面部分</w:t>
      </w:r>
    </w:p>
    <w:p w14:paraId="0C966000">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0" w:firstLineChars="0"/>
        <w:jc w:val="left"/>
        <w:textAlignment w:val="auto"/>
      </w:pPr>
      <w:r>
        <w:rPr>
          <w:rFonts w:hint="eastAsia"/>
          <w:lang w:val="en-US" w:eastAsia="zh-CN"/>
        </w:rPr>
        <w:t>5.2.1需满足</w:t>
      </w:r>
      <w:r>
        <w:rPr>
          <w:rFonts w:hint="eastAsia"/>
        </w:rPr>
        <w:t>修建性详细规划设计与初步设计</w:t>
      </w:r>
      <w:r>
        <w:rPr>
          <w:rFonts w:hint="eastAsia"/>
          <w:lang w:val="en-US" w:eastAsia="zh-CN"/>
        </w:rPr>
        <w:t>相关要求</w:t>
      </w:r>
      <w:r>
        <w:rPr>
          <w:rFonts w:hint="eastAsia"/>
        </w:rPr>
        <w:t>，含总平面设计、竖向标高设计、交通道路广场设计、景观绿化设计、总平面管线综合设计、土方平衡计算与设计，在符合规划部门批复意见前提下，可合理优化布局：</w:t>
      </w:r>
    </w:p>
    <w:p w14:paraId="18A68DE9">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rPr>
      </w:pPr>
      <w:r>
        <w:rPr>
          <w:rFonts w:hint="eastAsia"/>
          <w:lang w:val="en-US" w:eastAsia="zh-CN"/>
        </w:rPr>
        <w:t>5</w:t>
      </w:r>
      <w:r>
        <w:t>.</w:t>
      </w:r>
      <w:r>
        <w:rPr>
          <w:rFonts w:hint="eastAsia"/>
          <w:lang w:val="en-US" w:eastAsia="zh-CN"/>
        </w:rPr>
        <w:t>2</w:t>
      </w:r>
      <w:r>
        <w:t>.</w:t>
      </w:r>
      <w:r>
        <w:rPr>
          <w:rFonts w:hint="eastAsia"/>
          <w:lang w:val="en-US" w:eastAsia="zh-CN"/>
        </w:rPr>
        <w:t>2</w:t>
      </w:r>
      <w:r>
        <w:rPr>
          <w:rFonts w:hint="eastAsia"/>
        </w:rPr>
        <w:t>基本设计要求</w:t>
      </w:r>
    </w:p>
    <w:p w14:paraId="4FC65AE9">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default"/>
          <w:lang w:val="en-US" w:eastAsia="zh-CN"/>
        </w:rPr>
        <w:t>(1)</w:t>
      </w:r>
      <w:r>
        <w:rPr>
          <w:rFonts w:hint="eastAsia"/>
        </w:rPr>
        <w:t>完成汇总各层总体平面图（包括地下各层、总平面图等）；</w:t>
      </w:r>
    </w:p>
    <w:p w14:paraId="6BFD5E98">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default"/>
          <w:lang w:val="en-US" w:eastAsia="zh-CN"/>
        </w:rPr>
        <w:t>(2)</w:t>
      </w:r>
      <w:r>
        <w:rPr>
          <w:rFonts w:hint="eastAsia"/>
        </w:rPr>
        <w:t>在满足当地规划设计指标的前提下，结合动线需求，充分利用土地；</w:t>
      </w:r>
    </w:p>
    <w:p w14:paraId="0623F288">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default"/>
          <w:lang w:val="en-US" w:eastAsia="zh-CN"/>
        </w:rPr>
        <w:t>(3)</w:t>
      </w:r>
      <w:r>
        <w:rPr>
          <w:rFonts w:hint="eastAsia"/>
        </w:rPr>
        <w:t>总平面布置应综合考虑</w:t>
      </w:r>
      <w:r>
        <w:rPr>
          <w:rFonts w:hint="eastAsia"/>
          <w:lang w:eastAsia="zh-CN"/>
        </w:rPr>
        <w:t>塔楼和裙楼的合理布置</w:t>
      </w:r>
      <w:r>
        <w:rPr>
          <w:rFonts w:hint="eastAsia"/>
        </w:rPr>
        <w:t>。</w:t>
      </w:r>
    </w:p>
    <w:p w14:paraId="67AA64A9">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default"/>
          <w:lang w:val="en-US" w:eastAsia="zh-CN"/>
        </w:rPr>
        <w:t>(4)</w:t>
      </w:r>
      <w:r>
        <w:rPr>
          <w:rFonts w:hint="eastAsia"/>
        </w:rPr>
        <w:t>应结合朝向、周围环境合理地组织自然通风和景观，同时处理好区域内外的水、电、通信等市政设施的衔接；</w:t>
      </w:r>
    </w:p>
    <w:p w14:paraId="59609307">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default"/>
          <w:lang w:val="en-US" w:eastAsia="zh-CN"/>
        </w:rPr>
        <w:t>(5)</w:t>
      </w:r>
      <w:r>
        <w:rPr>
          <w:rFonts w:hint="eastAsia"/>
        </w:rPr>
        <w:t>建筑布局应适应气候特点，满足通风、采光、遮阳、防水等功能使用要求；</w:t>
      </w:r>
    </w:p>
    <w:p w14:paraId="6E1A5E59">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default"/>
          <w:lang w:val="en-US" w:eastAsia="zh-CN"/>
        </w:rPr>
        <w:t>(6)</w:t>
      </w:r>
      <w:r>
        <w:rPr>
          <w:rFonts w:hint="eastAsia"/>
        </w:rPr>
        <w:t>总平面设计应符合无障碍设计要求，并应符合现行行业标准《建筑与市政工程无障碍通用规范》（</w:t>
      </w:r>
      <w:r>
        <w:t>GB55019-2021</w:t>
      </w:r>
      <w:r>
        <w:rPr>
          <w:rFonts w:hint="eastAsia"/>
        </w:rPr>
        <w:t>）的有关规定；</w:t>
      </w:r>
    </w:p>
    <w:p w14:paraId="6CFC7363">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default"/>
          <w:lang w:val="en-US" w:eastAsia="zh-CN"/>
        </w:rPr>
        <w:t>(7)</w:t>
      </w:r>
      <w:r>
        <w:rPr>
          <w:rFonts w:hint="eastAsia"/>
        </w:rPr>
        <w:t>建筑退让间距，建筑间距，退界应按照《广州市城乡规划技术规定》的要求执行且应满足地保办相关要求。</w:t>
      </w:r>
    </w:p>
    <w:p w14:paraId="723735F1">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w:t>
      </w:r>
      <w:r>
        <w:t>.</w:t>
      </w:r>
      <w:r>
        <w:rPr>
          <w:rFonts w:hint="eastAsia"/>
          <w:lang w:val="en-US" w:eastAsia="zh-CN"/>
        </w:rPr>
        <w:t>2</w:t>
      </w:r>
      <w:r>
        <w:t>.</w:t>
      </w:r>
      <w:r>
        <w:rPr>
          <w:rFonts w:hint="eastAsia"/>
          <w:lang w:val="en-US" w:eastAsia="zh-CN"/>
        </w:rPr>
        <w:t>3</w:t>
      </w:r>
      <w:r>
        <w:rPr>
          <w:rFonts w:hint="eastAsia"/>
        </w:rPr>
        <w:t>竖向设计</w:t>
      </w:r>
    </w:p>
    <w:p w14:paraId="39EC717D">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default"/>
          <w:lang w:val="en-US" w:eastAsia="zh-CN"/>
        </w:rPr>
        <w:t>(1)</w:t>
      </w:r>
      <w:r>
        <w:rPr>
          <w:rFonts w:hint="eastAsia"/>
          <w:lang w:eastAsia="zh-CN"/>
        </w:rPr>
        <w:t>项目</w:t>
      </w:r>
      <w:r>
        <w:rPr>
          <w:rFonts w:hint="eastAsia"/>
        </w:rPr>
        <w:t>室外道路标高原则上不低于周边市政道路中心标高，如有特殊场地情况需确保周边雨水不倒灌进场地内，满足当地规划要求；</w:t>
      </w:r>
    </w:p>
    <w:p w14:paraId="355B04BE">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default"/>
          <w:lang w:val="en-US" w:eastAsia="zh-CN"/>
        </w:rPr>
        <w:t>(2)</w:t>
      </w:r>
      <w:r>
        <w:rPr>
          <w:rFonts w:hint="eastAsia"/>
          <w:lang w:eastAsia="zh-CN"/>
        </w:rPr>
        <w:t>项目</w:t>
      </w:r>
      <w:r>
        <w:rPr>
          <w:rFonts w:hint="eastAsia"/>
        </w:rPr>
        <w:t>出入口坡度根据实际道路情况与设计方案进一步确定</w:t>
      </w:r>
      <w:r>
        <w:rPr>
          <w:rFonts w:hint="eastAsia"/>
          <w:lang w:eastAsia="zh-CN"/>
        </w:rPr>
        <w:t>；</w:t>
      </w:r>
    </w:p>
    <w:p w14:paraId="62E2DA09">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default"/>
          <w:lang w:val="en-US" w:eastAsia="zh-CN"/>
        </w:rPr>
        <w:t>(3)</w:t>
      </w:r>
      <w:r>
        <w:rPr>
          <w:rFonts w:hint="eastAsia"/>
        </w:rPr>
        <w:t>装卸货区坡度不大于2</w:t>
      </w:r>
      <w:r>
        <w:t>.0%</w:t>
      </w:r>
      <w:r>
        <w:rPr>
          <w:rFonts w:hint="eastAsia"/>
        </w:rPr>
        <w:t>；</w:t>
      </w:r>
    </w:p>
    <w:p w14:paraId="3FDBD704">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default"/>
          <w:lang w:val="en-US" w:eastAsia="zh-CN"/>
        </w:rPr>
        <w:t>(4)</w:t>
      </w:r>
      <w:r>
        <w:rPr>
          <w:rFonts w:hint="eastAsia"/>
        </w:rPr>
        <w:t>室外叉车坡道坡度不大于</w:t>
      </w:r>
      <w:r>
        <w:t>8%</w:t>
      </w:r>
      <w:r>
        <w:rPr>
          <w:rFonts w:hint="eastAsia"/>
        </w:rPr>
        <w:t>；</w:t>
      </w:r>
    </w:p>
    <w:p w14:paraId="1ABF4DF2">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rPr>
      </w:pPr>
      <w:r>
        <w:rPr>
          <w:rFonts w:hint="default"/>
          <w:lang w:val="en-US" w:eastAsia="zh-CN"/>
        </w:rPr>
        <w:t>(5)</w:t>
      </w:r>
      <w:r>
        <w:rPr>
          <w:rFonts w:hint="eastAsia"/>
        </w:rPr>
        <w:t>室外道路坡度不大于8</w:t>
      </w:r>
      <w:r>
        <w:t>%</w:t>
      </w:r>
      <w:r>
        <w:rPr>
          <w:rFonts w:hint="eastAsia"/>
        </w:rPr>
        <w:t>；</w:t>
      </w:r>
    </w:p>
    <w:p w14:paraId="221A51A5">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rPr>
      </w:pPr>
      <w:r>
        <w:rPr>
          <w:rFonts w:hint="default"/>
          <w:lang w:val="en-US" w:eastAsia="zh-CN"/>
        </w:rPr>
        <w:t>(6)</w:t>
      </w:r>
      <w:r>
        <w:rPr>
          <w:rFonts w:hint="eastAsia"/>
          <w:lang w:eastAsia="zh-CN"/>
        </w:rPr>
        <w:t>项目</w:t>
      </w:r>
      <w:r>
        <w:rPr>
          <w:rFonts w:hint="eastAsia"/>
        </w:rPr>
        <w:t>各功能区域的场地坡道应合理，满足功能及相关规划。</w:t>
      </w:r>
    </w:p>
    <w:p w14:paraId="41079E6D">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eastAsia="宋体"/>
          <w:lang w:eastAsia="zh-CN"/>
        </w:rPr>
      </w:pPr>
      <w:r>
        <w:rPr>
          <w:rFonts w:hint="default"/>
          <w:lang w:val="en-US" w:eastAsia="zh-CN"/>
        </w:rPr>
        <w:t>(7)</w:t>
      </w:r>
      <w:r>
        <w:rPr>
          <w:rFonts w:hint="eastAsia"/>
        </w:rPr>
        <w:t>各出入口应结合</w:t>
      </w:r>
      <w:r>
        <w:rPr>
          <w:rFonts w:hint="eastAsia"/>
          <w:lang w:eastAsia="zh-CN"/>
        </w:rPr>
        <w:t>场地流线</w:t>
      </w:r>
      <w:r>
        <w:rPr>
          <w:rFonts w:hint="eastAsia"/>
        </w:rPr>
        <w:t>设计合理进行竖向设计，适当调整室内标高，以适应变化较大的地形</w:t>
      </w:r>
      <w:r>
        <w:rPr>
          <w:rFonts w:hint="eastAsia"/>
          <w:lang w:eastAsia="zh-CN"/>
        </w:rPr>
        <w:t>。</w:t>
      </w:r>
    </w:p>
    <w:p w14:paraId="7C403FB6">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lang w:eastAsia="zh-CN"/>
        </w:rPr>
      </w:pPr>
      <w:r>
        <w:rPr>
          <w:rFonts w:hint="default"/>
          <w:lang w:val="en-US" w:eastAsia="zh-CN"/>
        </w:rPr>
        <w:t>(8)</w:t>
      </w:r>
      <w:r>
        <w:rPr>
          <w:rFonts w:hint="eastAsia"/>
        </w:rPr>
        <w:t>需要解决好场地排水问题、坡道及无障碍设计</w:t>
      </w:r>
      <w:r>
        <w:rPr>
          <w:rFonts w:hint="eastAsia"/>
          <w:lang w:eastAsia="zh-CN"/>
        </w:rPr>
        <w:t>。</w:t>
      </w:r>
    </w:p>
    <w:p w14:paraId="4ED17E00">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default"/>
          <w:lang w:val="en-US" w:eastAsia="zh-CN"/>
        </w:rPr>
      </w:pPr>
      <w:r>
        <w:rPr>
          <w:rFonts w:hint="default"/>
          <w:lang w:val="en-US" w:eastAsia="zh-CN"/>
        </w:rPr>
        <w:t>(</w:t>
      </w:r>
      <w:r>
        <w:rPr>
          <w:rFonts w:hint="eastAsia"/>
          <w:lang w:val="en-US" w:eastAsia="zh-CN"/>
        </w:rPr>
        <w:t>9</w:t>
      </w:r>
      <w:r>
        <w:rPr>
          <w:rFonts w:hint="default"/>
          <w:lang w:val="en-US" w:eastAsia="zh-CN"/>
        </w:rPr>
        <w:t>)</w:t>
      </w:r>
      <w:r>
        <w:rPr>
          <w:rFonts w:hint="eastAsia"/>
        </w:rPr>
        <w:t>需</w:t>
      </w:r>
      <w:r>
        <w:rPr>
          <w:rFonts w:hint="eastAsia"/>
          <w:lang w:val="en-US" w:eastAsia="zh-CN"/>
        </w:rPr>
        <w:t>处理好与地铁接口、换乘通道的衔接及高度问题。</w:t>
      </w:r>
    </w:p>
    <w:p w14:paraId="0E16C7C7">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w:t>
      </w:r>
      <w:r>
        <w:t>.</w:t>
      </w:r>
      <w:r>
        <w:rPr>
          <w:rFonts w:hint="eastAsia"/>
          <w:lang w:val="en-US" w:eastAsia="zh-CN"/>
        </w:rPr>
        <w:t>2.4</w:t>
      </w:r>
      <w:r>
        <w:rPr>
          <w:rFonts w:hint="eastAsia"/>
        </w:rPr>
        <w:t>流线设计</w:t>
      </w:r>
    </w:p>
    <w:p w14:paraId="74A10E78">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default"/>
          <w:lang w:val="en-US" w:eastAsia="zh-CN"/>
        </w:rPr>
        <w:t>(1)</w:t>
      </w:r>
      <w:r>
        <w:rPr>
          <w:rFonts w:hint="eastAsia"/>
        </w:rPr>
        <w:t>交通组织便捷、经济、合理，道路网络层次适当，架构清晰，衔接合理。</w:t>
      </w:r>
    </w:p>
    <w:p w14:paraId="1624C340">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default"/>
          <w:lang w:val="en-US" w:eastAsia="zh-CN"/>
        </w:rPr>
        <w:t>(2)</w:t>
      </w:r>
      <w:r>
        <w:rPr>
          <w:rFonts w:hint="eastAsia"/>
          <w:lang w:eastAsia="zh-CN"/>
        </w:rPr>
        <w:t>场地</w:t>
      </w:r>
      <w:r>
        <w:rPr>
          <w:rFonts w:hint="eastAsia"/>
        </w:rPr>
        <w:t>内道路应基于交通流量分析进行优化设计，确保</w:t>
      </w:r>
      <w:r>
        <w:rPr>
          <w:rFonts w:hint="eastAsia"/>
          <w:lang w:eastAsia="zh-CN"/>
        </w:rPr>
        <w:t>场地</w:t>
      </w:r>
      <w:r>
        <w:rPr>
          <w:rFonts w:hint="eastAsia"/>
        </w:rPr>
        <w:t>内部交通顺畅，提供车流及人流交通分析图。</w:t>
      </w:r>
    </w:p>
    <w:p w14:paraId="0F573803">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default"/>
          <w:lang w:val="en-US" w:eastAsia="zh-CN"/>
        </w:rPr>
        <w:t>(3)</w:t>
      </w:r>
      <w:r>
        <w:rPr>
          <w:rFonts w:hint="eastAsia"/>
        </w:rPr>
        <w:t>装卸货区域、道路宽度、转弯半径均应满足规范及物流车辆的要求。</w:t>
      </w:r>
    </w:p>
    <w:p w14:paraId="4E010994">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default"/>
          <w:lang w:val="en-US" w:eastAsia="zh-CN"/>
        </w:rPr>
        <w:t>(4)</w:t>
      </w:r>
      <w:r>
        <w:rPr>
          <w:rFonts w:hint="eastAsia"/>
        </w:rPr>
        <w:t>消防车道宽度、转弯半径满足规范要求，确保消防车道的环通。</w:t>
      </w:r>
    </w:p>
    <w:p w14:paraId="4BC7C4FA">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default"/>
          <w:lang w:val="en-US" w:eastAsia="zh-CN"/>
        </w:rPr>
        <w:t>(5)</w:t>
      </w:r>
      <w:r>
        <w:t>地面</w:t>
      </w:r>
      <w:r>
        <w:rPr>
          <w:rFonts w:hint="eastAsia"/>
        </w:rPr>
        <w:t>机动车</w:t>
      </w:r>
      <w:r>
        <w:rPr>
          <w:rFonts w:hint="eastAsia"/>
          <w:lang w:eastAsia="zh-CN"/>
        </w:rPr>
        <w:t>、</w:t>
      </w:r>
      <w:r>
        <w:rPr>
          <w:rFonts w:hint="eastAsia"/>
          <w:lang w:val="en-US" w:eastAsia="zh-CN"/>
        </w:rPr>
        <w:t>电动自行车</w:t>
      </w:r>
      <w:r>
        <w:rPr>
          <w:rFonts w:hint="eastAsia"/>
        </w:rPr>
        <w:t>停车位可结合</w:t>
      </w:r>
      <w:r>
        <w:t>景观设计</w:t>
      </w:r>
      <w:r>
        <w:rPr>
          <w:rFonts w:hint="eastAsia"/>
        </w:rPr>
        <w:t>。</w:t>
      </w:r>
    </w:p>
    <w:p w14:paraId="3A01665B">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lang w:val="en-US" w:eastAsia="zh-CN"/>
        </w:rPr>
      </w:pPr>
      <w:r>
        <w:rPr>
          <w:rFonts w:hint="default"/>
          <w:lang w:val="en-US" w:eastAsia="zh-CN"/>
        </w:rPr>
        <w:t>(6)</w:t>
      </w:r>
      <w:r>
        <w:rPr>
          <w:rFonts w:hint="eastAsia"/>
        </w:rPr>
        <w:t>重点组织好各种交通流线设计：各出入流线应独立设置，尽量避免相互干扰。货流、客流及人流、车流应区分有序，符合日常使用要求。</w:t>
      </w:r>
    </w:p>
    <w:p w14:paraId="357A8EAF">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rPr>
      </w:pPr>
      <w:r>
        <w:rPr>
          <w:rFonts w:hint="eastAsia"/>
          <w:lang w:val="en-US" w:eastAsia="zh-CN"/>
        </w:rPr>
        <w:t>5</w:t>
      </w:r>
      <w:r>
        <w:t>.</w:t>
      </w:r>
      <w:r>
        <w:rPr>
          <w:rFonts w:hint="eastAsia"/>
          <w:lang w:val="en-US" w:eastAsia="zh-CN"/>
        </w:rPr>
        <w:t>2.5</w:t>
      </w:r>
      <w:r>
        <w:rPr>
          <w:rFonts w:hint="eastAsia"/>
        </w:rPr>
        <w:t>管网综合</w:t>
      </w:r>
    </w:p>
    <w:p w14:paraId="702E2CE4">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default"/>
          <w:lang w:val="en-US" w:eastAsia="zh-CN"/>
        </w:rPr>
        <w:t>(1)</w:t>
      </w:r>
      <w:r>
        <w:rPr>
          <w:rFonts w:hint="eastAsia"/>
        </w:rPr>
        <w:t>需解决好室外管线综合问题，使各种管线均满足设计要求。</w:t>
      </w:r>
    </w:p>
    <w:p w14:paraId="0E86EF2B">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default"/>
          <w:lang w:val="en-US" w:eastAsia="zh-CN"/>
        </w:rPr>
        <w:t>(2)</w:t>
      </w:r>
      <w:r>
        <w:rPr>
          <w:rFonts w:hint="eastAsia"/>
        </w:rPr>
        <w:t>各建筑主要出入口处不得设置通风竖井、检查井等设施。</w:t>
      </w:r>
    </w:p>
    <w:p w14:paraId="2DC2AEDA">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default"/>
          <w:lang w:val="en-US" w:eastAsia="zh-CN"/>
        </w:rPr>
        <w:t>(3)</w:t>
      </w:r>
      <w:r>
        <w:rPr>
          <w:rFonts w:hint="eastAsia"/>
        </w:rPr>
        <w:t>需注明场外管线接入点的位置标高。</w:t>
      </w:r>
    </w:p>
    <w:p w14:paraId="72787E49">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default"/>
          <w:lang w:val="en-US" w:eastAsia="zh-CN"/>
        </w:rPr>
        <w:t>(4)</w:t>
      </w:r>
      <w:r>
        <w:rPr>
          <w:rFonts w:hint="eastAsia"/>
          <w:lang w:eastAsia="zh-CN"/>
        </w:rPr>
        <w:t>场地</w:t>
      </w:r>
      <w:r>
        <w:rPr>
          <w:rFonts w:hint="eastAsia"/>
        </w:rPr>
        <w:t>内污水、雨水管网具有良好的收集及排放功能，确保</w:t>
      </w:r>
      <w:r>
        <w:rPr>
          <w:rFonts w:hint="eastAsia"/>
          <w:lang w:eastAsia="zh-CN"/>
        </w:rPr>
        <w:t>场地</w:t>
      </w:r>
      <w:r>
        <w:rPr>
          <w:rFonts w:hint="eastAsia"/>
        </w:rPr>
        <w:t>内道路和停车场不产生积水现象；与外部污水、雨水管网的连接必须能有效地排出场地内的污水及雨水；</w:t>
      </w:r>
    </w:p>
    <w:p w14:paraId="0825DE00">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rPr>
      </w:pPr>
      <w:r>
        <w:rPr>
          <w:rFonts w:hint="default"/>
          <w:lang w:val="en-US" w:eastAsia="zh-CN"/>
        </w:rPr>
        <w:t>(5)</w:t>
      </w:r>
      <w:r>
        <w:rPr>
          <w:rFonts w:hint="eastAsia"/>
        </w:rPr>
        <w:t>室外消火栓位置不能影响日常使用，应尽量设置在绿化带内，设在路面上的消火栓应设置防撞措施。</w:t>
      </w:r>
    </w:p>
    <w:p w14:paraId="004124D4">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rPr>
      </w:pPr>
    </w:p>
    <w:p w14:paraId="299895C5">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lang w:val="en-US" w:eastAsia="zh-CN"/>
        </w:rPr>
      </w:pPr>
      <w:r>
        <w:rPr>
          <w:rFonts w:hint="eastAsia"/>
          <w:lang w:val="en-US" w:eastAsia="zh-CN"/>
        </w:rPr>
        <w:t>5.3地下部分要求</w:t>
      </w:r>
    </w:p>
    <w:p w14:paraId="789DF60E">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5.3.1</w:t>
      </w:r>
      <w:r>
        <w:rPr>
          <w:rFonts w:hint="eastAsia"/>
        </w:rPr>
        <w:t>地库可考虑按</w:t>
      </w:r>
      <w:r>
        <w:rPr>
          <w:rFonts w:hint="eastAsia"/>
          <w:lang w:val="en-US" w:eastAsia="zh-CN"/>
        </w:rPr>
        <w:t>预留二期</w:t>
      </w:r>
      <w:r>
        <w:rPr>
          <w:rFonts w:hint="eastAsia"/>
        </w:rPr>
        <w:t>连通设计，流线不应有交叉，巡视系统简洁、清晰；</w:t>
      </w:r>
    </w:p>
    <w:p w14:paraId="7145A9EA">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5.3.2</w:t>
      </w:r>
      <w:r>
        <w:rPr>
          <w:rFonts w:hint="eastAsia"/>
        </w:rPr>
        <w:t>行车路线的组织应满足便捷、顺畅的要求；</w:t>
      </w:r>
    </w:p>
    <w:p w14:paraId="255D80EC">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lang w:val="en-US" w:eastAsia="zh-CN"/>
        </w:rPr>
      </w:pPr>
      <w:r>
        <w:rPr>
          <w:rFonts w:hint="eastAsia"/>
          <w:lang w:val="en-US" w:eastAsia="zh-CN"/>
        </w:rPr>
        <w:t>5.3.3地下空间考虑与地铁连接。</w:t>
      </w:r>
    </w:p>
    <w:p w14:paraId="1BF7A7CF">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default"/>
          <w:lang w:val="en-US" w:eastAsia="zh-CN"/>
        </w:rPr>
      </w:pPr>
    </w:p>
    <w:p w14:paraId="441BF0FB">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lang w:val="en-US" w:eastAsia="zh-CN"/>
        </w:rPr>
      </w:pPr>
      <w:r>
        <w:rPr>
          <w:rFonts w:hint="eastAsia"/>
          <w:lang w:val="en-US" w:eastAsia="zh-CN"/>
        </w:rPr>
        <w:t>5.4建筑设计要求</w:t>
      </w:r>
    </w:p>
    <w:p w14:paraId="7F7029AA">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5.4.1</w:t>
      </w:r>
      <w:r>
        <w:rPr>
          <w:rFonts w:hint="eastAsia"/>
        </w:rPr>
        <w:t>建筑设计要体现</w:t>
      </w:r>
      <w:r>
        <w:t>绿色生态</w:t>
      </w:r>
      <w:r>
        <w:rPr>
          <w:rFonts w:hint="eastAsia"/>
        </w:rPr>
        <w:t>理念</w:t>
      </w:r>
      <w:r>
        <w:rPr>
          <w:rFonts w:hint="eastAsia"/>
          <w:lang w:eastAsia="zh-CN"/>
        </w:rPr>
        <w:t>、创新发展理念、先进科技理念</w:t>
      </w:r>
      <w:r>
        <w:rPr>
          <w:rFonts w:hint="eastAsia"/>
        </w:rPr>
        <w:t>，应具有</w:t>
      </w:r>
      <w:r>
        <w:t>现代科技</w:t>
      </w:r>
      <w:r>
        <w:rPr>
          <w:rFonts w:hint="eastAsia"/>
        </w:rPr>
        <w:t>元素</w:t>
      </w:r>
      <w:r>
        <w:rPr>
          <w:rFonts w:hint="eastAsia"/>
          <w:lang w:eastAsia="zh-CN"/>
        </w:rPr>
        <w:t>、产业元素</w:t>
      </w:r>
      <w:r>
        <w:rPr>
          <w:rFonts w:hint="eastAsia"/>
        </w:rPr>
        <w:t>，充分体现</w:t>
      </w:r>
      <w:r>
        <w:rPr>
          <w:rFonts w:hint="eastAsia"/>
          <w:lang w:val="en-US" w:eastAsia="zh-CN"/>
        </w:rPr>
        <w:t>天河门户</w:t>
      </w:r>
      <w:r>
        <w:rPr>
          <w:rFonts w:hint="eastAsia"/>
        </w:rPr>
        <w:t>的</w:t>
      </w:r>
      <w:r>
        <w:rPr>
          <w:rFonts w:hint="eastAsia"/>
          <w:lang w:val="en-US" w:eastAsia="zh-CN"/>
        </w:rPr>
        <w:t>未来科技</w:t>
      </w:r>
      <w:r>
        <w:rPr>
          <w:rFonts w:hint="eastAsia"/>
        </w:rPr>
        <w:t>形象，让</w:t>
      </w:r>
      <w:r>
        <w:rPr>
          <w:rFonts w:hint="eastAsia"/>
          <w:lang w:val="en-US" w:eastAsia="zh-CN"/>
        </w:rPr>
        <w:t>产业园</w:t>
      </w:r>
      <w:r>
        <w:rPr>
          <w:rFonts w:hint="eastAsia"/>
        </w:rPr>
        <w:t>综合体与</w:t>
      </w:r>
      <w:r>
        <w:rPr>
          <w:rFonts w:hint="eastAsia"/>
          <w:lang w:val="en-US" w:eastAsia="zh-CN"/>
        </w:rPr>
        <w:t>南侧山体公园和地铁地下空间融</w:t>
      </w:r>
      <w:r>
        <w:rPr>
          <w:rFonts w:hint="eastAsia"/>
        </w:rPr>
        <w:t>为一体</w:t>
      </w:r>
      <w:r>
        <w:rPr>
          <w:rFonts w:hint="eastAsia"/>
          <w:lang w:eastAsia="zh-CN"/>
        </w:rPr>
        <w:t>，</w:t>
      </w:r>
      <w:r>
        <w:rPr>
          <w:rFonts w:hint="eastAsia"/>
        </w:rPr>
        <w:t>使</w:t>
      </w:r>
      <w:r>
        <w:t>客户和使用人群体会</w:t>
      </w:r>
      <w:r>
        <w:rPr>
          <w:rFonts w:hint="eastAsia"/>
          <w:lang w:val="en-US" w:eastAsia="zh-CN"/>
        </w:rPr>
        <w:t>未来科技城市形象</w:t>
      </w:r>
      <w:r>
        <w:rPr>
          <w:rFonts w:hint="eastAsia"/>
        </w:rPr>
        <w:t>、</w:t>
      </w:r>
      <w:r>
        <w:t>符合目标客群实际需求</w:t>
      </w:r>
      <w:r>
        <w:rPr>
          <w:rFonts w:hint="eastAsia"/>
        </w:rPr>
        <w:t>；</w:t>
      </w:r>
    </w:p>
    <w:p w14:paraId="116DAB20">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5.4.2</w:t>
      </w:r>
      <w:r>
        <w:rPr>
          <w:rFonts w:hint="eastAsia"/>
        </w:rPr>
        <w:t>建筑间距应符合《广州市城乡规划技术规定》有关要求，需满足我国现行建筑设计、建筑防火等规范要求，消防和防火安全间距应在本用地红线内落实；</w:t>
      </w:r>
    </w:p>
    <w:p w14:paraId="4CAC55D6">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5.4.3</w:t>
      </w:r>
      <w:r>
        <w:rPr>
          <w:rFonts w:hint="eastAsia"/>
        </w:rPr>
        <w:t>建筑设计标准：设计使用年限</w:t>
      </w:r>
      <w:r>
        <w:t>50年，建筑耐火等级按照《建筑设计防火规范》（GB50016-2018）要求执行，建筑公共区域的设计满足无障碍建筑设计要求</w:t>
      </w:r>
      <w:r>
        <w:rPr>
          <w:rFonts w:hint="eastAsia"/>
        </w:rPr>
        <w:t>；</w:t>
      </w:r>
    </w:p>
    <w:p w14:paraId="243BFAD0">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5.4.4</w:t>
      </w:r>
      <w:r>
        <w:rPr>
          <w:rFonts w:hint="eastAsia"/>
        </w:rPr>
        <w:t>根据规划设计条件完善建筑设计方案、建筑功能划分，细化流线设计及竖向设计；</w:t>
      </w:r>
    </w:p>
    <w:p w14:paraId="024C31FC">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5.4.5</w:t>
      </w:r>
      <w:r>
        <w:rPr>
          <w:rFonts w:hint="eastAsia"/>
        </w:rPr>
        <w:t>建筑外立面上，</w:t>
      </w:r>
      <w:r>
        <w:rPr>
          <w:rFonts w:hint="eastAsia"/>
          <w:lang w:val="en-US" w:eastAsia="zh-CN"/>
        </w:rPr>
        <w:t>整体建筑造型现代简洁，</w:t>
      </w:r>
      <w:r>
        <w:rPr>
          <w:rFonts w:hint="eastAsia"/>
        </w:rPr>
        <w:t>塑造标志性的空间形象，凸显2112工园天河北门户的标志性；实现一座创新、活跃、高效、便捷的产业服务综合体；</w:t>
      </w:r>
    </w:p>
    <w:p w14:paraId="514055E3">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5.4.6项目</w:t>
      </w:r>
      <w:r>
        <w:rPr>
          <w:rFonts w:hint="eastAsia"/>
        </w:rPr>
        <w:t>分区明确，流线清晰，合理布置功能布局，主要流线应该避免交叉，满足使用要求；巧妙合理组织空间序列，注重</w:t>
      </w:r>
      <w:r>
        <w:rPr>
          <w:rFonts w:hint="eastAsia"/>
          <w:lang w:val="en-US" w:eastAsia="zh-CN"/>
        </w:rPr>
        <w:t>空间</w:t>
      </w:r>
      <w:r>
        <w:rPr>
          <w:rFonts w:hint="eastAsia"/>
        </w:rPr>
        <w:t>设计；</w:t>
      </w:r>
    </w:p>
    <w:p w14:paraId="1B2E8254">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5.4.7</w:t>
      </w:r>
      <w:r>
        <w:rPr>
          <w:rFonts w:hint="eastAsia"/>
        </w:rPr>
        <w:t>停车配建：按照《广州市城乡规划技术规定》、《建设用地规划许可证》、规划条件及《广州市建设项目停车配建指标规定》核定，满足现行规范停车指标；</w:t>
      </w:r>
    </w:p>
    <w:p w14:paraId="6E8000CD">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5.4.8</w:t>
      </w:r>
      <w:r>
        <w:rPr>
          <w:rFonts w:hint="eastAsia"/>
        </w:rPr>
        <w:t>设计应全面考虑应设必设的设备机房、连廊、车道顶棚等必须满足报建建筑面积要求，不得出现‘规划验收后再实施</w:t>
      </w:r>
      <w:r>
        <w:t>’</w:t>
      </w:r>
      <w:r>
        <w:rPr>
          <w:rFonts w:hint="eastAsia"/>
        </w:rPr>
        <w:t>字样。</w:t>
      </w:r>
    </w:p>
    <w:p w14:paraId="358C9EDA">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default" w:eastAsia="宋体"/>
          <w:lang w:val="en-US" w:eastAsia="zh-CN"/>
        </w:rPr>
      </w:pPr>
      <w:r>
        <w:rPr>
          <w:rFonts w:hint="eastAsia"/>
          <w:lang w:val="en-US" w:eastAsia="zh-CN"/>
        </w:rPr>
        <w:t>5.4.9</w:t>
      </w:r>
      <w:r>
        <w:rPr>
          <w:rFonts w:hint="eastAsia"/>
        </w:rPr>
        <w:t>建筑与各专业之间协调配合</w:t>
      </w:r>
      <w:r>
        <w:rPr>
          <w:rFonts w:hint="eastAsia"/>
          <w:lang w:eastAsia="zh-CN"/>
        </w:rPr>
        <w:t>，</w:t>
      </w:r>
      <w:r>
        <w:rPr>
          <w:rFonts w:hint="eastAsia"/>
        </w:rPr>
        <w:t>充分考虑空调</w:t>
      </w:r>
      <w:r>
        <w:rPr>
          <w:rFonts w:hint="eastAsia"/>
          <w:lang w:eastAsia="zh-CN"/>
        </w:rPr>
        <w:t>、</w:t>
      </w:r>
      <w:r>
        <w:rPr>
          <w:rFonts w:hint="eastAsia"/>
          <w:lang w:val="en-US" w:eastAsia="zh-CN"/>
        </w:rPr>
        <w:t>消防灯</w:t>
      </w:r>
      <w:r>
        <w:rPr>
          <w:rFonts w:hint="eastAsia"/>
        </w:rPr>
        <w:t>设备的土建条件；</w:t>
      </w:r>
      <w:r>
        <w:rPr>
          <w:rFonts w:hint="eastAsia"/>
          <w:lang w:val="en-US" w:eastAsia="zh-CN"/>
        </w:rPr>
        <w:t>做好预留设计，</w:t>
      </w:r>
    </w:p>
    <w:p w14:paraId="3DA96C55">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rPr>
        <w:t>各种管道后的天花净高满足使用要求；</w:t>
      </w:r>
    </w:p>
    <w:p w14:paraId="64E7B9C3">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5.4.10</w:t>
      </w:r>
      <w:r>
        <w:t>避免在高低压电房，开关房，信息机房等各类设备用房上方设置厕所等易漏水功能用房，避免各类排水管穿越设备用房。</w:t>
      </w:r>
    </w:p>
    <w:p w14:paraId="2D2FA028">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p>
    <w:p w14:paraId="57F9AAF3">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lang w:val="en-US" w:eastAsia="zh-CN"/>
        </w:rPr>
      </w:pPr>
      <w:r>
        <w:rPr>
          <w:rFonts w:hint="eastAsia"/>
          <w:lang w:val="en-US" w:eastAsia="zh-CN"/>
        </w:rPr>
        <w:t>5.5结构设计要求</w:t>
      </w:r>
    </w:p>
    <w:p w14:paraId="6066389E">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5.5.1</w:t>
      </w:r>
      <w:r>
        <w:rPr>
          <w:rFonts w:hint="eastAsia"/>
        </w:rPr>
        <w:t>结构设计基准期为50年，结构设计使用年限为50年。</w:t>
      </w:r>
    </w:p>
    <w:p w14:paraId="35C6CD0A">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lang w:eastAsia="zh-CN"/>
        </w:rPr>
      </w:pPr>
      <w:r>
        <w:rPr>
          <w:rFonts w:hint="eastAsia"/>
          <w:lang w:val="en-US" w:eastAsia="zh-CN"/>
        </w:rPr>
        <w:t>5.5.2</w:t>
      </w:r>
      <w:r>
        <w:rPr>
          <w:rFonts w:hint="eastAsia"/>
        </w:rPr>
        <w:t>荷载取值标准应满足国家规范要求，工业功能区域的荷载取值标准应满足《广东省高标准厂房设计规范》（DBJ/T15-235-2021)的要求</w:t>
      </w:r>
      <w:r>
        <w:rPr>
          <w:rFonts w:hint="eastAsia"/>
          <w:lang w:eastAsia="zh-CN"/>
        </w:rPr>
        <w:t>。</w:t>
      </w:r>
    </w:p>
    <w:p w14:paraId="45B5B5FF">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5.5.3</w:t>
      </w:r>
      <w:r>
        <w:rPr>
          <w:rFonts w:hint="eastAsia"/>
        </w:rPr>
        <w:t>具体抗震等级应根据具体部位的设防类别、烈度、结构类型和建筑高度确定。抗震设防类别按现行《建筑工程抗震设防分类标准》GB50223取值；抗震设防烈度、地震加速度、设计地震分组按现行《建筑抗震设计规范》GB50011并综合考虑确定；设计特征周期、建筑场地类别按地勘报告确定。</w:t>
      </w:r>
    </w:p>
    <w:p w14:paraId="282D1E84">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5.5.4</w:t>
      </w:r>
      <w:r>
        <w:rPr>
          <w:rFonts w:hint="eastAsia"/>
        </w:rPr>
        <w:t>风荷载按</w:t>
      </w:r>
      <w:r>
        <w:rPr>
          <w:rFonts w:hint="eastAsia"/>
          <w:lang w:val="en-US" w:eastAsia="zh-CN"/>
        </w:rPr>
        <w:t>现行《建筑结构荷载规范》</w:t>
      </w:r>
      <w:r>
        <w:rPr>
          <w:rFonts w:hint="eastAsia"/>
        </w:rPr>
        <w:t>的基本风压取值。</w:t>
      </w:r>
    </w:p>
    <w:p w14:paraId="28E391D9">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eastAsia="宋体"/>
          <w:lang w:val="en-US" w:eastAsia="zh-CN"/>
        </w:rPr>
      </w:pPr>
      <w:r>
        <w:rPr>
          <w:rFonts w:hint="eastAsia"/>
          <w:lang w:val="en-US" w:eastAsia="zh-CN"/>
        </w:rPr>
        <w:t>5.5.5</w:t>
      </w:r>
      <w:r>
        <w:rPr>
          <w:rFonts w:hint="eastAsia"/>
        </w:rPr>
        <w:t>结构平面布置要求安全、经济、合理，在确保质量安全的前提下最大限度地满足使用功能的要求；竖向和水平构件布置应尽可能为空间的灵活分隔和连通创造可能性</w:t>
      </w:r>
      <w:r>
        <w:rPr>
          <w:rFonts w:hint="eastAsia"/>
          <w:lang w:val="en-US" w:eastAsia="zh-CN"/>
        </w:rPr>
        <w:t>。</w:t>
      </w:r>
    </w:p>
    <w:p w14:paraId="1C766251">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5.5.6</w:t>
      </w:r>
      <w:r>
        <w:rPr>
          <w:rFonts w:hint="eastAsia"/>
        </w:rPr>
        <w:t>结构设计应充分考虑广州地区建筑物抗震设防的特点，选择对抗震有利的结构体系，力求受力合理、安全可靠、舒适环保、节能、美观、经济耐用。建筑结构材料合理采用高性能混凝土、高强度钢筋。结构设计应阐述对特殊施工条件及验收标准的要求。</w:t>
      </w:r>
    </w:p>
    <w:p w14:paraId="637B3965">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5.5.7</w:t>
      </w:r>
      <w:r>
        <w:rPr>
          <w:rFonts w:hint="eastAsia"/>
        </w:rPr>
        <w:t>在确保工程质量与安全，对工期和工程造价影响不大的前提下，结构设计应积极采用和推广成熟的新结构、新技术、新材料和新工艺。建筑公共区域的设计满足无障碍建筑设计要求。应针对本项目特点具体地在设计文件中应注明涉及危大工程的重点部位和环节，提出保障工程周边环境安全和工程施工安全的意见，明确要有专项施工方案。</w:t>
      </w:r>
    </w:p>
    <w:p w14:paraId="2BD9D72A">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5.5.8</w:t>
      </w:r>
      <w:r>
        <w:rPr>
          <w:rFonts w:hint="eastAsia"/>
        </w:rPr>
        <w:t>进行结构计算时，所使用的软件应通过有关部门的鉴定，计算软件的技术条件应符合现行工程建设标准的规定。当结构体系复杂时，结构分析采用不少于两个不同的力学模型的软件进行计算，并对其计算结果分析比较，确认合理有效后方可用于工程设计。</w:t>
      </w:r>
    </w:p>
    <w:p w14:paraId="533AA1A0">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5.5.9</w:t>
      </w:r>
      <w:r>
        <w:rPr>
          <w:rFonts w:hint="eastAsia"/>
        </w:rPr>
        <w:t>对于复杂结构，如转换层、大悬臂、大跨度、重大施工荷载和集中荷载等应进行必要的有限元分析。</w:t>
      </w:r>
    </w:p>
    <w:p w14:paraId="06030D87">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5.5.10基础设计：</w:t>
      </w:r>
      <w:r>
        <w:rPr>
          <w:rFonts w:hint="eastAsia"/>
        </w:rPr>
        <w:t>应充分考虑地基处理及基坑支护、基础设计</w:t>
      </w:r>
      <w:r>
        <w:rPr>
          <w:rFonts w:hint="eastAsia"/>
          <w:lang w:val="en-US" w:eastAsia="zh-CN"/>
        </w:rPr>
        <w:t>之间的影响</w:t>
      </w:r>
      <w:r>
        <w:rPr>
          <w:rFonts w:hint="eastAsia"/>
        </w:rPr>
        <w:t>。基础设计必须根据审查合格的工程地质详细勘察报告和物探报告进行。基础选型应根据工程地质和水文条件、建筑体型、荷载分布情况、施工条件，选择经济合理的基础形式。设计单位应提供基础选型报告供建设单位决策，基础选型报告应分析</w:t>
      </w:r>
      <w:r>
        <w:t>3种可行的基础方案，并分别进行结构计算及配筋设计、工期及造价分析。</w:t>
      </w:r>
      <w:r>
        <w:rPr>
          <w:rFonts w:hint="eastAsia"/>
        </w:rPr>
        <w:t>溶洞及地基处理方案需设计单位组织专家论证，相关费用已包含在合同设计费总额。</w:t>
      </w:r>
    </w:p>
    <w:p w14:paraId="5A8F403E">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5.5.11主体结构设计：</w:t>
      </w:r>
      <w:r>
        <w:t>设计单位应根据建筑体型、荷载分布情况选择经济合理的结构形式，并提交主体结构选型分析报告供建设单位决策。主体结构选型报告应包括以下内容：地下室楼盖选型分析（梁板结构、加腋大板等对比分析）、地下室底板及地下室侧壁厚度和配筋的对比分析、地下室抗拔方案对比分析、地上主体结构布置及层间位移角计算分析等。</w:t>
      </w:r>
    </w:p>
    <w:p w14:paraId="6242EA0A">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5.5.12</w:t>
      </w:r>
      <w:r>
        <w:rPr>
          <w:rFonts w:hint="eastAsia"/>
        </w:rPr>
        <w:t>基坑支护设计</w:t>
      </w:r>
      <w:r>
        <w:rPr>
          <w:rFonts w:hint="eastAsia"/>
          <w:lang w:eastAsia="zh-CN"/>
        </w:rPr>
        <w:t>：</w:t>
      </w:r>
      <w:r>
        <w:rPr>
          <w:rFonts w:hint="eastAsia"/>
        </w:rPr>
        <w:t>应在确保基坑支护安全的条件下，做到经济合理、节约工期</w:t>
      </w:r>
      <w:r>
        <w:rPr>
          <w:rFonts w:hint="eastAsia"/>
          <w:lang w:eastAsia="zh-CN"/>
        </w:rPr>
        <w:t>、</w:t>
      </w:r>
      <w:r>
        <w:rPr>
          <w:rFonts w:hint="eastAsia"/>
          <w:lang w:val="en-US" w:eastAsia="zh-CN"/>
        </w:rPr>
        <w:t>就近选材</w:t>
      </w:r>
      <w:r>
        <w:rPr>
          <w:rFonts w:hint="eastAsia"/>
        </w:rPr>
        <w:t>。乙方应结合工期因素的考虑，方案设计阶段应提供3个方案进行比选，尽快完成稳定的基坑支护方案，完成设计与评审工作，提供建设单位用于基坑支护工程施工。设计单位应组织基坑支护设计专家评审会，相关费用已包含在合同设计费总额之中。</w:t>
      </w:r>
    </w:p>
    <w:p w14:paraId="48CF8ABB">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5.5.13</w:t>
      </w:r>
      <w:r>
        <w:rPr>
          <w:rFonts w:hint="eastAsia"/>
        </w:rPr>
        <w:t>如有需要，应配合进行超限建筑工程抗震设防专项审查。</w:t>
      </w:r>
    </w:p>
    <w:p w14:paraId="57380BDB">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5.5.14基坑设计、基础</w:t>
      </w:r>
      <w:r>
        <w:rPr>
          <w:rFonts w:hint="eastAsia"/>
        </w:rPr>
        <w:t>选型设计</w:t>
      </w:r>
      <w:r>
        <w:rPr>
          <w:rFonts w:hint="eastAsia"/>
          <w:lang w:eastAsia="zh-CN"/>
        </w:rPr>
        <w:t>、</w:t>
      </w:r>
      <w:r>
        <w:rPr>
          <w:rFonts w:hint="eastAsia"/>
          <w:lang w:val="en-US" w:eastAsia="zh-CN"/>
        </w:rPr>
        <w:t>上部结构设计需考虑</w:t>
      </w:r>
      <w:r>
        <w:rPr>
          <w:rFonts w:hint="eastAsia"/>
        </w:rPr>
        <w:t>施工时尽量减少对周围环境影响。</w:t>
      </w:r>
    </w:p>
    <w:p w14:paraId="2831DC4A">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5.5.15</w:t>
      </w:r>
      <w:r>
        <w:rPr>
          <w:rFonts w:hint="eastAsia"/>
        </w:rPr>
        <w:t>设计中应高度重视与建筑、设备专业以及施工单位的密切配合。专业间修改要知会其余专业，严防设计成果与其余专业发生矛盾和争议。在确定梁柱截面及其布置时，结构专业应与其它专业充分协商，应提供发包人确认。</w:t>
      </w:r>
    </w:p>
    <w:p w14:paraId="2037C6DB">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5.5.16</w:t>
      </w:r>
      <w:r>
        <w:rPr>
          <w:rFonts w:hint="eastAsia"/>
        </w:rPr>
        <w:t>根据发包人招商引进的意向单位使用要求，核定生产设备是否满足楼板荷载要求，结构体系应安全可靠，经济合理。设计应尽可能采用成熟技术和工艺。建筑物设计及建设必须符合技术先进、安全适用、经济合理、确保质量的基本要求。</w:t>
      </w:r>
    </w:p>
    <w:p w14:paraId="453E9581">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5.5.17</w:t>
      </w:r>
      <w:r>
        <w:rPr>
          <w:rFonts w:hint="eastAsia"/>
        </w:rPr>
        <w:t>提交勘</w:t>
      </w:r>
      <w:r>
        <w:rPr>
          <w:rFonts w:hint="eastAsia"/>
          <w:lang w:val="en-US" w:eastAsia="zh-CN"/>
        </w:rPr>
        <w:t>察</w:t>
      </w:r>
      <w:r>
        <w:rPr>
          <w:rFonts w:hint="eastAsia"/>
        </w:rPr>
        <w:t>及超前钻</w:t>
      </w:r>
      <w:r>
        <w:rPr>
          <w:rFonts w:hint="eastAsia"/>
          <w:lang w:eastAsia="zh-CN"/>
        </w:rPr>
        <w:t>（</w:t>
      </w:r>
      <w:r>
        <w:rPr>
          <w:rFonts w:hint="eastAsia"/>
          <w:lang w:val="en-US" w:eastAsia="zh-CN"/>
        </w:rPr>
        <w:t>如有）</w:t>
      </w:r>
      <w:r>
        <w:rPr>
          <w:rFonts w:hint="eastAsia"/>
        </w:rPr>
        <w:t>布孔图</w:t>
      </w:r>
      <w:r>
        <w:rPr>
          <w:rFonts w:hint="eastAsia"/>
          <w:lang w:eastAsia="zh-CN"/>
        </w:rPr>
        <w:t>、</w:t>
      </w:r>
      <w:r>
        <w:rPr>
          <w:rFonts w:hint="eastAsia"/>
        </w:rPr>
        <w:t>技术要求；钻孔坐标位置。</w:t>
      </w:r>
    </w:p>
    <w:p w14:paraId="5B29FE60">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5.5.18</w:t>
      </w:r>
      <w:r>
        <w:rPr>
          <w:rFonts w:hint="eastAsia"/>
        </w:rPr>
        <w:t>满足配合设备的结构荷载和尺寸规格的设计要求。</w:t>
      </w:r>
      <w:r>
        <w:t>应考虑大型设备后期安装运输通道荷载。</w:t>
      </w:r>
    </w:p>
    <w:p w14:paraId="4AA09AF1">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rPr>
      </w:pPr>
    </w:p>
    <w:p w14:paraId="7F1585BA">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lang w:val="en-US" w:eastAsia="zh-CN"/>
        </w:rPr>
      </w:pPr>
      <w:r>
        <w:rPr>
          <w:rFonts w:hint="eastAsia"/>
          <w:lang w:val="en-US" w:eastAsia="zh-CN"/>
        </w:rPr>
        <w:t>5.6给排水设计要求</w:t>
      </w:r>
    </w:p>
    <w:p w14:paraId="155EB2FE">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480" w:firstLineChars="200"/>
        <w:jc w:val="left"/>
        <w:textAlignment w:val="auto"/>
      </w:pPr>
      <w:r>
        <w:rPr>
          <w:rFonts w:hint="eastAsia"/>
        </w:rPr>
        <w:t>包括但不限于本项目用地范围内室内外给排水系统设计（包括建筑给水、中水、排水、热水系统等，首选市政水压直接供水，后用加压用水）、用地内与市政管道的接驳、路由等满足通水的所有设计、消防给水系统设计、气体消防设计等，同时须满足海绵城市设计相关要求。</w:t>
      </w:r>
    </w:p>
    <w:p w14:paraId="711BF1ED">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5.6.1</w:t>
      </w:r>
      <w:r>
        <w:rPr>
          <w:rFonts w:hint="eastAsia"/>
        </w:rPr>
        <w:t>建筑给水排水设计应设室内外给排水及消防给水系统，以满足生活、空调、冲洗道路和绿化、及消防用水的要求。</w:t>
      </w:r>
    </w:p>
    <w:p w14:paraId="2D506ED4">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5.6.2</w:t>
      </w:r>
      <w:r>
        <w:rPr>
          <w:rFonts w:hint="eastAsia"/>
        </w:rPr>
        <w:t xml:space="preserve">根据城市排水体制，生活污水与雨水分系统排入市政污水管道与雨水管道，生活污水中的粪水经室外化粪池处理后排至市政污水管道，厨房餐饮污水经隔油处理达到《城市污水排放标准》后排至室外污水管道；并根据环保要求统筹设计仓库的污水处理系统，以满足相关部门排放要求。 </w:t>
      </w:r>
    </w:p>
    <w:p w14:paraId="446F7602">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5.6.3</w:t>
      </w:r>
      <w:r>
        <w:rPr>
          <w:rFonts w:hint="eastAsia"/>
        </w:rPr>
        <w:t>采用节水型卫生器具。绿化灌溉宜采用滴灌、微灌、渗灌或管灌等节水浇灌方式，以满足绿色建筑设计要求。</w:t>
      </w:r>
    </w:p>
    <w:p w14:paraId="71551B52">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5.6.4</w:t>
      </w:r>
      <w:r>
        <w:rPr>
          <w:rFonts w:hint="eastAsia"/>
        </w:rPr>
        <w:t>建筑设备选型应考虑技术先进、维护方便、经济合理的原则；体现科技、环保、可持续发展的理念。</w:t>
      </w:r>
    </w:p>
    <w:p w14:paraId="5D0D69D8">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5.6.5</w:t>
      </w:r>
      <w:r>
        <w:rPr>
          <w:rFonts w:hint="eastAsia"/>
        </w:rPr>
        <w:t>根据国家有关规范和广东省标准及所提供的资料对消防系统进行设计，包括室外消火栓系统、室内消火栓系统、自动喷水灭火系统、大空间智能型主动喷水灭火系统、气体灭火系统和建筑灭火器配置设计。</w:t>
      </w:r>
    </w:p>
    <w:p w14:paraId="5DC45C85">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5.6.6</w:t>
      </w:r>
      <w:r>
        <w:rPr>
          <w:rFonts w:hint="eastAsia"/>
        </w:rPr>
        <w:t>应充分考虑物业管理和经营模式，以利于系统的设计能满足日后的计量及使用管理要求。</w:t>
      </w:r>
    </w:p>
    <w:p w14:paraId="36D89925">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5.6.7</w:t>
      </w:r>
      <w:r>
        <w:rPr>
          <w:rFonts w:hint="eastAsia"/>
        </w:rPr>
        <w:t>涉及移交相关部门的配建工程（</w:t>
      </w:r>
      <w:r>
        <w:rPr>
          <w:rFonts w:hint="eastAsia"/>
          <w:lang w:val="en-US" w:eastAsia="zh-CN"/>
        </w:rPr>
        <w:t>防护</w:t>
      </w:r>
      <w:r>
        <w:rPr>
          <w:rFonts w:hint="eastAsia"/>
        </w:rPr>
        <w:t>绿地</w:t>
      </w:r>
      <w:r>
        <w:rPr>
          <w:rFonts w:hint="eastAsia"/>
          <w:lang w:val="en-US" w:eastAsia="zh-CN"/>
        </w:rPr>
        <w:t>及公园绿地</w:t>
      </w:r>
      <w:r>
        <w:rPr>
          <w:rFonts w:hint="eastAsia"/>
        </w:rPr>
        <w:t>），应有独立对接自来水公司计量。</w:t>
      </w:r>
    </w:p>
    <w:p w14:paraId="36DDE848">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rPr>
      </w:pPr>
      <w:r>
        <w:rPr>
          <w:rFonts w:hint="eastAsia"/>
          <w:lang w:val="en-US" w:eastAsia="zh-CN"/>
        </w:rPr>
        <w:t>5.6.8</w:t>
      </w:r>
      <w:r>
        <w:rPr>
          <w:rFonts w:hint="eastAsia"/>
        </w:rPr>
        <w:t>优化海绵城市建设要求，优化雨水调蓄设施建造标准、位置选择、降低成本。</w:t>
      </w:r>
    </w:p>
    <w:p w14:paraId="4A43C8D4">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rPr>
      </w:pPr>
    </w:p>
    <w:p w14:paraId="798B43C2">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5.7电气、弱电智能化设计要求</w:t>
      </w:r>
    </w:p>
    <w:p w14:paraId="5FFBEFD0">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480" w:firstLineChars="200"/>
        <w:jc w:val="left"/>
        <w:textAlignment w:val="auto"/>
      </w:pPr>
      <w:r>
        <w:rPr>
          <w:rFonts w:hint="eastAsia"/>
        </w:rPr>
        <w:t>本电气及弱电智能化设计范围包括但不限于项目各主体工程、总平面的电气设计，及建筑智能化工程。包含本项目高低压变配电的设计、永久/临时用电，具体包括：变配电系统</w:t>
      </w:r>
      <w:r>
        <w:rPr>
          <w:rFonts w:hint="eastAsia"/>
          <w:lang w:eastAsia="zh-CN"/>
        </w:rPr>
        <w:t>（</w:t>
      </w:r>
      <w:r>
        <w:rPr>
          <w:rFonts w:hint="eastAsia"/>
        </w:rPr>
        <w:t>生产动力配电、消防动力系统）、动力系统、照明配电系统、消防应急照明和疏散指示系统、消防电气系统、道路照明工程及提供市政电源接入条件和路口预留、管廊预留、永久/临时用电、提供高低压配电土建预留空间（须由专业设计单位深化的，分包单位须经建设单位确认）。</w:t>
      </w:r>
    </w:p>
    <w:p w14:paraId="7EF43D66">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5.7.1</w:t>
      </w:r>
      <w:r>
        <w:rPr>
          <w:rFonts w:hint="eastAsia"/>
        </w:rPr>
        <w:t>强电系统设计需按物流工艺规划及生产需求进行设计，并满足供电局批复意见要求进行设计。强电系统设计应能满足日后用电增容的可能性,在负荷估算的基础上，应预留高压柜位置、变压器位置及低压柜位置供日后增容使用。</w:t>
      </w:r>
    </w:p>
    <w:p w14:paraId="0EB0727B">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5.7.2</w:t>
      </w:r>
      <w:r>
        <w:rPr>
          <w:rFonts w:hint="eastAsia"/>
        </w:rPr>
        <w:t>以市电网电力为主要能源。根据供电局批复意见要求进行设计，由市电网引来双回路电源，配备备用及应急电源系统。要求：确定供电负荷级别,负荷估算（包括照明、办公生产设备动力、空调、弱电部分）；变、配电所及设备位置、数量、容量设置合理。</w:t>
      </w:r>
    </w:p>
    <w:p w14:paraId="511E67FC">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5.7.3</w:t>
      </w:r>
      <w:r>
        <w:rPr>
          <w:rFonts w:hint="eastAsia"/>
        </w:rPr>
        <w:t>应采用适宜的照明设备，高效节能。涉及发包人后续深化设计的区域需结合实际使用及未来发展需求预留足够用电。</w:t>
      </w:r>
    </w:p>
    <w:p w14:paraId="1354D40B">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5.7.4</w:t>
      </w:r>
      <w:r>
        <w:rPr>
          <w:rFonts w:hint="eastAsia"/>
        </w:rPr>
        <w:t xml:space="preserve">负责分布式光伏发电应用设计（如有），并配合相关审批流程。 </w:t>
      </w:r>
    </w:p>
    <w:p w14:paraId="4B54B4AB">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5.7.5</w:t>
      </w:r>
      <w:r>
        <w:rPr>
          <w:rFonts w:hint="eastAsia"/>
        </w:rPr>
        <w:t>充分考虑各单体建筑的功能定位做好日后发展用电预留设计。综合考虑在强电设计上的智慧能源管理系统应用。</w:t>
      </w:r>
    </w:p>
    <w:p w14:paraId="67C1E2D2">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5.7.6</w:t>
      </w:r>
      <w:r>
        <w:rPr>
          <w:rFonts w:hint="eastAsia"/>
        </w:rPr>
        <w:t>合理配置层强弱电间的设置，足够设备线路空间，并有一定的富余，减少线路损耗。合理设置紧急开关位置。</w:t>
      </w:r>
    </w:p>
    <w:p w14:paraId="6D92B5F2">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5.7.7</w:t>
      </w:r>
      <w:r>
        <w:rPr>
          <w:rFonts w:hint="eastAsia"/>
        </w:rPr>
        <w:t>按规划条件或土地出让条件做好充电桩设计。</w:t>
      </w:r>
    </w:p>
    <w:p w14:paraId="7AF694C5">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5.7.8</w:t>
      </w:r>
      <w:r>
        <w:rPr>
          <w:rFonts w:hint="eastAsia"/>
        </w:rPr>
        <w:t>变配电所设备布置在满足供电局要求前提下尽量节约造价（如缩短密集母线长度），不能片面追求机房布置的舒适性。变配电所平面布置，优先考虑节省面积（关系到气体消防造价），对于机房内部的无用空间尽量用墙体分隔到机房以外，由建筑考虑其它用途或列为备用间。</w:t>
      </w:r>
    </w:p>
    <w:p w14:paraId="7E14FA6E">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5.7.9</w:t>
      </w:r>
      <w:r>
        <w:rPr>
          <w:rFonts w:hint="eastAsia"/>
        </w:rPr>
        <w:t>涉及移交相关部门的配建工程（</w:t>
      </w:r>
      <w:r>
        <w:rPr>
          <w:rFonts w:hint="eastAsia"/>
          <w:lang w:val="en-US" w:eastAsia="zh-CN"/>
        </w:rPr>
        <w:t>防护</w:t>
      </w:r>
      <w:r>
        <w:rPr>
          <w:rFonts w:hint="eastAsia"/>
        </w:rPr>
        <w:t>绿地</w:t>
      </w:r>
      <w:r>
        <w:rPr>
          <w:rFonts w:hint="eastAsia"/>
          <w:lang w:val="en-US" w:eastAsia="zh-CN"/>
        </w:rPr>
        <w:t>及公园绿地</w:t>
      </w:r>
      <w:r>
        <w:rPr>
          <w:rFonts w:hint="eastAsia"/>
        </w:rPr>
        <w:t>），应有独立对接供电局的计量电表。</w:t>
      </w:r>
    </w:p>
    <w:p w14:paraId="0CBC6924">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rPr>
      </w:pPr>
      <w:r>
        <w:rPr>
          <w:rFonts w:hint="eastAsia"/>
          <w:lang w:val="en-US" w:eastAsia="zh-CN"/>
        </w:rPr>
        <w:t>5.7.10</w:t>
      </w:r>
      <w:r>
        <w:rPr>
          <w:rFonts w:hint="eastAsia"/>
        </w:rPr>
        <w:t>设计符合信息化应用需求的智能化系统功能与智能化子系统，如视频监控系统、停车场管理系统、综合布线系统、计算机网络系统、能耗管理系统、机房工程、智能灯控系统、广播系统等建筑智能化工程等。</w:t>
      </w:r>
    </w:p>
    <w:p w14:paraId="623C71B2">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rPr>
      </w:pPr>
    </w:p>
    <w:p w14:paraId="0459CE49">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lang w:val="en-US" w:eastAsia="zh-CN"/>
        </w:rPr>
      </w:pPr>
      <w:r>
        <w:rPr>
          <w:rFonts w:hint="eastAsia"/>
          <w:lang w:val="en-US" w:eastAsia="zh-CN"/>
        </w:rPr>
        <w:t>5.8暖通设计要求</w:t>
      </w:r>
    </w:p>
    <w:p w14:paraId="5EF06E12">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5.8.1</w:t>
      </w:r>
      <w:r>
        <w:rPr>
          <w:rFonts w:hint="eastAsia"/>
        </w:rPr>
        <w:t>采暖通风与空气调节设计应符合现行《工业建筑供暖通风与空气调节设计规范》GB50019的规定。</w:t>
      </w:r>
    </w:p>
    <w:p w14:paraId="0D0B9366">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5.8.2</w:t>
      </w:r>
      <w:r>
        <w:rPr>
          <w:rFonts w:hint="eastAsia"/>
        </w:rPr>
        <w:t>防排烟系统设计应符合现行《建筑设计防火规范》GB50016和《建筑防烟排烟系统技术标准》GB51251的规定。</w:t>
      </w:r>
    </w:p>
    <w:p w14:paraId="165BD8BF">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5.8.3</w:t>
      </w:r>
      <w:r>
        <w:rPr>
          <w:rFonts w:hint="eastAsia"/>
        </w:rPr>
        <w:t>空调制冷及通风系统应设置独立的电量计量装置。</w:t>
      </w:r>
    </w:p>
    <w:p w14:paraId="32BE19E2">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rPr>
      </w:pPr>
      <w:r>
        <w:rPr>
          <w:rFonts w:hint="eastAsia"/>
          <w:lang w:val="en-US" w:eastAsia="zh-CN"/>
        </w:rPr>
        <w:t>5.8.4</w:t>
      </w:r>
      <w:r>
        <w:rPr>
          <w:rFonts w:hint="eastAsia"/>
        </w:rPr>
        <w:t>应充分考虑物业管理和经营模式，以利于系统的设计能满足日后的计量及使用管理要求。</w:t>
      </w:r>
    </w:p>
    <w:p w14:paraId="5ABFE3F5">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lang w:val="en-US" w:eastAsia="zh-CN"/>
        </w:rPr>
      </w:pPr>
      <w:r>
        <w:rPr>
          <w:rFonts w:hint="eastAsia"/>
          <w:lang w:val="en-US" w:eastAsia="zh-CN"/>
        </w:rPr>
        <w:t>5.8.5</w:t>
      </w:r>
      <w:r>
        <w:rPr>
          <w:rFonts w:hint="eastAsia"/>
        </w:rPr>
        <w:t>根据发包人招商引进的意向单位使用要求</w:t>
      </w:r>
      <w:r>
        <w:rPr>
          <w:rFonts w:hint="eastAsia"/>
          <w:lang w:val="en-US" w:eastAsia="zh-CN"/>
        </w:rPr>
        <w:t>进行设计或预留土建条件。</w:t>
      </w:r>
    </w:p>
    <w:p w14:paraId="6E260D12">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default"/>
          <w:lang w:val="en-US" w:eastAsia="zh-CN"/>
        </w:rPr>
      </w:pPr>
    </w:p>
    <w:p w14:paraId="430FA204">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lang w:val="en-US" w:eastAsia="zh-CN"/>
        </w:rPr>
      </w:pPr>
      <w:r>
        <w:rPr>
          <w:rFonts w:hint="eastAsia"/>
          <w:lang w:val="en-US" w:eastAsia="zh-CN"/>
        </w:rPr>
        <w:t>5.9消防设计要求</w:t>
      </w:r>
    </w:p>
    <w:p w14:paraId="1BCB82A9">
      <w:pPr>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ind w:right="0" w:rightChars="0"/>
        <w:jc w:val="left"/>
        <w:textAlignment w:val="auto"/>
        <w:rPr>
          <w:rFonts w:hint="eastAsia"/>
          <w:lang w:val="en-US" w:eastAsia="zh-CN"/>
        </w:rPr>
      </w:pPr>
      <w:r>
        <w:rPr>
          <w:rFonts w:hint="eastAsia"/>
          <w:lang w:val="en-US" w:eastAsia="zh-CN"/>
        </w:rPr>
        <w:t>5.9.1</w:t>
      </w:r>
      <w:r>
        <w:rPr>
          <w:rFonts w:hint="eastAsia"/>
        </w:rPr>
        <w:t>根据使用需求，满足现行各专业消防设计规范要求</w:t>
      </w:r>
      <w:r>
        <w:rPr>
          <w:rFonts w:hint="eastAsia"/>
          <w:lang w:val="en-US" w:eastAsia="zh-CN"/>
        </w:rPr>
        <w:t>.</w:t>
      </w:r>
    </w:p>
    <w:p w14:paraId="07FFCF92">
      <w:pPr>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ind w:right="0" w:rightChars="0"/>
        <w:jc w:val="left"/>
        <w:textAlignment w:val="auto"/>
      </w:pPr>
      <w:r>
        <w:rPr>
          <w:rFonts w:hint="eastAsia"/>
          <w:lang w:val="en-US" w:eastAsia="zh-CN"/>
        </w:rPr>
        <w:t>5.9.2</w:t>
      </w:r>
      <w:r>
        <w:rPr>
          <w:rFonts w:hint="eastAsia"/>
        </w:rPr>
        <w:t>建筑消防水池及消防泵房设在地下室，消防水泵房设甲级防火门并直通安全出口。</w:t>
      </w:r>
    </w:p>
    <w:p w14:paraId="3716E543">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5.9.3</w:t>
      </w:r>
      <w:r>
        <w:rPr>
          <w:rFonts w:hint="eastAsia"/>
        </w:rPr>
        <w:t>建筑物内走道、楼梯、安全出口宽度、安全出口数量及安全疏散距离均按消防有关规范设计。</w:t>
      </w:r>
    </w:p>
    <w:p w14:paraId="7F6DDEAB">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5.9.4</w:t>
      </w:r>
      <w:r>
        <w:rPr>
          <w:rFonts w:hint="eastAsia"/>
        </w:rPr>
        <w:t>各种构配件其燃烧性能及耐火极限均满足规范要求。</w:t>
      </w:r>
    </w:p>
    <w:p w14:paraId="7E11C3A4">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5.9.5</w:t>
      </w:r>
      <w:r>
        <w:rPr>
          <w:rFonts w:hint="eastAsia"/>
        </w:rPr>
        <w:t>其余按照《建筑设计防火规范》（2018年版）（GB50016-2014）及国家、地方等相关规范进行设计。</w:t>
      </w:r>
    </w:p>
    <w:p w14:paraId="2E08A3E4">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rPr>
      </w:pPr>
      <w:r>
        <w:rPr>
          <w:rFonts w:hint="eastAsia"/>
          <w:lang w:val="en-US" w:eastAsia="zh-CN"/>
        </w:rPr>
        <w:t>5.9.6</w:t>
      </w:r>
      <w:r>
        <w:rPr>
          <w:rFonts w:hint="eastAsia"/>
        </w:rPr>
        <w:t>消防设计应主动与当地消防部门及审图单位沟通，并根据消防部门、审图单位意见合理进行消防设计。</w:t>
      </w:r>
    </w:p>
    <w:p w14:paraId="11901F7A">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rPr>
      </w:pPr>
    </w:p>
    <w:p w14:paraId="0C84332D">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5.10景观设计要求</w:t>
      </w:r>
    </w:p>
    <w:p w14:paraId="74E541EA">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5.10.1</w:t>
      </w:r>
      <w:r>
        <w:rPr>
          <w:rFonts w:hint="eastAsia"/>
        </w:rPr>
        <w:t>景观环境空间设计应满足相关规范要求，包括室内外景观、绿化、出入口以及边坡景观灯设计。</w:t>
      </w:r>
    </w:p>
    <w:p w14:paraId="7AA8AF08">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5.10.2</w:t>
      </w:r>
      <w:r>
        <w:rPr>
          <w:rFonts w:hint="eastAsia"/>
        </w:rPr>
        <w:t>景观环境应充分考虑周边现状及各影响因素，在地形地貌的基础上，结合项目的交通设计、场地设计，形成区域环境有特色。并根据绿色建筑建设的要求选择适宜当地气候和土壤条件的乡土植物，便于后期管养。</w:t>
      </w:r>
    </w:p>
    <w:p w14:paraId="77A0A780">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5.10.3</w:t>
      </w:r>
      <w:r>
        <w:rPr>
          <w:rFonts w:hint="eastAsia"/>
        </w:rPr>
        <w:t>根据</w:t>
      </w:r>
      <w:r>
        <w:rPr>
          <w:rFonts w:hint="eastAsia"/>
          <w:lang w:eastAsia="zh-CN"/>
        </w:rPr>
        <w:t>项目</w:t>
      </w:r>
      <w:r>
        <w:rPr>
          <w:rFonts w:hint="eastAsia"/>
        </w:rPr>
        <w:t>的规划设计，形成结构清晰、完整、可达的车行道路。并具有明确的导向性。道路设计要严格按照规划及消防审批文件进行设计。人行步道系统应完整、便捷，符合人的行为习惯，与出入口便捷衔接。道路边的绿化种植及路面质地色彩的选择应具有韵律感和观赏性。</w:t>
      </w:r>
    </w:p>
    <w:p w14:paraId="4FF40920">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5.10.4</w:t>
      </w:r>
      <w:r>
        <w:rPr>
          <w:rFonts w:hint="eastAsia"/>
        </w:rPr>
        <w:t>在满足交通需求的同时，道路可形成重要的视线走廊，因此，要注意道路的对景和远景设计，以强化视线集中的观景。</w:t>
      </w:r>
    </w:p>
    <w:p w14:paraId="0ABEC892">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5.10.5</w:t>
      </w:r>
      <w:r>
        <w:rPr>
          <w:rFonts w:hint="eastAsia"/>
        </w:rPr>
        <w:t>道路设计要达到功能与美观并重。注意管井盖板、雨水口、路牙石等细节的处理。</w:t>
      </w:r>
    </w:p>
    <w:p w14:paraId="0AE8E467">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5.10.6</w:t>
      </w:r>
      <w:r>
        <w:rPr>
          <w:rFonts w:hint="eastAsia"/>
        </w:rPr>
        <w:t>充分考虑道路、停车位、隐性消防车道等对景观的影响。</w:t>
      </w:r>
    </w:p>
    <w:p w14:paraId="31F5E077">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5.10.7</w:t>
      </w:r>
      <w:r>
        <w:rPr>
          <w:rFonts w:hint="eastAsia"/>
        </w:rPr>
        <w:t xml:space="preserve">设计完整有效的雨水排水系统，满足自然排放要求，保证场地雨水顺利排除，且与周边现有的或规划的道路排水设施等标高相适应。 </w:t>
      </w:r>
    </w:p>
    <w:p w14:paraId="5A0E0FCC">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rPr>
      </w:pPr>
      <w:r>
        <w:rPr>
          <w:rFonts w:hint="eastAsia"/>
          <w:lang w:val="en-US" w:eastAsia="zh-CN"/>
        </w:rPr>
        <w:t>5.10.8</w:t>
      </w:r>
      <w:r>
        <w:rPr>
          <w:rFonts w:hint="eastAsia"/>
        </w:rPr>
        <w:t>.景观设计应当充分考虑景观自身和市政综合等的相关配套专业的配合协调，为后续的施工打好基础；杜绝因为配套协调的问题导致景观实施性出现问题和影响景观效果实现的状况发生。</w:t>
      </w:r>
    </w:p>
    <w:p w14:paraId="0267E529">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rPr>
      </w:pPr>
    </w:p>
    <w:p w14:paraId="077026C1">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lang w:val="en-US" w:eastAsia="zh-CN"/>
        </w:rPr>
      </w:pPr>
      <w:r>
        <w:rPr>
          <w:rFonts w:hint="eastAsia"/>
          <w:lang w:val="en-US" w:eastAsia="zh-CN"/>
        </w:rPr>
        <w:t>5.11绿色建筑要求</w:t>
      </w:r>
    </w:p>
    <w:p w14:paraId="22A50A36">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480" w:firstLineChars="200"/>
        <w:jc w:val="left"/>
        <w:textAlignment w:val="auto"/>
      </w:pPr>
      <w:r>
        <w:rPr>
          <w:rFonts w:hint="eastAsia"/>
        </w:rPr>
        <w:t>本项目绿色建筑设计须满足规划条件，</w:t>
      </w:r>
      <w:r>
        <w:t>满足《广州市绿色建筑发展专项规划（2021-2035年）》要求，根据专项规划图集的绿色建筑目标单元划定图，该地块位于基础目标单元</w:t>
      </w:r>
      <w:r>
        <w:rPr>
          <w:rFonts w:hint="eastAsia"/>
        </w:rPr>
        <w:t>。</w:t>
      </w:r>
    </w:p>
    <w:p w14:paraId="3933CA59">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5.11.1</w:t>
      </w:r>
      <w:r>
        <w:rPr>
          <w:rFonts w:hint="eastAsia"/>
        </w:rPr>
        <w:t>设计应遵循循环经济理念，尽可能参照绿色建筑要求应用新技术，采用新型节能环保材料，地块内的建筑都要达到绿色建筑标准的要求。鼓励建筑设计按《智能建筑设计标准（GB/T50314-2006）》的要求，采用 BIM 技术进行设计。</w:t>
      </w:r>
    </w:p>
    <w:p w14:paraId="20E9A36A">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lang w:eastAsia="zh-CN"/>
        </w:rPr>
      </w:pPr>
      <w:r>
        <w:rPr>
          <w:rFonts w:hint="eastAsia"/>
          <w:lang w:val="en-US" w:eastAsia="zh-CN"/>
        </w:rPr>
        <w:t>5.11.2</w:t>
      </w:r>
      <w:r>
        <w:rPr>
          <w:rFonts w:hint="eastAsia"/>
        </w:rPr>
        <w:t>规划方案及初步设计阶段应提交绿色建筑专篇</w:t>
      </w:r>
      <w:r>
        <w:rPr>
          <w:rFonts w:hint="eastAsia"/>
          <w:lang w:eastAsia="zh-CN"/>
        </w:rPr>
        <w:t>。</w:t>
      </w:r>
    </w:p>
    <w:p w14:paraId="0F435EC8">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rPr>
      </w:pPr>
      <w:r>
        <w:rPr>
          <w:rFonts w:hint="eastAsia"/>
          <w:lang w:val="en-US" w:eastAsia="zh-CN"/>
        </w:rPr>
        <w:t>5.11.3</w:t>
      </w:r>
      <w:r>
        <w:rPr>
          <w:rFonts w:hint="eastAsia"/>
        </w:rPr>
        <w:t>建筑立面设计鼓励采用被动节能措施，宜采用综合遮阳，挡板遮阳或垂直绿化遮阳等措施，不宜采用镜面反射玻璃或抛光金属板等材料。</w:t>
      </w:r>
    </w:p>
    <w:p w14:paraId="0E6ACFF4">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rPr>
      </w:pPr>
    </w:p>
    <w:p w14:paraId="5568E4E1">
      <w:pPr>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eastAsia" w:ascii="黑体" w:hAnsi="黑体" w:eastAsia="黑体" w:cs="黑体"/>
          <w:sz w:val="32"/>
          <w:szCs w:val="32"/>
        </w:rPr>
      </w:pPr>
      <w:bookmarkStart w:id="85" w:name="_Toc8548"/>
      <w:bookmarkStart w:id="86" w:name="_Toc10034"/>
      <w:bookmarkStart w:id="87" w:name="_Toc3786"/>
      <w:bookmarkStart w:id="88" w:name="_Toc27875"/>
    </w:p>
    <w:p w14:paraId="4E9225C6">
      <w:pPr>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eastAsia" w:ascii="黑体" w:hAnsi="黑体" w:eastAsia="黑体" w:cs="黑体"/>
          <w:sz w:val="32"/>
          <w:szCs w:val="32"/>
        </w:rPr>
      </w:pPr>
      <w:r>
        <w:rPr>
          <w:rFonts w:hint="eastAsia" w:ascii="黑体" w:hAnsi="黑体" w:eastAsia="黑体" w:cs="黑体"/>
          <w:sz w:val="32"/>
          <w:szCs w:val="32"/>
        </w:rPr>
        <w:t>第</w:t>
      </w:r>
      <w:r>
        <w:rPr>
          <w:rFonts w:hint="eastAsia" w:ascii="黑体" w:hAnsi="黑体" w:eastAsia="黑体" w:cs="黑体"/>
          <w:sz w:val="32"/>
          <w:szCs w:val="32"/>
          <w:lang w:eastAsia="zh-CN"/>
        </w:rPr>
        <w:t>六</w:t>
      </w:r>
      <w:r>
        <w:rPr>
          <w:rFonts w:hint="eastAsia" w:ascii="黑体" w:hAnsi="黑体" w:eastAsia="黑体" w:cs="黑体"/>
          <w:sz w:val="32"/>
          <w:szCs w:val="32"/>
        </w:rPr>
        <w:t>章</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设计成果及要求</w:t>
      </w:r>
      <w:bookmarkEnd w:id="85"/>
      <w:bookmarkEnd w:id="86"/>
      <w:bookmarkEnd w:id="87"/>
      <w:bookmarkEnd w:id="88"/>
    </w:p>
    <w:p w14:paraId="602CBF38">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lang w:val="en-US" w:eastAsia="zh-CN"/>
        </w:rPr>
      </w:pPr>
      <w:bookmarkStart w:id="89" w:name="_Toc31405"/>
      <w:bookmarkStart w:id="90" w:name="_Toc20924"/>
      <w:bookmarkStart w:id="91" w:name="_Toc7381"/>
      <w:r>
        <w:rPr>
          <w:rFonts w:hint="eastAsia"/>
          <w:lang w:val="en-US" w:eastAsia="zh-CN"/>
        </w:rPr>
        <w:t>6.1总体方案深化要求</w:t>
      </w:r>
      <w:bookmarkEnd w:id="89"/>
      <w:bookmarkEnd w:id="90"/>
      <w:bookmarkEnd w:id="91"/>
    </w:p>
    <w:p w14:paraId="00EE3025">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lang w:val="en-US" w:eastAsia="zh-CN"/>
        </w:rPr>
      </w:pPr>
      <w:r>
        <w:rPr>
          <w:rFonts w:hint="eastAsia"/>
          <w:lang w:val="en-US" w:eastAsia="zh-CN"/>
        </w:rPr>
        <w:t>6.1.1方案说明书应包括（但不限于）以下内容</w:t>
      </w:r>
    </w:p>
    <w:p w14:paraId="01B8BD33">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rPr>
        <w:t>（1）设计依据、设计要求以及主要经济技术指标（总用地面积、总建筑面积、容积率、绿地率、建筑密度、停车泊位数、主要建筑层数、层高和总高度等各项指标），根据不同的建筑功能，还应表述能反映工程规模的重要经济技术指标等；</w:t>
      </w:r>
    </w:p>
    <w:p w14:paraId="696BE373">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rPr>
        <w:t>（2）总平面设计说明，着重介绍</w:t>
      </w:r>
      <w:r>
        <w:rPr>
          <w:rFonts w:hint="eastAsia"/>
          <w:lang w:eastAsia="zh-CN"/>
        </w:rPr>
        <w:t>项目</w:t>
      </w:r>
      <w:r>
        <w:rPr>
          <w:rFonts w:hint="eastAsia"/>
        </w:rPr>
        <w:t>的功能区划分以及各种物流、人流、工艺流程和运输条件等；</w:t>
      </w:r>
    </w:p>
    <w:p w14:paraId="37647461">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rPr>
        <w:t>（3）单体建筑方案设计说明，着重介绍</w:t>
      </w:r>
      <w:r>
        <w:rPr>
          <w:rFonts w:hint="eastAsia"/>
          <w:lang w:eastAsia="zh-CN"/>
        </w:rPr>
        <w:t>单体内主要的功能分区（水平和垂直方向）</w:t>
      </w:r>
      <w:r>
        <w:rPr>
          <w:rFonts w:hint="eastAsia"/>
        </w:rPr>
        <w:t>，主要设备的配置和选型说明等；</w:t>
      </w:r>
    </w:p>
    <w:p w14:paraId="5F9A2C40">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rPr>
        <w:t>（4）</w:t>
      </w:r>
      <w:r>
        <w:rPr>
          <w:rFonts w:hint="eastAsia"/>
          <w:lang w:eastAsia="zh-CN"/>
        </w:rPr>
        <w:t>场地内</w:t>
      </w:r>
      <w:r>
        <w:rPr>
          <w:rFonts w:hint="eastAsia"/>
        </w:rPr>
        <w:t>景观的色系选择的方案说明，</w:t>
      </w:r>
      <w:r>
        <w:rPr>
          <w:rFonts w:hint="eastAsia"/>
          <w:lang w:eastAsia="zh-CN"/>
        </w:rPr>
        <w:t>场地内</w:t>
      </w:r>
      <w:r>
        <w:rPr>
          <w:rFonts w:hint="eastAsia"/>
        </w:rPr>
        <w:t>主景观与各功能区景观的协调，主色系与局部色彩的搭配方案等；</w:t>
      </w:r>
    </w:p>
    <w:p w14:paraId="47F766CF">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rPr>
        <w:t>（5）结构设计说明，包括结构形式和主材的选择、基础选型和上部</w:t>
      </w:r>
      <w:r>
        <w:rPr>
          <w:rFonts w:hint="eastAsia"/>
          <w:lang w:val="en-US" w:eastAsia="zh-CN"/>
        </w:rPr>
        <w:t>结构</w:t>
      </w:r>
      <w:r>
        <w:rPr>
          <w:rFonts w:hint="eastAsia"/>
        </w:rPr>
        <w:t>的选型等</w:t>
      </w:r>
    </w:p>
    <w:p w14:paraId="3C7D908C">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rPr>
        <w:t>（6）电气设计说明，包括强电和弱电的容量、配置方式、主要设备选型以及采用的主要技术措施等；</w:t>
      </w:r>
    </w:p>
    <w:p w14:paraId="192A0208">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rPr>
        <w:t>（7）给排水设计说明，包括给排水量、给排水方式、主要设备选型和水的二次利用方案等；</w:t>
      </w:r>
    </w:p>
    <w:p w14:paraId="282144A3">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rPr>
        <w:t>（8）采暖通风与空气调节说明，包括采暖通风的方式、主要设备选型、采用的技术以及一次投资费用和运行费用的测算等；</w:t>
      </w:r>
    </w:p>
    <w:p w14:paraId="7E546173">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rPr>
        <w:t>（9）</w:t>
      </w:r>
      <w:r>
        <w:rPr>
          <w:rFonts w:hint="eastAsia"/>
          <w:lang w:eastAsia="zh-CN"/>
        </w:rPr>
        <w:t>场地内</w:t>
      </w:r>
      <w:r>
        <w:rPr>
          <w:rFonts w:hint="eastAsia"/>
        </w:rPr>
        <w:t>的管网和信息化系统的设计说明等；</w:t>
      </w:r>
    </w:p>
    <w:p w14:paraId="12C376F6">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rPr>
        <w:t>（10）消防、环保、节能措施以及新技术、新工艺、新材料的应用说明等。</w:t>
      </w:r>
    </w:p>
    <w:p w14:paraId="3792DF26">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rPr>
        <w:t>（11）投资估算编制说明及投资估算表，包括主要经济技术指标的分析。投资估算应符合建设部有关投资估算编制的规定；</w:t>
      </w:r>
    </w:p>
    <w:p w14:paraId="391D1839">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rPr>
        <w:t>（12）本项目设计中须采用的专利技术和专有技术的情况说明（如果有）。</w:t>
      </w:r>
    </w:p>
    <w:p w14:paraId="711C0347">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lang w:val="en-US" w:eastAsia="zh-CN"/>
        </w:rPr>
      </w:pPr>
      <w:r>
        <w:rPr>
          <w:rFonts w:hint="eastAsia"/>
          <w:lang w:val="en-US" w:eastAsia="zh-CN"/>
        </w:rPr>
        <w:t>6.1.2方案深化图要求</w:t>
      </w:r>
    </w:p>
    <w:p w14:paraId="4A6069DB">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rPr>
        <w:t>方案设计图内容包括但不限于：</w:t>
      </w:r>
    </w:p>
    <w:p w14:paraId="00B178EE">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rPr>
        <w:t>（1）总平面布局图，包括</w:t>
      </w:r>
      <w:r>
        <w:rPr>
          <w:rFonts w:hint="eastAsia"/>
          <w:lang w:eastAsia="zh-CN"/>
        </w:rPr>
        <w:t>塔楼、裙房</w:t>
      </w:r>
      <w:r>
        <w:rPr>
          <w:rFonts w:hint="eastAsia"/>
        </w:rPr>
        <w:t>和周边的交通网络、景观和环境绿化等，要求注明建筑间距、边界尺寸、物流和人流的出入口和运输通道、道路和绿化带宽度尺寸、公辅配套等；</w:t>
      </w:r>
    </w:p>
    <w:p w14:paraId="1FE5382D">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rPr>
        <w:t>（2）道路交通运输流线图，包括人流和物流通行道路系统、停车场和停车位，各单体建筑人流和物流的出入口位置；</w:t>
      </w:r>
    </w:p>
    <w:p w14:paraId="41779AB5">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rPr>
        <w:t>（3）</w:t>
      </w:r>
      <w:r>
        <w:rPr>
          <w:rFonts w:hint="eastAsia"/>
          <w:lang w:eastAsia="zh-CN"/>
        </w:rPr>
        <w:t>场地内</w:t>
      </w:r>
      <w:r>
        <w:rPr>
          <w:rFonts w:hint="eastAsia"/>
        </w:rPr>
        <w:t>管网走向图；</w:t>
      </w:r>
    </w:p>
    <w:p w14:paraId="4148B401">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rPr>
        <w:t>（4）</w:t>
      </w:r>
      <w:r>
        <w:rPr>
          <w:rFonts w:hint="eastAsia"/>
          <w:lang w:eastAsia="zh-CN"/>
        </w:rPr>
        <w:t>场地内</w:t>
      </w:r>
      <w:r>
        <w:rPr>
          <w:rFonts w:hint="eastAsia"/>
        </w:rPr>
        <w:t>鸟瞰透视图及主要建筑物的效果图，要求采用电脑渲染图形式，色彩和质感准确，能够真实体现建筑物外观特色；</w:t>
      </w:r>
    </w:p>
    <w:p w14:paraId="6298F74E">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rPr>
        <w:t>（5）</w:t>
      </w:r>
      <w:r>
        <w:rPr>
          <w:rFonts w:hint="eastAsia"/>
          <w:lang w:eastAsia="zh-CN"/>
        </w:rPr>
        <w:t>场地内</w:t>
      </w:r>
      <w:r>
        <w:rPr>
          <w:rFonts w:hint="eastAsia"/>
        </w:rPr>
        <w:t>建筑物的立面图，平面布局图应能够体现</w:t>
      </w:r>
      <w:r>
        <w:rPr>
          <w:rFonts w:hint="eastAsia"/>
          <w:lang w:eastAsia="zh-CN"/>
        </w:rPr>
        <w:t>平面</w:t>
      </w:r>
      <w:r>
        <w:rPr>
          <w:rFonts w:hint="eastAsia"/>
        </w:rPr>
        <w:t>功能区的划分和</w:t>
      </w:r>
      <w:r>
        <w:rPr>
          <w:rFonts w:hint="eastAsia"/>
          <w:lang w:eastAsia="zh-CN"/>
        </w:rPr>
        <w:t>平面流线</w:t>
      </w:r>
      <w:r>
        <w:rPr>
          <w:rFonts w:hint="eastAsia"/>
        </w:rPr>
        <w:t>，立面图要能够反映建筑造型特点的有代表性的立面。</w:t>
      </w:r>
    </w:p>
    <w:p w14:paraId="03320B45">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val="en-US" w:eastAsia="zh-CN"/>
        </w:rPr>
        <w:t>6.1.3进度时间要求</w:t>
      </w:r>
    </w:p>
    <w:p w14:paraId="7FF24F97">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rPr>
      </w:pPr>
      <w:r>
        <w:rPr>
          <w:rFonts w:hint="eastAsia"/>
        </w:rPr>
        <w:t>方案深化时间（合同签订后）为</w:t>
      </w:r>
      <w:r>
        <w:rPr>
          <w:rFonts w:hint="eastAsia"/>
          <w:lang w:val="en-US" w:eastAsia="zh-CN"/>
        </w:rPr>
        <w:t>10个工作日</w:t>
      </w:r>
      <w:r>
        <w:rPr>
          <w:rFonts w:hint="eastAsia"/>
        </w:rPr>
        <w:t>内完成。</w:t>
      </w:r>
    </w:p>
    <w:p w14:paraId="7BBD46FA">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rPr>
      </w:pPr>
    </w:p>
    <w:p w14:paraId="7783D089">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lang w:val="en-US" w:eastAsia="zh-CN"/>
        </w:rPr>
      </w:pPr>
      <w:bookmarkStart w:id="92" w:name="_Toc8185"/>
      <w:bookmarkStart w:id="93" w:name="_Toc8567"/>
      <w:bookmarkStart w:id="94" w:name="_Toc1583"/>
      <w:r>
        <w:rPr>
          <w:rFonts w:hint="eastAsia"/>
          <w:lang w:val="en-US" w:eastAsia="zh-CN"/>
        </w:rPr>
        <w:t>6.2修建性详细规划要求</w:t>
      </w:r>
      <w:bookmarkEnd w:id="92"/>
      <w:bookmarkEnd w:id="93"/>
      <w:bookmarkEnd w:id="94"/>
    </w:p>
    <w:p w14:paraId="49655B83">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lang w:val="en-US" w:eastAsia="zh-CN"/>
        </w:rPr>
      </w:pPr>
      <w:r>
        <w:rPr>
          <w:rFonts w:hint="eastAsia"/>
          <w:lang w:val="en-US" w:eastAsia="zh-CN"/>
        </w:rPr>
        <w:t>6.2.1文件应包括（但不限于）以下内容</w:t>
      </w:r>
    </w:p>
    <w:p w14:paraId="4A17FAC6">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rPr>
        <w:t>（1）修建性详细规划说明及图纸（包括根据广州市修详通软件绘制的符合申报递交要求的电子文件）；</w:t>
      </w:r>
    </w:p>
    <w:p w14:paraId="5FADAEF5">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rPr>
        <w:t>（2）管网综合说明和附图。</w:t>
      </w:r>
    </w:p>
    <w:p w14:paraId="2669EDAC">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lang w:val="en-US" w:eastAsia="zh-CN"/>
        </w:rPr>
      </w:pPr>
      <w:r>
        <w:rPr>
          <w:rFonts w:hint="eastAsia"/>
          <w:lang w:val="en-US" w:eastAsia="zh-CN"/>
        </w:rPr>
        <w:t>6.2.2进度时间要求</w:t>
      </w:r>
    </w:p>
    <w:p w14:paraId="2C022D88">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rPr>
      </w:pPr>
      <w:r>
        <w:rPr>
          <w:rFonts w:hint="eastAsia"/>
        </w:rPr>
        <w:t>修建性详细规划设计时间（发包人确认方案后）为</w:t>
      </w:r>
      <w:r>
        <w:rPr>
          <w:rFonts w:hint="eastAsia"/>
          <w:lang w:val="en-US" w:eastAsia="zh-CN"/>
        </w:rPr>
        <w:t>5个工作日</w:t>
      </w:r>
      <w:r>
        <w:rPr>
          <w:rFonts w:hint="eastAsia"/>
        </w:rPr>
        <w:t>内完成。</w:t>
      </w:r>
    </w:p>
    <w:p w14:paraId="2670554D">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rPr>
      </w:pPr>
    </w:p>
    <w:p w14:paraId="55B55085">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lang w:val="en-US" w:eastAsia="zh-CN"/>
        </w:rPr>
      </w:pPr>
      <w:bookmarkStart w:id="95" w:name="_Toc8744"/>
      <w:bookmarkStart w:id="96" w:name="_Toc19551"/>
      <w:bookmarkStart w:id="97" w:name="_Toc28444"/>
      <w:r>
        <w:rPr>
          <w:rFonts w:hint="eastAsia"/>
          <w:lang w:val="en-US" w:eastAsia="zh-CN"/>
        </w:rPr>
        <w:t>6.3初步设计要求</w:t>
      </w:r>
      <w:bookmarkEnd w:id="95"/>
      <w:bookmarkEnd w:id="96"/>
      <w:bookmarkEnd w:id="97"/>
    </w:p>
    <w:p w14:paraId="049EFE0A">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lang w:val="en-US" w:eastAsia="zh-CN"/>
        </w:rPr>
      </w:pPr>
      <w:r>
        <w:rPr>
          <w:rFonts w:hint="eastAsia"/>
          <w:lang w:val="en-US" w:eastAsia="zh-CN"/>
        </w:rPr>
        <w:t>6.3.1设计深度和文件要求</w:t>
      </w:r>
    </w:p>
    <w:p w14:paraId="1862C8C6">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rPr>
        <w:t>工程设计各阶段深度要求应符合按建设部（2003）84号文件《建筑工程设计文件编制深度规定》的要求，设计应满足国家、地方和行业颁布的与本工程有关的现行规范、标准和规定的要求。</w:t>
      </w:r>
    </w:p>
    <w:p w14:paraId="12C18A5F">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rPr>
      </w:pPr>
      <w:r>
        <w:rPr>
          <w:rFonts w:hint="eastAsia"/>
        </w:rPr>
        <w:t>初步设计应组织通过专家评审会</w:t>
      </w:r>
      <w:r>
        <w:rPr>
          <w:rFonts w:hint="eastAsia"/>
          <w:lang w:eastAsia="zh-CN"/>
        </w:rPr>
        <w:t>，</w:t>
      </w:r>
      <w:r>
        <w:rPr>
          <w:rFonts w:hint="eastAsia"/>
        </w:rPr>
        <w:t>在完成审前，有关部门要求进行的设计修改或完善，均不属于发包人的设计变更，中标人须严格按照有关部门的要求进行修改和完善。</w:t>
      </w:r>
    </w:p>
    <w:p w14:paraId="2461F923">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lang w:val="en-US" w:eastAsia="zh-CN"/>
        </w:rPr>
      </w:pPr>
      <w:r>
        <w:rPr>
          <w:rFonts w:hint="eastAsia"/>
          <w:lang w:val="en-US" w:eastAsia="zh-CN"/>
        </w:rPr>
        <w:t>6.3.2设计周期</w:t>
      </w:r>
    </w:p>
    <w:p w14:paraId="5FD30056">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rPr>
      </w:pPr>
      <w:r>
        <w:rPr>
          <w:rFonts w:hint="eastAsia"/>
        </w:rPr>
        <w:t>初步设计周期（修建性详细规划批准通过后）为</w:t>
      </w:r>
      <w:r>
        <w:rPr>
          <w:rFonts w:hint="eastAsia"/>
          <w:lang w:val="en-US" w:eastAsia="zh-CN"/>
        </w:rPr>
        <w:t>10个工作日</w:t>
      </w:r>
      <w:r>
        <w:rPr>
          <w:rFonts w:hint="eastAsia"/>
        </w:rPr>
        <w:t>内完成。</w:t>
      </w:r>
    </w:p>
    <w:p w14:paraId="29099D5E">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rPr>
      </w:pPr>
    </w:p>
    <w:p w14:paraId="309C89F9">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lang w:val="en-US" w:eastAsia="zh-CN"/>
        </w:rPr>
      </w:pPr>
      <w:r>
        <w:rPr>
          <w:rFonts w:hint="eastAsia"/>
          <w:lang w:val="en-US" w:eastAsia="zh-CN"/>
        </w:rPr>
        <w:t>6.4概算编制要求</w:t>
      </w:r>
    </w:p>
    <w:p w14:paraId="50966187">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480" w:firstLineChars="200"/>
        <w:jc w:val="left"/>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完成本项目范围内方案比选估算、工程概算编制等造价文件的编制及相关配合报审工作，细化设计过程的投资控制工作要求，包括分解、落实、反馈各阶段、各专业技术经济指标、限额设计量化指标。成果文件需提供初步设计概算计算的电子版表格和软件原始数据。</w:t>
      </w:r>
    </w:p>
    <w:p w14:paraId="6EF30094">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rPr>
      </w:pPr>
    </w:p>
    <w:p w14:paraId="6D70757B">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lang w:val="en-US" w:eastAsia="zh-CN"/>
        </w:rPr>
      </w:pPr>
      <w:r>
        <w:rPr>
          <w:rFonts w:hint="eastAsia"/>
          <w:lang w:val="en-US" w:eastAsia="zh-CN"/>
        </w:rPr>
        <w:t>6.5招标配合工作要求</w:t>
      </w:r>
    </w:p>
    <w:p w14:paraId="5DE116CD">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default"/>
          <w:lang w:val="en-US" w:eastAsia="zh-CN"/>
        </w:rPr>
        <w:t>(1)</w:t>
      </w:r>
      <w:r>
        <w:rPr>
          <w:rFonts w:hint="eastAsia"/>
        </w:rPr>
        <w:t>协助发包人完成招标过程中与技术相关部分工作,包含但不限于编制招标文件中技术标部分、参加投标答疑会和技术谈判并答复投标者问题、提交评标技术报告等，及时解决设备订货和材料采购中出现的与设备和材料有关的技术问题。</w:t>
      </w:r>
    </w:p>
    <w:p w14:paraId="30A3871C">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default"/>
          <w:lang w:val="en-US" w:eastAsia="zh-CN"/>
        </w:rPr>
        <w:t>(2)</w:t>
      </w:r>
      <w:r>
        <w:rPr>
          <w:rFonts w:hint="eastAsia"/>
        </w:rPr>
        <w:t>协助发包人准备招标用图纸，按照发包人要求的时间提供本项目范围内的总包及各项分包工程的招标图（包括工程招标和设备招标）。</w:t>
      </w:r>
    </w:p>
    <w:p w14:paraId="03A3B03A">
      <w:pPr>
        <w:pageBreakBefore w:val="0"/>
        <w:widowControl w:val="0"/>
        <w:numPr>
          <w:ilvl w:val="0"/>
          <w:numId w:val="0"/>
        </w:numPr>
        <w:kinsoku/>
        <w:wordWrap/>
        <w:overflowPunct/>
        <w:topLinePunct w:val="0"/>
        <w:autoSpaceDE/>
        <w:autoSpaceDN/>
        <w:bidi w:val="0"/>
        <w:adjustRightInd/>
        <w:spacing w:line="320" w:lineRule="exact"/>
        <w:ind w:left="1620" w:leftChars="0" w:right="240" w:rightChars="100"/>
        <w:textAlignment w:val="auto"/>
        <w:rPr>
          <w:color w:val="auto"/>
        </w:rPr>
      </w:pPr>
      <w:bookmarkStart w:id="98" w:name="_Toc29908"/>
      <w:bookmarkStart w:id="99" w:name="_Toc26411"/>
      <w:bookmarkStart w:id="100" w:name="_Toc9953"/>
      <w:bookmarkStart w:id="101" w:name="_Toc16268"/>
    </w:p>
    <w:p w14:paraId="36F1D3B8">
      <w:pPr>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 xml:space="preserve">第七章 </w:t>
      </w:r>
      <w:r>
        <w:rPr>
          <w:rFonts w:hint="eastAsia" w:ascii="黑体" w:hAnsi="黑体" w:eastAsia="黑体" w:cs="黑体"/>
          <w:sz w:val="32"/>
          <w:szCs w:val="32"/>
        </w:rPr>
        <w:t>技术标准和建筑法规</w:t>
      </w:r>
      <w:bookmarkEnd w:id="98"/>
      <w:bookmarkEnd w:id="99"/>
      <w:bookmarkEnd w:id="100"/>
      <w:bookmarkEnd w:id="101"/>
      <w:bookmarkStart w:id="102" w:name="_Toc20818"/>
      <w:bookmarkStart w:id="103" w:name="_Toc9964"/>
      <w:bookmarkStart w:id="104" w:name="_Toc28720"/>
    </w:p>
    <w:p w14:paraId="0EFB5FA3">
      <w:pPr>
        <w:keepNext w:val="0"/>
        <w:keepLines w:val="0"/>
        <w:pageBreakBefore w:val="0"/>
        <w:widowControl w:val="0"/>
        <w:kinsoku/>
        <w:wordWrap/>
        <w:overflowPunct/>
        <w:topLinePunct w:val="0"/>
        <w:autoSpaceDE/>
        <w:autoSpaceDN/>
        <w:bidi w:val="0"/>
        <w:adjustRightInd/>
        <w:snapToGrid/>
        <w:spacing w:before="0" w:after="0"/>
        <w:ind w:left="0" w:leftChars="0" w:right="0" w:rightChars="0"/>
        <w:jc w:val="left"/>
        <w:textAlignment w:val="auto"/>
        <w:rPr>
          <w:rFonts w:hint="eastAsia"/>
          <w:lang w:val="en-US" w:eastAsia="zh-CN"/>
        </w:rPr>
      </w:pPr>
      <w:r>
        <w:rPr>
          <w:rFonts w:hint="eastAsia"/>
          <w:lang w:val="en-US" w:eastAsia="zh-CN"/>
        </w:rPr>
        <w:t>7.1设计依据与法规</w:t>
      </w:r>
      <w:bookmarkEnd w:id="102"/>
      <w:bookmarkEnd w:id="103"/>
      <w:bookmarkEnd w:id="104"/>
    </w:p>
    <w:p w14:paraId="2121004C">
      <w:pPr>
        <w:keepNext w:val="0"/>
        <w:keepLines w:val="0"/>
        <w:pageBreakBefore w:val="0"/>
        <w:widowControl w:val="0"/>
        <w:kinsoku/>
        <w:wordWrap/>
        <w:overflowPunct/>
        <w:topLinePunct w:val="0"/>
        <w:autoSpaceDE/>
        <w:autoSpaceDN/>
        <w:bidi w:val="0"/>
        <w:adjustRightInd/>
        <w:snapToGrid/>
        <w:spacing w:before="0" w:after="0"/>
        <w:ind w:left="0" w:leftChars="0" w:right="0" w:rightChars="0"/>
        <w:jc w:val="left"/>
        <w:textAlignment w:val="auto"/>
      </w:pPr>
      <w:r>
        <w:rPr>
          <w:rFonts w:hint="eastAsia"/>
          <w:lang w:val="en-US" w:eastAsia="zh-CN"/>
        </w:rPr>
        <w:t>7.1</w:t>
      </w:r>
      <w:r>
        <w:rPr>
          <w:rFonts w:hint="eastAsia"/>
        </w:rPr>
        <w:t xml:space="preserve">.1法律法规 </w:t>
      </w:r>
    </w:p>
    <w:p w14:paraId="1068234F">
      <w:pPr>
        <w:keepNext w:val="0"/>
        <w:keepLines w:val="0"/>
        <w:pageBreakBefore w:val="0"/>
        <w:widowControl w:val="0"/>
        <w:kinsoku/>
        <w:wordWrap/>
        <w:overflowPunct/>
        <w:topLinePunct w:val="0"/>
        <w:autoSpaceDE/>
        <w:autoSpaceDN/>
        <w:bidi w:val="0"/>
        <w:adjustRightInd/>
        <w:snapToGrid/>
        <w:spacing w:before="0" w:after="0"/>
        <w:ind w:left="0" w:leftChars="0" w:right="0" w:rightChars="0"/>
        <w:jc w:val="left"/>
        <w:textAlignment w:val="auto"/>
      </w:pPr>
      <w:r>
        <w:rPr>
          <w:rFonts w:hint="eastAsia"/>
          <w:lang w:eastAsia="zh-CN"/>
        </w:rPr>
        <w:t>（</w:t>
      </w:r>
      <w:r>
        <w:rPr>
          <w:rFonts w:hint="eastAsia"/>
          <w:lang w:val="en-US" w:eastAsia="zh-CN"/>
        </w:rPr>
        <w:t>1）</w:t>
      </w:r>
      <w:r>
        <w:rPr>
          <w:rFonts w:hint="eastAsia"/>
        </w:rPr>
        <w:t xml:space="preserve">设计中的建筑、市政、水、电、燃气、电信等用量及标准应符合国家、建设部及地方有关设计标准及规定。 </w:t>
      </w:r>
    </w:p>
    <w:p w14:paraId="2A65CF02">
      <w:pPr>
        <w:keepNext w:val="0"/>
        <w:keepLines w:val="0"/>
        <w:pageBreakBefore w:val="0"/>
        <w:widowControl w:val="0"/>
        <w:kinsoku/>
        <w:wordWrap/>
        <w:overflowPunct/>
        <w:topLinePunct w:val="0"/>
        <w:autoSpaceDE/>
        <w:autoSpaceDN/>
        <w:bidi w:val="0"/>
        <w:adjustRightInd/>
        <w:snapToGrid/>
        <w:spacing w:before="0" w:after="0"/>
        <w:ind w:left="0" w:leftChars="0" w:right="0" w:rightChars="0"/>
        <w:jc w:val="left"/>
        <w:textAlignment w:val="auto"/>
      </w:pPr>
      <w:r>
        <w:rPr>
          <w:rFonts w:hint="eastAsia"/>
          <w:lang w:eastAsia="zh-CN"/>
        </w:rPr>
        <w:t>（</w:t>
      </w:r>
      <w:r>
        <w:rPr>
          <w:rFonts w:hint="eastAsia"/>
        </w:rPr>
        <w:t xml:space="preserve">2)设计深度需符合国家住房和城乡建设部最新版《建筑工程设计文件编制深度规定》中有关的要求及发包人的其他要求。 </w:t>
      </w:r>
    </w:p>
    <w:p w14:paraId="17980707">
      <w:pPr>
        <w:keepNext w:val="0"/>
        <w:keepLines w:val="0"/>
        <w:pageBreakBefore w:val="0"/>
        <w:widowControl w:val="0"/>
        <w:kinsoku/>
        <w:wordWrap/>
        <w:overflowPunct/>
        <w:topLinePunct w:val="0"/>
        <w:autoSpaceDE/>
        <w:autoSpaceDN/>
        <w:bidi w:val="0"/>
        <w:adjustRightInd/>
        <w:snapToGrid/>
        <w:spacing w:before="0" w:after="0"/>
        <w:ind w:left="0" w:leftChars="0" w:right="0" w:rightChars="0"/>
        <w:jc w:val="left"/>
        <w:textAlignment w:val="auto"/>
      </w:pPr>
      <w:r>
        <w:rPr>
          <w:rFonts w:hint="eastAsia"/>
          <w:lang w:eastAsia="zh-CN"/>
        </w:rPr>
        <w:t>（</w:t>
      </w:r>
      <w:r>
        <w:rPr>
          <w:rFonts w:hint="eastAsia"/>
        </w:rPr>
        <w:t xml:space="preserve">3)国家、地方省市现行有关规范。 </w:t>
      </w:r>
    </w:p>
    <w:p w14:paraId="1942BF73">
      <w:pPr>
        <w:keepNext w:val="0"/>
        <w:keepLines w:val="0"/>
        <w:pageBreakBefore w:val="0"/>
        <w:widowControl w:val="0"/>
        <w:kinsoku/>
        <w:wordWrap/>
        <w:overflowPunct/>
        <w:topLinePunct w:val="0"/>
        <w:autoSpaceDE/>
        <w:autoSpaceDN/>
        <w:bidi w:val="0"/>
        <w:adjustRightInd/>
        <w:snapToGrid/>
        <w:spacing w:before="0" w:after="0"/>
        <w:ind w:left="0" w:leftChars="0" w:right="0" w:rightChars="0"/>
        <w:jc w:val="left"/>
        <w:textAlignment w:val="auto"/>
      </w:pPr>
      <w:r>
        <w:rPr>
          <w:rFonts w:hint="eastAsia"/>
          <w:lang w:val="en-US" w:eastAsia="zh-CN"/>
        </w:rPr>
        <w:t>7.</w:t>
      </w:r>
      <w:r>
        <w:rPr>
          <w:rFonts w:hint="eastAsia"/>
        </w:rPr>
        <w:t>1.2政府要求</w:t>
      </w:r>
    </w:p>
    <w:p w14:paraId="50BA30D6">
      <w:pPr>
        <w:keepNext w:val="0"/>
        <w:keepLines w:val="0"/>
        <w:pageBreakBefore w:val="0"/>
        <w:widowControl w:val="0"/>
        <w:kinsoku/>
        <w:wordWrap/>
        <w:overflowPunct/>
        <w:topLinePunct w:val="0"/>
        <w:autoSpaceDE/>
        <w:autoSpaceDN/>
        <w:bidi w:val="0"/>
        <w:adjustRightInd/>
        <w:snapToGrid/>
        <w:spacing w:before="0" w:after="0"/>
        <w:ind w:left="0" w:leftChars="0" w:right="0" w:rightChars="0"/>
        <w:jc w:val="left"/>
        <w:textAlignment w:val="auto"/>
      </w:pPr>
      <w:r>
        <w:rPr>
          <w:rFonts w:hint="eastAsia"/>
          <w:lang w:eastAsia="zh-CN"/>
        </w:rPr>
        <w:t>（</w:t>
      </w:r>
      <w:r>
        <w:rPr>
          <w:rFonts w:hint="eastAsia"/>
        </w:rPr>
        <w:t xml:space="preserve">1)规划部门审批意见书 </w:t>
      </w:r>
    </w:p>
    <w:p w14:paraId="2E848BCB">
      <w:pPr>
        <w:keepNext w:val="0"/>
        <w:keepLines w:val="0"/>
        <w:pageBreakBefore w:val="0"/>
        <w:widowControl w:val="0"/>
        <w:kinsoku/>
        <w:wordWrap/>
        <w:overflowPunct/>
        <w:topLinePunct w:val="0"/>
        <w:autoSpaceDE/>
        <w:autoSpaceDN/>
        <w:bidi w:val="0"/>
        <w:adjustRightInd/>
        <w:snapToGrid/>
        <w:spacing w:before="0" w:after="0"/>
        <w:ind w:left="0" w:leftChars="0" w:right="0" w:rightChars="0"/>
        <w:jc w:val="left"/>
        <w:textAlignment w:val="auto"/>
      </w:pPr>
      <w:r>
        <w:rPr>
          <w:rFonts w:hint="eastAsia"/>
          <w:lang w:eastAsia="zh-CN"/>
        </w:rPr>
        <w:t>（</w:t>
      </w:r>
      <w:r>
        <w:rPr>
          <w:rFonts w:hint="eastAsia"/>
        </w:rPr>
        <w:t xml:space="preserve">2)建设部门审批意见书 </w:t>
      </w:r>
    </w:p>
    <w:p w14:paraId="079EB3EA">
      <w:pPr>
        <w:keepNext w:val="0"/>
        <w:keepLines w:val="0"/>
        <w:pageBreakBefore w:val="0"/>
        <w:widowControl w:val="0"/>
        <w:kinsoku/>
        <w:wordWrap/>
        <w:overflowPunct/>
        <w:topLinePunct w:val="0"/>
        <w:autoSpaceDE/>
        <w:autoSpaceDN/>
        <w:bidi w:val="0"/>
        <w:adjustRightInd/>
        <w:snapToGrid/>
        <w:spacing w:before="0" w:after="0"/>
        <w:ind w:left="0" w:leftChars="0" w:right="0" w:rightChars="0"/>
        <w:jc w:val="left"/>
        <w:textAlignment w:val="auto"/>
      </w:pPr>
      <w:r>
        <w:rPr>
          <w:rFonts w:hint="eastAsia"/>
          <w:lang w:eastAsia="zh-CN"/>
        </w:rPr>
        <w:t>（</w:t>
      </w:r>
      <w:r>
        <w:rPr>
          <w:rFonts w:hint="eastAsia"/>
        </w:rPr>
        <w:t xml:space="preserve">3)其它部门审批意见书 </w:t>
      </w:r>
    </w:p>
    <w:p w14:paraId="19BF819F">
      <w:pPr>
        <w:keepNext w:val="0"/>
        <w:keepLines w:val="0"/>
        <w:pageBreakBefore w:val="0"/>
        <w:widowControl w:val="0"/>
        <w:kinsoku/>
        <w:wordWrap/>
        <w:overflowPunct/>
        <w:topLinePunct w:val="0"/>
        <w:autoSpaceDE/>
        <w:autoSpaceDN/>
        <w:bidi w:val="0"/>
        <w:adjustRightInd/>
        <w:snapToGrid/>
        <w:spacing w:before="0" w:after="0"/>
        <w:ind w:left="0" w:leftChars="0" w:right="0" w:rightChars="0"/>
        <w:jc w:val="left"/>
        <w:textAlignment w:val="auto"/>
      </w:pPr>
      <w:r>
        <w:rPr>
          <w:rFonts w:hint="eastAsia"/>
          <w:lang w:eastAsia="zh-CN"/>
        </w:rPr>
        <w:t>（</w:t>
      </w:r>
      <w:r>
        <w:rPr>
          <w:rFonts w:hint="eastAsia"/>
        </w:rPr>
        <w:t xml:space="preserve">4)其他政府要求 </w:t>
      </w:r>
    </w:p>
    <w:p w14:paraId="315E00B6">
      <w:pPr>
        <w:keepNext w:val="0"/>
        <w:keepLines w:val="0"/>
        <w:pageBreakBefore w:val="0"/>
        <w:widowControl w:val="0"/>
        <w:kinsoku/>
        <w:wordWrap/>
        <w:overflowPunct/>
        <w:topLinePunct w:val="0"/>
        <w:autoSpaceDE/>
        <w:autoSpaceDN/>
        <w:bidi w:val="0"/>
        <w:adjustRightInd/>
        <w:snapToGrid/>
        <w:spacing w:before="0" w:after="0"/>
        <w:ind w:left="0" w:leftChars="0" w:right="0" w:rightChars="0"/>
        <w:jc w:val="left"/>
        <w:textAlignment w:val="auto"/>
        <w:rPr>
          <w:rFonts w:hint="eastAsia"/>
        </w:rPr>
      </w:pPr>
      <w:r>
        <w:rPr>
          <w:rFonts w:hint="eastAsia"/>
          <w:lang w:val="en-US" w:eastAsia="zh-CN"/>
        </w:rPr>
        <w:t>7.</w:t>
      </w:r>
      <w:r>
        <w:rPr>
          <w:rFonts w:hint="eastAsia"/>
        </w:rPr>
        <w:t>1.3发包人向设计单位移交的其他相关文件</w:t>
      </w:r>
    </w:p>
    <w:p w14:paraId="5F1FFF57">
      <w:pPr>
        <w:keepNext w:val="0"/>
        <w:keepLines w:val="0"/>
        <w:pageBreakBefore w:val="0"/>
        <w:widowControl w:val="0"/>
        <w:kinsoku/>
        <w:wordWrap/>
        <w:overflowPunct/>
        <w:topLinePunct w:val="0"/>
        <w:autoSpaceDE/>
        <w:autoSpaceDN/>
        <w:bidi w:val="0"/>
        <w:adjustRightInd/>
        <w:snapToGrid/>
        <w:spacing w:before="0" w:after="0"/>
        <w:ind w:left="0" w:leftChars="0" w:right="0" w:rightChars="0"/>
        <w:jc w:val="left"/>
        <w:textAlignment w:val="auto"/>
        <w:rPr>
          <w:rFonts w:hint="eastAsia"/>
          <w:lang w:val="en-US" w:eastAsia="zh-CN"/>
        </w:rPr>
      </w:pPr>
      <w:bookmarkStart w:id="105" w:name="_Toc24004"/>
      <w:bookmarkStart w:id="106" w:name="_Toc7192"/>
      <w:bookmarkStart w:id="107" w:name="_Toc28297"/>
      <w:r>
        <w:rPr>
          <w:rFonts w:hint="eastAsia"/>
          <w:lang w:val="en-US" w:eastAsia="zh-CN"/>
        </w:rPr>
        <w:t>7.2技术标准与规范</w:t>
      </w:r>
      <w:bookmarkEnd w:id="105"/>
      <w:bookmarkEnd w:id="106"/>
      <w:bookmarkEnd w:id="107"/>
    </w:p>
    <w:p w14:paraId="49D9B954">
      <w:pPr>
        <w:keepNext w:val="0"/>
        <w:keepLines w:val="0"/>
        <w:pageBreakBefore w:val="0"/>
        <w:widowControl w:val="0"/>
        <w:kinsoku/>
        <w:wordWrap/>
        <w:overflowPunct/>
        <w:topLinePunct w:val="0"/>
        <w:autoSpaceDE/>
        <w:autoSpaceDN/>
        <w:bidi w:val="0"/>
        <w:adjustRightInd/>
        <w:snapToGrid/>
        <w:spacing w:before="0" w:after="0"/>
        <w:ind w:left="0" w:leftChars="0" w:right="0" w:rightChars="0"/>
        <w:jc w:val="left"/>
        <w:textAlignment w:val="auto"/>
      </w:pPr>
      <w:r>
        <w:rPr>
          <w:rFonts w:hint="eastAsia"/>
          <w:lang w:eastAsia="zh-CN"/>
        </w:rPr>
        <w:t>（</w:t>
      </w:r>
      <w:r>
        <w:rPr>
          <w:rFonts w:hint="eastAsia"/>
        </w:rPr>
        <w:t>1）国家现行的有关技术规范、规程等。</w:t>
      </w:r>
    </w:p>
    <w:p w14:paraId="59779E82">
      <w:pPr>
        <w:keepNext w:val="0"/>
        <w:keepLines w:val="0"/>
        <w:pageBreakBefore w:val="0"/>
        <w:widowControl w:val="0"/>
        <w:kinsoku/>
        <w:wordWrap/>
        <w:overflowPunct/>
        <w:topLinePunct w:val="0"/>
        <w:autoSpaceDE/>
        <w:autoSpaceDN/>
        <w:bidi w:val="0"/>
        <w:adjustRightInd/>
        <w:snapToGrid/>
        <w:spacing w:before="0" w:after="0"/>
        <w:ind w:left="0" w:leftChars="0" w:right="0" w:rightChars="0"/>
        <w:jc w:val="left"/>
        <w:textAlignment w:val="auto"/>
      </w:pPr>
      <w:r>
        <w:rPr>
          <w:rFonts w:hint="eastAsia"/>
          <w:lang w:eastAsia="zh-CN"/>
        </w:rPr>
        <w:t>（</w:t>
      </w:r>
      <w:r>
        <w:rPr>
          <w:rFonts w:hint="eastAsia"/>
        </w:rPr>
        <w:t>2）广东省现行的有关技术规范、规程等。</w:t>
      </w:r>
    </w:p>
    <w:p w14:paraId="741ADC3D">
      <w:pPr>
        <w:keepNext w:val="0"/>
        <w:keepLines w:val="0"/>
        <w:pageBreakBefore w:val="0"/>
        <w:widowControl w:val="0"/>
        <w:kinsoku/>
        <w:wordWrap/>
        <w:overflowPunct/>
        <w:topLinePunct w:val="0"/>
        <w:autoSpaceDE/>
        <w:autoSpaceDN/>
        <w:bidi w:val="0"/>
        <w:adjustRightInd/>
        <w:snapToGrid/>
        <w:spacing w:before="0" w:after="0"/>
        <w:ind w:left="0" w:leftChars="0" w:right="0" w:rightChars="0"/>
        <w:jc w:val="left"/>
        <w:textAlignment w:val="auto"/>
      </w:pPr>
      <w:r>
        <w:rPr>
          <w:rFonts w:hint="eastAsia"/>
          <w:lang w:eastAsia="zh-CN"/>
        </w:rPr>
        <w:t>（</w:t>
      </w:r>
      <w:r>
        <w:rPr>
          <w:rFonts w:hint="eastAsia"/>
        </w:rPr>
        <w:t>3）广州市现行的有关技术规范、规程等。</w:t>
      </w:r>
    </w:p>
    <w:p w14:paraId="38A19660">
      <w:pPr>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default" w:ascii="黑体" w:hAnsi="黑体" w:eastAsia="黑体" w:cs="黑体"/>
          <w:sz w:val="32"/>
          <w:szCs w:val="32"/>
          <w:lang w:val="en-US" w:eastAsia="zh-CN"/>
        </w:rPr>
      </w:pPr>
      <w:bookmarkStart w:id="108" w:name="_Toc24722"/>
      <w:bookmarkStart w:id="109" w:name="_Toc20469"/>
      <w:bookmarkStart w:id="110" w:name="_Toc28605"/>
      <w:bookmarkStart w:id="111" w:name="_Toc11585"/>
      <w:bookmarkStart w:id="112" w:name="_Toc13401"/>
      <w:bookmarkStart w:id="113" w:name="_Toc30063528"/>
      <w:bookmarkStart w:id="114" w:name="_Toc18180"/>
    </w:p>
    <w:p w14:paraId="663077C6">
      <w:pPr>
        <w:keepNext w:val="0"/>
        <w:keepLines w:val="0"/>
        <w:pageBreakBefore w:val="0"/>
        <w:widowControl w:val="0"/>
        <w:kinsoku/>
        <w:wordWrap/>
        <w:overflowPunct/>
        <w:topLinePunct w:val="0"/>
        <w:autoSpaceDE/>
        <w:autoSpaceDN/>
        <w:bidi w:val="0"/>
        <w:adjustRightInd/>
        <w:snapToGrid/>
        <w:spacing w:before="0" w:after="0"/>
        <w:ind w:left="0" w:leftChars="0" w:right="0" w:rightChars="0"/>
        <w:jc w:val="center"/>
        <w:textAlignment w:val="auto"/>
        <w:rPr>
          <w:rFonts w:hint="eastAsia" w:ascii="黑体" w:hAnsi="黑体" w:eastAsia="黑体" w:cs="黑体"/>
          <w:sz w:val="32"/>
          <w:szCs w:val="32"/>
          <w:lang w:val="en-US" w:eastAsia="zh-CN"/>
        </w:rPr>
      </w:pPr>
      <w:r>
        <w:rPr>
          <w:rFonts w:hint="default" w:ascii="黑体" w:hAnsi="黑体" w:eastAsia="黑体" w:cs="黑体"/>
          <w:sz w:val="32"/>
          <w:szCs w:val="32"/>
          <w:lang w:val="en-US" w:eastAsia="zh-CN"/>
        </w:rPr>
        <w:t>第八章</w:t>
      </w:r>
      <w:r>
        <w:rPr>
          <w:rFonts w:hint="eastAsia" w:ascii="黑体" w:hAnsi="黑体" w:eastAsia="黑体" w:cs="黑体"/>
          <w:sz w:val="32"/>
          <w:szCs w:val="32"/>
          <w:lang w:val="en-US" w:eastAsia="zh-CN"/>
        </w:rPr>
        <w:t xml:space="preserve"> </w:t>
      </w:r>
      <w:r>
        <w:rPr>
          <w:rFonts w:hint="default" w:ascii="黑体" w:hAnsi="黑体" w:eastAsia="黑体" w:cs="黑体"/>
          <w:sz w:val="32"/>
          <w:szCs w:val="32"/>
          <w:lang w:val="en-US" w:eastAsia="zh-CN"/>
        </w:rPr>
        <w:t>设计管理要求</w:t>
      </w:r>
      <w:bookmarkEnd w:id="108"/>
      <w:bookmarkEnd w:id="109"/>
      <w:bookmarkEnd w:id="110"/>
      <w:bookmarkEnd w:id="111"/>
      <w:bookmarkEnd w:id="112"/>
      <w:bookmarkEnd w:id="113"/>
      <w:bookmarkEnd w:id="114"/>
    </w:p>
    <w:p w14:paraId="15482116">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lang w:val="en-US" w:eastAsia="zh-CN"/>
        </w:rPr>
      </w:pPr>
      <w:bookmarkStart w:id="115" w:name="_Toc30079"/>
      <w:bookmarkStart w:id="116" w:name="_Toc9173"/>
      <w:bookmarkStart w:id="117" w:name="_Toc3200"/>
      <w:bookmarkStart w:id="118" w:name="_Toc22476"/>
      <w:r>
        <w:rPr>
          <w:rFonts w:hint="eastAsia"/>
          <w:lang w:val="en-US" w:eastAsia="zh-CN"/>
        </w:rPr>
        <w:t>8.1设计工作职责</w:t>
      </w:r>
      <w:bookmarkEnd w:id="115"/>
      <w:bookmarkEnd w:id="116"/>
      <w:bookmarkEnd w:id="117"/>
      <w:bookmarkEnd w:id="118"/>
    </w:p>
    <w:p w14:paraId="02EE1B9A">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lang w:val="zh-CN"/>
        </w:rPr>
      </w:pPr>
      <w:bookmarkStart w:id="119" w:name="_Toc403046114"/>
      <w:r>
        <w:rPr>
          <w:rFonts w:hint="eastAsia"/>
          <w:lang w:eastAsia="zh-CN"/>
        </w:rPr>
        <w:t>（</w:t>
      </w:r>
      <w:r>
        <w:rPr>
          <w:rFonts w:hint="eastAsia"/>
          <w:lang w:val="en-US" w:eastAsia="zh-CN"/>
        </w:rPr>
        <w:t>1）</w:t>
      </w:r>
      <w:r>
        <w:rPr>
          <w:rFonts w:hint="eastAsia"/>
          <w:lang w:val="zh-CN"/>
        </w:rPr>
        <w:t>编制设计管理大纲，内容包括：工作原则、团队的组织架构、工作分解、职责分工、工作流程、以及各阶段主要工作内容等；大纲应对项目设计全过程中的控制节点进行明确，存在风险进行分析，同时提出相应的对策和管理办法，确认设计管理范围，并完成《设计管理范围确认表》。</w:t>
      </w:r>
    </w:p>
    <w:p w14:paraId="7C63101B">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lang w:val="zh-CN"/>
        </w:rPr>
      </w:pPr>
      <w:r>
        <w:rPr>
          <w:rFonts w:hint="eastAsia"/>
          <w:lang w:eastAsia="zh-CN"/>
        </w:rPr>
        <w:t>（</w:t>
      </w:r>
      <w:r>
        <w:rPr>
          <w:rFonts w:hint="eastAsia"/>
          <w:lang w:val="en-US" w:eastAsia="zh-CN"/>
        </w:rPr>
        <w:t>2）</w:t>
      </w:r>
      <w:r>
        <w:rPr>
          <w:rFonts w:hint="eastAsia"/>
          <w:lang w:val="zh-CN"/>
        </w:rPr>
        <w:t>熟悉合同/协议并进行整理归纳，了解项目各方的工作内容、职责与权利；明确业主对设计工作的具体要求，如设计范围、设计深度、建设标准、功能定位、进度要求、造价控制等。</w:t>
      </w:r>
    </w:p>
    <w:p w14:paraId="1D4A4D08">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lang w:val="zh-CN"/>
        </w:rPr>
      </w:pPr>
      <w:r>
        <w:rPr>
          <w:rFonts w:hint="eastAsia"/>
          <w:lang w:eastAsia="zh-CN"/>
        </w:rPr>
        <w:t>（</w:t>
      </w:r>
      <w:r>
        <w:rPr>
          <w:rFonts w:hint="eastAsia"/>
          <w:lang w:val="en-US" w:eastAsia="zh-CN"/>
        </w:rPr>
        <w:t>3）</w:t>
      </w:r>
      <w:r>
        <w:rPr>
          <w:rFonts w:hint="eastAsia"/>
          <w:lang w:val="zh-CN"/>
        </w:rPr>
        <w:t>召开设计启动会，分析项目背景与风险、进行合同交底、宣布《设计管理大纲》和进度要求等事宜。</w:t>
      </w:r>
    </w:p>
    <w:p w14:paraId="36A364DD">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lang w:val="zh-CN"/>
        </w:rPr>
      </w:pPr>
      <w:r>
        <w:rPr>
          <w:rFonts w:hint="eastAsia"/>
          <w:lang w:eastAsia="zh-CN"/>
        </w:rPr>
        <w:t>（</w:t>
      </w:r>
      <w:r>
        <w:rPr>
          <w:rFonts w:hint="eastAsia"/>
          <w:lang w:val="en-US" w:eastAsia="zh-CN"/>
        </w:rPr>
        <w:t>4）</w:t>
      </w:r>
      <w:r>
        <w:rPr>
          <w:rFonts w:hint="eastAsia"/>
          <w:lang w:val="zh-CN"/>
        </w:rPr>
        <w:t>根据项目总进度计划编制设计总进度计划，并充分考虑政府职能部门及第三方设计咨询单位审查、专家评审，政府职能部门及规范要求的各项检测、监测、观测等影响，内容包括：方案阶段设计进度计划、初步设计阶段进度计划、</w:t>
      </w:r>
      <w:r>
        <w:rPr>
          <w:rFonts w:hint="eastAsia"/>
          <w:lang w:val="en-US" w:eastAsia="zh-CN"/>
        </w:rPr>
        <w:t>基坑支护设计计划</w:t>
      </w:r>
      <w:r>
        <w:rPr>
          <w:rFonts w:hint="eastAsia"/>
          <w:lang w:val="zh-CN"/>
        </w:rPr>
        <w:t>等，并根据阶段及项目需要，对各阶段、各项设计工作的进度计划进行拆分和细化，把控整体及分项设计工作进度。</w:t>
      </w:r>
    </w:p>
    <w:p w14:paraId="6E376A1F">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lang w:val="zh-CN"/>
        </w:rPr>
      </w:pPr>
      <w:r>
        <w:rPr>
          <w:rFonts w:hint="eastAsia"/>
          <w:lang w:eastAsia="zh-CN"/>
        </w:rPr>
        <w:t>（</w:t>
      </w:r>
      <w:r>
        <w:rPr>
          <w:rFonts w:hint="eastAsia"/>
          <w:lang w:val="en-US" w:eastAsia="zh-CN"/>
        </w:rPr>
        <w:t>5）</w:t>
      </w:r>
      <w:r>
        <w:rPr>
          <w:rFonts w:hint="eastAsia"/>
          <w:lang w:val="zh-CN"/>
        </w:rPr>
        <w:t>根据计划，合理统筹项目所涉及的各专项、专业设计进度，专项、专业接口及控制点，并以设计为主导及核心，协同报批报建，以落实方案效果、限额设计等目标。</w:t>
      </w:r>
    </w:p>
    <w:p w14:paraId="7AFB9A9A">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lang w:val="zh-CN"/>
        </w:rPr>
      </w:pPr>
      <w:r>
        <w:rPr>
          <w:rFonts w:hint="eastAsia"/>
          <w:lang w:eastAsia="zh-CN"/>
        </w:rPr>
        <w:t>（</w:t>
      </w:r>
      <w:r>
        <w:rPr>
          <w:rFonts w:hint="eastAsia"/>
          <w:lang w:val="en-US" w:eastAsia="zh-CN"/>
        </w:rPr>
        <w:t>6）</w:t>
      </w:r>
      <w:r>
        <w:rPr>
          <w:rFonts w:hint="eastAsia"/>
          <w:lang w:val="zh-CN"/>
        </w:rPr>
        <w:t>完善设计输入条件；设计管理者应主动协助建设单位收集各阶段设计输入资料，并及时交予设计团队；方案设计阶段输入资料主要包括：设计合同、协议、方案设计任务书、决策性文件、可行性研究报告、环评报告、政府有关批文、用地红线图、用地规划许可证、规划设计条件通知书、市政管网资料、地形图；初步设计阶段输入资料主要包括：初步设计任务书及工艺资料的补充或修正文件、建设单位、业主或上级主管部门对方案设计的批准意见、规划管理部门对方案的批复，消防部门的意见、地质勘察资料、建设单位及业主提供或确认的相关主要设备材料、确定相关的深化设计分包单位、组织配合相关论证研究工作，如消防论证等。</w:t>
      </w:r>
    </w:p>
    <w:p w14:paraId="739095D2">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lang w:val="zh-CN"/>
        </w:rPr>
      </w:pPr>
      <w:r>
        <w:rPr>
          <w:rFonts w:hint="eastAsia"/>
          <w:lang w:eastAsia="zh-CN"/>
        </w:rPr>
        <w:t>（</w:t>
      </w:r>
      <w:r>
        <w:rPr>
          <w:rFonts w:hint="eastAsia"/>
          <w:lang w:val="en-US" w:eastAsia="zh-CN"/>
        </w:rPr>
        <w:t>7）</w:t>
      </w:r>
      <w:r>
        <w:rPr>
          <w:rFonts w:hint="eastAsia"/>
          <w:lang w:val="zh-CN"/>
        </w:rPr>
        <w:t>跟踪、更新设计进度计划，检查各项节点工作完成情况，定期形成《设计进度报告》及《设计过程检查表》，报业主审阅。</w:t>
      </w:r>
    </w:p>
    <w:p w14:paraId="1CF0E796">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lang w:val="zh-CN"/>
        </w:rPr>
      </w:pPr>
      <w:r>
        <w:rPr>
          <w:rFonts w:hint="eastAsia"/>
          <w:lang w:eastAsia="zh-CN"/>
        </w:rPr>
        <w:t>（</w:t>
      </w:r>
      <w:r>
        <w:rPr>
          <w:rFonts w:hint="eastAsia"/>
          <w:lang w:val="en-US" w:eastAsia="zh-CN"/>
        </w:rPr>
        <w:t>8）</w:t>
      </w:r>
      <w:r>
        <w:rPr>
          <w:rFonts w:hint="eastAsia"/>
          <w:lang w:val="zh-CN"/>
        </w:rPr>
        <w:t>协助建设单位组织召开设计相关会议，包括：设计例会、设计专题研讨会及设计阶段成果评审会等。</w:t>
      </w:r>
    </w:p>
    <w:p w14:paraId="11A60130">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lang w:val="zh-CN"/>
        </w:rPr>
      </w:pPr>
      <w:r>
        <w:rPr>
          <w:rFonts w:hint="eastAsia"/>
          <w:lang w:eastAsia="zh-CN"/>
        </w:rPr>
        <w:t>（</w:t>
      </w:r>
      <w:r>
        <w:rPr>
          <w:rFonts w:hint="eastAsia"/>
          <w:lang w:val="en-US" w:eastAsia="zh-CN"/>
        </w:rPr>
        <w:t>9）</w:t>
      </w:r>
      <w:r>
        <w:rPr>
          <w:rFonts w:hint="eastAsia"/>
          <w:lang w:val="zh-CN"/>
        </w:rPr>
        <w:t>在各设计阶段，组织设计团队进行设计文件内部审查，协助设计咨询单位、专项咨询单位、造价咨询单位（由建设单位招标确定）进行设计文件审核，以确保设计质量，达到设计目标。</w:t>
      </w:r>
    </w:p>
    <w:p w14:paraId="5D9AC97D">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lang w:val="zh-CN"/>
        </w:rPr>
      </w:pPr>
      <w:r>
        <w:rPr>
          <w:rFonts w:hint="eastAsia"/>
          <w:lang w:eastAsia="zh-CN"/>
        </w:rPr>
        <w:t>（</w:t>
      </w:r>
      <w:r>
        <w:rPr>
          <w:rFonts w:hint="eastAsia"/>
          <w:lang w:val="en-US" w:eastAsia="zh-CN"/>
        </w:rPr>
        <w:t>10）</w:t>
      </w:r>
      <w:r>
        <w:rPr>
          <w:rFonts w:hint="eastAsia"/>
          <w:lang w:val="zh-CN"/>
        </w:rPr>
        <w:t>协助建设单位、业主办理各项报批报审工作。</w:t>
      </w:r>
    </w:p>
    <w:bookmarkEnd w:id="119"/>
    <w:p w14:paraId="7222A1E2">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ascii="Times New Roman" w:hAnsi="Times New Roman" w:eastAsia="宋体" w:cs="Times New Roman"/>
          <w:lang w:val="en-US" w:eastAsia="zh-CN"/>
        </w:rPr>
      </w:pPr>
      <w:bookmarkStart w:id="120" w:name="_Toc26382"/>
      <w:bookmarkStart w:id="121" w:name="_Toc15883"/>
      <w:bookmarkStart w:id="122" w:name="_Toc23252"/>
      <w:bookmarkStart w:id="123" w:name="_Toc2387"/>
      <w:bookmarkStart w:id="124" w:name="_Toc7899"/>
      <w:bookmarkStart w:id="125" w:name="_Toc513037244"/>
      <w:bookmarkStart w:id="126" w:name="_Toc30063530"/>
    </w:p>
    <w:p w14:paraId="7BD3668C">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8.2设计团队要求</w:t>
      </w:r>
      <w:bookmarkEnd w:id="120"/>
      <w:bookmarkEnd w:id="121"/>
      <w:bookmarkEnd w:id="122"/>
      <w:bookmarkEnd w:id="123"/>
      <w:bookmarkEnd w:id="124"/>
      <w:bookmarkEnd w:id="125"/>
      <w:bookmarkEnd w:id="126"/>
    </w:p>
    <w:p w14:paraId="46626F24">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480" w:firstLineChars="200"/>
        <w:jc w:val="left"/>
        <w:textAlignment w:val="auto"/>
      </w:pPr>
      <w:r>
        <w:rPr>
          <w:rFonts w:hint="eastAsia"/>
        </w:rPr>
        <w:t>设计单位应针对本项</w:t>
      </w:r>
      <w:bookmarkStart w:id="127" w:name="_Toc403046150"/>
      <w:r>
        <w:rPr>
          <w:rFonts w:hint="eastAsia"/>
        </w:rPr>
        <w:t>目要求及工期要求组建专门的服务团</w:t>
      </w:r>
      <w:bookmarkEnd w:id="127"/>
      <w:r>
        <w:rPr>
          <w:rFonts w:hint="eastAsia"/>
        </w:rPr>
        <w:t>队</w:t>
      </w:r>
      <w:bookmarkStart w:id="128" w:name="_Toc403046153"/>
      <w:r>
        <w:rPr>
          <w:rFonts w:hint="eastAsia"/>
        </w:rPr>
        <w:t>，</w:t>
      </w:r>
      <w:bookmarkEnd w:id="128"/>
      <w:r>
        <w:rPr>
          <w:rFonts w:hint="eastAsia"/>
        </w:rPr>
        <w:t>服务团队应包括但不限于以下人员（详见下表）。</w:t>
      </w:r>
    </w:p>
    <w:tbl>
      <w:tblPr>
        <w:tblStyle w:val="47"/>
        <w:tblW w:w="9022"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2624"/>
        <w:gridCol w:w="4719"/>
        <w:gridCol w:w="923"/>
      </w:tblGrid>
      <w:tr w14:paraId="0C066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756" w:type="dxa"/>
            <w:tcBorders>
              <w:top w:val="single" w:color="auto" w:sz="4" w:space="0"/>
              <w:left w:val="single" w:color="auto" w:sz="4" w:space="0"/>
              <w:bottom w:val="single" w:color="auto" w:sz="4" w:space="0"/>
              <w:right w:val="single" w:color="auto" w:sz="4" w:space="0"/>
            </w:tcBorders>
            <w:noWrap w:val="0"/>
            <w:vAlign w:val="center"/>
          </w:tcPr>
          <w:p w14:paraId="71299DDC">
            <w:pPr>
              <w:pStyle w:val="88"/>
              <w:pageBreakBefore w:val="0"/>
              <w:kinsoku/>
              <w:wordWrap/>
              <w:overflowPunct/>
              <w:topLinePunct w:val="0"/>
              <w:autoSpaceDE/>
              <w:autoSpaceDN/>
              <w:bidi w:val="0"/>
              <w:spacing w:line="320" w:lineRule="exact"/>
              <w:ind w:firstLine="0" w:firstLineChars="0"/>
              <w:textAlignment w:val="auto"/>
              <w:rPr>
                <w:rFonts w:hint="eastAsia"/>
                <w:color w:val="auto"/>
              </w:rPr>
            </w:pPr>
            <w:r>
              <w:rPr>
                <w:rFonts w:hint="eastAsia"/>
                <w:color w:val="auto"/>
              </w:rPr>
              <w:t>序号</w:t>
            </w:r>
          </w:p>
        </w:tc>
        <w:tc>
          <w:tcPr>
            <w:tcW w:w="2624" w:type="dxa"/>
            <w:tcBorders>
              <w:top w:val="single" w:color="auto" w:sz="4" w:space="0"/>
              <w:left w:val="single" w:color="auto" w:sz="4" w:space="0"/>
              <w:bottom w:val="single" w:color="auto" w:sz="4" w:space="0"/>
              <w:right w:val="single" w:color="auto" w:sz="4" w:space="0"/>
            </w:tcBorders>
            <w:noWrap w:val="0"/>
            <w:vAlign w:val="center"/>
          </w:tcPr>
          <w:p w14:paraId="769714ED">
            <w:pPr>
              <w:pStyle w:val="88"/>
              <w:pageBreakBefore w:val="0"/>
              <w:kinsoku/>
              <w:wordWrap/>
              <w:overflowPunct/>
              <w:topLinePunct w:val="0"/>
              <w:autoSpaceDE/>
              <w:autoSpaceDN/>
              <w:bidi w:val="0"/>
              <w:spacing w:line="320" w:lineRule="exact"/>
              <w:ind w:firstLine="0" w:firstLineChars="0"/>
              <w:textAlignment w:val="auto"/>
              <w:rPr>
                <w:rFonts w:hint="eastAsia"/>
                <w:color w:val="auto"/>
              </w:rPr>
            </w:pPr>
            <w:r>
              <w:rPr>
                <w:rFonts w:hint="eastAsia"/>
                <w:color w:val="auto"/>
              </w:rPr>
              <w:t>专业岗位</w:t>
            </w:r>
          </w:p>
        </w:tc>
        <w:tc>
          <w:tcPr>
            <w:tcW w:w="4719" w:type="dxa"/>
            <w:tcBorders>
              <w:top w:val="single" w:color="auto" w:sz="4" w:space="0"/>
              <w:left w:val="single" w:color="auto" w:sz="4" w:space="0"/>
              <w:bottom w:val="single" w:color="auto" w:sz="4" w:space="0"/>
              <w:right w:val="single" w:color="auto" w:sz="4" w:space="0"/>
            </w:tcBorders>
            <w:noWrap w:val="0"/>
            <w:vAlign w:val="center"/>
          </w:tcPr>
          <w:p w14:paraId="6D13DB21">
            <w:pPr>
              <w:pStyle w:val="88"/>
              <w:pageBreakBefore w:val="0"/>
              <w:kinsoku/>
              <w:wordWrap/>
              <w:overflowPunct/>
              <w:topLinePunct w:val="0"/>
              <w:autoSpaceDE/>
              <w:autoSpaceDN/>
              <w:bidi w:val="0"/>
              <w:spacing w:line="320" w:lineRule="exact"/>
              <w:ind w:firstLine="0" w:firstLineChars="0"/>
              <w:textAlignment w:val="auto"/>
              <w:rPr>
                <w:rFonts w:hint="eastAsia"/>
                <w:color w:val="auto"/>
              </w:rPr>
            </w:pPr>
            <w:r>
              <w:rPr>
                <w:rFonts w:hint="eastAsia"/>
                <w:color w:val="auto"/>
              </w:rPr>
              <w:t>人员要求</w:t>
            </w:r>
          </w:p>
        </w:tc>
        <w:tc>
          <w:tcPr>
            <w:tcW w:w="923" w:type="dxa"/>
            <w:tcBorders>
              <w:top w:val="single" w:color="auto" w:sz="4" w:space="0"/>
              <w:left w:val="single" w:color="auto" w:sz="4" w:space="0"/>
              <w:bottom w:val="single" w:color="auto" w:sz="4" w:space="0"/>
              <w:right w:val="single" w:color="auto" w:sz="4" w:space="0"/>
            </w:tcBorders>
            <w:noWrap w:val="0"/>
            <w:vAlign w:val="center"/>
          </w:tcPr>
          <w:p w14:paraId="574ECF98">
            <w:pPr>
              <w:pStyle w:val="88"/>
              <w:pageBreakBefore w:val="0"/>
              <w:kinsoku/>
              <w:wordWrap/>
              <w:overflowPunct/>
              <w:topLinePunct w:val="0"/>
              <w:autoSpaceDE/>
              <w:autoSpaceDN/>
              <w:bidi w:val="0"/>
              <w:spacing w:line="320" w:lineRule="exact"/>
              <w:ind w:firstLine="0" w:firstLineChars="0"/>
              <w:textAlignment w:val="auto"/>
              <w:rPr>
                <w:rFonts w:hint="eastAsia"/>
                <w:color w:val="auto"/>
              </w:rPr>
            </w:pPr>
            <w:r>
              <w:rPr>
                <w:color w:val="auto"/>
              </w:rPr>
              <w:t>最低投入人数</w:t>
            </w:r>
          </w:p>
        </w:tc>
      </w:tr>
      <w:tr w14:paraId="28CB8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756" w:type="dxa"/>
            <w:tcBorders>
              <w:top w:val="single" w:color="auto" w:sz="4" w:space="0"/>
              <w:left w:val="single" w:color="auto" w:sz="4" w:space="0"/>
              <w:bottom w:val="single" w:color="auto" w:sz="4" w:space="0"/>
              <w:right w:val="single" w:color="auto" w:sz="4" w:space="0"/>
            </w:tcBorders>
            <w:noWrap w:val="0"/>
            <w:vAlign w:val="center"/>
          </w:tcPr>
          <w:p w14:paraId="2956B90A">
            <w:pPr>
              <w:pStyle w:val="88"/>
              <w:pageBreakBefore w:val="0"/>
              <w:kinsoku/>
              <w:wordWrap/>
              <w:overflowPunct/>
              <w:topLinePunct w:val="0"/>
              <w:autoSpaceDE/>
              <w:autoSpaceDN/>
              <w:bidi w:val="0"/>
              <w:spacing w:line="320" w:lineRule="exact"/>
              <w:ind w:firstLine="400"/>
              <w:jc w:val="both"/>
              <w:textAlignment w:val="auto"/>
              <w:rPr>
                <w:rFonts w:hint="eastAsia" w:eastAsia="宋体"/>
                <w:color w:val="auto"/>
                <w:lang w:eastAsia="zh-CN"/>
              </w:rPr>
            </w:pPr>
            <w:r>
              <w:rPr>
                <w:rFonts w:hint="eastAsia"/>
                <w:color w:val="auto"/>
                <w:lang w:val="en-US" w:eastAsia="zh-CN"/>
              </w:rPr>
              <w:t>1</w:t>
            </w:r>
          </w:p>
        </w:tc>
        <w:tc>
          <w:tcPr>
            <w:tcW w:w="2624" w:type="dxa"/>
            <w:tcBorders>
              <w:top w:val="single" w:color="auto" w:sz="4" w:space="0"/>
              <w:left w:val="single" w:color="auto" w:sz="4" w:space="0"/>
              <w:bottom w:val="single" w:color="auto" w:sz="4" w:space="0"/>
              <w:right w:val="single" w:color="auto" w:sz="4" w:space="0"/>
            </w:tcBorders>
            <w:noWrap w:val="0"/>
            <w:vAlign w:val="center"/>
          </w:tcPr>
          <w:p w14:paraId="1764EE87">
            <w:pPr>
              <w:keepNext w:val="0"/>
              <w:keepLines w:val="0"/>
              <w:pageBreakBefore w:val="0"/>
              <w:kinsoku/>
              <w:wordWrap/>
              <w:overflowPunct/>
              <w:topLinePunct w:val="0"/>
              <w:autoSpaceDE/>
              <w:autoSpaceDN/>
              <w:bidi w:val="0"/>
              <w:adjustRightInd/>
              <w:snapToGrid/>
              <w:spacing w:before="0" w:after="0" w:line="320" w:lineRule="exact"/>
              <w:ind w:left="240" w:leftChars="100" w:right="240" w:rightChars="100"/>
              <w:jc w:val="center"/>
              <w:textAlignment w:val="auto"/>
              <w:rPr>
                <w:rFonts w:hint="eastAsia"/>
                <w:color w:val="auto"/>
              </w:rPr>
            </w:pPr>
            <w:r>
              <w:rPr>
                <w:rFonts w:hint="eastAsia" w:ascii="宋体" w:hAnsi="宋体" w:eastAsia="宋体" w:cs="宋体"/>
                <w:color w:val="auto"/>
                <w:kern w:val="0"/>
                <w:sz w:val="21"/>
                <w:szCs w:val="21"/>
                <w:highlight w:val="none"/>
                <w:lang w:val="zh-CN" w:eastAsia="zh-CN"/>
              </w:rPr>
              <w:t>项目负责人</w:t>
            </w:r>
          </w:p>
        </w:tc>
        <w:tc>
          <w:tcPr>
            <w:tcW w:w="4719" w:type="dxa"/>
            <w:tcBorders>
              <w:top w:val="single" w:color="auto" w:sz="4" w:space="0"/>
              <w:left w:val="single" w:color="auto" w:sz="4" w:space="0"/>
              <w:bottom w:val="single" w:color="auto" w:sz="4" w:space="0"/>
              <w:right w:val="single" w:color="auto" w:sz="4" w:space="0"/>
            </w:tcBorders>
            <w:noWrap w:val="0"/>
            <w:vAlign w:val="center"/>
          </w:tcPr>
          <w:p w14:paraId="432A31BA">
            <w:pPr>
              <w:pageBreakBefore w:val="0"/>
              <w:kinsoku/>
              <w:wordWrap/>
              <w:overflowPunct/>
              <w:topLinePunct w:val="0"/>
              <w:autoSpaceDE/>
              <w:autoSpaceDN/>
              <w:bidi w:val="0"/>
              <w:spacing w:line="320" w:lineRule="exact"/>
              <w:ind w:left="240" w:leftChars="100" w:right="240" w:rightChars="100"/>
              <w:jc w:val="center"/>
              <w:textAlignment w:val="auto"/>
              <w:rPr>
                <w:rFonts w:hint="eastAsia"/>
                <w:color w:val="auto"/>
              </w:rPr>
            </w:pPr>
            <w:r>
              <w:rPr>
                <w:rFonts w:hint="eastAsia" w:ascii="宋体" w:hAnsi="宋体" w:eastAsia="宋体" w:cs="宋体"/>
                <w:color w:val="auto"/>
                <w:kern w:val="0"/>
                <w:sz w:val="21"/>
                <w:szCs w:val="21"/>
                <w:highlight w:val="none"/>
                <w:lang w:val="en-US" w:eastAsia="zh-CN"/>
              </w:rPr>
              <w:t>按招标公告要求</w:t>
            </w:r>
          </w:p>
        </w:tc>
        <w:tc>
          <w:tcPr>
            <w:tcW w:w="923" w:type="dxa"/>
            <w:tcBorders>
              <w:top w:val="single" w:color="auto" w:sz="4" w:space="0"/>
              <w:left w:val="single" w:color="auto" w:sz="4" w:space="0"/>
              <w:bottom w:val="single" w:color="auto" w:sz="4" w:space="0"/>
              <w:right w:val="single" w:color="auto" w:sz="4" w:space="0"/>
            </w:tcBorders>
            <w:noWrap w:val="0"/>
            <w:vAlign w:val="center"/>
          </w:tcPr>
          <w:p w14:paraId="1AB43021">
            <w:pPr>
              <w:pStyle w:val="88"/>
              <w:pageBreakBefore w:val="0"/>
              <w:kinsoku/>
              <w:wordWrap/>
              <w:overflowPunct/>
              <w:topLinePunct w:val="0"/>
              <w:autoSpaceDE/>
              <w:autoSpaceDN/>
              <w:bidi w:val="0"/>
              <w:spacing w:line="320" w:lineRule="exact"/>
              <w:ind w:firstLine="400"/>
              <w:jc w:val="center"/>
              <w:textAlignment w:val="auto"/>
              <w:rPr>
                <w:rFonts w:hint="eastAsia"/>
                <w:color w:val="auto"/>
              </w:rPr>
            </w:pPr>
            <w:r>
              <w:rPr>
                <w:color w:val="auto"/>
              </w:rPr>
              <w:t>1</w:t>
            </w:r>
          </w:p>
        </w:tc>
      </w:tr>
      <w:tr w14:paraId="0D360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6" w:type="dxa"/>
            <w:tcBorders>
              <w:top w:val="single" w:color="auto" w:sz="4" w:space="0"/>
              <w:left w:val="single" w:color="auto" w:sz="4" w:space="0"/>
              <w:bottom w:val="single" w:color="auto" w:sz="4" w:space="0"/>
              <w:right w:val="single" w:color="auto" w:sz="4" w:space="0"/>
            </w:tcBorders>
            <w:noWrap w:val="0"/>
            <w:vAlign w:val="center"/>
          </w:tcPr>
          <w:p w14:paraId="37FD8319">
            <w:pPr>
              <w:pStyle w:val="88"/>
              <w:pageBreakBefore w:val="0"/>
              <w:kinsoku/>
              <w:wordWrap/>
              <w:overflowPunct/>
              <w:topLinePunct w:val="0"/>
              <w:autoSpaceDE/>
              <w:autoSpaceDN/>
              <w:bidi w:val="0"/>
              <w:spacing w:line="320" w:lineRule="exact"/>
              <w:ind w:firstLine="400"/>
              <w:jc w:val="both"/>
              <w:textAlignment w:val="auto"/>
              <w:rPr>
                <w:rFonts w:hint="eastAsia" w:eastAsia="宋体"/>
                <w:color w:val="auto"/>
                <w:lang w:eastAsia="zh-CN"/>
              </w:rPr>
            </w:pPr>
            <w:r>
              <w:rPr>
                <w:rFonts w:hint="eastAsia"/>
                <w:color w:val="auto"/>
                <w:lang w:val="en-US" w:eastAsia="zh-CN"/>
              </w:rPr>
              <w:t>2</w:t>
            </w:r>
          </w:p>
        </w:tc>
        <w:tc>
          <w:tcPr>
            <w:tcW w:w="2624" w:type="dxa"/>
            <w:tcBorders>
              <w:top w:val="single" w:color="auto" w:sz="4" w:space="0"/>
              <w:left w:val="single" w:color="auto" w:sz="4" w:space="0"/>
              <w:bottom w:val="single" w:color="auto" w:sz="4" w:space="0"/>
              <w:right w:val="single" w:color="auto" w:sz="4" w:space="0"/>
            </w:tcBorders>
            <w:noWrap w:val="0"/>
            <w:vAlign w:val="center"/>
          </w:tcPr>
          <w:p w14:paraId="2B7E18A4">
            <w:pPr>
              <w:keepNext w:val="0"/>
              <w:keepLines w:val="0"/>
              <w:pageBreakBefore w:val="0"/>
              <w:widowControl/>
              <w:kinsoku/>
              <w:wordWrap/>
              <w:overflowPunct/>
              <w:topLinePunct w:val="0"/>
              <w:autoSpaceDE/>
              <w:autoSpaceDN/>
              <w:bidi w:val="0"/>
              <w:adjustRightInd/>
              <w:snapToGrid/>
              <w:spacing w:before="0" w:after="0" w:line="320" w:lineRule="exact"/>
              <w:ind w:left="240" w:leftChars="100" w:right="240" w:rightChars="100"/>
              <w:jc w:val="center"/>
              <w:textAlignment w:val="auto"/>
              <w:rPr>
                <w:rFonts w:hint="eastAsia"/>
                <w:color w:val="auto"/>
              </w:rPr>
            </w:pPr>
            <w:r>
              <w:rPr>
                <w:rFonts w:hint="eastAsia" w:ascii="宋体" w:hAnsi="宋体" w:eastAsia="宋体" w:cs="宋体"/>
                <w:color w:val="auto"/>
                <w:sz w:val="21"/>
                <w:szCs w:val="21"/>
                <w:highlight w:val="none"/>
                <w:lang w:eastAsia="zh-CN"/>
              </w:rPr>
              <w:t>建筑专业</w:t>
            </w:r>
            <w:r>
              <w:rPr>
                <w:rFonts w:hint="eastAsia" w:ascii="宋体" w:hAnsi="宋体" w:cs="宋体"/>
                <w:color w:val="auto"/>
                <w:sz w:val="21"/>
                <w:szCs w:val="21"/>
                <w:highlight w:val="none"/>
                <w:lang w:val="en-US" w:eastAsia="zh-CN"/>
              </w:rPr>
              <w:t>负责</w:t>
            </w:r>
            <w:r>
              <w:rPr>
                <w:rFonts w:hint="eastAsia" w:ascii="宋体" w:hAnsi="宋体" w:eastAsia="宋体" w:cs="宋体"/>
                <w:color w:val="auto"/>
                <w:sz w:val="21"/>
                <w:szCs w:val="21"/>
                <w:highlight w:val="none"/>
                <w:lang w:eastAsia="zh-CN"/>
              </w:rPr>
              <w:t>人</w:t>
            </w:r>
          </w:p>
        </w:tc>
        <w:tc>
          <w:tcPr>
            <w:tcW w:w="4719" w:type="dxa"/>
            <w:tcBorders>
              <w:top w:val="single" w:color="auto" w:sz="4" w:space="0"/>
              <w:left w:val="single" w:color="auto" w:sz="4" w:space="0"/>
              <w:bottom w:val="single" w:color="auto" w:sz="4" w:space="0"/>
              <w:right w:val="single" w:color="auto" w:sz="4" w:space="0"/>
            </w:tcBorders>
            <w:noWrap w:val="0"/>
            <w:vAlign w:val="center"/>
          </w:tcPr>
          <w:p w14:paraId="0A790DB2">
            <w:pPr>
              <w:pageBreakBefore w:val="0"/>
              <w:widowControl/>
              <w:kinsoku/>
              <w:wordWrap/>
              <w:overflowPunct/>
              <w:topLinePunct w:val="0"/>
              <w:autoSpaceDE/>
              <w:autoSpaceDN/>
              <w:bidi w:val="0"/>
              <w:spacing w:line="320" w:lineRule="exact"/>
              <w:ind w:left="240" w:leftChars="100" w:right="240" w:rightChars="100"/>
              <w:jc w:val="center"/>
              <w:textAlignment w:val="auto"/>
              <w:rPr>
                <w:rFonts w:hint="eastAsia"/>
                <w:color w:val="auto"/>
              </w:rPr>
            </w:pPr>
            <w:r>
              <w:rPr>
                <w:rFonts w:hint="eastAsia" w:ascii="宋体" w:hAnsi="宋体" w:eastAsia="宋体" w:cs="宋体"/>
                <w:color w:val="auto"/>
                <w:sz w:val="21"/>
                <w:szCs w:val="21"/>
                <w:highlight w:val="none"/>
                <w:lang w:eastAsia="zh-CN"/>
              </w:rPr>
              <w:t>一级注册建筑师</w:t>
            </w:r>
          </w:p>
        </w:tc>
        <w:tc>
          <w:tcPr>
            <w:tcW w:w="923" w:type="dxa"/>
            <w:tcBorders>
              <w:top w:val="single" w:color="auto" w:sz="4" w:space="0"/>
              <w:left w:val="single" w:color="auto" w:sz="4" w:space="0"/>
              <w:bottom w:val="single" w:color="auto" w:sz="4" w:space="0"/>
              <w:right w:val="single" w:color="auto" w:sz="4" w:space="0"/>
            </w:tcBorders>
            <w:noWrap w:val="0"/>
            <w:vAlign w:val="center"/>
          </w:tcPr>
          <w:p w14:paraId="405956D2">
            <w:pPr>
              <w:pStyle w:val="88"/>
              <w:pageBreakBefore w:val="0"/>
              <w:kinsoku/>
              <w:wordWrap/>
              <w:overflowPunct/>
              <w:topLinePunct w:val="0"/>
              <w:autoSpaceDE/>
              <w:autoSpaceDN/>
              <w:bidi w:val="0"/>
              <w:spacing w:line="320" w:lineRule="exact"/>
              <w:ind w:firstLine="400"/>
              <w:jc w:val="center"/>
              <w:textAlignment w:val="auto"/>
              <w:rPr>
                <w:rFonts w:hint="eastAsia" w:eastAsia="宋体"/>
                <w:color w:val="auto"/>
                <w:lang w:eastAsia="zh-CN"/>
              </w:rPr>
            </w:pPr>
            <w:r>
              <w:rPr>
                <w:rFonts w:hint="eastAsia"/>
                <w:color w:val="auto"/>
                <w:lang w:val="en-US" w:eastAsia="zh-CN"/>
              </w:rPr>
              <w:t>1</w:t>
            </w:r>
          </w:p>
        </w:tc>
      </w:tr>
      <w:tr w14:paraId="31916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6" w:type="dxa"/>
            <w:tcBorders>
              <w:top w:val="single" w:color="auto" w:sz="4" w:space="0"/>
              <w:left w:val="single" w:color="auto" w:sz="4" w:space="0"/>
              <w:bottom w:val="single" w:color="auto" w:sz="4" w:space="0"/>
              <w:right w:val="single" w:color="auto" w:sz="4" w:space="0"/>
            </w:tcBorders>
            <w:noWrap w:val="0"/>
            <w:vAlign w:val="center"/>
          </w:tcPr>
          <w:p w14:paraId="10E46CF9">
            <w:pPr>
              <w:pStyle w:val="88"/>
              <w:pageBreakBefore w:val="0"/>
              <w:kinsoku/>
              <w:wordWrap/>
              <w:overflowPunct/>
              <w:topLinePunct w:val="0"/>
              <w:autoSpaceDE/>
              <w:autoSpaceDN/>
              <w:bidi w:val="0"/>
              <w:spacing w:line="320" w:lineRule="exact"/>
              <w:ind w:firstLine="400"/>
              <w:jc w:val="both"/>
              <w:textAlignment w:val="auto"/>
              <w:rPr>
                <w:rFonts w:hint="eastAsia" w:eastAsia="宋体"/>
                <w:color w:val="auto"/>
                <w:lang w:eastAsia="zh-CN"/>
              </w:rPr>
            </w:pPr>
            <w:r>
              <w:rPr>
                <w:rFonts w:hint="eastAsia"/>
                <w:color w:val="auto"/>
                <w:lang w:val="en-US" w:eastAsia="zh-CN"/>
              </w:rPr>
              <w:t>3</w:t>
            </w:r>
          </w:p>
        </w:tc>
        <w:tc>
          <w:tcPr>
            <w:tcW w:w="2624" w:type="dxa"/>
            <w:tcBorders>
              <w:top w:val="single" w:color="auto" w:sz="4" w:space="0"/>
              <w:left w:val="single" w:color="auto" w:sz="4" w:space="0"/>
              <w:bottom w:val="single" w:color="auto" w:sz="4" w:space="0"/>
              <w:right w:val="single" w:color="auto" w:sz="4" w:space="0"/>
            </w:tcBorders>
            <w:noWrap w:val="0"/>
            <w:vAlign w:val="center"/>
          </w:tcPr>
          <w:p w14:paraId="13C448E2">
            <w:pPr>
              <w:keepNext w:val="0"/>
              <w:keepLines w:val="0"/>
              <w:pageBreakBefore w:val="0"/>
              <w:widowControl/>
              <w:kinsoku/>
              <w:wordWrap/>
              <w:overflowPunct/>
              <w:topLinePunct w:val="0"/>
              <w:autoSpaceDE/>
              <w:autoSpaceDN/>
              <w:bidi w:val="0"/>
              <w:adjustRightInd/>
              <w:snapToGrid/>
              <w:spacing w:before="0" w:after="0" w:line="320" w:lineRule="exact"/>
              <w:ind w:right="240" w:rightChars="100"/>
              <w:jc w:val="center"/>
              <w:textAlignment w:val="auto"/>
              <w:rPr>
                <w:rFonts w:hint="eastAsia"/>
                <w:color w:val="auto"/>
              </w:rPr>
            </w:pPr>
            <w:r>
              <w:rPr>
                <w:rFonts w:hint="eastAsia" w:ascii="宋体" w:hAnsi="宋体" w:eastAsia="宋体" w:cs="宋体"/>
                <w:color w:val="auto"/>
                <w:sz w:val="21"/>
                <w:szCs w:val="21"/>
                <w:highlight w:val="none"/>
                <w:lang w:eastAsia="zh-CN"/>
              </w:rPr>
              <w:t>结构专业负责人</w:t>
            </w:r>
          </w:p>
        </w:tc>
        <w:tc>
          <w:tcPr>
            <w:tcW w:w="4719" w:type="dxa"/>
            <w:tcBorders>
              <w:top w:val="single" w:color="auto" w:sz="4" w:space="0"/>
              <w:left w:val="single" w:color="auto" w:sz="4" w:space="0"/>
              <w:bottom w:val="single" w:color="auto" w:sz="4" w:space="0"/>
              <w:right w:val="single" w:color="auto" w:sz="4" w:space="0"/>
            </w:tcBorders>
            <w:noWrap w:val="0"/>
            <w:vAlign w:val="center"/>
          </w:tcPr>
          <w:p w14:paraId="00EE7A21">
            <w:pPr>
              <w:pageBreakBefore w:val="0"/>
              <w:widowControl/>
              <w:kinsoku/>
              <w:wordWrap/>
              <w:overflowPunct/>
              <w:topLinePunct w:val="0"/>
              <w:autoSpaceDE/>
              <w:autoSpaceDN/>
              <w:bidi w:val="0"/>
              <w:spacing w:line="320" w:lineRule="exact"/>
              <w:ind w:left="240" w:leftChars="100" w:right="240" w:rightChars="100"/>
              <w:jc w:val="center"/>
              <w:textAlignment w:val="auto"/>
              <w:rPr>
                <w:rFonts w:hint="eastAsia"/>
                <w:color w:val="auto"/>
              </w:rPr>
            </w:pPr>
            <w:r>
              <w:rPr>
                <w:rFonts w:hint="eastAsia" w:ascii="宋体" w:hAnsi="宋体" w:eastAsia="宋体" w:cs="宋体"/>
                <w:color w:val="auto"/>
                <w:sz w:val="21"/>
                <w:szCs w:val="21"/>
                <w:highlight w:val="none"/>
                <w:lang w:eastAsia="zh-CN"/>
              </w:rPr>
              <w:t>一级注册结构工程师</w:t>
            </w:r>
          </w:p>
        </w:tc>
        <w:tc>
          <w:tcPr>
            <w:tcW w:w="923" w:type="dxa"/>
            <w:tcBorders>
              <w:top w:val="single" w:color="auto" w:sz="4" w:space="0"/>
              <w:left w:val="single" w:color="auto" w:sz="4" w:space="0"/>
              <w:bottom w:val="single" w:color="auto" w:sz="4" w:space="0"/>
              <w:right w:val="single" w:color="auto" w:sz="4" w:space="0"/>
            </w:tcBorders>
            <w:noWrap w:val="0"/>
            <w:vAlign w:val="center"/>
          </w:tcPr>
          <w:p w14:paraId="13D56DC9">
            <w:pPr>
              <w:pStyle w:val="88"/>
              <w:pageBreakBefore w:val="0"/>
              <w:kinsoku/>
              <w:wordWrap/>
              <w:overflowPunct/>
              <w:topLinePunct w:val="0"/>
              <w:autoSpaceDE/>
              <w:autoSpaceDN/>
              <w:bidi w:val="0"/>
              <w:spacing w:line="320" w:lineRule="exact"/>
              <w:ind w:firstLine="400"/>
              <w:jc w:val="center"/>
              <w:textAlignment w:val="auto"/>
              <w:rPr>
                <w:rFonts w:hint="eastAsia" w:eastAsia="宋体"/>
                <w:color w:val="auto"/>
                <w:lang w:eastAsia="zh-CN"/>
              </w:rPr>
            </w:pPr>
            <w:r>
              <w:rPr>
                <w:rFonts w:hint="eastAsia"/>
                <w:color w:val="auto"/>
                <w:lang w:val="en-US" w:eastAsia="zh-CN"/>
              </w:rPr>
              <w:t>1</w:t>
            </w:r>
          </w:p>
        </w:tc>
      </w:tr>
      <w:tr w14:paraId="15F00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6" w:type="dxa"/>
            <w:tcBorders>
              <w:top w:val="single" w:color="auto" w:sz="4" w:space="0"/>
              <w:left w:val="single" w:color="auto" w:sz="4" w:space="0"/>
              <w:bottom w:val="single" w:color="auto" w:sz="4" w:space="0"/>
              <w:right w:val="single" w:color="auto" w:sz="4" w:space="0"/>
            </w:tcBorders>
            <w:noWrap w:val="0"/>
            <w:vAlign w:val="center"/>
          </w:tcPr>
          <w:p w14:paraId="612F32DF">
            <w:pPr>
              <w:pStyle w:val="88"/>
              <w:pageBreakBefore w:val="0"/>
              <w:kinsoku/>
              <w:wordWrap/>
              <w:overflowPunct/>
              <w:topLinePunct w:val="0"/>
              <w:autoSpaceDE/>
              <w:autoSpaceDN/>
              <w:bidi w:val="0"/>
              <w:spacing w:line="320" w:lineRule="exact"/>
              <w:ind w:firstLine="400"/>
              <w:jc w:val="both"/>
              <w:textAlignment w:val="auto"/>
              <w:rPr>
                <w:rFonts w:hint="eastAsia" w:eastAsia="宋体"/>
                <w:color w:val="auto"/>
                <w:lang w:eastAsia="zh-CN"/>
              </w:rPr>
            </w:pPr>
            <w:r>
              <w:rPr>
                <w:rFonts w:hint="eastAsia"/>
                <w:color w:val="auto"/>
                <w:lang w:val="en-US" w:eastAsia="zh-CN"/>
              </w:rPr>
              <w:t>4</w:t>
            </w:r>
          </w:p>
        </w:tc>
        <w:tc>
          <w:tcPr>
            <w:tcW w:w="2624" w:type="dxa"/>
            <w:tcBorders>
              <w:top w:val="single" w:color="auto" w:sz="4" w:space="0"/>
              <w:left w:val="single" w:color="auto" w:sz="4" w:space="0"/>
              <w:bottom w:val="single" w:color="auto" w:sz="4" w:space="0"/>
              <w:right w:val="single" w:color="auto" w:sz="4" w:space="0"/>
            </w:tcBorders>
            <w:noWrap w:val="0"/>
            <w:vAlign w:val="center"/>
          </w:tcPr>
          <w:p w14:paraId="68F28748">
            <w:pPr>
              <w:keepNext w:val="0"/>
              <w:keepLines w:val="0"/>
              <w:pageBreakBefore w:val="0"/>
              <w:widowControl/>
              <w:kinsoku/>
              <w:wordWrap/>
              <w:overflowPunct/>
              <w:topLinePunct w:val="0"/>
              <w:autoSpaceDE/>
              <w:autoSpaceDN/>
              <w:bidi w:val="0"/>
              <w:adjustRightInd/>
              <w:snapToGrid/>
              <w:spacing w:before="0" w:after="0" w:line="320" w:lineRule="exact"/>
              <w:ind w:left="240" w:leftChars="100" w:right="240" w:rightChars="100"/>
              <w:jc w:val="center"/>
              <w:textAlignment w:val="auto"/>
              <w:rPr>
                <w:rFonts w:hint="default"/>
                <w:color w:val="auto"/>
                <w:lang w:val="en-US"/>
              </w:rPr>
            </w:pPr>
            <w:r>
              <w:rPr>
                <w:rFonts w:hint="eastAsia" w:ascii="宋体" w:hAnsi="宋体" w:eastAsia="宋体" w:cs="宋体"/>
                <w:color w:val="auto"/>
                <w:sz w:val="21"/>
                <w:szCs w:val="21"/>
                <w:highlight w:val="none"/>
                <w:lang w:eastAsia="zh-CN"/>
              </w:rPr>
              <w:t>风景园林专业负责</w:t>
            </w:r>
            <w:r>
              <w:rPr>
                <w:rFonts w:hint="eastAsia" w:ascii="宋体" w:hAnsi="宋体" w:cs="宋体"/>
                <w:color w:val="auto"/>
                <w:sz w:val="21"/>
                <w:szCs w:val="21"/>
                <w:highlight w:val="none"/>
                <w:lang w:val="en-US" w:eastAsia="zh-CN"/>
              </w:rPr>
              <w:t>人</w:t>
            </w:r>
          </w:p>
        </w:tc>
        <w:tc>
          <w:tcPr>
            <w:tcW w:w="4719" w:type="dxa"/>
            <w:tcBorders>
              <w:top w:val="single" w:color="auto" w:sz="4" w:space="0"/>
              <w:left w:val="single" w:color="auto" w:sz="4" w:space="0"/>
              <w:bottom w:val="single" w:color="auto" w:sz="4" w:space="0"/>
              <w:right w:val="single" w:color="auto" w:sz="4" w:space="0"/>
            </w:tcBorders>
            <w:noWrap w:val="0"/>
            <w:vAlign w:val="center"/>
          </w:tcPr>
          <w:p w14:paraId="1AA58E14">
            <w:pPr>
              <w:pageBreakBefore w:val="0"/>
              <w:widowControl/>
              <w:kinsoku/>
              <w:wordWrap/>
              <w:overflowPunct/>
              <w:topLinePunct w:val="0"/>
              <w:autoSpaceDE/>
              <w:autoSpaceDN/>
              <w:bidi w:val="0"/>
              <w:spacing w:line="320" w:lineRule="exact"/>
              <w:ind w:left="240" w:leftChars="100" w:right="240" w:rightChars="100"/>
              <w:jc w:val="center"/>
              <w:textAlignment w:val="auto"/>
              <w:rPr>
                <w:rFonts w:hint="eastAsia"/>
                <w:color w:val="auto"/>
                <w:highlight w:val="none"/>
              </w:rPr>
            </w:pPr>
            <w:r>
              <w:rPr>
                <w:rFonts w:hint="eastAsia" w:ascii="宋体" w:hAnsi="宋体" w:eastAsia="宋体" w:cs="宋体"/>
                <w:color w:val="auto"/>
                <w:sz w:val="21"/>
                <w:szCs w:val="21"/>
                <w:highlight w:val="none"/>
                <w:lang w:eastAsia="zh-CN"/>
              </w:rPr>
              <w:t>风景园林相关专业高级或以上</w:t>
            </w:r>
            <w:r>
              <w:rPr>
                <w:rFonts w:hint="eastAsia" w:ascii="宋体" w:hAnsi="宋体" w:eastAsia="宋体" w:cs="宋体"/>
                <w:color w:val="auto"/>
                <w:sz w:val="21"/>
                <w:szCs w:val="21"/>
                <w:highlight w:val="none"/>
                <w:lang w:val="en-US" w:eastAsia="zh-CN"/>
              </w:rPr>
              <w:t>工程师</w:t>
            </w:r>
            <w:r>
              <w:rPr>
                <w:rFonts w:hint="eastAsia" w:ascii="宋体" w:hAnsi="宋体" w:eastAsia="宋体" w:cs="宋体"/>
                <w:color w:val="auto"/>
                <w:sz w:val="21"/>
                <w:szCs w:val="21"/>
                <w:highlight w:val="none"/>
                <w:lang w:eastAsia="zh-CN"/>
              </w:rPr>
              <w:t>职称</w:t>
            </w:r>
          </w:p>
        </w:tc>
        <w:tc>
          <w:tcPr>
            <w:tcW w:w="923" w:type="dxa"/>
            <w:tcBorders>
              <w:top w:val="single" w:color="auto" w:sz="4" w:space="0"/>
              <w:left w:val="single" w:color="auto" w:sz="4" w:space="0"/>
              <w:bottom w:val="single" w:color="auto" w:sz="4" w:space="0"/>
              <w:right w:val="single" w:color="auto" w:sz="4" w:space="0"/>
            </w:tcBorders>
            <w:noWrap w:val="0"/>
            <w:vAlign w:val="center"/>
          </w:tcPr>
          <w:p w14:paraId="779D6BEC">
            <w:pPr>
              <w:pStyle w:val="88"/>
              <w:pageBreakBefore w:val="0"/>
              <w:kinsoku/>
              <w:wordWrap/>
              <w:overflowPunct/>
              <w:topLinePunct w:val="0"/>
              <w:autoSpaceDE/>
              <w:autoSpaceDN/>
              <w:bidi w:val="0"/>
              <w:spacing w:line="320" w:lineRule="exact"/>
              <w:ind w:firstLine="400"/>
              <w:jc w:val="center"/>
              <w:textAlignment w:val="auto"/>
              <w:rPr>
                <w:rFonts w:hint="eastAsia"/>
                <w:color w:val="auto"/>
              </w:rPr>
            </w:pPr>
            <w:r>
              <w:rPr>
                <w:color w:val="auto"/>
              </w:rPr>
              <w:t>1</w:t>
            </w:r>
          </w:p>
        </w:tc>
      </w:tr>
      <w:tr w14:paraId="03FDA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6" w:type="dxa"/>
            <w:tcBorders>
              <w:top w:val="single" w:color="auto" w:sz="4" w:space="0"/>
              <w:left w:val="single" w:color="auto" w:sz="4" w:space="0"/>
              <w:bottom w:val="single" w:color="auto" w:sz="4" w:space="0"/>
              <w:right w:val="single" w:color="auto" w:sz="4" w:space="0"/>
            </w:tcBorders>
            <w:noWrap w:val="0"/>
            <w:vAlign w:val="center"/>
          </w:tcPr>
          <w:p w14:paraId="4C3755AD">
            <w:pPr>
              <w:pStyle w:val="88"/>
              <w:pageBreakBefore w:val="0"/>
              <w:kinsoku/>
              <w:wordWrap/>
              <w:overflowPunct/>
              <w:topLinePunct w:val="0"/>
              <w:autoSpaceDE/>
              <w:autoSpaceDN/>
              <w:bidi w:val="0"/>
              <w:spacing w:line="320" w:lineRule="exact"/>
              <w:ind w:firstLine="400"/>
              <w:jc w:val="both"/>
              <w:textAlignment w:val="auto"/>
              <w:rPr>
                <w:rFonts w:hint="eastAsia" w:eastAsia="宋体"/>
                <w:color w:val="auto"/>
                <w:lang w:eastAsia="zh-CN"/>
              </w:rPr>
            </w:pPr>
            <w:r>
              <w:rPr>
                <w:rFonts w:hint="eastAsia"/>
                <w:color w:val="auto"/>
                <w:lang w:val="en-US" w:eastAsia="zh-CN"/>
              </w:rPr>
              <w:t>5</w:t>
            </w:r>
          </w:p>
        </w:tc>
        <w:tc>
          <w:tcPr>
            <w:tcW w:w="2624" w:type="dxa"/>
            <w:tcBorders>
              <w:top w:val="single" w:color="auto" w:sz="4" w:space="0"/>
              <w:left w:val="single" w:color="auto" w:sz="4" w:space="0"/>
              <w:bottom w:val="single" w:color="auto" w:sz="4" w:space="0"/>
              <w:right w:val="single" w:color="auto" w:sz="4" w:space="0"/>
            </w:tcBorders>
            <w:noWrap w:val="0"/>
            <w:vAlign w:val="center"/>
          </w:tcPr>
          <w:p w14:paraId="52D82410">
            <w:pPr>
              <w:keepNext w:val="0"/>
              <w:keepLines w:val="0"/>
              <w:pageBreakBefore w:val="0"/>
              <w:widowControl/>
              <w:kinsoku/>
              <w:wordWrap/>
              <w:overflowPunct/>
              <w:topLinePunct w:val="0"/>
              <w:autoSpaceDE/>
              <w:autoSpaceDN/>
              <w:bidi w:val="0"/>
              <w:adjustRightInd/>
              <w:snapToGrid/>
              <w:spacing w:before="0" w:after="0" w:line="320" w:lineRule="exact"/>
              <w:ind w:left="240" w:leftChars="100" w:right="240" w:rightChars="100"/>
              <w:jc w:val="center"/>
              <w:textAlignment w:val="auto"/>
              <w:rPr>
                <w:rFonts w:hint="eastAsia"/>
                <w:color w:val="auto"/>
              </w:rPr>
            </w:pPr>
            <w:r>
              <w:rPr>
                <w:rFonts w:hint="eastAsia" w:ascii="宋体" w:hAnsi="宋体" w:eastAsia="宋体" w:cs="宋体"/>
                <w:color w:val="auto"/>
                <w:sz w:val="21"/>
                <w:szCs w:val="21"/>
                <w:highlight w:val="none"/>
                <w:lang w:eastAsia="zh-CN"/>
              </w:rPr>
              <w:t>暖通专业负责人</w:t>
            </w:r>
          </w:p>
        </w:tc>
        <w:tc>
          <w:tcPr>
            <w:tcW w:w="4719" w:type="dxa"/>
            <w:tcBorders>
              <w:top w:val="single" w:color="auto" w:sz="4" w:space="0"/>
              <w:left w:val="single" w:color="auto" w:sz="4" w:space="0"/>
              <w:bottom w:val="single" w:color="auto" w:sz="4" w:space="0"/>
              <w:right w:val="single" w:color="auto" w:sz="4" w:space="0"/>
            </w:tcBorders>
            <w:noWrap w:val="0"/>
            <w:vAlign w:val="center"/>
          </w:tcPr>
          <w:p w14:paraId="4AC01546">
            <w:pPr>
              <w:pageBreakBefore w:val="0"/>
              <w:widowControl/>
              <w:kinsoku/>
              <w:wordWrap/>
              <w:overflowPunct/>
              <w:topLinePunct w:val="0"/>
              <w:autoSpaceDE/>
              <w:autoSpaceDN/>
              <w:bidi w:val="0"/>
              <w:spacing w:line="320" w:lineRule="exact"/>
              <w:ind w:left="240" w:leftChars="100" w:right="240" w:rightChars="100"/>
              <w:jc w:val="center"/>
              <w:textAlignment w:val="auto"/>
              <w:rPr>
                <w:rFonts w:hint="eastAsia"/>
                <w:color w:val="auto"/>
                <w:highlight w:val="none"/>
              </w:rPr>
            </w:pPr>
            <w:r>
              <w:rPr>
                <w:rFonts w:hint="eastAsia" w:ascii="宋体" w:hAnsi="宋体" w:eastAsia="宋体" w:cs="宋体"/>
                <w:color w:val="auto"/>
                <w:sz w:val="21"/>
                <w:szCs w:val="21"/>
                <w:highlight w:val="none"/>
                <w:lang w:eastAsia="zh-CN"/>
              </w:rPr>
              <w:t>注册公用设备工程师（暖通空调）</w:t>
            </w:r>
          </w:p>
        </w:tc>
        <w:tc>
          <w:tcPr>
            <w:tcW w:w="923" w:type="dxa"/>
            <w:tcBorders>
              <w:top w:val="single" w:color="auto" w:sz="4" w:space="0"/>
              <w:left w:val="single" w:color="auto" w:sz="4" w:space="0"/>
              <w:bottom w:val="single" w:color="auto" w:sz="4" w:space="0"/>
              <w:right w:val="single" w:color="auto" w:sz="4" w:space="0"/>
            </w:tcBorders>
            <w:noWrap w:val="0"/>
            <w:vAlign w:val="center"/>
          </w:tcPr>
          <w:p w14:paraId="47E65F7E">
            <w:pPr>
              <w:pStyle w:val="88"/>
              <w:pageBreakBefore w:val="0"/>
              <w:kinsoku/>
              <w:wordWrap/>
              <w:overflowPunct/>
              <w:topLinePunct w:val="0"/>
              <w:autoSpaceDE/>
              <w:autoSpaceDN/>
              <w:bidi w:val="0"/>
              <w:spacing w:line="320" w:lineRule="exact"/>
              <w:ind w:firstLine="400"/>
              <w:jc w:val="center"/>
              <w:textAlignment w:val="auto"/>
              <w:rPr>
                <w:rFonts w:hint="eastAsia"/>
                <w:color w:val="auto"/>
              </w:rPr>
            </w:pPr>
            <w:r>
              <w:rPr>
                <w:rFonts w:hint="eastAsia"/>
                <w:color w:val="auto"/>
              </w:rPr>
              <w:t>1</w:t>
            </w:r>
          </w:p>
        </w:tc>
      </w:tr>
      <w:tr w14:paraId="2A4A2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6" w:type="dxa"/>
            <w:tcBorders>
              <w:top w:val="single" w:color="auto" w:sz="4" w:space="0"/>
              <w:left w:val="single" w:color="auto" w:sz="4" w:space="0"/>
              <w:bottom w:val="single" w:color="auto" w:sz="4" w:space="0"/>
              <w:right w:val="single" w:color="auto" w:sz="4" w:space="0"/>
            </w:tcBorders>
            <w:noWrap w:val="0"/>
            <w:vAlign w:val="center"/>
          </w:tcPr>
          <w:p w14:paraId="780B6E69">
            <w:pPr>
              <w:pStyle w:val="88"/>
              <w:pageBreakBefore w:val="0"/>
              <w:kinsoku/>
              <w:wordWrap/>
              <w:overflowPunct/>
              <w:topLinePunct w:val="0"/>
              <w:autoSpaceDE/>
              <w:autoSpaceDN/>
              <w:bidi w:val="0"/>
              <w:spacing w:line="320" w:lineRule="exact"/>
              <w:ind w:firstLine="400"/>
              <w:jc w:val="both"/>
              <w:textAlignment w:val="auto"/>
              <w:rPr>
                <w:rFonts w:hint="eastAsia" w:eastAsia="宋体"/>
                <w:color w:val="auto"/>
                <w:lang w:eastAsia="zh-CN"/>
              </w:rPr>
            </w:pPr>
            <w:r>
              <w:rPr>
                <w:rFonts w:hint="eastAsia"/>
                <w:color w:val="auto"/>
                <w:lang w:val="en-US" w:eastAsia="zh-CN"/>
              </w:rPr>
              <w:t>6</w:t>
            </w:r>
          </w:p>
        </w:tc>
        <w:tc>
          <w:tcPr>
            <w:tcW w:w="2624" w:type="dxa"/>
            <w:tcBorders>
              <w:top w:val="single" w:color="auto" w:sz="4" w:space="0"/>
              <w:left w:val="single" w:color="auto" w:sz="4" w:space="0"/>
              <w:bottom w:val="single" w:color="auto" w:sz="4" w:space="0"/>
              <w:right w:val="single" w:color="auto" w:sz="4" w:space="0"/>
            </w:tcBorders>
            <w:noWrap w:val="0"/>
            <w:vAlign w:val="center"/>
          </w:tcPr>
          <w:p w14:paraId="4B1ADA77">
            <w:pPr>
              <w:keepNext w:val="0"/>
              <w:keepLines w:val="0"/>
              <w:pageBreakBefore w:val="0"/>
              <w:widowControl/>
              <w:kinsoku/>
              <w:wordWrap/>
              <w:overflowPunct/>
              <w:topLinePunct w:val="0"/>
              <w:autoSpaceDE/>
              <w:autoSpaceDN/>
              <w:bidi w:val="0"/>
              <w:adjustRightInd/>
              <w:snapToGrid/>
              <w:spacing w:before="0" w:after="0" w:line="320" w:lineRule="exact"/>
              <w:ind w:left="240" w:leftChars="100" w:right="240" w:rightChars="100"/>
              <w:jc w:val="center"/>
              <w:textAlignment w:val="auto"/>
              <w:rPr>
                <w:rFonts w:hint="eastAsia"/>
                <w:color w:val="auto"/>
              </w:rPr>
            </w:pPr>
            <w:r>
              <w:rPr>
                <w:rFonts w:hint="eastAsia" w:ascii="宋体" w:hAnsi="宋体" w:eastAsia="宋体" w:cs="宋体"/>
                <w:color w:val="auto"/>
                <w:sz w:val="21"/>
                <w:szCs w:val="21"/>
                <w:highlight w:val="none"/>
                <w:lang w:eastAsia="zh-CN"/>
              </w:rPr>
              <w:t>电气专业负责人</w:t>
            </w:r>
          </w:p>
        </w:tc>
        <w:tc>
          <w:tcPr>
            <w:tcW w:w="4719" w:type="dxa"/>
            <w:tcBorders>
              <w:top w:val="single" w:color="auto" w:sz="4" w:space="0"/>
              <w:left w:val="single" w:color="auto" w:sz="4" w:space="0"/>
              <w:bottom w:val="single" w:color="auto" w:sz="4" w:space="0"/>
              <w:right w:val="single" w:color="auto" w:sz="4" w:space="0"/>
            </w:tcBorders>
            <w:noWrap w:val="0"/>
            <w:vAlign w:val="center"/>
          </w:tcPr>
          <w:p w14:paraId="24DAEEF0">
            <w:pPr>
              <w:pageBreakBefore w:val="0"/>
              <w:widowControl/>
              <w:kinsoku/>
              <w:wordWrap/>
              <w:overflowPunct/>
              <w:topLinePunct w:val="0"/>
              <w:autoSpaceDE/>
              <w:autoSpaceDN/>
              <w:bidi w:val="0"/>
              <w:spacing w:line="320" w:lineRule="exact"/>
              <w:ind w:left="240" w:leftChars="100" w:right="240" w:rightChars="100"/>
              <w:jc w:val="center"/>
              <w:textAlignment w:val="auto"/>
              <w:rPr>
                <w:rFonts w:hint="eastAsia"/>
                <w:color w:val="auto"/>
              </w:rPr>
            </w:pPr>
            <w:r>
              <w:rPr>
                <w:rFonts w:hint="eastAsia" w:ascii="宋体" w:hAnsi="宋体" w:eastAsia="宋体" w:cs="宋体"/>
                <w:color w:val="auto"/>
                <w:sz w:val="21"/>
                <w:szCs w:val="21"/>
                <w:highlight w:val="none"/>
                <w:lang w:eastAsia="zh-CN"/>
              </w:rPr>
              <w:t>注册电气工程师（供配电）</w:t>
            </w:r>
          </w:p>
        </w:tc>
        <w:tc>
          <w:tcPr>
            <w:tcW w:w="923" w:type="dxa"/>
            <w:tcBorders>
              <w:top w:val="single" w:color="auto" w:sz="4" w:space="0"/>
              <w:left w:val="single" w:color="auto" w:sz="4" w:space="0"/>
              <w:bottom w:val="single" w:color="auto" w:sz="4" w:space="0"/>
              <w:right w:val="single" w:color="auto" w:sz="4" w:space="0"/>
            </w:tcBorders>
            <w:noWrap w:val="0"/>
            <w:vAlign w:val="center"/>
          </w:tcPr>
          <w:p w14:paraId="445C27EC">
            <w:pPr>
              <w:pStyle w:val="88"/>
              <w:pageBreakBefore w:val="0"/>
              <w:kinsoku/>
              <w:wordWrap/>
              <w:overflowPunct/>
              <w:topLinePunct w:val="0"/>
              <w:autoSpaceDE/>
              <w:autoSpaceDN/>
              <w:bidi w:val="0"/>
              <w:spacing w:line="320" w:lineRule="exact"/>
              <w:ind w:firstLine="400"/>
              <w:jc w:val="center"/>
              <w:textAlignment w:val="auto"/>
              <w:rPr>
                <w:rFonts w:hint="eastAsia"/>
                <w:color w:val="auto"/>
              </w:rPr>
            </w:pPr>
            <w:r>
              <w:rPr>
                <w:color w:val="auto"/>
              </w:rPr>
              <w:t>1</w:t>
            </w:r>
          </w:p>
        </w:tc>
      </w:tr>
      <w:tr w14:paraId="7345D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6" w:type="dxa"/>
            <w:tcBorders>
              <w:top w:val="single" w:color="auto" w:sz="4" w:space="0"/>
              <w:left w:val="single" w:color="auto" w:sz="4" w:space="0"/>
              <w:bottom w:val="single" w:color="auto" w:sz="4" w:space="0"/>
              <w:right w:val="single" w:color="auto" w:sz="4" w:space="0"/>
            </w:tcBorders>
            <w:noWrap w:val="0"/>
            <w:vAlign w:val="center"/>
          </w:tcPr>
          <w:p w14:paraId="4A1C2C8E">
            <w:pPr>
              <w:pStyle w:val="88"/>
              <w:pageBreakBefore w:val="0"/>
              <w:kinsoku/>
              <w:wordWrap/>
              <w:overflowPunct/>
              <w:topLinePunct w:val="0"/>
              <w:autoSpaceDE/>
              <w:autoSpaceDN/>
              <w:bidi w:val="0"/>
              <w:spacing w:line="320" w:lineRule="exact"/>
              <w:ind w:firstLine="400"/>
              <w:jc w:val="both"/>
              <w:textAlignment w:val="auto"/>
              <w:rPr>
                <w:rFonts w:hint="eastAsia" w:eastAsia="宋体"/>
                <w:color w:val="auto"/>
                <w:lang w:eastAsia="zh-CN"/>
              </w:rPr>
            </w:pPr>
            <w:r>
              <w:rPr>
                <w:rFonts w:hint="eastAsia"/>
                <w:color w:val="auto"/>
                <w:lang w:val="en-US" w:eastAsia="zh-CN"/>
              </w:rPr>
              <w:t>7</w:t>
            </w:r>
          </w:p>
        </w:tc>
        <w:tc>
          <w:tcPr>
            <w:tcW w:w="2624" w:type="dxa"/>
            <w:tcBorders>
              <w:top w:val="single" w:color="auto" w:sz="4" w:space="0"/>
              <w:left w:val="single" w:color="auto" w:sz="4" w:space="0"/>
              <w:bottom w:val="single" w:color="auto" w:sz="4" w:space="0"/>
              <w:right w:val="single" w:color="auto" w:sz="4" w:space="0"/>
            </w:tcBorders>
            <w:noWrap w:val="0"/>
            <w:vAlign w:val="center"/>
          </w:tcPr>
          <w:p w14:paraId="049FD2E4">
            <w:pPr>
              <w:keepNext w:val="0"/>
              <w:keepLines w:val="0"/>
              <w:pageBreakBefore w:val="0"/>
              <w:widowControl/>
              <w:kinsoku/>
              <w:wordWrap/>
              <w:overflowPunct/>
              <w:topLinePunct w:val="0"/>
              <w:autoSpaceDE/>
              <w:autoSpaceDN/>
              <w:bidi w:val="0"/>
              <w:adjustRightInd/>
              <w:snapToGrid/>
              <w:spacing w:before="0" w:after="0" w:line="320" w:lineRule="exact"/>
              <w:ind w:left="240" w:leftChars="100" w:right="240" w:rightChars="100"/>
              <w:jc w:val="center"/>
              <w:textAlignment w:val="auto"/>
              <w:rPr>
                <w:rFonts w:hint="eastAsia"/>
                <w:color w:val="auto"/>
              </w:rPr>
            </w:pPr>
            <w:r>
              <w:rPr>
                <w:rFonts w:hint="eastAsia" w:ascii="宋体" w:hAnsi="宋体" w:eastAsia="宋体" w:cs="宋体"/>
                <w:color w:val="auto"/>
                <w:sz w:val="21"/>
                <w:szCs w:val="21"/>
                <w:highlight w:val="none"/>
                <w:lang w:val="en-US" w:eastAsia="zh-CN"/>
              </w:rPr>
              <w:t>智能化专业负责人</w:t>
            </w:r>
          </w:p>
        </w:tc>
        <w:tc>
          <w:tcPr>
            <w:tcW w:w="4719" w:type="dxa"/>
            <w:tcBorders>
              <w:top w:val="single" w:color="auto" w:sz="4" w:space="0"/>
              <w:left w:val="single" w:color="auto" w:sz="4" w:space="0"/>
              <w:bottom w:val="single" w:color="auto" w:sz="4" w:space="0"/>
              <w:right w:val="single" w:color="auto" w:sz="4" w:space="0"/>
            </w:tcBorders>
            <w:noWrap w:val="0"/>
            <w:vAlign w:val="center"/>
          </w:tcPr>
          <w:p w14:paraId="0458372B">
            <w:pPr>
              <w:pageBreakBefore w:val="0"/>
              <w:widowControl/>
              <w:kinsoku/>
              <w:wordWrap/>
              <w:overflowPunct/>
              <w:topLinePunct w:val="0"/>
              <w:autoSpaceDE/>
              <w:autoSpaceDN/>
              <w:bidi w:val="0"/>
              <w:spacing w:line="320" w:lineRule="exact"/>
              <w:ind w:left="240" w:leftChars="100" w:right="240" w:rightChars="100"/>
              <w:jc w:val="center"/>
              <w:textAlignment w:val="auto"/>
              <w:rPr>
                <w:rFonts w:hint="eastAsia"/>
                <w:color w:val="auto"/>
              </w:rPr>
            </w:pPr>
            <w:r>
              <w:rPr>
                <w:rFonts w:hint="eastAsia" w:ascii="宋体" w:hAnsi="宋体" w:eastAsia="宋体" w:cs="宋体"/>
                <w:color w:val="auto"/>
                <w:sz w:val="21"/>
                <w:szCs w:val="21"/>
                <w:highlight w:val="none"/>
                <w:lang w:eastAsia="zh-CN"/>
              </w:rPr>
              <w:t>注册电气工程师（供配电）</w:t>
            </w:r>
          </w:p>
        </w:tc>
        <w:tc>
          <w:tcPr>
            <w:tcW w:w="923" w:type="dxa"/>
            <w:tcBorders>
              <w:top w:val="single" w:color="auto" w:sz="4" w:space="0"/>
              <w:left w:val="single" w:color="auto" w:sz="4" w:space="0"/>
              <w:bottom w:val="single" w:color="auto" w:sz="4" w:space="0"/>
              <w:right w:val="single" w:color="auto" w:sz="4" w:space="0"/>
            </w:tcBorders>
            <w:noWrap w:val="0"/>
            <w:vAlign w:val="center"/>
          </w:tcPr>
          <w:p w14:paraId="13292AC5">
            <w:pPr>
              <w:pStyle w:val="88"/>
              <w:pageBreakBefore w:val="0"/>
              <w:kinsoku/>
              <w:wordWrap/>
              <w:overflowPunct/>
              <w:topLinePunct w:val="0"/>
              <w:autoSpaceDE/>
              <w:autoSpaceDN/>
              <w:bidi w:val="0"/>
              <w:spacing w:line="320" w:lineRule="exact"/>
              <w:ind w:firstLine="400"/>
              <w:jc w:val="center"/>
              <w:textAlignment w:val="auto"/>
              <w:rPr>
                <w:rFonts w:hint="eastAsia"/>
                <w:color w:val="auto"/>
              </w:rPr>
            </w:pPr>
            <w:r>
              <w:rPr>
                <w:color w:val="auto"/>
              </w:rPr>
              <w:t>1</w:t>
            </w:r>
          </w:p>
        </w:tc>
      </w:tr>
      <w:tr w14:paraId="2D29B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6" w:type="dxa"/>
            <w:tcBorders>
              <w:top w:val="single" w:color="auto" w:sz="4" w:space="0"/>
              <w:left w:val="single" w:color="auto" w:sz="4" w:space="0"/>
              <w:bottom w:val="single" w:color="auto" w:sz="4" w:space="0"/>
              <w:right w:val="single" w:color="auto" w:sz="4" w:space="0"/>
            </w:tcBorders>
            <w:noWrap w:val="0"/>
            <w:vAlign w:val="center"/>
          </w:tcPr>
          <w:p w14:paraId="60BCDA00">
            <w:pPr>
              <w:pStyle w:val="88"/>
              <w:pageBreakBefore w:val="0"/>
              <w:kinsoku/>
              <w:wordWrap/>
              <w:overflowPunct/>
              <w:topLinePunct w:val="0"/>
              <w:autoSpaceDE/>
              <w:autoSpaceDN/>
              <w:bidi w:val="0"/>
              <w:spacing w:line="320" w:lineRule="exact"/>
              <w:ind w:firstLine="400"/>
              <w:jc w:val="both"/>
              <w:textAlignment w:val="auto"/>
              <w:rPr>
                <w:rFonts w:hint="eastAsia" w:eastAsia="宋体"/>
                <w:color w:val="auto"/>
                <w:lang w:eastAsia="zh-CN"/>
              </w:rPr>
            </w:pPr>
            <w:r>
              <w:rPr>
                <w:rFonts w:hint="eastAsia"/>
                <w:color w:val="auto"/>
                <w:lang w:val="en-US" w:eastAsia="zh-CN"/>
              </w:rPr>
              <w:t>8</w:t>
            </w:r>
          </w:p>
        </w:tc>
        <w:tc>
          <w:tcPr>
            <w:tcW w:w="2624" w:type="dxa"/>
            <w:tcBorders>
              <w:top w:val="single" w:color="auto" w:sz="4" w:space="0"/>
              <w:left w:val="single" w:color="auto" w:sz="4" w:space="0"/>
              <w:bottom w:val="single" w:color="auto" w:sz="4" w:space="0"/>
              <w:right w:val="single" w:color="auto" w:sz="4" w:space="0"/>
            </w:tcBorders>
            <w:noWrap w:val="0"/>
            <w:vAlign w:val="center"/>
          </w:tcPr>
          <w:p w14:paraId="264B6A7B">
            <w:pPr>
              <w:keepNext w:val="0"/>
              <w:keepLines w:val="0"/>
              <w:pageBreakBefore w:val="0"/>
              <w:widowControl/>
              <w:kinsoku/>
              <w:wordWrap/>
              <w:overflowPunct/>
              <w:topLinePunct w:val="0"/>
              <w:autoSpaceDE/>
              <w:autoSpaceDN/>
              <w:bidi w:val="0"/>
              <w:adjustRightInd/>
              <w:snapToGrid/>
              <w:spacing w:before="0" w:after="0" w:line="320" w:lineRule="exact"/>
              <w:ind w:left="240" w:leftChars="100" w:right="240" w:rightChars="100"/>
              <w:jc w:val="center"/>
              <w:textAlignment w:val="auto"/>
              <w:rPr>
                <w:rFonts w:hint="eastAsia"/>
                <w:color w:val="auto"/>
              </w:rPr>
            </w:pPr>
            <w:r>
              <w:rPr>
                <w:rFonts w:hint="eastAsia" w:ascii="宋体" w:hAnsi="宋体" w:eastAsia="宋体" w:cs="宋体"/>
                <w:color w:val="auto"/>
                <w:sz w:val="21"/>
                <w:szCs w:val="21"/>
                <w:highlight w:val="none"/>
                <w:lang w:eastAsia="zh-CN"/>
              </w:rPr>
              <w:t>给排水专业负责人</w:t>
            </w:r>
          </w:p>
        </w:tc>
        <w:tc>
          <w:tcPr>
            <w:tcW w:w="4719" w:type="dxa"/>
            <w:tcBorders>
              <w:top w:val="single" w:color="auto" w:sz="4" w:space="0"/>
              <w:left w:val="single" w:color="auto" w:sz="4" w:space="0"/>
              <w:bottom w:val="single" w:color="auto" w:sz="4" w:space="0"/>
              <w:right w:val="single" w:color="auto" w:sz="4" w:space="0"/>
            </w:tcBorders>
            <w:noWrap w:val="0"/>
            <w:vAlign w:val="center"/>
          </w:tcPr>
          <w:p w14:paraId="64223BE8">
            <w:pPr>
              <w:pageBreakBefore w:val="0"/>
              <w:widowControl/>
              <w:kinsoku/>
              <w:wordWrap/>
              <w:overflowPunct/>
              <w:topLinePunct w:val="0"/>
              <w:autoSpaceDE/>
              <w:autoSpaceDN/>
              <w:bidi w:val="0"/>
              <w:spacing w:line="320" w:lineRule="exact"/>
              <w:ind w:left="240" w:leftChars="100" w:right="240" w:rightChars="100"/>
              <w:jc w:val="center"/>
              <w:textAlignment w:val="auto"/>
              <w:rPr>
                <w:rFonts w:hint="eastAsia"/>
                <w:color w:val="auto"/>
              </w:rPr>
            </w:pPr>
            <w:r>
              <w:rPr>
                <w:rFonts w:hint="eastAsia" w:ascii="宋体" w:hAnsi="宋体" w:eastAsia="宋体" w:cs="宋体"/>
                <w:color w:val="auto"/>
                <w:sz w:val="21"/>
                <w:szCs w:val="21"/>
                <w:highlight w:val="none"/>
                <w:lang w:eastAsia="zh-CN"/>
              </w:rPr>
              <w:t>注册公用设备工程师（给水排水）</w:t>
            </w:r>
          </w:p>
        </w:tc>
        <w:tc>
          <w:tcPr>
            <w:tcW w:w="923" w:type="dxa"/>
            <w:tcBorders>
              <w:top w:val="single" w:color="auto" w:sz="4" w:space="0"/>
              <w:left w:val="single" w:color="auto" w:sz="4" w:space="0"/>
              <w:bottom w:val="single" w:color="auto" w:sz="4" w:space="0"/>
              <w:right w:val="single" w:color="auto" w:sz="4" w:space="0"/>
            </w:tcBorders>
            <w:noWrap w:val="0"/>
            <w:vAlign w:val="center"/>
          </w:tcPr>
          <w:p w14:paraId="01251F4D">
            <w:pPr>
              <w:pStyle w:val="88"/>
              <w:pageBreakBefore w:val="0"/>
              <w:kinsoku/>
              <w:wordWrap/>
              <w:overflowPunct/>
              <w:topLinePunct w:val="0"/>
              <w:autoSpaceDE/>
              <w:autoSpaceDN/>
              <w:bidi w:val="0"/>
              <w:spacing w:line="320" w:lineRule="exact"/>
              <w:ind w:firstLine="400"/>
              <w:jc w:val="center"/>
              <w:textAlignment w:val="auto"/>
              <w:rPr>
                <w:rFonts w:hint="eastAsia"/>
                <w:color w:val="auto"/>
              </w:rPr>
            </w:pPr>
            <w:r>
              <w:rPr>
                <w:color w:val="auto"/>
              </w:rPr>
              <w:t>1</w:t>
            </w:r>
          </w:p>
        </w:tc>
      </w:tr>
      <w:tr w14:paraId="542F1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6" w:type="dxa"/>
            <w:tcBorders>
              <w:top w:val="single" w:color="auto" w:sz="4" w:space="0"/>
              <w:left w:val="single" w:color="auto" w:sz="4" w:space="0"/>
              <w:bottom w:val="single" w:color="auto" w:sz="4" w:space="0"/>
              <w:right w:val="single" w:color="auto" w:sz="4" w:space="0"/>
            </w:tcBorders>
            <w:noWrap w:val="0"/>
            <w:vAlign w:val="center"/>
          </w:tcPr>
          <w:p w14:paraId="66D1DE99">
            <w:pPr>
              <w:pStyle w:val="88"/>
              <w:pageBreakBefore w:val="0"/>
              <w:kinsoku/>
              <w:wordWrap/>
              <w:overflowPunct/>
              <w:topLinePunct w:val="0"/>
              <w:autoSpaceDE/>
              <w:autoSpaceDN/>
              <w:bidi w:val="0"/>
              <w:spacing w:line="320" w:lineRule="exact"/>
              <w:ind w:firstLine="400"/>
              <w:jc w:val="both"/>
              <w:textAlignment w:val="auto"/>
              <w:rPr>
                <w:rFonts w:hint="default"/>
                <w:color w:val="auto"/>
                <w:lang w:val="en-US" w:eastAsia="zh-CN"/>
              </w:rPr>
            </w:pPr>
            <w:r>
              <w:rPr>
                <w:rFonts w:hint="eastAsia"/>
                <w:color w:val="auto"/>
                <w:lang w:val="en-US" w:eastAsia="zh-CN"/>
              </w:rPr>
              <w:t>9</w:t>
            </w:r>
          </w:p>
        </w:tc>
        <w:tc>
          <w:tcPr>
            <w:tcW w:w="2624" w:type="dxa"/>
            <w:tcBorders>
              <w:top w:val="single" w:color="auto" w:sz="4" w:space="0"/>
              <w:left w:val="single" w:color="auto" w:sz="4" w:space="0"/>
              <w:bottom w:val="single" w:color="auto" w:sz="4" w:space="0"/>
              <w:right w:val="single" w:color="auto" w:sz="4" w:space="0"/>
            </w:tcBorders>
            <w:noWrap w:val="0"/>
            <w:vAlign w:val="center"/>
          </w:tcPr>
          <w:p w14:paraId="41847FA7">
            <w:pPr>
              <w:keepNext w:val="0"/>
              <w:keepLines w:val="0"/>
              <w:pageBreakBefore w:val="0"/>
              <w:widowControl/>
              <w:kinsoku/>
              <w:wordWrap/>
              <w:overflowPunct/>
              <w:topLinePunct w:val="0"/>
              <w:autoSpaceDE/>
              <w:autoSpaceDN/>
              <w:bidi w:val="0"/>
              <w:adjustRightInd/>
              <w:snapToGrid/>
              <w:spacing w:before="0" w:after="0" w:line="320" w:lineRule="exact"/>
              <w:ind w:left="240" w:leftChars="100" w:right="240" w:rightChars="10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造价专业负责人</w:t>
            </w:r>
          </w:p>
        </w:tc>
        <w:tc>
          <w:tcPr>
            <w:tcW w:w="4719" w:type="dxa"/>
            <w:tcBorders>
              <w:top w:val="single" w:color="auto" w:sz="4" w:space="0"/>
              <w:left w:val="single" w:color="auto" w:sz="4" w:space="0"/>
              <w:bottom w:val="single" w:color="auto" w:sz="4" w:space="0"/>
              <w:right w:val="single" w:color="auto" w:sz="4" w:space="0"/>
            </w:tcBorders>
            <w:noWrap w:val="0"/>
            <w:vAlign w:val="center"/>
          </w:tcPr>
          <w:p w14:paraId="4B072381">
            <w:pPr>
              <w:pageBreakBefore w:val="0"/>
              <w:widowControl/>
              <w:kinsoku/>
              <w:wordWrap/>
              <w:overflowPunct/>
              <w:topLinePunct w:val="0"/>
              <w:autoSpaceDE/>
              <w:autoSpaceDN/>
              <w:bidi w:val="0"/>
              <w:spacing w:line="320" w:lineRule="exact"/>
              <w:ind w:left="240" w:leftChars="100" w:right="240" w:rightChars="10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一级注册造价师</w:t>
            </w:r>
          </w:p>
        </w:tc>
        <w:tc>
          <w:tcPr>
            <w:tcW w:w="923" w:type="dxa"/>
            <w:tcBorders>
              <w:top w:val="single" w:color="auto" w:sz="4" w:space="0"/>
              <w:left w:val="single" w:color="auto" w:sz="4" w:space="0"/>
              <w:bottom w:val="single" w:color="auto" w:sz="4" w:space="0"/>
              <w:right w:val="single" w:color="auto" w:sz="4" w:space="0"/>
            </w:tcBorders>
            <w:noWrap w:val="0"/>
            <w:vAlign w:val="center"/>
          </w:tcPr>
          <w:p w14:paraId="3C5B07EF">
            <w:pPr>
              <w:pStyle w:val="88"/>
              <w:pageBreakBefore w:val="0"/>
              <w:kinsoku/>
              <w:wordWrap/>
              <w:overflowPunct/>
              <w:topLinePunct w:val="0"/>
              <w:autoSpaceDE/>
              <w:autoSpaceDN/>
              <w:bidi w:val="0"/>
              <w:spacing w:line="320" w:lineRule="exact"/>
              <w:ind w:firstLine="400"/>
              <w:jc w:val="center"/>
              <w:textAlignment w:val="auto"/>
              <w:rPr>
                <w:rFonts w:hint="eastAsia" w:eastAsia="宋体"/>
                <w:color w:val="auto"/>
                <w:lang w:val="en-US" w:eastAsia="zh-CN"/>
              </w:rPr>
            </w:pPr>
            <w:r>
              <w:rPr>
                <w:rFonts w:hint="eastAsia"/>
                <w:color w:val="auto"/>
                <w:lang w:val="en-US" w:eastAsia="zh-CN"/>
              </w:rPr>
              <w:t>1</w:t>
            </w:r>
          </w:p>
        </w:tc>
      </w:tr>
    </w:tbl>
    <w:p w14:paraId="2F9B89BC">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rPr>
        <w:t>设计团队工作要求如下：</w:t>
      </w:r>
    </w:p>
    <w:p w14:paraId="61466AA3">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eastAsia="zh-CN"/>
        </w:rPr>
        <w:t>（</w:t>
      </w:r>
      <w:r>
        <w:rPr>
          <w:rFonts w:hint="eastAsia"/>
          <w:lang w:val="en-US" w:eastAsia="zh-CN"/>
        </w:rPr>
        <w:t>1）</w:t>
      </w:r>
      <w:r>
        <w:rPr>
          <w:rFonts w:hint="eastAsia"/>
        </w:rPr>
        <w:t>设计单位在明确分工各负其责的基础上，按照任务书所列要求承诺为本项目合同约定项目指定能够胜任的项目负责人、各专业设计负责人、各专业设计人等，在设计进场后向建设单位报送设计团队工作人员信息（包括姓名、联系方式、学历、专业、职称、职务等），以便于联系和管理。此外，应向甲方出具书面授权书及承诺函，授权项目负责人在本项目工作期间对项目人员进行工作管理和调配。</w:t>
      </w:r>
    </w:p>
    <w:p w14:paraId="6934F15A">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eastAsia="zh-CN"/>
        </w:rPr>
        <w:t>（</w:t>
      </w:r>
      <w:r>
        <w:rPr>
          <w:rFonts w:hint="eastAsia"/>
          <w:lang w:val="en-US" w:eastAsia="zh-CN"/>
        </w:rPr>
        <w:t>2）</w:t>
      </w:r>
      <w:r>
        <w:rPr>
          <w:rFonts w:hint="eastAsia"/>
        </w:rPr>
        <w:t>在项目设计范围内，设计单位应保证按规划及功能要求、配套设施要求完成本项目中包含的全部项目的专业与专项设计。限于专业资质问题不能进行的专业或专项设计，由设计单位报建设单位同意后进行分包，专项分包设计费由设计单位承担。</w:t>
      </w:r>
    </w:p>
    <w:p w14:paraId="659D9ED4">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rPr>
      </w:pPr>
      <w:r>
        <w:rPr>
          <w:rFonts w:hint="eastAsia"/>
          <w:lang w:eastAsia="zh-CN"/>
        </w:rPr>
        <w:t>（</w:t>
      </w:r>
      <w:r>
        <w:rPr>
          <w:rFonts w:hint="eastAsia"/>
          <w:lang w:val="en-US" w:eastAsia="zh-CN"/>
        </w:rPr>
        <w:t>3）</w:t>
      </w:r>
      <w:r>
        <w:rPr>
          <w:rFonts w:hint="eastAsia"/>
        </w:rPr>
        <w:t>设计方擅自更换项目负责人及</w:t>
      </w:r>
      <w:r>
        <w:rPr>
          <w:rFonts w:hint="eastAsia"/>
          <w:lang w:val="en-US" w:eastAsia="zh-CN"/>
        </w:rPr>
        <w:t>各专</w:t>
      </w:r>
      <w:r>
        <w:rPr>
          <w:rFonts w:hint="eastAsia"/>
        </w:rPr>
        <w:t>业负责人，未经发包人同意，发包人有权向设计方索赔，每更换一人次，扣除设计费1万元。</w:t>
      </w:r>
    </w:p>
    <w:p w14:paraId="3366F868">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eastAsia="zh-CN"/>
        </w:rPr>
        <w:t>（</w:t>
      </w:r>
      <w:r>
        <w:rPr>
          <w:rFonts w:hint="eastAsia"/>
          <w:lang w:val="en-US" w:eastAsia="zh-CN"/>
        </w:rPr>
        <w:t>4）</w:t>
      </w:r>
      <w:r>
        <w:rPr>
          <w:rFonts w:hint="eastAsia"/>
        </w:rPr>
        <w:t>在设计高峰或进度不满足要求时，设计单位必须调集足够人力及物力，确保工作进度，因设计人员数量、专业水平、专业配套等达不到项目建设要求时，建设单位有权要求设计单位更换或补充相关设计人员；未能在指定时间内及时更换和补充的，视作违约行为，按合同约定予以处罚，并对项目负责人予以书面警告。</w:t>
      </w:r>
    </w:p>
    <w:p w14:paraId="435DE6CE">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eastAsia="zh-CN"/>
        </w:rPr>
        <w:t>（</w:t>
      </w:r>
      <w:r>
        <w:rPr>
          <w:rFonts w:hint="eastAsia"/>
          <w:lang w:val="en-US" w:eastAsia="zh-CN"/>
        </w:rPr>
        <w:t>5）</w:t>
      </w:r>
      <w:r>
        <w:rPr>
          <w:rFonts w:hint="eastAsia"/>
        </w:rPr>
        <w:t>设计单位必须保证参与本项目各专业设计人员的稳定性，不得随意撤换。项目负责人及各专业负责人因故需离开须向甲方报备并安排工作对接人，否则必须承担相应责任。发包人有权要求撤换不能胜任本职工作、行为不端或玩忽职守的项目负责人和其他人员。</w:t>
      </w:r>
    </w:p>
    <w:p w14:paraId="5AA02751">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eastAsia="zh-CN"/>
        </w:rPr>
        <w:t>（</w:t>
      </w:r>
      <w:r>
        <w:rPr>
          <w:rFonts w:hint="eastAsia"/>
          <w:lang w:val="en-US" w:eastAsia="zh-CN"/>
        </w:rPr>
        <w:t>6）</w:t>
      </w:r>
      <w:r>
        <w:rPr>
          <w:rFonts w:hint="eastAsia"/>
        </w:rPr>
        <w:t>建立项目竣工后的设计跟踪服务体制。</w:t>
      </w:r>
    </w:p>
    <w:p w14:paraId="0F03EB42">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rPr>
      </w:pPr>
      <w:r>
        <w:rPr>
          <w:rFonts w:hint="eastAsia"/>
          <w:lang w:eastAsia="zh-CN"/>
        </w:rPr>
        <w:t>（</w:t>
      </w:r>
      <w:r>
        <w:rPr>
          <w:rFonts w:hint="eastAsia"/>
          <w:lang w:val="en-US" w:eastAsia="zh-CN"/>
        </w:rPr>
        <w:t>7）</w:t>
      </w:r>
      <w:r>
        <w:rPr>
          <w:rFonts w:hint="eastAsia"/>
        </w:rPr>
        <w:t>设计方必须建立及时的设计条件不足反馈体制，由各专业设计负责人负责。各专业设计负责人在未得到发包人满意回答之前必须时刻向发包人发出书面质疑信息。发包人有权要求更换不及时反馈信息而随意中断设计业务的设计人员或专业设计负责人。</w:t>
      </w:r>
    </w:p>
    <w:p w14:paraId="1514A311">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eastAsia="zh-CN"/>
        </w:rPr>
        <w:t>（</w:t>
      </w:r>
      <w:r>
        <w:rPr>
          <w:rFonts w:hint="eastAsia"/>
          <w:lang w:val="en-US" w:eastAsia="zh-CN"/>
        </w:rPr>
        <w:t>8）</w:t>
      </w:r>
      <w:r>
        <w:rPr>
          <w:rFonts w:hint="eastAsia"/>
        </w:rPr>
        <w:t>项目负责人工作要求：</w:t>
      </w:r>
    </w:p>
    <w:p w14:paraId="489C77F3">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480" w:firstLineChars="200"/>
        <w:jc w:val="left"/>
        <w:textAlignment w:val="auto"/>
        <w:rPr>
          <w:rFonts w:hint="eastAsia"/>
        </w:rPr>
      </w:pPr>
      <w:r>
        <w:rPr>
          <w:rFonts w:hint="eastAsia"/>
        </w:rPr>
        <w:t>项目负责人对本项目设计团队人员进行直接管理调配，负责完成本项目包括设计任务，对项目设计进度和质量负直接责任。项目负责人需参与项目设计例会、专题会及协调会,并汇报总体设计方案。其他专业负责人可汇报专项技术方案。</w:t>
      </w:r>
    </w:p>
    <w:p w14:paraId="7B1C5D22">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480" w:firstLineChars="200"/>
        <w:jc w:val="left"/>
        <w:textAlignment w:val="auto"/>
        <w:rPr>
          <w:rFonts w:hint="eastAsia"/>
        </w:rPr>
      </w:pPr>
    </w:p>
    <w:p w14:paraId="71D9C37F">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lang w:val="en-US" w:eastAsia="zh-CN"/>
        </w:rPr>
      </w:pPr>
      <w:bookmarkStart w:id="129" w:name="_Toc23937"/>
      <w:bookmarkStart w:id="130" w:name="_Toc16106"/>
      <w:bookmarkStart w:id="131" w:name="_Toc30063532"/>
      <w:bookmarkStart w:id="132" w:name="_Toc531964835"/>
      <w:bookmarkStart w:id="133" w:name="_Toc29466"/>
      <w:bookmarkStart w:id="134" w:name="_Toc21096"/>
      <w:r>
        <w:rPr>
          <w:rFonts w:hint="eastAsia"/>
          <w:lang w:val="en-US" w:eastAsia="zh-CN"/>
        </w:rPr>
        <w:t>8.3设计服务要求</w:t>
      </w:r>
      <w:bookmarkEnd w:id="129"/>
      <w:bookmarkEnd w:id="130"/>
      <w:bookmarkEnd w:id="131"/>
      <w:bookmarkEnd w:id="132"/>
      <w:bookmarkEnd w:id="133"/>
      <w:bookmarkEnd w:id="134"/>
    </w:p>
    <w:p w14:paraId="02802735">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lang w:val="en-US" w:eastAsia="zh-CN"/>
        </w:rPr>
      </w:pPr>
      <w:bookmarkStart w:id="135" w:name="_Toc531964836"/>
      <w:bookmarkStart w:id="136" w:name="_Toc23182"/>
      <w:bookmarkStart w:id="137" w:name="_Toc8699"/>
      <w:r>
        <w:rPr>
          <w:rFonts w:hint="eastAsia"/>
          <w:lang w:val="en-US" w:eastAsia="zh-CN"/>
        </w:rPr>
        <w:t>8.3.1技术配合</w:t>
      </w:r>
      <w:bookmarkEnd w:id="135"/>
      <w:bookmarkEnd w:id="136"/>
      <w:bookmarkEnd w:id="137"/>
    </w:p>
    <w:p w14:paraId="14412A60">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eastAsia="zh-CN"/>
        </w:rPr>
        <w:t>（</w:t>
      </w:r>
      <w:r>
        <w:rPr>
          <w:rFonts w:hint="eastAsia"/>
          <w:lang w:val="en-US" w:eastAsia="zh-CN"/>
        </w:rPr>
        <w:t>1）</w:t>
      </w:r>
      <w:r>
        <w:rPr>
          <w:rFonts w:hint="eastAsia"/>
        </w:rPr>
        <w:t>完成建设单位的各类招标配合，必要时应调集公司技术力量到现场提供技术服务。</w:t>
      </w:r>
    </w:p>
    <w:p w14:paraId="604937CE">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eastAsia="zh-CN"/>
        </w:rPr>
        <w:t>（</w:t>
      </w:r>
      <w:r>
        <w:rPr>
          <w:rFonts w:hint="eastAsia"/>
          <w:lang w:val="en-US" w:eastAsia="zh-CN"/>
        </w:rPr>
        <w:t>2）</w:t>
      </w:r>
      <w:r>
        <w:rPr>
          <w:rFonts w:hint="eastAsia"/>
        </w:rPr>
        <w:t>完成本项目所需的其他设计服务工作，包括但不限于：设计范围所涉及的专项内容的设计工作、工程投资控制等的设计总协调与设计分包管理；与项目相关的其他设计单位的设计协同。</w:t>
      </w:r>
    </w:p>
    <w:p w14:paraId="5A854F96">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pPr>
      <w:r>
        <w:rPr>
          <w:rFonts w:hint="eastAsia"/>
          <w:lang w:eastAsia="zh-CN"/>
        </w:rPr>
        <w:t>（</w:t>
      </w:r>
      <w:r>
        <w:rPr>
          <w:rFonts w:hint="eastAsia"/>
          <w:lang w:val="en-US" w:eastAsia="zh-CN"/>
        </w:rPr>
        <w:t>3）</w:t>
      </w:r>
      <w:r>
        <w:rPr>
          <w:rFonts w:hint="eastAsia"/>
        </w:rPr>
        <w:t>完成设计专项评审工作，相关费用由设计单位负责。</w:t>
      </w:r>
    </w:p>
    <w:p w14:paraId="70941342">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lang w:val="en-US" w:eastAsia="zh-CN"/>
        </w:rPr>
      </w:pPr>
      <w:bookmarkStart w:id="138" w:name="_Toc531964837"/>
      <w:bookmarkStart w:id="139" w:name="_Toc31019"/>
      <w:bookmarkStart w:id="140" w:name="_Toc27895"/>
      <w:r>
        <w:rPr>
          <w:rFonts w:hint="eastAsia"/>
          <w:lang w:val="en-US" w:eastAsia="zh-CN"/>
        </w:rPr>
        <w:t>8.3.2报建配合</w:t>
      </w:r>
      <w:bookmarkEnd w:id="138"/>
      <w:bookmarkEnd w:id="139"/>
      <w:bookmarkEnd w:id="140"/>
    </w:p>
    <w:p w14:paraId="1B0E4B22">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480" w:firstLineChars="200"/>
        <w:jc w:val="left"/>
        <w:textAlignment w:val="auto"/>
        <w:rPr>
          <w:rFonts w:hint="eastAsia"/>
        </w:rPr>
      </w:pPr>
      <w:r>
        <w:rPr>
          <w:rFonts w:hint="eastAsia"/>
        </w:rPr>
        <w:t>完成本项目工程建设过程中的相关报建配合及协调(包括各专项审批、设计方案审查等的所有规划、技术、管线、专项等各类报审报建配合服务、协调工作、审核服务工作)等工作。</w:t>
      </w:r>
    </w:p>
    <w:p w14:paraId="3128F8F2">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firstLine="480" w:firstLineChars="200"/>
        <w:jc w:val="left"/>
        <w:textAlignment w:val="auto"/>
        <w:rPr>
          <w:rFonts w:hint="eastAsia"/>
        </w:rPr>
      </w:pPr>
    </w:p>
    <w:p w14:paraId="78E60EA1">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rightChars="0"/>
        <w:jc w:val="left"/>
        <w:textAlignment w:val="auto"/>
        <w:rPr>
          <w:rFonts w:hint="eastAsia"/>
          <w:color w:val="auto"/>
        </w:rPr>
      </w:pPr>
      <w:bookmarkStart w:id="141" w:name="_Toc7507"/>
      <w:bookmarkStart w:id="142" w:name="_Toc18374"/>
      <w:bookmarkStart w:id="143" w:name="_Toc29102"/>
      <w:bookmarkStart w:id="144" w:name="_Toc3872"/>
      <w:r>
        <w:rPr>
          <w:rFonts w:hint="eastAsia"/>
          <w:lang w:val="en-US" w:eastAsia="zh-CN"/>
        </w:rPr>
        <w:t>8.4设计单位考核</w:t>
      </w:r>
      <w:bookmarkEnd w:id="141"/>
      <w:bookmarkEnd w:id="142"/>
      <w:bookmarkEnd w:id="143"/>
      <w:bookmarkEnd w:id="144"/>
      <w:r>
        <w:rPr>
          <w:rFonts w:hint="eastAsia"/>
          <w:lang w:val="en-US" w:eastAsia="zh-CN"/>
        </w:rPr>
        <w:t>：</w:t>
      </w:r>
      <w:r>
        <w:rPr>
          <w:rFonts w:hint="eastAsia"/>
        </w:rPr>
        <w:t>主要针对设计人员履约与设计成果及技术服务的质量与时效性等方面。</w:t>
      </w:r>
    </w:p>
    <w:sectPr>
      <w:footerReference r:id="rId10" w:type="default"/>
      <w:pgSz w:w="11906" w:h="16838"/>
      <w:pgMar w:top="1043" w:right="1293" w:bottom="1043" w:left="1293" w:header="851" w:footer="992" w:gutter="0"/>
      <w:pgNumType w:fmt="decimal"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left="240" w:right="240"/>
      </w:pPr>
      <w:r>
        <w:separator/>
      </w:r>
    </w:p>
  </w:endnote>
  <w:endnote w:type="continuationSeparator" w:id="1">
    <w:p>
      <w:pPr>
        <w:spacing w:line="240" w:lineRule="auto"/>
        <w:ind w:left="240" w:right="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7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Marlett">
    <w:panose1 w:val="00000000000000000000"/>
    <w:charset w:val="02"/>
    <w:family w:val="auto"/>
    <w:pitch w:val="default"/>
    <w:sig w:usb0="00000000" w:usb1="00000000" w:usb2="00000000" w:usb3="00000000" w:csb0="80000000" w:csb1="00000000"/>
  </w:font>
  <w:font w:name="微软雅黑">
    <w:panose1 w:val="020B0503020204020204"/>
    <w:charset w:val="86"/>
    <w:family w:val="swiss"/>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MingLiU">
    <w:altName w:val="Microsoft JhengHei"/>
    <w:panose1 w:val="02010609000101010101"/>
    <w:charset w:val="88"/>
    <w:family w:val="modern"/>
    <w:pitch w:val="default"/>
    <w:sig w:usb0="00000000" w:usb1="00000000" w:usb2="00000010" w:usb3="00000000" w:csb0="00100000" w:csb1="0000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DD0DB">
    <w:pPr>
      <w:pStyle w:val="30"/>
      <w:ind w:left="240" w:right="24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836C7">
    <w:pPr>
      <w:pStyle w:val="30"/>
      <w:ind w:left="240" w:right="24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A03FF">
    <w:pPr>
      <w:pStyle w:val="30"/>
      <w:ind w:left="240" w:right="24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67F55">
    <w:pPr>
      <w:pStyle w:val="30"/>
      <w:ind w:left="240" w:right="240" w:firstLine="360"/>
    </w:pPr>
    <w:r>
      <w:rPr>
        <w:sz w:val="18"/>
      </w:rPr>
      <mc:AlternateContent>
        <mc:Choice Requires="wps">
          <w:drawing>
            <wp:anchor distT="0" distB="0" distL="114300" distR="114300" simplePos="0" relativeHeight="251660288" behindDoc="0" locked="0" layoutInCell="1" allowOverlap="1">
              <wp:simplePos x="0" y="0"/>
              <wp:positionH relativeFrom="margin">
                <wp:posOffset>2784475</wp:posOffset>
              </wp:positionH>
              <wp:positionV relativeFrom="paragraph">
                <wp:posOffset>266700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A38189">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9.25pt;margin-top:21pt;height:144pt;width:144pt;mso-position-horizontal-relative:margin;mso-wrap-style:none;z-index:251660288;mso-width-relative:page;mso-height-relative:page;" filled="f" stroked="f" coordsize="21600,21600" o:gfxdata="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fplKQ1wAAAAoBAAAPAAAAAAAAAAEAIAAAACIAAABkcnMvZG93bnJldi54bWxQ&#10;SwECFAAUAAAACACHTuJAJIJGtDECAABhBAAADgAAAAAAAAABACAAAAAmAQAAZHJzL2Uyb0RvYy54&#10;bWxQSwUGAAAAAAYABgBZAQAAyQUAAAAA&#10;">
              <v:fill on="f" focussize="0,0"/>
              <v:stroke on="f" weight="0.5pt"/>
              <v:imagedata o:title=""/>
              <o:lock v:ext="edit" aspectratio="f"/>
              <v:textbox inset="0mm,0mm,0mm,0mm" style="mso-fit-shape-to-text:t;">
                <w:txbxContent>
                  <w:p w14:paraId="7FA38189">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ind w:left="240" w:right="240"/>
      </w:pPr>
      <w:r>
        <w:separator/>
      </w:r>
    </w:p>
  </w:footnote>
  <w:footnote w:type="continuationSeparator" w:id="1">
    <w:p>
      <w:pPr>
        <w:spacing w:before="0" w:after="0" w:line="360" w:lineRule="auto"/>
        <w:ind w:left="240" w:right="2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A7B1B">
    <w:pPr>
      <w:pStyle w:val="31"/>
      <w:ind w:left="240" w:right="24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B1563">
    <w:pPr>
      <w:pStyle w:val="31"/>
      <w:ind w:left="240" w:right="240"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BE765FE"/>
    <w:multiLevelType w:val="multilevel"/>
    <w:tmpl w:val="2BE765FE"/>
    <w:lvl w:ilvl="0" w:tentative="0">
      <w:start w:val="1"/>
      <w:numFmt w:val="bullet"/>
      <w:pStyle w:val="107"/>
      <w:lvlText w:val=""/>
      <w:lvlJc w:val="left"/>
      <w:pPr>
        <w:ind w:left="988" w:hanging="420"/>
      </w:pPr>
      <w:rPr>
        <w:rFonts w:hint="default" w:ascii="Wingdings" w:hAnsi="Wingdings"/>
      </w:rPr>
    </w:lvl>
    <w:lvl w:ilvl="1" w:tentative="0">
      <w:start w:val="1"/>
      <w:numFmt w:val="bullet"/>
      <w:lvlText w:val=""/>
      <w:lvlJc w:val="left"/>
      <w:pPr>
        <w:ind w:left="1408" w:hanging="420"/>
      </w:pPr>
      <w:rPr>
        <w:rFonts w:hint="default" w:ascii="Wingdings" w:hAnsi="Wingdings"/>
      </w:rPr>
    </w:lvl>
    <w:lvl w:ilvl="2" w:tentative="0">
      <w:start w:val="1"/>
      <w:numFmt w:val="bullet"/>
      <w:lvlText w:val=""/>
      <w:lvlJc w:val="left"/>
      <w:pPr>
        <w:ind w:left="1828" w:hanging="420"/>
      </w:pPr>
      <w:rPr>
        <w:rFonts w:hint="default" w:ascii="Wingdings" w:hAnsi="Wingdings"/>
      </w:rPr>
    </w:lvl>
    <w:lvl w:ilvl="3" w:tentative="0">
      <w:start w:val="1"/>
      <w:numFmt w:val="bullet"/>
      <w:lvlText w:val=""/>
      <w:lvlJc w:val="left"/>
      <w:pPr>
        <w:ind w:left="2248" w:hanging="420"/>
      </w:pPr>
      <w:rPr>
        <w:rFonts w:hint="default" w:ascii="Wingdings" w:hAnsi="Wingdings"/>
      </w:rPr>
    </w:lvl>
    <w:lvl w:ilvl="4" w:tentative="0">
      <w:start w:val="1"/>
      <w:numFmt w:val="bullet"/>
      <w:lvlText w:val=""/>
      <w:lvlJc w:val="left"/>
      <w:pPr>
        <w:ind w:left="2668" w:hanging="420"/>
      </w:pPr>
      <w:rPr>
        <w:rFonts w:hint="default" w:ascii="Wingdings" w:hAnsi="Wingdings"/>
      </w:rPr>
    </w:lvl>
    <w:lvl w:ilvl="5" w:tentative="0">
      <w:start w:val="1"/>
      <w:numFmt w:val="bullet"/>
      <w:lvlText w:val=""/>
      <w:lvlJc w:val="left"/>
      <w:pPr>
        <w:ind w:left="3088" w:hanging="420"/>
      </w:pPr>
      <w:rPr>
        <w:rFonts w:hint="default" w:ascii="Wingdings" w:hAnsi="Wingdings"/>
      </w:rPr>
    </w:lvl>
    <w:lvl w:ilvl="6" w:tentative="0">
      <w:start w:val="1"/>
      <w:numFmt w:val="bullet"/>
      <w:lvlText w:val=""/>
      <w:lvlJc w:val="left"/>
      <w:pPr>
        <w:ind w:left="3508" w:hanging="420"/>
      </w:pPr>
      <w:rPr>
        <w:rFonts w:hint="default" w:ascii="Wingdings" w:hAnsi="Wingdings"/>
      </w:rPr>
    </w:lvl>
    <w:lvl w:ilvl="7" w:tentative="0">
      <w:start w:val="1"/>
      <w:numFmt w:val="bullet"/>
      <w:lvlText w:val=""/>
      <w:lvlJc w:val="left"/>
      <w:pPr>
        <w:ind w:left="3928" w:hanging="420"/>
      </w:pPr>
      <w:rPr>
        <w:rFonts w:hint="default" w:ascii="Wingdings" w:hAnsi="Wingdings"/>
      </w:rPr>
    </w:lvl>
    <w:lvl w:ilvl="8" w:tentative="0">
      <w:start w:val="1"/>
      <w:numFmt w:val="bullet"/>
      <w:lvlText w:val=""/>
      <w:lvlJc w:val="left"/>
      <w:pPr>
        <w:ind w:left="4348" w:hanging="420"/>
      </w:pPr>
      <w:rPr>
        <w:rFonts w:hint="default" w:ascii="Wingdings" w:hAnsi="Wingdings"/>
      </w:rPr>
    </w:lvl>
  </w:abstractNum>
  <w:abstractNum w:abstractNumId="1">
    <w:nsid w:val="337B2AD1"/>
    <w:multiLevelType w:val="multilevel"/>
    <w:tmpl w:val="337B2AD1"/>
    <w:lvl w:ilvl="0" w:tentative="0">
      <w:start w:val="1"/>
      <w:numFmt w:val="upperLetter"/>
      <w:pStyle w:val="109"/>
      <w:lvlText w:val="%1."/>
      <w:lvlJc w:val="left"/>
      <w:pPr>
        <w:ind w:left="1413" w:hanging="420"/>
      </w:pPr>
      <w:rPr>
        <w:rFonts w:hint="default"/>
      </w:rPr>
    </w:lvl>
    <w:lvl w:ilvl="1" w:tentative="0">
      <w:start w:val="1"/>
      <w:numFmt w:val="bullet"/>
      <w:lvlText w:val=""/>
      <w:lvlJc w:val="left"/>
      <w:pPr>
        <w:ind w:left="1833" w:hanging="420"/>
      </w:pPr>
      <w:rPr>
        <w:rFonts w:hint="default" w:ascii="Wingdings" w:hAnsi="Wingdings"/>
      </w:rPr>
    </w:lvl>
    <w:lvl w:ilvl="2" w:tentative="0">
      <w:start w:val="1"/>
      <w:numFmt w:val="bullet"/>
      <w:lvlText w:val=""/>
      <w:lvlJc w:val="left"/>
      <w:pPr>
        <w:ind w:left="2253" w:hanging="420"/>
      </w:pPr>
      <w:rPr>
        <w:rFonts w:hint="default" w:ascii="Wingdings" w:hAnsi="Wingdings"/>
      </w:rPr>
    </w:lvl>
    <w:lvl w:ilvl="3" w:tentative="0">
      <w:start w:val="1"/>
      <w:numFmt w:val="bullet"/>
      <w:lvlText w:val=""/>
      <w:lvlJc w:val="left"/>
      <w:pPr>
        <w:ind w:left="2673" w:hanging="420"/>
      </w:pPr>
      <w:rPr>
        <w:rFonts w:hint="default" w:ascii="Wingdings" w:hAnsi="Wingdings"/>
      </w:rPr>
    </w:lvl>
    <w:lvl w:ilvl="4" w:tentative="0">
      <w:start w:val="1"/>
      <w:numFmt w:val="bullet"/>
      <w:lvlText w:val=""/>
      <w:lvlJc w:val="left"/>
      <w:pPr>
        <w:ind w:left="3093" w:hanging="420"/>
      </w:pPr>
      <w:rPr>
        <w:rFonts w:hint="default" w:ascii="Wingdings" w:hAnsi="Wingdings"/>
      </w:rPr>
    </w:lvl>
    <w:lvl w:ilvl="5" w:tentative="0">
      <w:start w:val="1"/>
      <w:numFmt w:val="bullet"/>
      <w:lvlText w:val=""/>
      <w:lvlJc w:val="left"/>
      <w:pPr>
        <w:ind w:left="3513" w:hanging="420"/>
      </w:pPr>
      <w:rPr>
        <w:rFonts w:hint="default" w:ascii="Wingdings" w:hAnsi="Wingdings"/>
      </w:rPr>
    </w:lvl>
    <w:lvl w:ilvl="6" w:tentative="0">
      <w:start w:val="1"/>
      <w:numFmt w:val="bullet"/>
      <w:lvlText w:val=""/>
      <w:lvlJc w:val="left"/>
      <w:pPr>
        <w:ind w:left="3933" w:hanging="420"/>
      </w:pPr>
      <w:rPr>
        <w:rFonts w:hint="default" w:ascii="Wingdings" w:hAnsi="Wingdings"/>
      </w:rPr>
    </w:lvl>
    <w:lvl w:ilvl="7" w:tentative="0">
      <w:start w:val="1"/>
      <w:numFmt w:val="bullet"/>
      <w:lvlText w:val=""/>
      <w:lvlJc w:val="left"/>
      <w:pPr>
        <w:ind w:left="4353" w:hanging="420"/>
      </w:pPr>
      <w:rPr>
        <w:rFonts w:hint="default" w:ascii="Wingdings" w:hAnsi="Wingdings"/>
      </w:rPr>
    </w:lvl>
    <w:lvl w:ilvl="8" w:tentative="0">
      <w:start w:val="1"/>
      <w:numFmt w:val="bullet"/>
      <w:lvlText w:val=""/>
      <w:lvlJc w:val="left"/>
      <w:pPr>
        <w:ind w:left="4773" w:hanging="420"/>
      </w:pPr>
      <w:rPr>
        <w:rFonts w:hint="default" w:ascii="Wingdings" w:hAnsi="Wingdings"/>
      </w:rPr>
    </w:lvl>
  </w:abstractNum>
  <w:abstractNum w:abstractNumId="2">
    <w:nsid w:val="33DE9AFB"/>
    <w:multiLevelType w:val="singleLevel"/>
    <w:tmpl w:val="33DE9AFB"/>
    <w:lvl w:ilvl="0" w:tentative="0">
      <w:start w:val="3"/>
      <w:numFmt w:val="chineseCounting"/>
      <w:suff w:val="space"/>
      <w:lvlText w:val="第%1章"/>
      <w:lvlJc w:val="left"/>
      <w:rPr>
        <w:rFonts w:hint="eastAsia"/>
      </w:rPr>
    </w:lvl>
  </w:abstractNum>
  <w:abstractNum w:abstractNumId="3">
    <w:nsid w:val="38206B11"/>
    <w:multiLevelType w:val="multilevel"/>
    <w:tmpl w:val="38206B11"/>
    <w:lvl w:ilvl="0" w:tentative="0">
      <w:start w:val="1"/>
      <w:numFmt w:val="lowerLetter"/>
      <w:pStyle w:val="124"/>
      <w:lvlText w:val="%1)"/>
      <w:lvlJc w:val="left"/>
      <w:pPr>
        <w:tabs>
          <w:tab w:val="left" w:pos="800"/>
        </w:tabs>
        <w:ind w:left="800" w:hanging="40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6A5A459D"/>
    <w:multiLevelType w:val="multilevel"/>
    <w:tmpl w:val="6A5A459D"/>
    <w:lvl w:ilvl="0" w:tentative="0">
      <w:start w:val="1"/>
      <w:numFmt w:val="bullet"/>
      <w:pStyle w:val="123"/>
      <w:lvlText w:val="•"/>
      <w:lvlJc w:val="left"/>
      <w:pPr>
        <w:tabs>
          <w:tab w:val="left" w:pos="865"/>
        </w:tabs>
        <w:ind w:left="865" w:hanging="439"/>
      </w:pPr>
      <w:rPr>
        <w:rFonts w:hint="eastAsia" w:ascii="PMingLiU" w:hAnsi="Marlett" w:eastAsia="PMingLiU"/>
      </w:rPr>
    </w:lvl>
    <w:lvl w:ilvl="1" w:tentative="0">
      <w:start w:val="1"/>
      <w:numFmt w:val="bullet"/>
      <w:lvlText w:val=""/>
      <w:lvlJc w:val="left"/>
      <w:pPr>
        <w:tabs>
          <w:tab w:val="left" w:pos="1266"/>
        </w:tabs>
        <w:ind w:left="1266" w:hanging="420"/>
      </w:pPr>
      <w:rPr>
        <w:rFonts w:hint="default" w:ascii="Wingdings" w:hAnsi="Wingdings"/>
      </w:rPr>
    </w:lvl>
    <w:lvl w:ilvl="2" w:tentative="0">
      <w:start w:val="1"/>
      <w:numFmt w:val="bullet"/>
      <w:lvlText w:val=""/>
      <w:lvlJc w:val="left"/>
      <w:pPr>
        <w:tabs>
          <w:tab w:val="left" w:pos="1686"/>
        </w:tabs>
        <w:ind w:left="1686" w:hanging="420"/>
      </w:pPr>
      <w:rPr>
        <w:rFonts w:hint="default" w:ascii="Wingdings" w:hAnsi="Wingdings"/>
      </w:rPr>
    </w:lvl>
    <w:lvl w:ilvl="3" w:tentative="0">
      <w:start w:val="1"/>
      <w:numFmt w:val="bullet"/>
      <w:lvlText w:val=""/>
      <w:lvlJc w:val="left"/>
      <w:pPr>
        <w:tabs>
          <w:tab w:val="left" w:pos="2106"/>
        </w:tabs>
        <w:ind w:left="2106" w:hanging="420"/>
      </w:pPr>
      <w:rPr>
        <w:rFonts w:hint="default" w:ascii="Wingdings" w:hAnsi="Wingdings"/>
      </w:rPr>
    </w:lvl>
    <w:lvl w:ilvl="4" w:tentative="0">
      <w:start w:val="1"/>
      <w:numFmt w:val="bullet"/>
      <w:lvlText w:val=""/>
      <w:lvlJc w:val="left"/>
      <w:pPr>
        <w:tabs>
          <w:tab w:val="left" w:pos="2526"/>
        </w:tabs>
        <w:ind w:left="2526" w:hanging="420"/>
      </w:pPr>
      <w:rPr>
        <w:rFonts w:hint="default" w:ascii="Wingdings" w:hAnsi="Wingdings"/>
      </w:rPr>
    </w:lvl>
    <w:lvl w:ilvl="5" w:tentative="0">
      <w:start w:val="1"/>
      <w:numFmt w:val="bullet"/>
      <w:lvlText w:val=""/>
      <w:lvlJc w:val="left"/>
      <w:pPr>
        <w:tabs>
          <w:tab w:val="left" w:pos="2946"/>
        </w:tabs>
        <w:ind w:left="2946" w:hanging="420"/>
      </w:pPr>
      <w:rPr>
        <w:rFonts w:hint="default" w:ascii="Wingdings" w:hAnsi="Wingdings"/>
      </w:rPr>
    </w:lvl>
    <w:lvl w:ilvl="6" w:tentative="0">
      <w:start w:val="1"/>
      <w:numFmt w:val="bullet"/>
      <w:lvlText w:val=""/>
      <w:lvlJc w:val="left"/>
      <w:pPr>
        <w:tabs>
          <w:tab w:val="left" w:pos="3366"/>
        </w:tabs>
        <w:ind w:left="3366" w:hanging="420"/>
      </w:pPr>
      <w:rPr>
        <w:rFonts w:hint="default" w:ascii="Wingdings" w:hAnsi="Wingdings"/>
      </w:rPr>
    </w:lvl>
    <w:lvl w:ilvl="7" w:tentative="0">
      <w:start w:val="1"/>
      <w:numFmt w:val="bullet"/>
      <w:lvlText w:val=""/>
      <w:lvlJc w:val="left"/>
      <w:pPr>
        <w:tabs>
          <w:tab w:val="left" w:pos="3786"/>
        </w:tabs>
        <w:ind w:left="3786" w:hanging="420"/>
      </w:pPr>
      <w:rPr>
        <w:rFonts w:hint="default" w:ascii="Wingdings" w:hAnsi="Wingdings"/>
      </w:rPr>
    </w:lvl>
    <w:lvl w:ilvl="8" w:tentative="0">
      <w:start w:val="1"/>
      <w:numFmt w:val="bullet"/>
      <w:lvlText w:val=""/>
      <w:lvlJc w:val="left"/>
      <w:pPr>
        <w:tabs>
          <w:tab w:val="left" w:pos="4206"/>
        </w:tabs>
        <w:ind w:left="4206" w:hanging="420"/>
      </w:pPr>
      <w:rPr>
        <w:rFonts w:hint="default" w:ascii="Wingdings" w:hAnsi="Wingdings"/>
      </w:rPr>
    </w:lvl>
  </w:abstractNum>
  <w:abstractNum w:abstractNumId="5">
    <w:nsid w:val="7BB17BE7"/>
    <w:multiLevelType w:val="multilevel"/>
    <w:tmpl w:val="7BB17BE7"/>
    <w:lvl w:ilvl="0" w:tentative="0">
      <w:start w:val="1"/>
      <w:numFmt w:val="decimal"/>
      <w:pStyle w:val="120"/>
      <w:lvlText w:val="%1)"/>
      <w:lvlJc w:val="left"/>
      <w:pPr>
        <w:ind w:left="958" w:hanging="420"/>
      </w:pPr>
      <w:rPr>
        <w:b w:val="0"/>
        <w:i w:val="0"/>
        <w:iCs w:val="0"/>
        <w:caps w:val="0"/>
        <w:smallCaps w:val="0"/>
        <w:strike w:val="0"/>
        <w:dstrike w:val="0"/>
        <w:outline w:val="0"/>
        <w:shadow w:val="0"/>
        <w:emboss w:val="0"/>
        <w:imprint w:val="0"/>
        <w:vanish w:val="0"/>
        <w:spacing w:val="0"/>
        <w:position w:val="0"/>
        <w:u w:val="none"/>
        <w:vertAlign w:val="baseline"/>
      </w:rPr>
    </w:lvl>
    <w:lvl w:ilvl="1" w:tentative="0">
      <w:start w:val="1"/>
      <w:numFmt w:val="decimal"/>
      <w:lvlText w:val="%2）"/>
      <w:lvlJc w:val="left"/>
      <w:pPr>
        <w:ind w:left="1318" w:hanging="360"/>
      </w:pPr>
      <w:rPr>
        <w:rFonts w:hint="default"/>
      </w:rPr>
    </w:lvl>
    <w:lvl w:ilvl="2" w:tentative="0">
      <w:start w:val="1"/>
      <w:numFmt w:val="upperLetter"/>
      <w:lvlText w:val="%3．"/>
      <w:lvlJc w:val="left"/>
      <w:pPr>
        <w:ind w:left="2098" w:hanging="720"/>
      </w:pPr>
      <w:rPr>
        <w:rFonts w:hint="default"/>
      </w:r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num w:numId="1">
    <w:abstractNumId w:val="3"/>
  </w:num>
  <w:num w:numId="2">
    <w:abstractNumId w:val="0"/>
  </w:num>
  <w:num w:numId="3">
    <w:abstractNumId w:val="1"/>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EzZWU1OTExZDUxNWE4YjhhZWMxNzA3NWRjODRmY2UifQ=="/>
  </w:docVars>
  <w:rsids>
    <w:rsidRoot w:val="00B02340"/>
    <w:rsid w:val="00000B55"/>
    <w:rsid w:val="00004D80"/>
    <w:rsid w:val="000069C3"/>
    <w:rsid w:val="00007BEB"/>
    <w:rsid w:val="00011134"/>
    <w:rsid w:val="00012C14"/>
    <w:rsid w:val="00015A25"/>
    <w:rsid w:val="00015E9D"/>
    <w:rsid w:val="00016532"/>
    <w:rsid w:val="00016771"/>
    <w:rsid w:val="0001759F"/>
    <w:rsid w:val="000178CF"/>
    <w:rsid w:val="000227BF"/>
    <w:rsid w:val="000271EA"/>
    <w:rsid w:val="0003107F"/>
    <w:rsid w:val="000314A5"/>
    <w:rsid w:val="00044B82"/>
    <w:rsid w:val="00051372"/>
    <w:rsid w:val="00051D0F"/>
    <w:rsid w:val="00052B75"/>
    <w:rsid w:val="00055047"/>
    <w:rsid w:val="00060118"/>
    <w:rsid w:val="00066B32"/>
    <w:rsid w:val="00073A7C"/>
    <w:rsid w:val="00075E8D"/>
    <w:rsid w:val="00076058"/>
    <w:rsid w:val="00081F7F"/>
    <w:rsid w:val="000852C2"/>
    <w:rsid w:val="00085F70"/>
    <w:rsid w:val="000A33C9"/>
    <w:rsid w:val="000A405C"/>
    <w:rsid w:val="000A5013"/>
    <w:rsid w:val="000A72ED"/>
    <w:rsid w:val="000B0E91"/>
    <w:rsid w:val="000B22C4"/>
    <w:rsid w:val="000B31F2"/>
    <w:rsid w:val="000B762D"/>
    <w:rsid w:val="000C0E4A"/>
    <w:rsid w:val="000C4F0B"/>
    <w:rsid w:val="000D51C7"/>
    <w:rsid w:val="000D6D3D"/>
    <w:rsid w:val="000D7EE5"/>
    <w:rsid w:val="000E2362"/>
    <w:rsid w:val="000E5A41"/>
    <w:rsid w:val="000E618B"/>
    <w:rsid w:val="000F28F6"/>
    <w:rsid w:val="000F3B81"/>
    <w:rsid w:val="000F3C5C"/>
    <w:rsid w:val="000F6A5E"/>
    <w:rsid w:val="000F7B4B"/>
    <w:rsid w:val="000F7C9F"/>
    <w:rsid w:val="00100333"/>
    <w:rsid w:val="001015DC"/>
    <w:rsid w:val="0010781F"/>
    <w:rsid w:val="00111A63"/>
    <w:rsid w:val="00116EAC"/>
    <w:rsid w:val="00121040"/>
    <w:rsid w:val="001268EC"/>
    <w:rsid w:val="00132C1A"/>
    <w:rsid w:val="0013321E"/>
    <w:rsid w:val="00133624"/>
    <w:rsid w:val="00134A39"/>
    <w:rsid w:val="00137946"/>
    <w:rsid w:val="00142A09"/>
    <w:rsid w:val="0014444B"/>
    <w:rsid w:val="00145686"/>
    <w:rsid w:val="00147B00"/>
    <w:rsid w:val="00147EDE"/>
    <w:rsid w:val="00150B9C"/>
    <w:rsid w:val="00151093"/>
    <w:rsid w:val="00151364"/>
    <w:rsid w:val="00152E49"/>
    <w:rsid w:val="00152F20"/>
    <w:rsid w:val="0016294F"/>
    <w:rsid w:val="00163655"/>
    <w:rsid w:val="00171AB5"/>
    <w:rsid w:val="00171BFD"/>
    <w:rsid w:val="00172A44"/>
    <w:rsid w:val="00172BA5"/>
    <w:rsid w:val="00174104"/>
    <w:rsid w:val="001807B3"/>
    <w:rsid w:val="00180DB8"/>
    <w:rsid w:val="00191D9D"/>
    <w:rsid w:val="001946A1"/>
    <w:rsid w:val="00195A01"/>
    <w:rsid w:val="00195C52"/>
    <w:rsid w:val="001978BD"/>
    <w:rsid w:val="001B5563"/>
    <w:rsid w:val="001B7179"/>
    <w:rsid w:val="001C1555"/>
    <w:rsid w:val="001C1A26"/>
    <w:rsid w:val="001C5E1E"/>
    <w:rsid w:val="001D22C4"/>
    <w:rsid w:val="001D333B"/>
    <w:rsid w:val="001D739C"/>
    <w:rsid w:val="001E1C19"/>
    <w:rsid w:val="001E1DA5"/>
    <w:rsid w:val="001F434E"/>
    <w:rsid w:val="001F5BE5"/>
    <w:rsid w:val="001F5C0E"/>
    <w:rsid w:val="001F60D1"/>
    <w:rsid w:val="001F7916"/>
    <w:rsid w:val="00204F39"/>
    <w:rsid w:val="002061B7"/>
    <w:rsid w:val="00207620"/>
    <w:rsid w:val="00210BCB"/>
    <w:rsid w:val="00210DA3"/>
    <w:rsid w:val="002129C4"/>
    <w:rsid w:val="00214C7E"/>
    <w:rsid w:val="00215B25"/>
    <w:rsid w:val="00216656"/>
    <w:rsid w:val="00216F45"/>
    <w:rsid w:val="00224720"/>
    <w:rsid w:val="00225060"/>
    <w:rsid w:val="00226ADD"/>
    <w:rsid w:val="0023000B"/>
    <w:rsid w:val="0023379F"/>
    <w:rsid w:val="002357B1"/>
    <w:rsid w:val="002405D5"/>
    <w:rsid w:val="002444E4"/>
    <w:rsid w:val="0024585E"/>
    <w:rsid w:val="00251584"/>
    <w:rsid w:val="00251EB0"/>
    <w:rsid w:val="00253EE8"/>
    <w:rsid w:val="00261C6B"/>
    <w:rsid w:val="00262759"/>
    <w:rsid w:val="00263503"/>
    <w:rsid w:val="002638B6"/>
    <w:rsid w:val="002718FF"/>
    <w:rsid w:val="002741C2"/>
    <w:rsid w:val="0027468A"/>
    <w:rsid w:val="002825C6"/>
    <w:rsid w:val="002867FA"/>
    <w:rsid w:val="00292C98"/>
    <w:rsid w:val="00295708"/>
    <w:rsid w:val="002966DB"/>
    <w:rsid w:val="00297D95"/>
    <w:rsid w:val="00297FF2"/>
    <w:rsid w:val="002A0829"/>
    <w:rsid w:val="002A103C"/>
    <w:rsid w:val="002A2CFC"/>
    <w:rsid w:val="002A32DD"/>
    <w:rsid w:val="002A4D0C"/>
    <w:rsid w:val="002A66C2"/>
    <w:rsid w:val="002B0708"/>
    <w:rsid w:val="002B42B6"/>
    <w:rsid w:val="002B726E"/>
    <w:rsid w:val="002C59DA"/>
    <w:rsid w:val="002D1379"/>
    <w:rsid w:val="002D2E3C"/>
    <w:rsid w:val="002D742F"/>
    <w:rsid w:val="002E0643"/>
    <w:rsid w:val="002E1474"/>
    <w:rsid w:val="002E15DD"/>
    <w:rsid w:val="002E3ABB"/>
    <w:rsid w:val="002E5F26"/>
    <w:rsid w:val="002E7B14"/>
    <w:rsid w:val="002F6179"/>
    <w:rsid w:val="003015A7"/>
    <w:rsid w:val="0030344F"/>
    <w:rsid w:val="003039EA"/>
    <w:rsid w:val="0030784D"/>
    <w:rsid w:val="00310035"/>
    <w:rsid w:val="00332FAE"/>
    <w:rsid w:val="00333950"/>
    <w:rsid w:val="003358AF"/>
    <w:rsid w:val="003435F2"/>
    <w:rsid w:val="00347E0C"/>
    <w:rsid w:val="00352F31"/>
    <w:rsid w:val="0035320A"/>
    <w:rsid w:val="003561B0"/>
    <w:rsid w:val="003617BA"/>
    <w:rsid w:val="00364037"/>
    <w:rsid w:val="00364111"/>
    <w:rsid w:val="00367703"/>
    <w:rsid w:val="0037073E"/>
    <w:rsid w:val="00372137"/>
    <w:rsid w:val="0037743A"/>
    <w:rsid w:val="003A3097"/>
    <w:rsid w:val="003A62BB"/>
    <w:rsid w:val="003A6867"/>
    <w:rsid w:val="003B0A64"/>
    <w:rsid w:val="003B1576"/>
    <w:rsid w:val="003B31E5"/>
    <w:rsid w:val="003B3404"/>
    <w:rsid w:val="003C49AC"/>
    <w:rsid w:val="003C5B9D"/>
    <w:rsid w:val="003C7F21"/>
    <w:rsid w:val="003D0360"/>
    <w:rsid w:val="003D4900"/>
    <w:rsid w:val="003D5620"/>
    <w:rsid w:val="003E0750"/>
    <w:rsid w:val="003E5C43"/>
    <w:rsid w:val="003F51C6"/>
    <w:rsid w:val="003F6606"/>
    <w:rsid w:val="00400B1C"/>
    <w:rsid w:val="00407E57"/>
    <w:rsid w:val="00410086"/>
    <w:rsid w:val="00411911"/>
    <w:rsid w:val="00411FA5"/>
    <w:rsid w:val="004205DA"/>
    <w:rsid w:val="00420CD7"/>
    <w:rsid w:val="00426336"/>
    <w:rsid w:val="0043628A"/>
    <w:rsid w:val="00442F3E"/>
    <w:rsid w:val="004432F9"/>
    <w:rsid w:val="00445325"/>
    <w:rsid w:val="0044534F"/>
    <w:rsid w:val="00451F61"/>
    <w:rsid w:val="00452609"/>
    <w:rsid w:val="00455079"/>
    <w:rsid w:val="004561EB"/>
    <w:rsid w:val="00457A34"/>
    <w:rsid w:val="00457DDD"/>
    <w:rsid w:val="00461702"/>
    <w:rsid w:val="00466235"/>
    <w:rsid w:val="00467C4F"/>
    <w:rsid w:val="00470AFE"/>
    <w:rsid w:val="004777E0"/>
    <w:rsid w:val="00484F8E"/>
    <w:rsid w:val="00495F5C"/>
    <w:rsid w:val="00496CBF"/>
    <w:rsid w:val="004A31FA"/>
    <w:rsid w:val="004A5AC9"/>
    <w:rsid w:val="004A5E98"/>
    <w:rsid w:val="004B21B9"/>
    <w:rsid w:val="004B67B8"/>
    <w:rsid w:val="004C00C5"/>
    <w:rsid w:val="004C274C"/>
    <w:rsid w:val="004C361E"/>
    <w:rsid w:val="004C3F7F"/>
    <w:rsid w:val="004C7F35"/>
    <w:rsid w:val="004D2733"/>
    <w:rsid w:val="004D60D5"/>
    <w:rsid w:val="004D758F"/>
    <w:rsid w:val="004E2EFC"/>
    <w:rsid w:val="004E3ED4"/>
    <w:rsid w:val="004E525E"/>
    <w:rsid w:val="004F3F16"/>
    <w:rsid w:val="004F5059"/>
    <w:rsid w:val="0050134C"/>
    <w:rsid w:val="0050174C"/>
    <w:rsid w:val="005101D5"/>
    <w:rsid w:val="00510F59"/>
    <w:rsid w:val="00515188"/>
    <w:rsid w:val="00517B19"/>
    <w:rsid w:val="00520A63"/>
    <w:rsid w:val="005211DA"/>
    <w:rsid w:val="00522D5B"/>
    <w:rsid w:val="0052712D"/>
    <w:rsid w:val="00527C53"/>
    <w:rsid w:val="00532719"/>
    <w:rsid w:val="005334C9"/>
    <w:rsid w:val="00535BA6"/>
    <w:rsid w:val="00536ED5"/>
    <w:rsid w:val="00551F9A"/>
    <w:rsid w:val="005537DE"/>
    <w:rsid w:val="00553F26"/>
    <w:rsid w:val="00557616"/>
    <w:rsid w:val="00561A6F"/>
    <w:rsid w:val="005656E0"/>
    <w:rsid w:val="00566874"/>
    <w:rsid w:val="00573865"/>
    <w:rsid w:val="00574128"/>
    <w:rsid w:val="00574684"/>
    <w:rsid w:val="005759B2"/>
    <w:rsid w:val="0058159F"/>
    <w:rsid w:val="00583729"/>
    <w:rsid w:val="00587522"/>
    <w:rsid w:val="00587888"/>
    <w:rsid w:val="00597C34"/>
    <w:rsid w:val="005A053F"/>
    <w:rsid w:val="005A572F"/>
    <w:rsid w:val="005C0493"/>
    <w:rsid w:val="005C05A1"/>
    <w:rsid w:val="005C210D"/>
    <w:rsid w:val="005C2312"/>
    <w:rsid w:val="005C3045"/>
    <w:rsid w:val="005C3833"/>
    <w:rsid w:val="005C587B"/>
    <w:rsid w:val="005C6433"/>
    <w:rsid w:val="005D592F"/>
    <w:rsid w:val="005D6272"/>
    <w:rsid w:val="005E3622"/>
    <w:rsid w:val="005E3B37"/>
    <w:rsid w:val="005E61DC"/>
    <w:rsid w:val="005E75B5"/>
    <w:rsid w:val="005E7E02"/>
    <w:rsid w:val="005F1C1F"/>
    <w:rsid w:val="005F27F3"/>
    <w:rsid w:val="005F600E"/>
    <w:rsid w:val="005F7B9C"/>
    <w:rsid w:val="006007CC"/>
    <w:rsid w:val="0060112E"/>
    <w:rsid w:val="0060420F"/>
    <w:rsid w:val="006110F0"/>
    <w:rsid w:val="006115DC"/>
    <w:rsid w:val="00613900"/>
    <w:rsid w:val="00621339"/>
    <w:rsid w:val="00623EB9"/>
    <w:rsid w:val="00623F4B"/>
    <w:rsid w:val="006242BF"/>
    <w:rsid w:val="00626293"/>
    <w:rsid w:val="00626E3D"/>
    <w:rsid w:val="00627F94"/>
    <w:rsid w:val="00631377"/>
    <w:rsid w:val="006326F5"/>
    <w:rsid w:val="006328C3"/>
    <w:rsid w:val="0063441E"/>
    <w:rsid w:val="00652A85"/>
    <w:rsid w:val="00652CD0"/>
    <w:rsid w:val="006538F6"/>
    <w:rsid w:val="00653C42"/>
    <w:rsid w:val="00656593"/>
    <w:rsid w:val="00656D1B"/>
    <w:rsid w:val="00667CC4"/>
    <w:rsid w:val="006809F7"/>
    <w:rsid w:val="0068256E"/>
    <w:rsid w:val="00686847"/>
    <w:rsid w:val="00692394"/>
    <w:rsid w:val="00692C30"/>
    <w:rsid w:val="00692F79"/>
    <w:rsid w:val="006A2F5F"/>
    <w:rsid w:val="006B07B4"/>
    <w:rsid w:val="006B189F"/>
    <w:rsid w:val="006B60C2"/>
    <w:rsid w:val="006C1485"/>
    <w:rsid w:val="006C3207"/>
    <w:rsid w:val="006C6B9F"/>
    <w:rsid w:val="006D4095"/>
    <w:rsid w:val="006D591F"/>
    <w:rsid w:val="006D5EB4"/>
    <w:rsid w:val="006E04C3"/>
    <w:rsid w:val="006E0E2E"/>
    <w:rsid w:val="006F194F"/>
    <w:rsid w:val="006F262F"/>
    <w:rsid w:val="006F2E04"/>
    <w:rsid w:val="006F3082"/>
    <w:rsid w:val="0070393B"/>
    <w:rsid w:val="00704715"/>
    <w:rsid w:val="007070A1"/>
    <w:rsid w:val="0071396D"/>
    <w:rsid w:val="00713DFF"/>
    <w:rsid w:val="00715C78"/>
    <w:rsid w:val="007205E4"/>
    <w:rsid w:val="00720BDB"/>
    <w:rsid w:val="00723C5E"/>
    <w:rsid w:val="007301FA"/>
    <w:rsid w:val="00735D94"/>
    <w:rsid w:val="00737F91"/>
    <w:rsid w:val="007405C5"/>
    <w:rsid w:val="00741FB7"/>
    <w:rsid w:val="0075290C"/>
    <w:rsid w:val="00752EF3"/>
    <w:rsid w:val="00753157"/>
    <w:rsid w:val="007549F9"/>
    <w:rsid w:val="0076151A"/>
    <w:rsid w:val="00762AF5"/>
    <w:rsid w:val="00763841"/>
    <w:rsid w:val="00765DF5"/>
    <w:rsid w:val="00771239"/>
    <w:rsid w:val="0077136E"/>
    <w:rsid w:val="007728A1"/>
    <w:rsid w:val="00773076"/>
    <w:rsid w:val="0077421A"/>
    <w:rsid w:val="00780DFB"/>
    <w:rsid w:val="00786539"/>
    <w:rsid w:val="00790A1E"/>
    <w:rsid w:val="007937E9"/>
    <w:rsid w:val="00794251"/>
    <w:rsid w:val="007A31B0"/>
    <w:rsid w:val="007A40DF"/>
    <w:rsid w:val="007A6B73"/>
    <w:rsid w:val="007B6717"/>
    <w:rsid w:val="007C6330"/>
    <w:rsid w:val="007D1C7C"/>
    <w:rsid w:val="007D22CF"/>
    <w:rsid w:val="007D3306"/>
    <w:rsid w:val="007D4E71"/>
    <w:rsid w:val="007D5E09"/>
    <w:rsid w:val="007D73C9"/>
    <w:rsid w:val="007E030E"/>
    <w:rsid w:val="007E29CC"/>
    <w:rsid w:val="007E4012"/>
    <w:rsid w:val="007F016F"/>
    <w:rsid w:val="007F4230"/>
    <w:rsid w:val="007F5B85"/>
    <w:rsid w:val="007F709D"/>
    <w:rsid w:val="0080314C"/>
    <w:rsid w:val="0081126B"/>
    <w:rsid w:val="00816699"/>
    <w:rsid w:val="00822DE3"/>
    <w:rsid w:val="00825A25"/>
    <w:rsid w:val="00833861"/>
    <w:rsid w:val="00835D93"/>
    <w:rsid w:val="008378D1"/>
    <w:rsid w:val="00840570"/>
    <w:rsid w:val="00844266"/>
    <w:rsid w:val="00852BB7"/>
    <w:rsid w:val="00857F76"/>
    <w:rsid w:val="00865784"/>
    <w:rsid w:val="0087618D"/>
    <w:rsid w:val="0087676B"/>
    <w:rsid w:val="00876C71"/>
    <w:rsid w:val="0087747A"/>
    <w:rsid w:val="00882502"/>
    <w:rsid w:val="00882695"/>
    <w:rsid w:val="00883B8C"/>
    <w:rsid w:val="00885202"/>
    <w:rsid w:val="0088659C"/>
    <w:rsid w:val="00891098"/>
    <w:rsid w:val="0089126A"/>
    <w:rsid w:val="0089295F"/>
    <w:rsid w:val="008949DA"/>
    <w:rsid w:val="0089735E"/>
    <w:rsid w:val="008A36FB"/>
    <w:rsid w:val="008A4346"/>
    <w:rsid w:val="008B2EE5"/>
    <w:rsid w:val="008B3583"/>
    <w:rsid w:val="008B5B21"/>
    <w:rsid w:val="008C00DD"/>
    <w:rsid w:val="008C196A"/>
    <w:rsid w:val="008C28C2"/>
    <w:rsid w:val="008C3657"/>
    <w:rsid w:val="008D0630"/>
    <w:rsid w:val="008D3B80"/>
    <w:rsid w:val="008D769C"/>
    <w:rsid w:val="008D7D24"/>
    <w:rsid w:val="008E2C7C"/>
    <w:rsid w:val="008E66F6"/>
    <w:rsid w:val="008F577B"/>
    <w:rsid w:val="00900920"/>
    <w:rsid w:val="00901276"/>
    <w:rsid w:val="009027E0"/>
    <w:rsid w:val="009037C0"/>
    <w:rsid w:val="009101C1"/>
    <w:rsid w:val="00911AD8"/>
    <w:rsid w:val="00915814"/>
    <w:rsid w:val="00915F04"/>
    <w:rsid w:val="009227BD"/>
    <w:rsid w:val="009240D9"/>
    <w:rsid w:val="00926079"/>
    <w:rsid w:val="00926888"/>
    <w:rsid w:val="00926B20"/>
    <w:rsid w:val="00931166"/>
    <w:rsid w:val="00935AAF"/>
    <w:rsid w:val="00936820"/>
    <w:rsid w:val="00944D33"/>
    <w:rsid w:val="00944EDA"/>
    <w:rsid w:val="00944F1A"/>
    <w:rsid w:val="00953703"/>
    <w:rsid w:val="009612E7"/>
    <w:rsid w:val="009659CD"/>
    <w:rsid w:val="00965F41"/>
    <w:rsid w:val="009678A0"/>
    <w:rsid w:val="00971AEF"/>
    <w:rsid w:val="0097591B"/>
    <w:rsid w:val="0097619E"/>
    <w:rsid w:val="00980692"/>
    <w:rsid w:val="0098502E"/>
    <w:rsid w:val="00987FBF"/>
    <w:rsid w:val="009916A7"/>
    <w:rsid w:val="00992902"/>
    <w:rsid w:val="00993A07"/>
    <w:rsid w:val="00995E69"/>
    <w:rsid w:val="009963C4"/>
    <w:rsid w:val="0099722D"/>
    <w:rsid w:val="009976A0"/>
    <w:rsid w:val="00997C2B"/>
    <w:rsid w:val="009A021E"/>
    <w:rsid w:val="009A5DD2"/>
    <w:rsid w:val="009B00B0"/>
    <w:rsid w:val="009B2CD2"/>
    <w:rsid w:val="009B713E"/>
    <w:rsid w:val="009B7F33"/>
    <w:rsid w:val="009C39AB"/>
    <w:rsid w:val="009C41DE"/>
    <w:rsid w:val="009C4928"/>
    <w:rsid w:val="009C5306"/>
    <w:rsid w:val="009D071A"/>
    <w:rsid w:val="009D09B3"/>
    <w:rsid w:val="009D3CED"/>
    <w:rsid w:val="009D47A6"/>
    <w:rsid w:val="009D62DB"/>
    <w:rsid w:val="009E188D"/>
    <w:rsid w:val="009E2690"/>
    <w:rsid w:val="009E2C82"/>
    <w:rsid w:val="009E7FC0"/>
    <w:rsid w:val="009F4360"/>
    <w:rsid w:val="009F793A"/>
    <w:rsid w:val="00A0455B"/>
    <w:rsid w:val="00A07230"/>
    <w:rsid w:val="00A16102"/>
    <w:rsid w:val="00A16437"/>
    <w:rsid w:val="00A16EC0"/>
    <w:rsid w:val="00A17E49"/>
    <w:rsid w:val="00A21341"/>
    <w:rsid w:val="00A21793"/>
    <w:rsid w:val="00A22B7B"/>
    <w:rsid w:val="00A22E68"/>
    <w:rsid w:val="00A25167"/>
    <w:rsid w:val="00A2561B"/>
    <w:rsid w:val="00A2765C"/>
    <w:rsid w:val="00A434AA"/>
    <w:rsid w:val="00A467CE"/>
    <w:rsid w:val="00A50274"/>
    <w:rsid w:val="00A50E4B"/>
    <w:rsid w:val="00A5140E"/>
    <w:rsid w:val="00A54268"/>
    <w:rsid w:val="00A54560"/>
    <w:rsid w:val="00A545D8"/>
    <w:rsid w:val="00A55846"/>
    <w:rsid w:val="00A5648F"/>
    <w:rsid w:val="00A60ED6"/>
    <w:rsid w:val="00A63314"/>
    <w:rsid w:val="00A649E3"/>
    <w:rsid w:val="00A7141D"/>
    <w:rsid w:val="00A7329D"/>
    <w:rsid w:val="00A73B26"/>
    <w:rsid w:val="00A74F02"/>
    <w:rsid w:val="00A76183"/>
    <w:rsid w:val="00A8219C"/>
    <w:rsid w:val="00A830EB"/>
    <w:rsid w:val="00A85964"/>
    <w:rsid w:val="00A85B28"/>
    <w:rsid w:val="00A874E3"/>
    <w:rsid w:val="00A92B1C"/>
    <w:rsid w:val="00A9400D"/>
    <w:rsid w:val="00A94790"/>
    <w:rsid w:val="00AA4383"/>
    <w:rsid w:val="00AA4F13"/>
    <w:rsid w:val="00AA58E2"/>
    <w:rsid w:val="00AA5E99"/>
    <w:rsid w:val="00AA7C46"/>
    <w:rsid w:val="00AB1846"/>
    <w:rsid w:val="00AB7664"/>
    <w:rsid w:val="00AC7274"/>
    <w:rsid w:val="00AC7FE5"/>
    <w:rsid w:val="00AD1986"/>
    <w:rsid w:val="00AE0755"/>
    <w:rsid w:val="00AE232E"/>
    <w:rsid w:val="00AE28AA"/>
    <w:rsid w:val="00AE5F2F"/>
    <w:rsid w:val="00AE77BD"/>
    <w:rsid w:val="00AF7C48"/>
    <w:rsid w:val="00B015F8"/>
    <w:rsid w:val="00B01AB8"/>
    <w:rsid w:val="00B02340"/>
    <w:rsid w:val="00B033DE"/>
    <w:rsid w:val="00B03970"/>
    <w:rsid w:val="00B055ED"/>
    <w:rsid w:val="00B05740"/>
    <w:rsid w:val="00B07F62"/>
    <w:rsid w:val="00B13500"/>
    <w:rsid w:val="00B144D1"/>
    <w:rsid w:val="00B15E22"/>
    <w:rsid w:val="00B15F03"/>
    <w:rsid w:val="00B21504"/>
    <w:rsid w:val="00B2158E"/>
    <w:rsid w:val="00B32A77"/>
    <w:rsid w:val="00B3565C"/>
    <w:rsid w:val="00B36F52"/>
    <w:rsid w:val="00B408F6"/>
    <w:rsid w:val="00B46E8E"/>
    <w:rsid w:val="00B47B13"/>
    <w:rsid w:val="00B51613"/>
    <w:rsid w:val="00B518B1"/>
    <w:rsid w:val="00B52B63"/>
    <w:rsid w:val="00B572E5"/>
    <w:rsid w:val="00B62161"/>
    <w:rsid w:val="00B75B5E"/>
    <w:rsid w:val="00B800E4"/>
    <w:rsid w:val="00B8666A"/>
    <w:rsid w:val="00B91C72"/>
    <w:rsid w:val="00B9425E"/>
    <w:rsid w:val="00B95301"/>
    <w:rsid w:val="00B96E33"/>
    <w:rsid w:val="00BA0265"/>
    <w:rsid w:val="00BB25AF"/>
    <w:rsid w:val="00BB4745"/>
    <w:rsid w:val="00BC11BC"/>
    <w:rsid w:val="00BC203E"/>
    <w:rsid w:val="00BC3144"/>
    <w:rsid w:val="00BC5262"/>
    <w:rsid w:val="00BC6918"/>
    <w:rsid w:val="00BC7F70"/>
    <w:rsid w:val="00BD12E1"/>
    <w:rsid w:val="00BD269B"/>
    <w:rsid w:val="00BD29F0"/>
    <w:rsid w:val="00BD76FB"/>
    <w:rsid w:val="00BE056E"/>
    <w:rsid w:val="00BE2DB0"/>
    <w:rsid w:val="00BE40BE"/>
    <w:rsid w:val="00BE5DBD"/>
    <w:rsid w:val="00BE62BB"/>
    <w:rsid w:val="00BF04D5"/>
    <w:rsid w:val="00BF2C21"/>
    <w:rsid w:val="00BF3C5C"/>
    <w:rsid w:val="00BF3EFC"/>
    <w:rsid w:val="00BF4E10"/>
    <w:rsid w:val="00BF735A"/>
    <w:rsid w:val="00C045AE"/>
    <w:rsid w:val="00C06926"/>
    <w:rsid w:val="00C10D37"/>
    <w:rsid w:val="00C1351F"/>
    <w:rsid w:val="00C15BDB"/>
    <w:rsid w:val="00C1765F"/>
    <w:rsid w:val="00C26943"/>
    <w:rsid w:val="00C37060"/>
    <w:rsid w:val="00C37619"/>
    <w:rsid w:val="00C50F91"/>
    <w:rsid w:val="00C604F9"/>
    <w:rsid w:val="00C60595"/>
    <w:rsid w:val="00C614B0"/>
    <w:rsid w:val="00C62767"/>
    <w:rsid w:val="00C674A3"/>
    <w:rsid w:val="00C73AB0"/>
    <w:rsid w:val="00C74B00"/>
    <w:rsid w:val="00C7760C"/>
    <w:rsid w:val="00C82B75"/>
    <w:rsid w:val="00C83512"/>
    <w:rsid w:val="00C8534E"/>
    <w:rsid w:val="00C85744"/>
    <w:rsid w:val="00C866FB"/>
    <w:rsid w:val="00C94328"/>
    <w:rsid w:val="00C946AE"/>
    <w:rsid w:val="00C94A4A"/>
    <w:rsid w:val="00C9656F"/>
    <w:rsid w:val="00C97C37"/>
    <w:rsid w:val="00CA0B83"/>
    <w:rsid w:val="00CA0C06"/>
    <w:rsid w:val="00CA10E3"/>
    <w:rsid w:val="00CB519E"/>
    <w:rsid w:val="00CC1821"/>
    <w:rsid w:val="00CD0E8A"/>
    <w:rsid w:val="00CD2DD0"/>
    <w:rsid w:val="00CD6483"/>
    <w:rsid w:val="00CD7CC9"/>
    <w:rsid w:val="00CE0277"/>
    <w:rsid w:val="00CE03CD"/>
    <w:rsid w:val="00CE4116"/>
    <w:rsid w:val="00CE4600"/>
    <w:rsid w:val="00CE7323"/>
    <w:rsid w:val="00CF00E9"/>
    <w:rsid w:val="00CF16B6"/>
    <w:rsid w:val="00CF45D1"/>
    <w:rsid w:val="00D013E5"/>
    <w:rsid w:val="00D05624"/>
    <w:rsid w:val="00D058BE"/>
    <w:rsid w:val="00D0645B"/>
    <w:rsid w:val="00D146FD"/>
    <w:rsid w:val="00D14ECF"/>
    <w:rsid w:val="00D159AC"/>
    <w:rsid w:val="00D17791"/>
    <w:rsid w:val="00D17CDF"/>
    <w:rsid w:val="00D24CFD"/>
    <w:rsid w:val="00D26244"/>
    <w:rsid w:val="00D3025E"/>
    <w:rsid w:val="00D312CC"/>
    <w:rsid w:val="00D32EF1"/>
    <w:rsid w:val="00D33C1E"/>
    <w:rsid w:val="00D50EFE"/>
    <w:rsid w:val="00D5107B"/>
    <w:rsid w:val="00D54E95"/>
    <w:rsid w:val="00D57D0A"/>
    <w:rsid w:val="00D64CCB"/>
    <w:rsid w:val="00D6504E"/>
    <w:rsid w:val="00D7374B"/>
    <w:rsid w:val="00D7604E"/>
    <w:rsid w:val="00D84FE5"/>
    <w:rsid w:val="00D86080"/>
    <w:rsid w:val="00D90CC0"/>
    <w:rsid w:val="00D92242"/>
    <w:rsid w:val="00D929B2"/>
    <w:rsid w:val="00D95B56"/>
    <w:rsid w:val="00DA0FBC"/>
    <w:rsid w:val="00DA6470"/>
    <w:rsid w:val="00DB3EC4"/>
    <w:rsid w:val="00DB5C61"/>
    <w:rsid w:val="00DC33A9"/>
    <w:rsid w:val="00DD0EA0"/>
    <w:rsid w:val="00DD661B"/>
    <w:rsid w:val="00DD67FD"/>
    <w:rsid w:val="00DD7254"/>
    <w:rsid w:val="00DE72AE"/>
    <w:rsid w:val="00DF06C7"/>
    <w:rsid w:val="00DF15FA"/>
    <w:rsid w:val="00DF3A57"/>
    <w:rsid w:val="00DF5A26"/>
    <w:rsid w:val="00E03C89"/>
    <w:rsid w:val="00E1208A"/>
    <w:rsid w:val="00E13BD7"/>
    <w:rsid w:val="00E176BE"/>
    <w:rsid w:val="00E20194"/>
    <w:rsid w:val="00E217BC"/>
    <w:rsid w:val="00E30D95"/>
    <w:rsid w:val="00E311E8"/>
    <w:rsid w:val="00E327D8"/>
    <w:rsid w:val="00E35A3F"/>
    <w:rsid w:val="00E3752E"/>
    <w:rsid w:val="00E4223B"/>
    <w:rsid w:val="00E44501"/>
    <w:rsid w:val="00E45672"/>
    <w:rsid w:val="00E46D4F"/>
    <w:rsid w:val="00E52BC9"/>
    <w:rsid w:val="00E56F34"/>
    <w:rsid w:val="00E60004"/>
    <w:rsid w:val="00E60AD6"/>
    <w:rsid w:val="00E72514"/>
    <w:rsid w:val="00E728C5"/>
    <w:rsid w:val="00E80A40"/>
    <w:rsid w:val="00E92586"/>
    <w:rsid w:val="00E92AFB"/>
    <w:rsid w:val="00E92DDA"/>
    <w:rsid w:val="00E958BC"/>
    <w:rsid w:val="00E964DF"/>
    <w:rsid w:val="00E968F9"/>
    <w:rsid w:val="00E97D60"/>
    <w:rsid w:val="00EA0144"/>
    <w:rsid w:val="00EA3BD7"/>
    <w:rsid w:val="00EA4EE2"/>
    <w:rsid w:val="00EA5852"/>
    <w:rsid w:val="00EB5518"/>
    <w:rsid w:val="00EC086B"/>
    <w:rsid w:val="00EC7637"/>
    <w:rsid w:val="00ED39AA"/>
    <w:rsid w:val="00ED3CA7"/>
    <w:rsid w:val="00ED469D"/>
    <w:rsid w:val="00EE046D"/>
    <w:rsid w:val="00EE4CE5"/>
    <w:rsid w:val="00EE6D72"/>
    <w:rsid w:val="00EF34B0"/>
    <w:rsid w:val="00EF4427"/>
    <w:rsid w:val="00EF443F"/>
    <w:rsid w:val="00EF5116"/>
    <w:rsid w:val="00F112CE"/>
    <w:rsid w:val="00F1187E"/>
    <w:rsid w:val="00F15357"/>
    <w:rsid w:val="00F15CC4"/>
    <w:rsid w:val="00F201A3"/>
    <w:rsid w:val="00F201B3"/>
    <w:rsid w:val="00F27193"/>
    <w:rsid w:val="00F31685"/>
    <w:rsid w:val="00F33696"/>
    <w:rsid w:val="00F34F44"/>
    <w:rsid w:val="00F3546A"/>
    <w:rsid w:val="00F3575E"/>
    <w:rsid w:val="00F37731"/>
    <w:rsid w:val="00F43540"/>
    <w:rsid w:val="00F445AC"/>
    <w:rsid w:val="00F46268"/>
    <w:rsid w:val="00F50ABB"/>
    <w:rsid w:val="00F52383"/>
    <w:rsid w:val="00F56117"/>
    <w:rsid w:val="00F6412E"/>
    <w:rsid w:val="00F6757F"/>
    <w:rsid w:val="00F7125B"/>
    <w:rsid w:val="00F73F17"/>
    <w:rsid w:val="00F8087A"/>
    <w:rsid w:val="00F81D98"/>
    <w:rsid w:val="00F82634"/>
    <w:rsid w:val="00F83482"/>
    <w:rsid w:val="00F8535B"/>
    <w:rsid w:val="00F86C1B"/>
    <w:rsid w:val="00F90B1A"/>
    <w:rsid w:val="00F91CAC"/>
    <w:rsid w:val="00F961B6"/>
    <w:rsid w:val="00F969C7"/>
    <w:rsid w:val="00F9707E"/>
    <w:rsid w:val="00FA0F48"/>
    <w:rsid w:val="00FA32D4"/>
    <w:rsid w:val="00FA75A3"/>
    <w:rsid w:val="00FA7685"/>
    <w:rsid w:val="00FA7AA2"/>
    <w:rsid w:val="00FB5861"/>
    <w:rsid w:val="00FB7357"/>
    <w:rsid w:val="00FC2C15"/>
    <w:rsid w:val="00FC3977"/>
    <w:rsid w:val="00FD32B0"/>
    <w:rsid w:val="00FD6985"/>
    <w:rsid w:val="00FD6A78"/>
    <w:rsid w:val="00FD6D8F"/>
    <w:rsid w:val="00FE37C7"/>
    <w:rsid w:val="00FE4300"/>
    <w:rsid w:val="00FE483D"/>
    <w:rsid w:val="00FF5806"/>
    <w:rsid w:val="00FF6454"/>
    <w:rsid w:val="04354376"/>
    <w:rsid w:val="045578EB"/>
    <w:rsid w:val="04AF3F3E"/>
    <w:rsid w:val="04FE45CA"/>
    <w:rsid w:val="05887E07"/>
    <w:rsid w:val="05CD3A38"/>
    <w:rsid w:val="06AB453C"/>
    <w:rsid w:val="06E80366"/>
    <w:rsid w:val="07D00D95"/>
    <w:rsid w:val="07FE4923"/>
    <w:rsid w:val="086C3CB8"/>
    <w:rsid w:val="090509BC"/>
    <w:rsid w:val="09241904"/>
    <w:rsid w:val="09767CD8"/>
    <w:rsid w:val="099A49BE"/>
    <w:rsid w:val="0A3D2A83"/>
    <w:rsid w:val="0AB753AB"/>
    <w:rsid w:val="0BB91406"/>
    <w:rsid w:val="0BEF4520"/>
    <w:rsid w:val="0C522046"/>
    <w:rsid w:val="0C566D21"/>
    <w:rsid w:val="0CA27F6D"/>
    <w:rsid w:val="0CAD6A65"/>
    <w:rsid w:val="0CD663D6"/>
    <w:rsid w:val="0DC11165"/>
    <w:rsid w:val="0DC2712B"/>
    <w:rsid w:val="0E71455D"/>
    <w:rsid w:val="0EB81111"/>
    <w:rsid w:val="0EB827B5"/>
    <w:rsid w:val="0EC046DA"/>
    <w:rsid w:val="0F545EB6"/>
    <w:rsid w:val="0F5507BD"/>
    <w:rsid w:val="10781EF9"/>
    <w:rsid w:val="10791E67"/>
    <w:rsid w:val="10FB00AB"/>
    <w:rsid w:val="11985D68"/>
    <w:rsid w:val="11B43C50"/>
    <w:rsid w:val="11D25FA0"/>
    <w:rsid w:val="12A1325E"/>
    <w:rsid w:val="13345697"/>
    <w:rsid w:val="13A44754"/>
    <w:rsid w:val="13E96D1A"/>
    <w:rsid w:val="14860174"/>
    <w:rsid w:val="15C34AB0"/>
    <w:rsid w:val="16086A75"/>
    <w:rsid w:val="165118E0"/>
    <w:rsid w:val="17781F8E"/>
    <w:rsid w:val="1779045A"/>
    <w:rsid w:val="18CC4316"/>
    <w:rsid w:val="19A277FE"/>
    <w:rsid w:val="19BB1243"/>
    <w:rsid w:val="19CB14DE"/>
    <w:rsid w:val="1A317F88"/>
    <w:rsid w:val="1A620757"/>
    <w:rsid w:val="1A8A5FD1"/>
    <w:rsid w:val="1A8C7B66"/>
    <w:rsid w:val="1AED50D9"/>
    <w:rsid w:val="1B187447"/>
    <w:rsid w:val="1C2E0CC8"/>
    <w:rsid w:val="1C4B0278"/>
    <w:rsid w:val="1CA03585"/>
    <w:rsid w:val="1CDB08EB"/>
    <w:rsid w:val="1D04358F"/>
    <w:rsid w:val="1EC666DA"/>
    <w:rsid w:val="1F02489B"/>
    <w:rsid w:val="1F201AC3"/>
    <w:rsid w:val="1FDB3974"/>
    <w:rsid w:val="1FF92002"/>
    <w:rsid w:val="202D6FD9"/>
    <w:rsid w:val="209133AF"/>
    <w:rsid w:val="2095067C"/>
    <w:rsid w:val="2100305C"/>
    <w:rsid w:val="215313DE"/>
    <w:rsid w:val="216C40AF"/>
    <w:rsid w:val="22360E1D"/>
    <w:rsid w:val="22600256"/>
    <w:rsid w:val="228970FC"/>
    <w:rsid w:val="23761EFE"/>
    <w:rsid w:val="2384703A"/>
    <w:rsid w:val="240D1C0C"/>
    <w:rsid w:val="24400708"/>
    <w:rsid w:val="244F40DF"/>
    <w:rsid w:val="24A74B7C"/>
    <w:rsid w:val="253B3AD9"/>
    <w:rsid w:val="254F7B99"/>
    <w:rsid w:val="25764D6D"/>
    <w:rsid w:val="26796168"/>
    <w:rsid w:val="2694073D"/>
    <w:rsid w:val="26FA7FCB"/>
    <w:rsid w:val="27546F59"/>
    <w:rsid w:val="27A906A5"/>
    <w:rsid w:val="27E40984"/>
    <w:rsid w:val="287B3887"/>
    <w:rsid w:val="29634558"/>
    <w:rsid w:val="29D972D3"/>
    <w:rsid w:val="2A6B4C11"/>
    <w:rsid w:val="2AFB11C7"/>
    <w:rsid w:val="2B2F1207"/>
    <w:rsid w:val="2B775B93"/>
    <w:rsid w:val="2C15091A"/>
    <w:rsid w:val="2C4231D7"/>
    <w:rsid w:val="2C797526"/>
    <w:rsid w:val="2CBC6D61"/>
    <w:rsid w:val="2CCD3CAD"/>
    <w:rsid w:val="2D646641"/>
    <w:rsid w:val="2D6A6A8D"/>
    <w:rsid w:val="2D711DC3"/>
    <w:rsid w:val="2D922713"/>
    <w:rsid w:val="2F2E62F8"/>
    <w:rsid w:val="30915FB8"/>
    <w:rsid w:val="31413892"/>
    <w:rsid w:val="3166515D"/>
    <w:rsid w:val="32066C2F"/>
    <w:rsid w:val="321438B4"/>
    <w:rsid w:val="328E4649"/>
    <w:rsid w:val="330D76A4"/>
    <w:rsid w:val="334E6966"/>
    <w:rsid w:val="352C730D"/>
    <w:rsid w:val="35567EB2"/>
    <w:rsid w:val="35963299"/>
    <w:rsid w:val="36070CBD"/>
    <w:rsid w:val="37490DA5"/>
    <w:rsid w:val="378C3342"/>
    <w:rsid w:val="38176F2E"/>
    <w:rsid w:val="387C1AC5"/>
    <w:rsid w:val="389C15B8"/>
    <w:rsid w:val="38DF74B2"/>
    <w:rsid w:val="39FD6CD4"/>
    <w:rsid w:val="3A722F74"/>
    <w:rsid w:val="3C62667B"/>
    <w:rsid w:val="3CB6098D"/>
    <w:rsid w:val="3D2273E7"/>
    <w:rsid w:val="3D3037BD"/>
    <w:rsid w:val="3DCA1AE0"/>
    <w:rsid w:val="3E484EBC"/>
    <w:rsid w:val="40164BCF"/>
    <w:rsid w:val="405A3622"/>
    <w:rsid w:val="412F10C8"/>
    <w:rsid w:val="41BF7A72"/>
    <w:rsid w:val="41D72699"/>
    <w:rsid w:val="421B4F24"/>
    <w:rsid w:val="42E411DE"/>
    <w:rsid w:val="43755699"/>
    <w:rsid w:val="43D41647"/>
    <w:rsid w:val="4512210A"/>
    <w:rsid w:val="460366D7"/>
    <w:rsid w:val="46354299"/>
    <w:rsid w:val="464E60F3"/>
    <w:rsid w:val="46BC111E"/>
    <w:rsid w:val="477A5E5D"/>
    <w:rsid w:val="482D5707"/>
    <w:rsid w:val="48412BA1"/>
    <w:rsid w:val="48655B70"/>
    <w:rsid w:val="49525117"/>
    <w:rsid w:val="496411B2"/>
    <w:rsid w:val="496640E6"/>
    <w:rsid w:val="4A6E6362"/>
    <w:rsid w:val="4A8E3303"/>
    <w:rsid w:val="4A993218"/>
    <w:rsid w:val="4B365CD9"/>
    <w:rsid w:val="4B6E7652"/>
    <w:rsid w:val="4BB319C4"/>
    <w:rsid w:val="4C387102"/>
    <w:rsid w:val="4CD15729"/>
    <w:rsid w:val="4CEC18C2"/>
    <w:rsid w:val="4D5C37E0"/>
    <w:rsid w:val="4D9329DF"/>
    <w:rsid w:val="4DBB0C96"/>
    <w:rsid w:val="4DE35714"/>
    <w:rsid w:val="4EAE4B58"/>
    <w:rsid w:val="4ECD3140"/>
    <w:rsid w:val="4F6A56D9"/>
    <w:rsid w:val="501164F0"/>
    <w:rsid w:val="50B41C78"/>
    <w:rsid w:val="517A073C"/>
    <w:rsid w:val="51877B7D"/>
    <w:rsid w:val="51BD44CE"/>
    <w:rsid w:val="521500A8"/>
    <w:rsid w:val="524D6516"/>
    <w:rsid w:val="52962F07"/>
    <w:rsid w:val="52CC39BC"/>
    <w:rsid w:val="52F22411"/>
    <w:rsid w:val="53620E89"/>
    <w:rsid w:val="547A0454"/>
    <w:rsid w:val="54D06254"/>
    <w:rsid w:val="54E029C8"/>
    <w:rsid w:val="54F0633D"/>
    <w:rsid w:val="551A792E"/>
    <w:rsid w:val="56301712"/>
    <w:rsid w:val="564F4128"/>
    <w:rsid w:val="565020BD"/>
    <w:rsid w:val="57491052"/>
    <w:rsid w:val="584D55D2"/>
    <w:rsid w:val="587863E0"/>
    <w:rsid w:val="588C052E"/>
    <w:rsid w:val="59C43CA9"/>
    <w:rsid w:val="59D836F4"/>
    <w:rsid w:val="5A884DCC"/>
    <w:rsid w:val="5ADA7E9F"/>
    <w:rsid w:val="5B3F405E"/>
    <w:rsid w:val="5B5B3870"/>
    <w:rsid w:val="5BDC4CB6"/>
    <w:rsid w:val="5C881875"/>
    <w:rsid w:val="5CC27680"/>
    <w:rsid w:val="5CCE758F"/>
    <w:rsid w:val="5DB22A0D"/>
    <w:rsid w:val="5E0F1B60"/>
    <w:rsid w:val="5F6478B3"/>
    <w:rsid w:val="5FC03C31"/>
    <w:rsid w:val="60816518"/>
    <w:rsid w:val="60844AE7"/>
    <w:rsid w:val="61130ED3"/>
    <w:rsid w:val="6220411F"/>
    <w:rsid w:val="62306A7A"/>
    <w:rsid w:val="62C564AD"/>
    <w:rsid w:val="6322425F"/>
    <w:rsid w:val="632779F9"/>
    <w:rsid w:val="63681F7E"/>
    <w:rsid w:val="636B2239"/>
    <w:rsid w:val="639E236F"/>
    <w:rsid w:val="63BE3E5B"/>
    <w:rsid w:val="644A4DE0"/>
    <w:rsid w:val="64596731"/>
    <w:rsid w:val="648375B3"/>
    <w:rsid w:val="657F3B1C"/>
    <w:rsid w:val="65E978B7"/>
    <w:rsid w:val="66685B66"/>
    <w:rsid w:val="66880F45"/>
    <w:rsid w:val="668F414F"/>
    <w:rsid w:val="67212274"/>
    <w:rsid w:val="68C411FC"/>
    <w:rsid w:val="691F1829"/>
    <w:rsid w:val="69A20DA3"/>
    <w:rsid w:val="69CF4D32"/>
    <w:rsid w:val="69DA38BA"/>
    <w:rsid w:val="6A3F7711"/>
    <w:rsid w:val="6A6E4160"/>
    <w:rsid w:val="6AD92380"/>
    <w:rsid w:val="6B5577B9"/>
    <w:rsid w:val="6B6E0E06"/>
    <w:rsid w:val="6BD83D19"/>
    <w:rsid w:val="6D7B052E"/>
    <w:rsid w:val="6D8723E4"/>
    <w:rsid w:val="6D887843"/>
    <w:rsid w:val="6DC618A6"/>
    <w:rsid w:val="6E4958F2"/>
    <w:rsid w:val="6E732CC4"/>
    <w:rsid w:val="6F06049E"/>
    <w:rsid w:val="6F5B773E"/>
    <w:rsid w:val="6FE3525A"/>
    <w:rsid w:val="70105F68"/>
    <w:rsid w:val="701E1C54"/>
    <w:rsid w:val="7058635C"/>
    <w:rsid w:val="7073599E"/>
    <w:rsid w:val="70C854BD"/>
    <w:rsid w:val="715916C6"/>
    <w:rsid w:val="71AA5DB4"/>
    <w:rsid w:val="729177E3"/>
    <w:rsid w:val="73B01C95"/>
    <w:rsid w:val="750E3CE5"/>
    <w:rsid w:val="758940E3"/>
    <w:rsid w:val="76924E3A"/>
    <w:rsid w:val="77A34C94"/>
    <w:rsid w:val="77AA4702"/>
    <w:rsid w:val="77E90A84"/>
    <w:rsid w:val="789833E9"/>
    <w:rsid w:val="7901599F"/>
    <w:rsid w:val="79394FC4"/>
    <w:rsid w:val="79427575"/>
    <w:rsid w:val="79C70B90"/>
    <w:rsid w:val="79D83D75"/>
    <w:rsid w:val="79EE5915"/>
    <w:rsid w:val="7B3C5458"/>
    <w:rsid w:val="7B5760E9"/>
    <w:rsid w:val="7B67608E"/>
    <w:rsid w:val="7B8360A8"/>
    <w:rsid w:val="7BD75B24"/>
    <w:rsid w:val="7C134B67"/>
    <w:rsid w:val="7C624DBC"/>
    <w:rsid w:val="7C9E7C55"/>
    <w:rsid w:val="7DE46329"/>
    <w:rsid w:val="7DF4697E"/>
    <w:rsid w:val="7EA454C3"/>
    <w:rsid w:val="7FD242B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semiHidden="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99" w:semiHidden="0" w:name="footnote text"/>
    <w:lsdException w:qFormat="1" w:unhideWhenUsed="0" w:uiPriority="99" w:name="annotation text"/>
    <w:lsdException w:qFormat="1" w:uiPriority="99" w:semiHidden="0" w:name="header"/>
    <w:lsdException w:qFormat="1" w:uiPriority="99" w:semiHidden="0" w:name="footer"/>
    <w:lsdException w:qFormat="1" w:unhideWhenUsed="0" w:uiPriority="0"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qFormat="1" w:uiPriority="99" w:semiHidden="0"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qFormat="1"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before="120" w:after="120" w:line="360" w:lineRule="auto"/>
      <w:ind w:left="100" w:leftChars="100" w:right="100" w:rightChars="100"/>
      <w:jc w:val="both"/>
    </w:pPr>
    <w:rPr>
      <w:rFonts w:ascii="Times New Roman" w:hAnsi="Times New Roman" w:eastAsia="宋体" w:cs="Times New Roman"/>
      <w:kern w:val="2"/>
      <w:sz w:val="24"/>
      <w:szCs w:val="24"/>
      <w:lang w:val="en-US" w:eastAsia="zh-CN" w:bidi="ar-SA"/>
    </w:rPr>
  </w:style>
  <w:style w:type="paragraph" w:styleId="4">
    <w:name w:val="heading 1"/>
    <w:basedOn w:val="1"/>
    <w:next w:val="1"/>
    <w:link w:val="58"/>
    <w:qFormat/>
    <w:uiPriority w:val="0"/>
    <w:pPr>
      <w:keepNext/>
      <w:keepLines/>
      <w:spacing w:before="340" w:after="330" w:line="578" w:lineRule="auto"/>
      <w:outlineLvl w:val="0"/>
    </w:pPr>
    <w:rPr>
      <w:b/>
      <w:bCs/>
      <w:kern w:val="44"/>
      <w:sz w:val="30"/>
      <w:szCs w:val="44"/>
    </w:rPr>
  </w:style>
  <w:style w:type="paragraph" w:styleId="5">
    <w:name w:val="heading 2"/>
    <w:basedOn w:val="1"/>
    <w:next w:val="1"/>
    <w:link w:val="59"/>
    <w:qFormat/>
    <w:uiPriority w:val="0"/>
    <w:pPr>
      <w:keepNext/>
      <w:keepLines/>
      <w:spacing w:before="260" w:after="260" w:line="416" w:lineRule="auto"/>
      <w:outlineLvl w:val="1"/>
    </w:pPr>
    <w:rPr>
      <w:rFonts w:ascii="等线 Light" w:hAnsi="等线 Light"/>
      <w:b/>
      <w:bCs/>
      <w:sz w:val="28"/>
      <w:szCs w:val="32"/>
    </w:rPr>
  </w:style>
  <w:style w:type="paragraph" w:styleId="6">
    <w:name w:val="heading 3"/>
    <w:basedOn w:val="1"/>
    <w:next w:val="1"/>
    <w:link w:val="60"/>
    <w:qFormat/>
    <w:uiPriority w:val="9"/>
    <w:pPr>
      <w:keepNext/>
      <w:keepLines/>
      <w:spacing w:before="260" w:after="260" w:line="416" w:lineRule="auto"/>
      <w:outlineLvl w:val="2"/>
    </w:pPr>
    <w:rPr>
      <w:b/>
      <w:bCs/>
      <w:sz w:val="26"/>
      <w:szCs w:val="32"/>
    </w:rPr>
  </w:style>
  <w:style w:type="paragraph" w:styleId="7">
    <w:name w:val="heading 4"/>
    <w:basedOn w:val="1"/>
    <w:next w:val="1"/>
    <w:link w:val="61"/>
    <w:qFormat/>
    <w:uiPriority w:val="9"/>
    <w:pPr>
      <w:keepNext/>
      <w:ind w:left="357"/>
      <w:contextualSpacing/>
      <w:jc w:val="left"/>
      <w:outlineLvl w:val="3"/>
    </w:pPr>
    <w:rPr>
      <w:rFonts w:ascii="黑体" w:hAnsi="宋体"/>
      <w:bCs/>
      <w:kern w:val="0"/>
    </w:rPr>
  </w:style>
  <w:style w:type="paragraph" w:styleId="8">
    <w:name w:val="heading 5"/>
    <w:basedOn w:val="1"/>
    <w:next w:val="1"/>
    <w:link w:val="62"/>
    <w:qFormat/>
    <w:uiPriority w:val="0"/>
    <w:pPr>
      <w:keepNext/>
      <w:framePr w:wrap="notBeside" w:vAnchor="text" w:hAnchor="text" w:y="1"/>
      <w:spacing w:line="240" w:lineRule="auto"/>
      <w:ind w:left="100" w:right="100" w:firstLine="200" w:firstLineChars="200"/>
      <w:outlineLvl w:val="4"/>
    </w:pPr>
    <w:rPr>
      <w:rFonts w:ascii="仿宋_GB2312" w:hAnsi="宋体"/>
      <w:bCs/>
      <w:color w:val="000000"/>
      <w:spacing w:val="40"/>
      <w:kern w:val="44"/>
    </w:rPr>
  </w:style>
  <w:style w:type="paragraph" w:styleId="9">
    <w:name w:val="heading 6"/>
    <w:basedOn w:val="1"/>
    <w:next w:val="1"/>
    <w:link w:val="63"/>
    <w:qFormat/>
    <w:uiPriority w:val="0"/>
    <w:pPr>
      <w:keepNext/>
      <w:ind w:firstLine="608" w:firstLineChars="200"/>
      <w:outlineLvl w:val="5"/>
    </w:pPr>
    <w:rPr>
      <w:rFonts w:ascii="宋体"/>
      <w:bCs/>
      <w:kern w:val="44"/>
      <w:sz w:val="28"/>
    </w:rPr>
  </w:style>
  <w:style w:type="paragraph" w:styleId="10">
    <w:name w:val="heading 7"/>
    <w:basedOn w:val="1"/>
    <w:next w:val="1"/>
    <w:link w:val="64"/>
    <w:qFormat/>
    <w:uiPriority w:val="0"/>
    <w:pPr>
      <w:keepNext/>
      <w:keepLines/>
      <w:spacing w:before="240" w:after="64" w:line="320" w:lineRule="auto"/>
      <w:ind w:firstLine="538" w:firstLineChars="200"/>
      <w:outlineLvl w:val="6"/>
    </w:pPr>
    <w:rPr>
      <w:rFonts w:ascii="宋体"/>
      <w:b/>
      <w:bCs/>
      <w:kern w:val="44"/>
      <w:sz w:val="24"/>
    </w:rPr>
  </w:style>
  <w:style w:type="paragraph" w:styleId="11">
    <w:name w:val="heading 8"/>
    <w:basedOn w:val="1"/>
    <w:next w:val="1"/>
    <w:link w:val="65"/>
    <w:qFormat/>
    <w:uiPriority w:val="0"/>
    <w:pPr>
      <w:keepNext/>
      <w:keepLines/>
      <w:spacing w:before="240" w:after="64" w:line="320" w:lineRule="auto"/>
      <w:ind w:firstLine="538" w:firstLineChars="200"/>
      <w:outlineLvl w:val="7"/>
    </w:pPr>
    <w:rPr>
      <w:rFonts w:ascii="Arial" w:hAnsi="Arial" w:eastAsia="黑体"/>
      <w:bCs/>
      <w:kern w:val="44"/>
      <w:sz w:val="24"/>
    </w:rPr>
  </w:style>
  <w:style w:type="paragraph" w:styleId="12">
    <w:name w:val="heading 9"/>
    <w:basedOn w:val="1"/>
    <w:next w:val="1"/>
    <w:link w:val="66"/>
    <w:qFormat/>
    <w:uiPriority w:val="0"/>
    <w:pPr>
      <w:keepNext/>
      <w:keepLines/>
      <w:spacing w:before="240" w:after="64" w:line="320" w:lineRule="auto"/>
      <w:ind w:firstLine="538" w:firstLineChars="200"/>
      <w:outlineLvl w:val="8"/>
    </w:pPr>
    <w:rPr>
      <w:rFonts w:ascii="Arial" w:hAnsi="Arial" w:eastAsia="黑体"/>
      <w:bCs/>
      <w:kern w:val="44"/>
      <w:sz w:val="24"/>
      <w:szCs w:val="21"/>
    </w:rPr>
  </w:style>
  <w:style w:type="character" w:default="1" w:styleId="50">
    <w:name w:val="Default Paragraph Font"/>
    <w:unhideWhenUsed/>
    <w:qFormat/>
    <w:uiPriority w:val="1"/>
  </w:style>
  <w:style w:type="table" w:default="1" w:styleId="47">
    <w:name w:val="Normal Table"/>
    <w:unhideWhenUsed/>
    <w:qFormat/>
    <w:uiPriority w:val="99"/>
    <w:tblPr>
      <w:tblCellMar>
        <w:top w:w="0" w:type="dxa"/>
        <w:left w:w="108" w:type="dxa"/>
        <w:bottom w:w="0" w:type="dxa"/>
        <w:right w:w="108" w:type="dxa"/>
      </w:tblCellMar>
    </w:tblPr>
  </w:style>
  <w:style w:type="paragraph" w:customStyle="1" w:styleId="2">
    <w:name w:val="正文首行缩进 21"/>
    <w:basedOn w:val="3"/>
    <w:uiPriority w:val="0"/>
    <w:pPr>
      <w:widowControl w:val="0"/>
      <w:adjustRightInd w:val="0"/>
      <w:ind w:firstLine="420" w:firstLineChars="200"/>
      <w:textAlignment w:val="baseline"/>
    </w:pPr>
    <w:rPr>
      <w:rFonts w:ascii="MingLiU" w:eastAsia="MingLiU"/>
      <w:kern w:val="2"/>
      <w:sz w:val="28"/>
      <w:szCs w:val="28"/>
      <w:lang w:val="en-US" w:eastAsia="zh-CN" w:bidi="ar-SA"/>
    </w:rPr>
  </w:style>
  <w:style w:type="paragraph" w:styleId="3">
    <w:name w:val="Body Text Indent"/>
    <w:basedOn w:val="1"/>
    <w:link w:val="71"/>
    <w:qFormat/>
    <w:uiPriority w:val="0"/>
    <w:pPr>
      <w:ind w:firstLine="379" w:firstLineChars="200"/>
    </w:pPr>
    <w:rPr>
      <w:rFonts w:ascii="宋体"/>
      <w:bCs/>
      <w:kern w:val="44"/>
      <w:sz w:val="18"/>
    </w:rPr>
  </w:style>
  <w:style w:type="paragraph" w:styleId="13">
    <w:name w:val="toc 7"/>
    <w:basedOn w:val="1"/>
    <w:next w:val="1"/>
    <w:qFormat/>
    <w:uiPriority w:val="39"/>
    <w:pPr>
      <w:spacing w:before="0" w:after="0"/>
      <w:ind w:left="1440"/>
      <w:jc w:val="left"/>
    </w:pPr>
    <w:rPr>
      <w:rFonts w:ascii="等线" w:eastAsia="等线"/>
      <w:sz w:val="18"/>
      <w:szCs w:val="18"/>
    </w:rPr>
  </w:style>
  <w:style w:type="paragraph" w:styleId="14">
    <w:name w:val="index 8"/>
    <w:basedOn w:val="1"/>
    <w:next w:val="1"/>
    <w:semiHidden/>
    <w:qFormat/>
    <w:uiPriority w:val="0"/>
    <w:pPr>
      <w:ind w:left="1400" w:leftChars="1400" w:firstLineChars="200"/>
    </w:pPr>
    <w:rPr>
      <w:rFonts w:ascii="宋体"/>
      <w:bCs/>
      <w:kern w:val="44"/>
      <w:sz w:val="24"/>
    </w:rPr>
  </w:style>
  <w:style w:type="paragraph" w:styleId="15">
    <w:name w:val="Normal Indent"/>
    <w:basedOn w:val="1"/>
    <w:qFormat/>
    <w:uiPriority w:val="0"/>
    <w:pPr>
      <w:ind w:firstLine="420" w:firstLineChars="200"/>
    </w:pPr>
    <w:rPr>
      <w:rFonts w:ascii="宋体"/>
      <w:bCs/>
      <w:kern w:val="44"/>
      <w:sz w:val="24"/>
    </w:rPr>
  </w:style>
  <w:style w:type="paragraph" w:styleId="16">
    <w:name w:val="caption"/>
    <w:basedOn w:val="1"/>
    <w:next w:val="1"/>
    <w:link w:val="67"/>
    <w:qFormat/>
    <w:uiPriority w:val="0"/>
    <w:pPr>
      <w:spacing w:afterLines="50"/>
      <w:jc w:val="center"/>
    </w:pPr>
    <w:rPr>
      <w:rFonts w:ascii="黑体" w:eastAsia="黑体"/>
      <w:bCs/>
      <w:kern w:val="44"/>
      <w:sz w:val="24"/>
    </w:rPr>
  </w:style>
  <w:style w:type="paragraph" w:styleId="17">
    <w:name w:val="index 5"/>
    <w:basedOn w:val="1"/>
    <w:next w:val="1"/>
    <w:semiHidden/>
    <w:qFormat/>
    <w:uiPriority w:val="0"/>
    <w:pPr>
      <w:ind w:left="800" w:leftChars="800" w:firstLineChars="200"/>
    </w:pPr>
    <w:rPr>
      <w:rFonts w:ascii="宋体"/>
      <w:bCs/>
      <w:kern w:val="44"/>
      <w:sz w:val="24"/>
    </w:rPr>
  </w:style>
  <w:style w:type="paragraph" w:styleId="18">
    <w:name w:val="Document Map"/>
    <w:basedOn w:val="1"/>
    <w:link w:val="68"/>
    <w:semiHidden/>
    <w:qFormat/>
    <w:uiPriority w:val="0"/>
    <w:pPr>
      <w:shd w:val="clear" w:color="auto" w:fill="000080"/>
      <w:ind w:firstLine="538" w:firstLineChars="200"/>
    </w:pPr>
    <w:rPr>
      <w:rFonts w:ascii="宋体"/>
      <w:bCs/>
      <w:kern w:val="44"/>
      <w:sz w:val="24"/>
    </w:rPr>
  </w:style>
  <w:style w:type="paragraph" w:styleId="19">
    <w:name w:val="annotation text"/>
    <w:basedOn w:val="1"/>
    <w:link w:val="69"/>
    <w:semiHidden/>
    <w:qFormat/>
    <w:uiPriority w:val="99"/>
    <w:pPr>
      <w:ind w:firstLine="538" w:firstLineChars="200"/>
      <w:jc w:val="left"/>
    </w:pPr>
    <w:rPr>
      <w:rFonts w:ascii="宋体"/>
      <w:bCs/>
      <w:kern w:val="44"/>
      <w:sz w:val="24"/>
    </w:rPr>
  </w:style>
  <w:style w:type="paragraph" w:styleId="20">
    <w:name w:val="index 6"/>
    <w:basedOn w:val="1"/>
    <w:next w:val="1"/>
    <w:semiHidden/>
    <w:qFormat/>
    <w:uiPriority w:val="0"/>
    <w:pPr>
      <w:ind w:left="1000" w:leftChars="1000" w:firstLineChars="200"/>
    </w:pPr>
    <w:rPr>
      <w:rFonts w:ascii="宋体"/>
      <w:bCs/>
      <w:kern w:val="44"/>
      <w:sz w:val="24"/>
    </w:rPr>
  </w:style>
  <w:style w:type="paragraph" w:styleId="21">
    <w:name w:val="Body Text"/>
    <w:basedOn w:val="1"/>
    <w:next w:val="22"/>
    <w:link w:val="70"/>
    <w:qFormat/>
    <w:uiPriority w:val="0"/>
    <w:rPr>
      <w:rFonts w:ascii="宋体"/>
      <w:bCs/>
      <w:kern w:val="44"/>
      <w:sz w:val="18"/>
    </w:rPr>
  </w:style>
  <w:style w:type="paragraph" w:styleId="22">
    <w:name w:val="Date"/>
    <w:basedOn w:val="1"/>
    <w:next w:val="1"/>
    <w:link w:val="73"/>
    <w:qFormat/>
    <w:uiPriority w:val="0"/>
    <w:pPr>
      <w:ind w:left="100" w:leftChars="2500" w:firstLine="538" w:firstLineChars="200"/>
    </w:pPr>
    <w:rPr>
      <w:rFonts w:ascii="宋体"/>
      <w:bCs/>
      <w:kern w:val="44"/>
      <w:sz w:val="24"/>
    </w:rPr>
  </w:style>
  <w:style w:type="paragraph" w:styleId="23">
    <w:name w:val="index 4"/>
    <w:basedOn w:val="1"/>
    <w:next w:val="1"/>
    <w:semiHidden/>
    <w:qFormat/>
    <w:uiPriority w:val="0"/>
    <w:pPr>
      <w:ind w:left="600" w:leftChars="600" w:firstLineChars="200"/>
    </w:pPr>
    <w:rPr>
      <w:rFonts w:ascii="宋体"/>
      <w:bCs/>
      <w:kern w:val="44"/>
      <w:sz w:val="24"/>
    </w:rPr>
  </w:style>
  <w:style w:type="paragraph" w:styleId="24">
    <w:name w:val="toc 5"/>
    <w:basedOn w:val="1"/>
    <w:next w:val="1"/>
    <w:qFormat/>
    <w:uiPriority w:val="39"/>
    <w:pPr>
      <w:spacing w:before="0" w:after="0"/>
      <w:ind w:left="960"/>
      <w:jc w:val="left"/>
    </w:pPr>
    <w:rPr>
      <w:rFonts w:ascii="等线" w:eastAsia="等线"/>
      <w:sz w:val="18"/>
      <w:szCs w:val="18"/>
    </w:rPr>
  </w:style>
  <w:style w:type="paragraph" w:styleId="25">
    <w:name w:val="toc 3"/>
    <w:basedOn w:val="1"/>
    <w:next w:val="1"/>
    <w:qFormat/>
    <w:uiPriority w:val="39"/>
    <w:pPr>
      <w:spacing w:before="0" w:after="0"/>
      <w:ind w:left="480"/>
      <w:jc w:val="left"/>
    </w:pPr>
    <w:rPr>
      <w:rFonts w:ascii="等线" w:eastAsia="等线"/>
      <w:i/>
      <w:iCs/>
      <w:sz w:val="20"/>
      <w:szCs w:val="20"/>
    </w:rPr>
  </w:style>
  <w:style w:type="paragraph" w:styleId="26">
    <w:name w:val="Plain Text"/>
    <w:basedOn w:val="1"/>
    <w:link w:val="72"/>
    <w:qFormat/>
    <w:uiPriority w:val="0"/>
    <w:rPr>
      <w:rFonts w:ascii="宋体" w:hAnsi="Courier New"/>
      <w:szCs w:val="20"/>
    </w:rPr>
  </w:style>
  <w:style w:type="paragraph" w:styleId="27">
    <w:name w:val="toc 8"/>
    <w:basedOn w:val="1"/>
    <w:next w:val="1"/>
    <w:qFormat/>
    <w:uiPriority w:val="39"/>
    <w:pPr>
      <w:spacing w:before="0" w:after="0"/>
      <w:ind w:left="1680"/>
      <w:jc w:val="left"/>
    </w:pPr>
    <w:rPr>
      <w:rFonts w:ascii="等线" w:eastAsia="等线"/>
      <w:sz w:val="18"/>
      <w:szCs w:val="18"/>
    </w:rPr>
  </w:style>
  <w:style w:type="paragraph" w:styleId="28">
    <w:name w:val="index 3"/>
    <w:basedOn w:val="1"/>
    <w:next w:val="1"/>
    <w:semiHidden/>
    <w:qFormat/>
    <w:uiPriority w:val="0"/>
    <w:pPr>
      <w:ind w:left="400" w:leftChars="400" w:firstLineChars="200"/>
    </w:pPr>
    <w:rPr>
      <w:rFonts w:ascii="宋体"/>
      <w:bCs/>
      <w:kern w:val="44"/>
      <w:sz w:val="24"/>
    </w:rPr>
  </w:style>
  <w:style w:type="paragraph" w:styleId="29">
    <w:name w:val="Balloon Text"/>
    <w:basedOn w:val="1"/>
    <w:link w:val="74"/>
    <w:unhideWhenUsed/>
    <w:qFormat/>
    <w:uiPriority w:val="99"/>
    <w:rPr>
      <w:sz w:val="18"/>
      <w:szCs w:val="18"/>
    </w:rPr>
  </w:style>
  <w:style w:type="paragraph" w:styleId="30">
    <w:name w:val="footer"/>
    <w:basedOn w:val="1"/>
    <w:link w:val="75"/>
    <w:unhideWhenUsed/>
    <w:qFormat/>
    <w:uiPriority w:val="99"/>
    <w:pPr>
      <w:tabs>
        <w:tab w:val="center" w:pos="4153"/>
        <w:tab w:val="right" w:pos="8306"/>
      </w:tabs>
      <w:snapToGrid w:val="0"/>
      <w:jc w:val="left"/>
    </w:pPr>
    <w:rPr>
      <w:sz w:val="18"/>
      <w:szCs w:val="18"/>
    </w:rPr>
  </w:style>
  <w:style w:type="paragraph" w:styleId="31">
    <w:name w:val="header"/>
    <w:basedOn w:val="1"/>
    <w:link w:val="76"/>
    <w:unhideWhenUsed/>
    <w:qFormat/>
    <w:uiPriority w:val="99"/>
    <w:pPr>
      <w:pBdr>
        <w:bottom w:val="single" w:color="auto" w:sz="6" w:space="1"/>
      </w:pBdr>
      <w:tabs>
        <w:tab w:val="center" w:pos="4153"/>
        <w:tab w:val="right" w:pos="8306"/>
      </w:tabs>
      <w:snapToGrid w:val="0"/>
      <w:jc w:val="center"/>
    </w:pPr>
    <w:rPr>
      <w:sz w:val="18"/>
      <w:szCs w:val="18"/>
    </w:rPr>
  </w:style>
  <w:style w:type="paragraph" w:styleId="32">
    <w:name w:val="toc 1"/>
    <w:basedOn w:val="1"/>
    <w:next w:val="1"/>
    <w:qFormat/>
    <w:uiPriority w:val="39"/>
    <w:pPr>
      <w:ind w:left="0"/>
      <w:jc w:val="left"/>
    </w:pPr>
    <w:rPr>
      <w:rFonts w:ascii="等线" w:eastAsia="等线"/>
      <w:b/>
      <w:bCs/>
      <w:caps/>
      <w:sz w:val="20"/>
      <w:szCs w:val="20"/>
    </w:rPr>
  </w:style>
  <w:style w:type="paragraph" w:styleId="33">
    <w:name w:val="toc 4"/>
    <w:basedOn w:val="1"/>
    <w:next w:val="1"/>
    <w:qFormat/>
    <w:uiPriority w:val="39"/>
    <w:pPr>
      <w:spacing w:before="0" w:after="0"/>
      <w:ind w:left="720"/>
      <w:jc w:val="left"/>
    </w:pPr>
    <w:rPr>
      <w:rFonts w:ascii="等线" w:eastAsia="等线"/>
      <w:sz w:val="18"/>
      <w:szCs w:val="18"/>
    </w:rPr>
  </w:style>
  <w:style w:type="paragraph" w:styleId="34">
    <w:name w:val="index heading"/>
    <w:basedOn w:val="1"/>
    <w:next w:val="35"/>
    <w:semiHidden/>
    <w:qFormat/>
    <w:uiPriority w:val="0"/>
    <w:pPr>
      <w:ind w:firstLine="538" w:firstLineChars="200"/>
    </w:pPr>
    <w:rPr>
      <w:rFonts w:ascii="宋体"/>
      <w:bCs/>
      <w:kern w:val="44"/>
      <w:sz w:val="24"/>
    </w:rPr>
  </w:style>
  <w:style w:type="paragraph" w:styleId="35">
    <w:name w:val="index 1"/>
    <w:basedOn w:val="1"/>
    <w:next w:val="1"/>
    <w:semiHidden/>
    <w:qFormat/>
    <w:uiPriority w:val="0"/>
    <w:pPr>
      <w:ind w:firstLineChars="200"/>
    </w:pPr>
    <w:rPr>
      <w:rFonts w:ascii="宋体"/>
      <w:bCs/>
      <w:kern w:val="44"/>
      <w:sz w:val="24"/>
    </w:rPr>
  </w:style>
  <w:style w:type="paragraph" w:styleId="36">
    <w:name w:val="footnote text"/>
    <w:basedOn w:val="1"/>
    <w:link w:val="77"/>
    <w:unhideWhenUsed/>
    <w:qFormat/>
    <w:uiPriority w:val="99"/>
    <w:pPr>
      <w:widowControl/>
      <w:jc w:val="left"/>
    </w:pPr>
    <w:rPr>
      <w:rFonts w:ascii="等线" w:hAnsi="等线" w:eastAsia="等线"/>
      <w:kern w:val="0"/>
      <w:sz w:val="24"/>
    </w:rPr>
  </w:style>
  <w:style w:type="paragraph" w:styleId="37">
    <w:name w:val="toc 6"/>
    <w:basedOn w:val="1"/>
    <w:next w:val="1"/>
    <w:qFormat/>
    <w:uiPriority w:val="39"/>
    <w:pPr>
      <w:spacing w:before="0" w:after="0"/>
      <w:ind w:left="1200"/>
      <w:jc w:val="left"/>
    </w:pPr>
    <w:rPr>
      <w:rFonts w:ascii="等线" w:eastAsia="等线"/>
      <w:sz w:val="18"/>
      <w:szCs w:val="18"/>
    </w:rPr>
  </w:style>
  <w:style w:type="paragraph" w:styleId="38">
    <w:name w:val="index 7"/>
    <w:basedOn w:val="1"/>
    <w:next w:val="1"/>
    <w:semiHidden/>
    <w:qFormat/>
    <w:uiPriority w:val="0"/>
    <w:pPr>
      <w:ind w:left="1200" w:leftChars="1200" w:firstLineChars="200"/>
    </w:pPr>
    <w:rPr>
      <w:rFonts w:ascii="宋体"/>
      <w:bCs/>
      <w:kern w:val="44"/>
      <w:sz w:val="24"/>
    </w:rPr>
  </w:style>
  <w:style w:type="paragraph" w:styleId="39">
    <w:name w:val="index 9"/>
    <w:basedOn w:val="1"/>
    <w:next w:val="1"/>
    <w:semiHidden/>
    <w:qFormat/>
    <w:uiPriority w:val="0"/>
    <w:pPr>
      <w:ind w:left="1600" w:leftChars="1600" w:firstLineChars="200"/>
    </w:pPr>
    <w:rPr>
      <w:rFonts w:ascii="宋体"/>
      <w:bCs/>
      <w:kern w:val="44"/>
      <w:sz w:val="24"/>
    </w:rPr>
  </w:style>
  <w:style w:type="paragraph" w:styleId="40">
    <w:name w:val="toc 2"/>
    <w:basedOn w:val="1"/>
    <w:next w:val="1"/>
    <w:qFormat/>
    <w:uiPriority w:val="39"/>
    <w:pPr>
      <w:spacing w:before="0" w:after="0"/>
      <w:jc w:val="left"/>
    </w:pPr>
    <w:rPr>
      <w:rFonts w:ascii="等线" w:eastAsia="等线"/>
      <w:smallCaps/>
      <w:sz w:val="20"/>
      <w:szCs w:val="20"/>
    </w:rPr>
  </w:style>
  <w:style w:type="paragraph" w:styleId="41">
    <w:name w:val="toc 9"/>
    <w:basedOn w:val="1"/>
    <w:next w:val="1"/>
    <w:qFormat/>
    <w:uiPriority w:val="39"/>
    <w:pPr>
      <w:spacing w:before="0" w:after="0"/>
      <w:ind w:left="1920"/>
      <w:jc w:val="left"/>
    </w:pPr>
    <w:rPr>
      <w:rFonts w:ascii="等线" w:eastAsia="等线"/>
      <w:sz w:val="18"/>
      <w:szCs w:val="18"/>
    </w:rPr>
  </w:style>
  <w:style w:type="paragraph" w:styleId="42">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43">
    <w:name w:val="index 2"/>
    <w:basedOn w:val="1"/>
    <w:next w:val="1"/>
    <w:qFormat/>
    <w:uiPriority w:val="0"/>
    <w:pPr>
      <w:ind w:left="200" w:leftChars="200" w:firstLineChars="200"/>
    </w:pPr>
    <w:rPr>
      <w:rFonts w:ascii="宋体"/>
      <w:bCs/>
      <w:kern w:val="44"/>
      <w:sz w:val="24"/>
    </w:rPr>
  </w:style>
  <w:style w:type="paragraph" w:styleId="44">
    <w:name w:val="Title"/>
    <w:basedOn w:val="1"/>
    <w:next w:val="1"/>
    <w:link w:val="78"/>
    <w:qFormat/>
    <w:uiPriority w:val="10"/>
    <w:pPr>
      <w:spacing w:before="240" w:after="60" w:line="360" w:lineRule="auto"/>
      <w:ind w:firstLine="480" w:firstLineChars="200"/>
      <w:jc w:val="center"/>
      <w:outlineLvl w:val="0"/>
    </w:pPr>
    <w:rPr>
      <w:rFonts w:ascii="等线 Light" w:hAnsi="等线 Light" w:cs="Times New Roman"/>
      <w:b/>
      <w:bCs/>
      <w:kern w:val="44"/>
      <w:sz w:val="32"/>
      <w:szCs w:val="32"/>
    </w:rPr>
  </w:style>
  <w:style w:type="paragraph" w:styleId="45">
    <w:name w:val="annotation subject"/>
    <w:basedOn w:val="19"/>
    <w:next w:val="19"/>
    <w:link w:val="79"/>
    <w:unhideWhenUsed/>
    <w:qFormat/>
    <w:uiPriority w:val="99"/>
    <w:pPr>
      <w:spacing w:line="360" w:lineRule="auto"/>
      <w:ind w:firstLine="480"/>
    </w:pPr>
    <w:rPr>
      <w:b/>
    </w:rPr>
  </w:style>
  <w:style w:type="paragraph" w:styleId="46">
    <w:name w:val="Body Text First Indent 2"/>
    <w:basedOn w:val="1"/>
    <w:unhideWhenUsed/>
    <w:qFormat/>
    <w:uiPriority w:val="99"/>
    <w:pPr>
      <w:ind w:firstLine="420" w:firstLineChars="200"/>
    </w:pPr>
  </w:style>
  <w:style w:type="table" w:styleId="48">
    <w:name w:val="Table Grid"/>
    <w:basedOn w:val="47"/>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9">
    <w:name w:val="Medium Shading 2 Accent 5"/>
    <w:basedOn w:val="47"/>
    <w:qFormat/>
    <w:uiPriority w:val="64"/>
    <w:rPr>
      <w:sz w:val="22"/>
    </w:rPr>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l2br w:val="nil"/>
          <w:tr2bl w:val="nil"/>
        </w:tcBorders>
        <w:shd w:val="clear" w:color="auto" w:fill="5B9BD5"/>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l2br w:val="nil"/>
          <w:tr2bl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l2br w:val="nil"/>
          <w:tr2bl w:val="nil"/>
        </w:tcBorders>
        <w:shd w:val="clear" w:color="auto" w:fill="5B9BD5"/>
      </w:tcPr>
    </w:tblStylePr>
    <w:tblStylePr w:type="lastCol">
      <w:rPr>
        <w:b/>
        <w:bCs/>
        <w:color w:val="FFFFFF"/>
      </w:rPr>
      <w:tblPr/>
      <w:tcPr>
        <w:tcBorders>
          <w:top w:val="nil"/>
          <w:left w:val="nil"/>
          <w:bottom w:val="nil"/>
          <w:right w:val="nil"/>
          <w:insideH w:val="nil"/>
          <w:insideV w:val="nil"/>
          <w:tl2br w:val="nil"/>
          <w:tr2bl w:val="nil"/>
        </w:tcBorders>
        <w:shd w:val="clear" w:color="auto" w:fill="5B9BD5"/>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l2br w:val="nil"/>
          <w:tr2bl w:val="nil"/>
        </w:tcBorders>
      </w:tcPr>
    </w:tblStylePr>
    <w:tblStylePr w:type="nwCell">
      <w:rPr>
        <w:color w:val="FFFFFF"/>
      </w:rPr>
      <w:tblPr/>
      <w:tcPr>
        <w:tcBorders>
          <w:top w:val="single" w:color="auto" w:sz="18" w:space="0"/>
          <w:left w:val="single" w:color="auto" w:sz="18" w:space="0"/>
          <w:bottom w:val="nil"/>
          <w:right w:val="nil"/>
          <w:insideH w:val="nil"/>
          <w:insideV w:val="nil"/>
          <w:tl2br w:val="nil"/>
          <w:tr2bl w:val="nil"/>
        </w:tcBorders>
      </w:tcPr>
    </w:tblStylePr>
  </w:style>
  <w:style w:type="character" w:styleId="51">
    <w:name w:val="Strong"/>
    <w:qFormat/>
    <w:uiPriority w:val="22"/>
    <w:rPr>
      <w:b/>
      <w:bCs/>
    </w:rPr>
  </w:style>
  <w:style w:type="character" w:styleId="52">
    <w:name w:val="page number"/>
    <w:qFormat/>
    <w:uiPriority w:val="0"/>
  </w:style>
  <w:style w:type="character" w:styleId="53">
    <w:name w:val="FollowedHyperlink"/>
    <w:qFormat/>
    <w:uiPriority w:val="99"/>
    <w:rPr>
      <w:color w:val="800080"/>
      <w:u w:val="single"/>
    </w:rPr>
  </w:style>
  <w:style w:type="character" w:styleId="54">
    <w:name w:val="Emphasis"/>
    <w:qFormat/>
    <w:uiPriority w:val="20"/>
    <w:rPr>
      <w:i/>
      <w:iCs/>
    </w:rPr>
  </w:style>
  <w:style w:type="character" w:styleId="55">
    <w:name w:val="Hyperlink"/>
    <w:unhideWhenUsed/>
    <w:qFormat/>
    <w:uiPriority w:val="99"/>
    <w:rPr>
      <w:color w:val="0000FF"/>
      <w:u w:val="single"/>
    </w:rPr>
  </w:style>
  <w:style w:type="character" w:styleId="56">
    <w:name w:val="annotation reference"/>
    <w:semiHidden/>
    <w:qFormat/>
    <w:uiPriority w:val="99"/>
    <w:rPr>
      <w:sz w:val="21"/>
      <w:szCs w:val="21"/>
    </w:rPr>
  </w:style>
  <w:style w:type="character" w:styleId="57">
    <w:name w:val="HTML Sample"/>
    <w:unhideWhenUsed/>
    <w:qFormat/>
    <w:uiPriority w:val="99"/>
    <w:rPr>
      <w:rFonts w:ascii="宋体" w:hAnsi="宋体" w:eastAsia="宋体" w:cs="宋体"/>
    </w:rPr>
  </w:style>
  <w:style w:type="character" w:customStyle="1" w:styleId="58">
    <w:name w:val="标题 1 字符"/>
    <w:link w:val="4"/>
    <w:qFormat/>
    <w:uiPriority w:val="0"/>
    <w:rPr>
      <w:b/>
      <w:bCs/>
      <w:kern w:val="44"/>
      <w:sz w:val="30"/>
      <w:szCs w:val="44"/>
    </w:rPr>
  </w:style>
  <w:style w:type="character" w:customStyle="1" w:styleId="59">
    <w:name w:val="标题 2 字符"/>
    <w:link w:val="5"/>
    <w:qFormat/>
    <w:uiPriority w:val="0"/>
    <w:rPr>
      <w:rFonts w:ascii="等线 Light" w:hAnsi="等线 Light"/>
      <w:b/>
      <w:bCs/>
      <w:kern w:val="2"/>
      <w:sz w:val="28"/>
      <w:szCs w:val="32"/>
    </w:rPr>
  </w:style>
  <w:style w:type="character" w:customStyle="1" w:styleId="60">
    <w:name w:val="标题 3 字符"/>
    <w:link w:val="6"/>
    <w:qFormat/>
    <w:uiPriority w:val="9"/>
    <w:rPr>
      <w:b/>
      <w:bCs/>
      <w:kern w:val="2"/>
      <w:sz w:val="26"/>
      <w:szCs w:val="32"/>
    </w:rPr>
  </w:style>
  <w:style w:type="character" w:customStyle="1" w:styleId="61">
    <w:name w:val="标题 4 字符"/>
    <w:link w:val="7"/>
    <w:qFormat/>
    <w:uiPriority w:val="9"/>
    <w:rPr>
      <w:rFonts w:ascii="黑体" w:hAnsi="宋体"/>
      <w:bCs/>
      <w:sz w:val="24"/>
      <w:szCs w:val="24"/>
    </w:rPr>
  </w:style>
  <w:style w:type="character" w:customStyle="1" w:styleId="62">
    <w:name w:val="标题 5 字符"/>
    <w:link w:val="8"/>
    <w:qFormat/>
    <w:uiPriority w:val="0"/>
    <w:rPr>
      <w:rFonts w:ascii="仿宋_GB2312" w:hAnsi="宋体"/>
      <w:bCs/>
      <w:color w:val="000000"/>
      <w:spacing w:val="40"/>
      <w:kern w:val="44"/>
      <w:sz w:val="24"/>
      <w:szCs w:val="24"/>
    </w:rPr>
  </w:style>
  <w:style w:type="character" w:customStyle="1" w:styleId="63">
    <w:name w:val="标题 6 字符"/>
    <w:link w:val="9"/>
    <w:qFormat/>
    <w:uiPriority w:val="0"/>
    <w:rPr>
      <w:rFonts w:ascii="宋体"/>
      <w:bCs/>
      <w:kern w:val="44"/>
      <w:sz w:val="28"/>
      <w:szCs w:val="24"/>
    </w:rPr>
  </w:style>
  <w:style w:type="character" w:customStyle="1" w:styleId="64">
    <w:name w:val="标题 7 字符"/>
    <w:link w:val="10"/>
    <w:qFormat/>
    <w:uiPriority w:val="0"/>
    <w:rPr>
      <w:rFonts w:ascii="宋体"/>
      <w:b/>
      <w:bCs/>
      <w:kern w:val="44"/>
      <w:sz w:val="24"/>
      <w:szCs w:val="24"/>
    </w:rPr>
  </w:style>
  <w:style w:type="character" w:customStyle="1" w:styleId="65">
    <w:name w:val="标题 8 字符"/>
    <w:link w:val="11"/>
    <w:qFormat/>
    <w:uiPriority w:val="0"/>
    <w:rPr>
      <w:rFonts w:ascii="Arial" w:hAnsi="Arial" w:eastAsia="黑体"/>
      <w:bCs/>
      <w:kern w:val="44"/>
      <w:sz w:val="24"/>
      <w:szCs w:val="24"/>
    </w:rPr>
  </w:style>
  <w:style w:type="character" w:customStyle="1" w:styleId="66">
    <w:name w:val="标题 9 字符"/>
    <w:link w:val="12"/>
    <w:qFormat/>
    <w:uiPriority w:val="0"/>
    <w:rPr>
      <w:rFonts w:ascii="Arial" w:hAnsi="Arial" w:eastAsia="黑体"/>
      <w:bCs/>
      <w:kern w:val="44"/>
      <w:sz w:val="24"/>
      <w:szCs w:val="21"/>
    </w:rPr>
  </w:style>
  <w:style w:type="character" w:customStyle="1" w:styleId="67">
    <w:name w:val="题注 字符"/>
    <w:link w:val="16"/>
    <w:qFormat/>
    <w:uiPriority w:val="0"/>
    <w:rPr>
      <w:rFonts w:ascii="黑体" w:eastAsia="黑体"/>
      <w:bCs/>
      <w:kern w:val="44"/>
      <w:sz w:val="24"/>
      <w:szCs w:val="24"/>
    </w:rPr>
  </w:style>
  <w:style w:type="character" w:customStyle="1" w:styleId="68">
    <w:name w:val="文档结构图 字符"/>
    <w:link w:val="18"/>
    <w:semiHidden/>
    <w:qFormat/>
    <w:uiPriority w:val="0"/>
    <w:rPr>
      <w:rFonts w:ascii="宋体"/>
      <w:bCs/>
      <w:kern w:val="44"/>
      <w:sz w:val="24"/>
      <w:szCs w:val="24"/>
      <w:shd w:val="clear" w:color="auto" w:fill="000080"/>
    </w:rPr>
  </w:style>
  <w:style w:type="character" w:customStyle="1" w:styleId="69">
    <w:name w:val="批注文字 字符"/>
    <w:link w:val="19"/>
    <w:semiHidden/>
    <w:qFormat/>
    <w:uiPriority w:val="99"/>
    <w:rPr>
      <w:rFonts w:ascii="宋体"/>
      <w:bCs/>
      <w:kern w:val="44"/>
      <w:sz w:val="24"/>
      <w:szCs w:val="24"/>
    </w:rPr>
  </w:style>
  <w:style w:type="character" w:customStyle="1" w:styleId="70">
    <w:name w:val="正文文本 字符"/>
    <w:link w:val="21"/>
    <w:qFormat/>
    <w:uiPriority w:val="0"/>
    <w:rPr>
      <w:rFonts w:ascii="宋体"/>
      <w:bCs/>
      <w:kern w:val="44"/>
      <w:sz w:val="18"/>
      <w:szCs w:val="24"/>
    </w:rPr>
  </w:style>
  <w:style w:type="character" w:customStyle="1" w:styleId="71">
    <w:name w:val="正文文本缩进 字符"/>
    <w:link w:val="3"/>
    <w:qFormat/>
    <w:uiPriority w:val="0"/>
    <w:rPr>
      <w:rFonts w:ascii="宋体"/>
      <w:bCs/>
      <w:kern w:val="44"/>
      <w:sz w:val="18"/>
      <w:szCs w:val="24"/>
    </w:rPr>
  </w:style>
  <w:style w:type="character" w:customStyle="1" w:styleId="72">
    <w:name w:val="纯文本 字符"/>
    <w:link w:val="26"/>
    <w:qFormat/>
    <w:uiPriority w:val="0"/>
    <w:rPr>
      <w:rFonts w:ascii="宋体" w:hAnsi="Courier New" w:eastAsia="宋体" w:cs="Times New Roman"/>
      <w:szCs w:val="20"/>
    </w:rPr>
  </w:style>
  <w:style w:type="character" w:customStyle="1" w:styleId="73">
    <w:name w:val="日期 字符"/>
    <w:link w:val="22"/>
    <w:qFormat/>
    <w:uiPriority w:val="0"/>
    <w:rPr>
      <w:rFonts w:ascii="宋体"/>
      <w:bCs/>
      <w:kern w:val="44"/>
      <w:sz w:val="24"/>
      <w:szCs w:val="24"/>
    </w:rPr>
  </w:style>
  <w:style w:type="character" w:customStyle="1" w:styleId="74">
    <w:name w:val="批注框文本 字符"/>
    <w:link w:val="29"/>
    <w:semiHidden/>
    <w:qFormat/>
    <w:uiPriority w:val="99"/>
    <w:rPr>
      <w:rFonts w:ascii="Times New Roman" w:hAnsi="Times New Roman" w:eastAsia="宋体" w:cs="Times New Roman"/>
      <w:sz w:val="18"/>
      <w:szCs w:val="18"/>
    </w:rPr>
  </w:style>
  <w:style w:type="character" w:customStyle="1" w:styleId="75">
    <w:name w:val="页脚 字符"/>
    <w:link w:val="30"/>
    <w:qFormat/>
    <w:uiPriority w:val="99"/>
    <w:rPr>
      <w:rFonts w:ascii="Times New Roman" w:hAnsi="Times New Roman" w:eastAsia="宋体" w:cs="Times New Roman"/>
      <w:sz w:val="18"/>
      <w:szCs w:val="18"/>
    </w:rPr>
  </w:style>
  <w:style w:type="character" w:customStyle="1" w:styleId="76">
    <w:name w:val="页眉 字符"/>
    <w:link w:val="31"/>
    <w:qFormat/>
    <w:uiPriority w:val="99"/>
    <w:rPr>
      <w:rFonts w:ascii="Times New Roman" w:hAnsi="Times New Roman" w:eastAsia="宋体" w:cs="Times New Roman"/>
      <w:sz w:val="18"/>
      <w:szCs w:val="18"/>
    </w:rPr>
  </w:style>
  <w:style w:type="character" w:customStyle="1" w:styleId="77">
    <w:name w:val="脚注文本 字符"/>
    <w:link w:val="36"/>
    <w:qFormat/>
    <w:uiPriority w:val="99"/>
    <w:rPr>
      <w:rFonts w:ascii="等线" w:hAnsi="等线" w:eastAsia="等线"/>
      <w:sz w:val="24"/>
      <w:szCs w:val="24"/>
    </w:rPr>
  </w:style>
  <w:style w:type="character" w:customStyle="1" w:styleId="78">
    <w:name w:val="标题 字符"/>
    <w:link w:val="44"/>
    <w:qFormat/>
    <w:uiPriority w:val="10"/>
    <w:rPr>
      <w:rFonts w:ascii="等线 Light" w:hAnsi="等线 Light"/>
      <w:b/>
      <w:bCs/>
      <w:kern w:val="44"/>
      <w:sz w:val="32"/>
      <w:szCs w:val="32"/>
    </w:rPr>
  </w:style>
  <w:style w:type="character" w:customStyle="1" w:styleId="79">
    <w:name w:val="批注主题 字符"/>
    <w:link w:val="45"/>
    <w:semiHidden/>
    <w:qFormat/>
    <w:uiPriority w:val="99"/>
    <w:rPr>
      <w:rFonts w:ascii="宋体"/>
      <w:b/>
      <w:bCs/>
      <w:kern w:val="44"/>
      <w:sz w:val="24"/>
      <w:szCs w:val="24"/>
    </w:rPr>
  </w:style>
  <w:style w:type="character" w:customStyle="1" w:styleId="80">
    <w:name w:val="description"/>
    <w:qFormat/>
    <w:uiPriority w:val="0"/>
  </w:style>
  <w:style w:type="character" w:customStyle="1" w:styleId="81">
    <w:name w:val="fontstyle01"/>
    <w:qFormat/>
    <w:uiPriority w:val="0"/>
    <w:rPr>
      <w:rFonts w:hint="eastAsia" w:ascii="仿宋" w:hAnsi="仿宋" w:eastAsia="仿宋"/>
      <w:color w:val="000000"/>
      <w:sz w:val="32"/>
      <w:szCs w:val="32"/>
    </w:rPr>
  </w:style>
  <w:style w:type="paragraph" w:customStyle="1" w:styleId="82">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83">
    <w:name w:val="_Style 80"/>
    <w:unhideWhenUsed/>
    <w:qFormat/>
    <w:uiPriority w:val="99"/>
    <w:rPr>
      <w:rFonts w:ascii="Times New Roman" w:hAnsi="Times New Roman" w:eastAsia="宋体" w:cs="Times New Roman"/>
      <w:kern w:val="2"/>
      <w:sz w:val="21"/>
      <w:szCs w:val="24"/>
      <w:lang w:val="en-US" w:eastAsia="zh-CN" w:bidi="ar-SA"/>
    </w:rPr>
  </w:style>
  <w:style w:type="paragraph" w:styleId="84">
    <w:name w:val="List Paragraph"/>
    <w:basedOn w:val="1"/>
    <w:link w:val="85"/>
    <w:qFormat/>
    <w:uiPriority w:val="34"/>
    <w:pPr>
      <w:ind w:firstLine="420" w:firstLineChars="200"/>
    </w:pPr>
  </w:style>
  <w:style w:type="character" w:customStyle="1" w:styleId="85">
    <w:name w:val="列表段落 字符"/>
    <w:link w:val="84"/>
    <w:qFormat/>
    <w:uiPriority w:val="34"/>
    <w:rPr>
      <w:kern w:val="2"/>
      <w:sz w:val="21"/>
      <w:szCs w:val="24"/>
    </w:rPr>
  </w:style>
  <w:style w:type="paragraph" w:styleId="86">
    <w:name w:val="No Spacing"/>
    <w:link w:val="87"/>
    <w:qFormat/>
    <w:uiPriority w:val="1"/>
    <w:pPr>
      <w:widowControl w:val="0"/>
      <w:jc w:val="both"/>
    </w:pPr>
    <w:rPr>
      <w:rFonts w:ascii="Times New Roman" w:hAnsi="Times New Roman" w:eastAsia="宋体" w:cs="Times New Roman"/>
      <w:kern w:val="2"/>
      <w:lang w:val="en-US" w:eastAsia="zh-CN" w:bidi="ar-SA"/>
    </w:rPr>
  </w:style>
  <w:style w:type="character" w:customStyle="1" w:styleId="87">
    <w:name w:val="无间隔 字符"/>
    <w:link w:val="86"/>
    <w:qFormat/>
    <w:uiPriority w:val="1"/>
    <w:rPr>
      <w:kern w:val="2"/>
    </w:rPr>
  </w:style>
  <w:style w:type="paragraph" w:customStyle="1" w:styleId="88">
    <w:name w:val="AE_数据表"/>
    <w:basedOn w:val="86"/>
    <w:link w:val="89"/>
    <w:qFormat/>
    <w:uiPriority w:val="0"/>
    <w:pPr>
      <w:ind w:firstLine="478" w:firstLineChars="200"/>
      <w:jc w:val="center"/>
    </w:pPr>
  </w:style>
  <w:style w:type="character" w:customStyle="1" w:styleId="89">
    <w:name w:val="AE_数据表 字符"/>
    <w:link w:val="88"/>
    <w:qFormat/>
    <w:uiPriority w:val="0"/>
    <w:rPr>
      <w:kern w:val="2"/>
    </w:rPr>
  </w:style>
  <w:style w:type="character" w:customStyle="1" w:styleId="90">
    <w:name w:val="apple-converted-space"/>
    <w:qFormat/>
    <w:uiPriority w:val="0"/>
  </w:style>
  <w:style w:type="character" w:customStyle="1" w:styleId="91">
    <w:name w:val="attentiontitle"/>
    <w:qFormat/>
    <w:uiPriority w:val="0"/>
  </w:style>
  <w:style w:type="paragraph" w:customStyle="1" w:styleId="92">
    <w:name w:val="Char Char Char Char"/>
    <w:basedOn w:val="1"/>
    <w:qFormat/>
    <w:uiPriority w:val="0"/>
    <w:pPr>
      <w:spacing w:after="160" w:line="240" w:lineRule="exact"/>
    </w:pPr>
    <w:rPr>
      <w:rFonts w:ascii="Verdana" w:hAnsi="Verdana" w:cs="Verdana"/>
      <w:kern w:val="44"/>
      <w:sz w:val="24"/>
      <w:lang w:eastAsia="en-US"/>
    </w:rPr>
  </w:style>
  <w:style w:type="character" w:customStyle="1" w:styleId="93">
    <w:name w:val="content"/>
    <w:qFormat/>
    <w:uiPriority w:val="0"/>
  </w:style>
  <w:style w:type="paragraph" w:customStyle="1" w:styleId="94">
    <w:name w:val="figcap"/>
    <w:basedOn w:val="1"/>
    <w:qFormat/>
    <w:uiPriority w:val="0"/>
    <w:pPr>
      <w:widowControl/>
      <w:spacing w:before="100" w:beforeAutospacing="1" w:after="100" w:afterAutospacing="1"/>
      <w:jc w:val="left"/>
    </w:pPr>
    <w:rPr>
      <w:rFonts w:ascii="宋体" w:hAnsi="宋体" w:cs="宋体"/>
      <w:kern w:val="0"/>
      <w:sz w:val="24"/>
    </w:rPr>
  </w:style>
  <w:style w:type="paragraph" w:customStyle="1" w:styleId="95">
    <w:name w:val="li"/>
    <w:basedOn w:val="1"/>
    <w:qFormat/>
    <w:uiPriority w:val="0"/>
    <w:pPr>
      <w:widowControl/>
      <w:spacing w:before="100" w:beforeAutospacing="1" w:after="100" w:afterAutospacing="1"/>
      <w:jc w:val="left"/>
    </w:pPr>
    <w:rPr>
      <w:rFonts w:ascii="宋体" w:hAnsi="宋体" w:cs="宋体"/>
      <w:kern w:val="0"/>
      <w:sz w:val="24"/>
    </w:rPr>
  </w:style>
  <w:style w:type="character" w:customStyle="1" w:styleId="96">
    <w:name w:val="notetitle"/>
    <w:qFormat/>
    <w:uiPriority w:val="0"/>
  </w:style>
  <w:style w:type="paragraph" w:customStyle="1" w:styleId="97">
    <w:name w:val="p"/>
    <w:basedOn w:val="1"/>
    <w:qFormat/>
    <w:uiPriority w:val="0"/>
    <w:pPr>
      <w:widowControl/>
      <w:spacing w:before="100" w:beforeAutospacing="1" w:after="100" w:afterAutospacing="1"/>
      <w:jc w:val="left"/>
    </w:pPr>
    <w:rPr>
      <w:rFonts w:ascii="宋体" w:hAnsi="宋体" w:cs="宋体"/>
      <w:kern w:val="0"/>
      <w:sz w:val="24"/>
    </w:rPr>
  </w:style>
  <w:style w:type="character" w:customStyle="1" w:styleId="98">
    <w:name w:val="ph"/>
    <w:qFormat/>
    <w:uiPriority w:val="0"/>
  </w:style>
  <w:style w:type="paragraph" w:customStyle="1" w:styleId="99">
    <w:name w:val="shortdesc"/>
    <w:basedOn w:val="1"/>
    <w:qFormat/>
    <w:uiPriority w:val="0"/>
    <w:pPr>
      <w:widowControl/>
      <w:spacing w:before="100" w:beforeAutospacing="1" w:after="100" w:afterAutospacing="1"/>
      <w:jc w:val="left"/>
    </w:pPr>
    <w:rPr>
      <w:rFonts w:ascii="宋体" w:hAnsi="宋体" w:cs="宋体"/>
      <w:kern w:val="0"/>
      <w:sz w:val="24"/>
    </w:rPr>
  </w:style>
  <w:style w:type="character" w:customStyle="1" w:styleId="100">
    <w:name w:val="tiptitle"/>
    <w:qFormat/>
    <w:uiPriority w:val="0"/>
  </w:style>
  <w:style w:type="paragraph" w:customStyle="1" w:styleId="101">
    <w:name w:val="_Style 98"/>
    <w:basedOn w:val="4"/>
    <w:next w:val="1"/>
    <w:qFormat/>
    <w:uiPriority w:val="39"/>
    <w:pPr>
      <w:widowControl/>
      <w:numPr>
        <w:ilvl w:val="0"/>
        <w:numId w:val="1"/>
      </w:numPr>
      <w:spacing w:before="0" w:after="0" w:line="276" w:lineRule="auto"/>
      <w:ind w:firstLine="0"/>
      <w:contextualSpacing/>
      <w:jc w:val="left"/>
      <w:outlineLvl w:val="9"/>
    </w:pPr>
    <w:rPr>
      <w:rFonts w:ascii="等线 Light" w:hAnsi="等线 Light" w:eastAsia="等线 Light" w:cs="Times New Roman"/>
      <w:color w:val="2F5496"/>
      <w:kern w:val="0"/>
      <w:sz w:val="28"/>
      <w:szCs w:val="28"/>
    </w:rPr>
  </w:style>
  <w:style w:type="character" w:customStyle="1" w:styleId="102">
    <w:name w:val="vivbold"/>
    <w:qFormat/>
    <w:uiPriority w:val="0"/>
  </w:style>
  <w:style w:type="paragraph" w:customStyle="1" w:styleId="103">
    <w:name w:val="标准号"/>
    <w:basedOn w:val="16"/>
    <w:link w:val="104"/>
    <w:qFormat/>
    <w:uiPriority w:val="0"/>
    <w:pPr>
      <w:spacing w:after="234"/>
      <w:ind w:right="309"/>
      <w:jc w:val="right"/>
    </w:pPr>
    <w:rPr>
      <w:rFonts w:hAnsi="宋体"/>
    </w:rPr>
  </w:style>
  <w:style w:type="character" w:customStyle="1" w:styleId="104">
    <w:name w:val="标准号 Char"/>
    <w:link w:val="103"/>
    <w:qFormat/>
    <w:uiPriority w:val="0"/>
    <w:rPr>
      <w:rFonts w:ascii="黑体" w:hAnsi="宋体" w:eastAsia="黑体"/>
      <w:bCs/>
      <w:kern w:val="44"/>
      <w:sz w:val="24"/>
      <w:szCs w:val="24"/>
    </w:rPr>
  </w:style>
  <w:style w:type="paragraph" w:customStyle="1" w:styleId="105">
    <w:name w:val="表格"/>
    <w:basedOn w:val="1"/>
    <w:link w:val="106"/>
    <w:qFormat/>
    <w:uiPriority w:val="0"/>
    <w:rPr>
      <w:rFonts w:ascii="宋体"/>
      <w:bCs/>
      <w:kern w:val="44"/>
      <w:sz w:val="24"/>
    </w:rPr>
  </w:style>
  <w:style w:type="character" w:customStyle="1" w:styleId="106">
    <w:name w:val="表格 Char"/>
    <w:link w:val="105"/>
    <w:qFormat/>
    <w:uiPriority w:val="0"/>
    <w:rPr>
      <w:rFonts w:ascii="宋体"/>
      <w:bCs/>
      <w:kern w:val="44"/>
      <w:sz w:val="24"/>
      <w:szCs w:val="24"/>
    </w:rPr>
  </w:style>
  <w:style w:type="paragraph" w:customStyle="1" w:styleId="107">
    <w:name w:val="第二小节"/>
    <w:basedOn w:val="84"/>
    <w:link w:val="108"/>
    <w:qFormat/>
    <w:uiPriority w:val="0"/>
    <w:pPr>
      <w:numPr>
        <w:ilvl w:val="0"/>
        <w:numId w:val="2"/>
      </w:numPr>
      <w:ind w:firstLine="0" w:firstLineChars="0"/>
    </w:pPr>
    <w:rPr>
      <w:rFonts w:ascii="宋体"/>
      <w:kern w:val="44"/>
      <w:sz w:val="24"/>
    </w:rPr>
  </w:style>
  <w:style w:type="character" w:customStyle="1" w:styleId="108">
    <w:name w:val="第二小节 Char"/>
    <w:link w:val="107"/>
    <w:qFormat/>
    <w:uiPriority w:val="0"/>
    <w:rPr>
      <w:rFonts w:ascii="宋体"/>
      <w:kern w:val="44"/>
      <w:sz w:val="24"/>
      <w:szCs w:val="24"/>
    </w:rPr>
  </w:style>
  <w:style w:type="paragraph" w:customStyle="1" w:styleId="109">
    <w:name w:val="第三小节"/>
    <w:basedOn w:val="107"/>
    <w:link w:val="110"/>
    <w:qFormat/>
    <w:uiPriority w:val="0"/>
    <w:pPr>
      <w:numPr>
        <w:ilvl w:val="0"/>
        <w:numId w:val="3"/>
      </w:numPr>
    </w:pPr>
  </w:style>
  <w:style w:type="character" w:customStyle="1" w:styleId="110">
    <w:name w:val="第三小节 Char"/>
    <w:link w:val="109"/>
    <w:qFormat/>
    <w:uiPriority w:val="0"/>
    <w:rPr>
      <w:rFonts w:ascii="宋体"/>
      <w:kern w:val="44"/>
      <w:sz w:val="24"/>
      <w:szCs w:val="24"/>
    </w:rPr>
  </w:style>
  <w:style w:type="paragraph" w:customStyle="1" w:styleId="111">
    <w:name w:val="默认段落字体 Para Char"/>
    <w:basedOn w:val="1"/>
    <w:qFormat/>
    <w:uiPriority w:val="0"/>
    <w:pPr>
      <w:tabs>
        <w:tab w:val="left" w:pos="360"/>
      </w:tabs>
    </w:pPr>
    <w:rPr>
      <w:rFonts w:ascii="宋体"/>
      <w:kern w:val="44"/>
    </w:rPr>
  </w:style>
  <w:style w:type="character" w:customStyle="1" w:styleId="112">
    <w:name w:val="批注文字 Char"/>
    <w:semiHidden/>
    <w:qFormat/>
    <w:uiPriority w:val="99"/>
    <w:rPr>
      <w:kern w:val="2"/>
      <w:sz w:val="21"/>
      <w:szCs w:val="24"/>
    </w:rPr>
  </w:style>
  <w:style w:type="paragraph" w:customStyle="1" w:styleId="113">
    <w:name w:val="图片"/>
    <w:basedOn w:val="1"/>
    <w:link w:val="114"/>
    <w:qFormat/>
    <w:uiPriority w:val="0"/>
    <w:pPr>
      <w:ind w:firstLine="538" w:firstLineChars="200"/>
      <w:jc w:val="center"/>
    </w:pPr>
    <w:rPr>
      <w:rFonts w:ascii="宋体"/>
      <w:bCs/>
      <w:kern w:val="44"/>
      <w:sz w:val="24"/>
    </w:rPr>
  </w:style>
  <w:style w:type="character" w:customStyle="1" w:styleId="114">
    <w:name w:val="图片 Char"/>
    <w:link w:val="113"/>
    <w:qFormat/>
    <w:uiPriority w:val="0"/>
    <w:rPr>
      <w:rFonts w:ascii="宋体"/>
      <w:bCs/>
      <w:kern w:val="44"/>
      <w:sz w:val="24"/>
      <w:szCs w:val="24"/>
    </w:rPr>
  </w:style>
  <w:style w:type="paragraph" w:customStyle="1" w:styleId="115">
    <w:name w:val="图片居中"/>
    <w:basedOn w:val="1"/>
    <w:link w:val="116"/>
    <w:qFormat/>
    <w:uiPriority w:val="0"/>
    <w:pPr>
      <w:spacing w:after="50" w:afterLines="50" w:line="300" w:lineRule="auto"/>
      <w:jc w:val="center"/>
    </w:pPr>
    <w:rPr>
      <w:rFonts w:ascii="宋体"/>
      <w:kern w:val="44"/>
      <w:sz w:val="24"/>
    </w:rPr>
  </w:style>
  <w:style w:type="character" w:customStyle="1" w:styleId="116">
    <w:name w:val="图片居中 Char"/>
    <w:link w:val="115"/>
    <w:qFormat/>
    <w:uiPriority w:val="0"/>
    <w:rPr>
      <w:rFonts w:ascii="宋体"/>
      <w:kern w:val="44"/>
      <w:sz w:val="24"/>
      <w:szCs w:val="24"/>
    </w:rPr>
  </w:style>
  <w:style w:type="table" w:customStyle="1" w:styleId="117">
    <w:name w:val="网格型1"/>
    <w:basedOn w:val="47"/>
    <w:qFormat/>
    <w:uiPriority w:val="59"/>
    <w:rPr>
      <w:kern w:val="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18">
    <w:name w:val="网格型2"/>
    <w:basedOn w:val="47"/>
    <w:qFormat/>
    <w:uiPriority w:val="39"/>
    <w:rPr>
      <w:rFonts w:ascii="Calibri" w:hAnsi="Calibri"/>
      <w:kern w:val="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9">
    <w:name w:val="未处理的提及1"/>
    <w:unhideWhenUsed/>
    <w:qFormat/>
    <w:uiPriority w:val="99"/>
    <w:rPr>
      <w:color w:val="605E5C"/>
      <w:shd w:val="clear" w:color="auto" w:fill="E1DFDD"/>
    </w:rPr>
  </w:style>
  <w:style w:type="paragraph" w:customStyle="1" w:styleId="120">
    <w:name w:val="小节"/>
    <w:basedOn w:val="84"/>
    <w:link w:val="121"/>
    <w:qFormat/>
    <w:uiPriority w:val="0"/>
    <w:pPr>
      <w:numPr>
        <w:ilvl w:val="0"/>
        <w:numId w:val="4"/>
      </w:numPr>
      <w:ind w:firstLine="0" w:firstLineChars="0"/>
      <w:jc w:val="left"/>
    </w:pPr>
    <w:rPr>
      <w:rFonts w:ascii="宋体"/>
      <w:kern w:val="44"/>
      <w:sz w:val="24"/>
    </w:rPr>
  </w:style>
  <w:style w:type="character" w:customStyle="1" w:styleId="121">
    <w:name w:val="小节 字符"/>
    <w:link w:val="120"/>
    <w:qFormat/>
    <w:uiPriority w:val="0"/>
    <w:rPr>
      <w:rFonts w:ascii="宋体"/>
      <w:kern w:val="44"/>
      <w:sz w:val="24"/>
      <w:szCs w:val="24"/>
    </w:rPr>
  </w:style>
  <w:style w:type="paragraph" w:customStyle="1" w:styleId="122">
    <w:name w:val="样式1"/>
    <w:basedOn w:val="15"/>
    <w:qFormat/>
    <w:uiPriority w:val="0"/>
    <w:pPr>
      <w:adjustRightInd w:val="0"/>
      <w:spacing w:line="360" w:lineRule="exact"/>
      <w:ind w:firstLine="538" w:firstLineChars="0"/>
      <w:jc w:val="left"/>
      <w:textAlignment w:val="baseline"/>
    </w:pPr>
    <w:rPr>
      <w:rFonts w:hAnsi="宋体"/>
      <w:bCs w:val="0"/>
      <w:kern w:val="0"/>
      <w:sz w:val="21"/>
      <w:szCs w:val="21"/>
    </w:rPr>
  </w:style>
  <w:style w:type="paragraph" w:customStyle="1" w:styleId="123">
    <w:name w:val="样式2"/>
    <w:basedOn w:val="1"/>
    <w:qFormat/>
    <w:uiPriority w:val="0"/>
    <w:pPr>
      <w:numPr>
        <w:ilvl w:val="0"/>
        <w:numId w:val="5"/>
      </w:numPr>
      <w:ind w:firstLine="0"/>
      <w:jc w:val="left"/>
    </w:pPr>
    <w:rPr>
      <w:rFonts w:ascii="宋体"/>
      <w:kern w:val="44"/>
      <w:sz w:val="24"/>
    </w:rPr>
  </w:style>
  <w:style w:type="paragraph" w:customStyle="1" w:styleId="124">
    <w:name w:val="样式4"/>
    <w:basedOn w:val="1"/>
    <w:qFormat/>
    <w:uiPriority w:val="0"/>
    <w:pPr>
      <w:numPr>
        <w:ilvl w:val="0"/>
        <w:numId w:val="1"/>
      </w:numPr>
      <w:ind w:firstLine="0"/>
    </w:pPr>
    <w:rPr>
      <w:rFonts w:ascii="宋体"/>
      <w:kern w:val="44"/>
    </w:rPr>
  </w:style>
  <w:style w:type="paragraph" w:customStyle="1" w:styleId="125">
    <w:name w:val="页眉和页脚"/>
    <w:basedOn w:val="1"/>
    <w:link w:val="126"/>
    <w:qFormat/>
    <w:uiPriority w:val="0"/>
    <w:pPr>
      <w:pBdr>
        <w:bottom w:val="single" w:color="auto" w:sz="6" w:space="1"/>
      </w:pBdr>
      <w:tabs>
        <w:tab w:val="center" w:pos="4153"/>
        <w:tab w:val="right" w:pos="8306"/>
      </w:tabs>
      <w:snapToGrid w:val="0"/>
      <w:ind w:firstLine="360" w:firstLineChars="200"/>
      <w:jc w:val="center"/>
    </w:pPr>
    <w:rPr>
      <w:rFonts w:ascii="宋体"/>
      <w:bCs/>
      <w:kern w:val="44"/>
      <w:sz w:val="18"/>
      <w:szCs w:val="18"/>
    </w:rPr>
  </w:style>
  <w:style w:type="character" w:customStyle="1" w:styleId="126">
    <w:name w:val="页眉和页脚 Char"/>
    <w:link w:val="125"/>
    <w:qFormat/>
    <w:uiPriority w:val="0"/>
    <w:rPr>
      <w:rFonts w:ascii="宋体"/>
      <w:bCs/>
      <w:kern w:val="44"/>
      <w:sz w:val="18"/>
      <w:szCs w:val="18"/>
    </w:rPr>
  </w:style>
  <w:style w:type="paragraph" w:customStyle="1" w:styleId="127">
    <w:name w:val="注释"/>
    <w:basedOn w:val="1"/>
    <w:link w:val="128"/>
    <w:qFormat/>
    <w:uiPriority w:val="0"/>
    <w:pPr>
      <w:ind w:firstLine="538" w:firstLineChars="200"/>
    </w:pPr>
    <w:rPr>
      <w:rFonts w:ascii="宋体"/>
      <w:bCs/>
      <w:i/>
      <w:color w:val="7030A0"/>
      <w:kern w:val="44"/>
      <w:sz w:val="24"/>
    </w:rPr>
  </w:style>
  <w:style w:type="character" w:customStyle="1" w:styleId="128">
    <w:name w:val="注释 Char"/>
    <w:link w:val="127"/>
    <w:qFormat/>
    <w:uiPriority w:val="0"/>
    <w:rPr>
      <w:rFonts w:ascii="宋体"/>
      <w:bCs/>
      <w:i/>
      <w:color w:val="7030A0"/>
      <w:kern w:val="44"/>
      <w:sz w:val="24"/>
      <w:szCs w:val="24"/>
    </w:rPr>
  </w:style>
  <w:style w:type="paragraph" w:customStyle="1" w:styleId="129">
    <w:name w:val="表格样式"/>
    <w:basedOn w:val="1"/>
    <w:next w:val="1"/>
    <w:link w:val="130"/>
    <w:qFormat/>
    <w:uiPriority w:val="0"/>
    <w:pPr>
      <w:spacing w:before="0" w:after="100" w:afterAutospacing="1" w:line="240" w:lineRule="auto"/>
      <w:ind w:left="240" w:right="240" w:firstLine="360"/>
      <w:contextualSpacing/>
      <w:jc w:val="center"/>
    </w:pPr>
    <w:rPr>
      <w:rFonts w:ascii="宋体" w:cs="Arial"/>
      <w:bCs/>
      <w:kern w:val="44"/>
      <w:sz w:val="22"/>
      <w:szCs w:val="18"/>
    </w:rPr>
  </w:style>
  <w:style w:type="character" w:customStyle="1" w:styleId="130">
    <w:name w:val="表格样式 Char"/>
    <w:link w:val="129"/>
    <w:qFormat/>
    <w:uiPriority w:val="0"/>
    <w:rPr>
      <w:rFonts w:ascii="宋体" w:cs="Arial"/>
      <w:bCs/>
      <w:kern w:val="44"/>
      <w:sz w:val="22"/>
      <w:szCs w:val="18"/>
    </w:rPr>
  </w:style>
  <w:style w:type="paragraph" w:customStyle="1" w:styleId="131">
    <w:name w:val="Table Paragraph"/>
    <w:basedOn w:val="1"/>
    <w:qFormat/>
    <w:uiPriority w:val="1"/>
    <w:pPr>
      <w:autoSpaceDE w:val="0"/>
      <w:autoSpaceDN w:val="0"/>
      <w:adjustRightInd w:val="0"/>
      <w:spacing w:before="97"/>
      <w:ind w:left="530" w:right="278"/>
      <w:jc w:val="center"/>
    </w:pPr>
    <w:rPr>
      <w:rFonts w:ascii="宋体" w:cs="宋体"/>
      <w:kern w:val="0"/>
      <w:sz w:val="24"/>
    </w:rPr>
  </w:style>
  <w:style w:type="paragraph" w:customStyle="1" w:styleId="132">
    <w:name w:val="Decimal Aligned"/>
    <w:basedOn w:val="1"/>
    <w:qFormat/>
    <w:uiPriority w:val="40"/>
    <w:pPr>
      <w:widowControl/>
      <w:tabs>
        <w:tab w:val="decimal" w:pos="360"/>
      </w:tabs>
      <w:spacing w:after="200" w:line="276" w:lineRule="auto"/>
      <w:jc w:val="left"/>
    </w:pPr>
    <w:rPr>
      <w:rFonts w:ascii="等线" w:hAnsi="等线" w:eastAsia="等线"/>
      <w:kern w:val="0"/>
      <w:sz w:val="22"/>
      <w:szCs w:val="22"/>
    </w:rPr>
  </w:style>
  <w:style w:type="paragraph" w:customStyle="1" w:styleId="133">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134">
    <w:name w:val="font5"/>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135">
    <w:name w:val="xl65"/>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136">
    <w:name w:val="xl66"/>
    <w:basedOn w:val="1"/>
    <w:qFormat/>
    <w:uiPriority w:val="0"/>
    <w:pPr>
      <w:widowControl/>
      <w:pBdr>
        <w:bottom w:val="single" w:color="000000" w:sz="4" w:space="0"/>
        <w:right w:val="single" w:color="000000" w:sz="4" w:space="0"/>
      </w:pBdr>
      <w:spacing w:before="100" w:beforeAutospacing="1" w:after="100" w:afterAutospacing="1"/>
      <w:jc w:val="left"/>
    </w:pPr>
    <w:rPr>
      <w:rFonts w:ascii="微软雅黑" w:hAnsi="微软雅黑" w:eastAsia="微软雅黑" w:cs="宋体"/>
      <w:color w:val="000000"/>
      <w:kern w:val="0"/>
      <w:sz w:val="24"/>
    </w:rPr>
  </w:style>
  <w:style w:type="paragraph" w:customStyle="1" w:styleId="137">
    <w:name w:val="xl67"/>
    <w:basedOn w:val="1"/>
    <w:qFormat/>
    <w:uiPriority w:val="0"/>
    <w:pPr>
      <w:widowControl/>
      <w:pBdr>
        <w:right w:val="single" w:color="000000" w:sz="4" w:space="0"/>
      </w:pBdr>
      <w:spacing w:before="100" w:beforeAutospacing="1" w:after="100" w:afterAutospacing="1"/>
      <w:jc w:val="left"/>
    </w:pPr>
    <w:rPr>
      <w:rFonts w:ascii="微软雅黑" w:hAnsi="微软雅黑" w:eastAsia="微软雅黑" w:cs="宋体"/>
      <w:color w:val="000000"/>
      <w:kern w:val="0"/>
      <w:sz w:val="24"/>
    </w:rPr>
  </w:style>
  <w:style w:type="paragraph" w:customStyle="1" w:styleId="138">
    <w:name w:val="xl68"/>
    <w:basedOn w:val="1"/>
    <w:qFormat/>
    <w:uiPriority w:val="0"/>
    <w:pPr>
      <w:widowControl/>
      <w:pBdr>
        <w:bottom w:val="single" w:color="000000" w:sz="4" w:space="0"/>
      </w:pBdr>
      <w:spacing w:before="100" w:beforeAutospacing="1" w:after="100" w:afterAutospacing="1"/>
      <w:jc w:val="left"/>
    </w:pPr>
    <w:rPr>
      <w:rFonts w:ascii="微软雅黑" w:hAnsi="微软雅黑" w:eastAsia="微软雅黑" w:cs="宋体"/>
      <w:color w:val="000000"/>
      <w:kern w:val="0"/>
      <w:sz w:val="24"/>
    </w:rPr>
  </w:style>
  <w:style w:type="paragraph" w:customStyle="1" w:styleId="139">
    <w:name w:val="xl69"/>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left"/>
    </w:pPr>
    <w:rPr>
      <w:rFonts w:ascii="微软雅黑" w:hAnsi="微软雅黑" w:eastAsia="微软雅黑" w:cs="宋体"/>
      <w:color w:val="000000"/>
      <w:kern w:val="0"/>
      <w:sz w:val="24"/>
    </w:rPr>
  </w:style>
  <w:style w:type="paragraph" w:customStyle="1" w:styleId="140">
    <w:name w:val="xl70"/>
    <w:basedOn w:val="1"/>
    <w:qFormat/>
    <w:uiPriority w:val="0"/>
    <w:pPr>
      <w:widowControl/>
      <w:pBdr>
        <w:left w:val="single" w:color="000000" w:sz="4" w:space="0"/>
        <w:bottom w:val="single" w:color="000000" w:sz="4" w:space="0"/>
      </w:pBdr>
      <w:spacing w:before="100" w:beforeAutospacing="1" w:after="100" w:afterAutospacing="1"/>
      <w:jc w:val="left"/>
    </w:pPr>
    <w:rPr>
      <w:rFonts w:ascii="微软雅黑" w:hAnsi="微软雅黑" w:eastAsia="微软雅黑" w:cs="宋体"/>
      <w:b/>
      <w:bCs/>
      <w:color w:val="000000"/>
      <w:kern w:val="0"/>
      <w:sz w:val="24"/>
    </w:rPr>
  </w:style>
  <w:style w:type="paragraph" w:customStyle="1" w:styleId="141">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color w:val="000000"/>
      <w:kern w:val="0"/>
      <w:sz w:val="24"/>
    </w:rPr>
  </w:style>
  <w:style w:type="paragraph" w:customStyle="1" w:styleId="142">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kern w:val="0"/>
      <w:sz w:val="24"/>
    </w:rPr>
  </w:style>
  <w:style w:type="paragraph" w:customStyle="1" w:styleId="143">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微软雅黑" w:hAnsi="微软雅黑" w:eastAsia="微软雅黑" w:cs="宋体"/>
      <w:b/>
      <w:bCs/>
      <w:color w:val="000000"/>
      <w:kern w:val="0"/>
      <w:sz w:val="24"/>
    </w:rPr>
  </w:style>
  <w:style w:type="character" w:customStyle="1" w:styleId="144">
    <w:name w:val="_Style 141"/>
    <w:qFormat/>
    <w:uiPriority w:val="19"/>
    <w:rPr>
      <w:i/>
      <w:iCs/>
    </w:rPr>
  </w:style>
  <w:style w:type="table" w:customStyle="1" w:styleId="145">
    <w:name w:val="网格型4"/>
    <w:basedOn w:val="47"/>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
    <w:name w:val="网格型6"/>
    <w:basedOn w:val="47"/>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
    <w:name w:val="网格型9"/>
    <w:basedOn w:val="47"/>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
    <w:name w:val="网格型10"/>
    <w:basedOn w:val="47"/>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
    <w:name w:val="网格型12"/>
    <w:basedOn w:val="47"/>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
    <w:name w:val="网格型13"/>
    <w:basedOn w:val="47"/>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
    <w:name w:val="网格型3"/>
    <w:basedOn w:val="47"/>
    <w:qFormat/>
    <w:uiPriority w:val="59"/>
    <w:pPr>
      <w:widowControl w:val="0"/>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
    <w:name w:val="网格型5"/>
    <w:basedOn w:val="47"/>
    <w:qFormat/>
    <w:uiPriority w:val="59"/>
    <w:pPr>
      <w:widowControl w:val="0"/>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3">
    <w:name w:val="列出段落3"/>
    <w:basedOn w:val="1"/>
    <w:qFormat/>
    <w:uiPriority w:val="99"/>
    <w:pPr>
      <w:spacing w:before="0" w:after="0" w:line="240" w:lineRule="auto"/>
      <w:ind w:left="0" w:leftChars="0" w:rightChars="0" w:firstLine="420" w:firstLineChars="200"/>
    </w:pPr>
    <w:rPr>
      <w:spacing w:val="-2"/>
      <w:sz w:val="21"/>
      <w:szCs w:val="20"/>
    </w:rPr>
  </w:style>
  <w:style w:type="paragraph" w:customStyle="1" w:styleId="154">
    <w:name w:val="样式 标题4c + 左侧:  2 字符 悬挂缩进: 4.24 字符"/>
    <w:basedOn w:val="1"/>
    <w:qFormat/>
    <w:uiPriority w:val="0"/>
    <w:pPr>
      <w:autoSpaceDE w:val="0"/>
      <w:autoSpaceDN w:val="0"/>
      <w:adjustRightInd w:val="0"/>
      <w:spacing w:before="0" w:after="0" w:line="400" w:lineRule="exact"/>
      <w:ind w:left="1698" w:leftChars="200" w:right="6" w:rightChars="0" w:hanging="1018" w:hangingChars="424"/>
      <w:jc w:val="left"/>
      <w:textAlignment w:val="bottom"/>
    </w:pPr>
    <w:rPr>
      <w:rFonts w:ascii="楷体_GB2312" w:eastAsia="楷体_GB2312" w:cs="楷体_GB2312"/>
      <w:kern w:val="0"/>
      <w:szCs w:val="20"/>
    </w:rPr>
  </w:style>
  <w:style w:type="paragraph" w:customStyle="1" w:styleId="155">
    <w:name w:val="标题3c"/>
    <w:basedOn w:val="1"/>
    <w:qFormat/>
    <w:uiPriority w:val="0"/>
    <w:pPr>
      <w:adjustRightInd w:val="0"/>
      <w:spacing w:before="0" w:after="0" w:line="400" w:lineRule="exact"/>
      <w:ind w:left="1020" w:leftChars="0" w:right="0" w:rightChars="0"/>
      <w:jc w:val="left"/>
      <w:textAlignment w:val="baseline"/>
      <w:outlineLvl w:val="3"/>
    </w:pPr>
    <w:rPr>
      <w:rFonts w:ascii="楷体_GB2312" w:eastAsia="楷体_GB2312"/>
      <w:kern w:val="0"/>
    </w:rPr>
  </w:style>
  <w:style w:type="paragraph" w:customStyle="1" w:styleId="156">
    <w:name w:val="列出段落"/>
    <w:basedOn w:val="1"/>
    <w:qFormat/>
    <w:uiPriority w:val="34"/>
    <w:pPr>
      <w:widowControl w:val="0"/>
      <w:ind w:firstLine="420" w:firstLineChars="200"/>
      <w:jc w:val="both"/>
    </w:pPr>
    <w:rPr>
      <w:rFonts w:eastAsia="宋体" w:cs="Times New Roman"/>
      <w:kern w:val="2"/>
      <w:sz w:val="21"/>
      <w:szCs w:val="22"/>
    </w:rPr>
  </w:style>
  <w:style w:type="paragraph" w:customStyle="1" w:styleId="157">
    <w:name w:val="WPSOffice手动目录 1"/>
    <w:qFormat/>
    <w:uiPriority w:val="0"/>
    <w:pPr>
      <w:ind w:leftChars="0"/>
    </w:pPr>
    <w:rPr>
      <w:rFonts w:ascii="Times New Roman" w:hAnsi="Times New Roman" w:eastAsia="宋体" w:cs="Times New Roman"/>
      <w:sz w:val="20"/>
      <w:szCs w:val="20"/>
    </w:rPr>
  </w:style>
  <w:style w:type="paragraph" w:customStyle="1" w:styleId="158">
    <w:name w:val="WPSOffice手动目录 2"/>
    <w:qFormat/>
    <w:uiPriority w:val="0"/>
    <w:pPr>
      <w:ind w:leftChars="200"/>
    </w:pPr>
    <w:rPr>
      <w:rFonts w:ascii="Times New Roman" w:hAnsi="Times New Roman" w:eastAsia="宋体" w:cs="Times New Roman"/>
      <w:sz w:val="20"/>
      <w:szCs w:val="20"/>
    </w:rPr>
  </w:style>
  <w:style w:type="character" w:customStyle="1" w:styleId="159">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19</Pages>
  <Words>14867</Words>
  <Characters>15863</Characters>
  <Lines>293</Lines>
  <Paragraphs>82</Paragraphs>
  <TotalTime>3</TotalTime>
  <ScaleCrop>false</ScaleCrop>
  <LinksUpToDate>false</LinksUpToDate>
  <CharactersWithSpaces>15920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2024-12-07T03:07:00Z</dcterms:created>
  <dc:creator>User</dc:creator>
  <cp:lastModifiedBy>冼生</cp:lastModifiedBy>
  <cp:lastPrinted>2017-02-25T01:45:00Z</cp:lastPrinted>
  <dcterms:modified xsi:type="dcterms:W3CDTF">2025-08-26T14:00:41Z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F56372F43D9B4C2EB91EAB8C8A8A6AF9_13</vt:lpwstr>
  </property>
  <property fmtid="{D5CDD505-2E9C-101B-9397-08002B2CF9AE}" pid="4" name="KSOTemplateDocerSaveRecord">
    <vt:lpwstr>eyJoZGlkIjoiMzIyYTQyMjI4NGZiYmE2MmQ5ZjEwMmI3ZDdjZmQ0OTEiLCJ1c2VySWQiOiI2MzQyNjU0MzMifQ==</vt:lpwstr>
  </property>
</Properties>
</file>