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spacing w:before="0" w:after="0" w:line="240" w:lineRule="auto"/>
        <w:rPr>
          <w:rFonts w:hint="default" w:ascii="宋体" w:hAnsi="宋体" w:eastAsia="宋体" w:cs="宋体"/>
          <w:color w:val="auto"/>
          <w:sz w:val="21"/>
          <w:szCs w:val="21"/>
          <w:highlight w:val="none"/>
          <w:lang w:val="en-US" w:eastAsia="zh-CN"/>
        </w:rPr>
      </w:pPr>
    </w:p>
    <w:p>
      <w:pPr>
        <w:autoSpaceDE/>
        <w:autoSpaceDN/>
        <w:adjustRightInd/>
        <w:snapToGrid/>
        <w:spacing w:line="240" w:lineRule="auto"/>
        <w:ind w:right="32"/>
        <w:jc w:val="center"/>
        <w:rPr>
          <w:rFonts w:hint="eastAsia" w:ascii="宋体" w:hAnsi="宋体" w:eastAsia="宋体" w:cs="宋体"/>
          <w:color w:val="auto"/>
          <w:sz w:val="21"/>
          <w:szCs w:val="21"/>
          <w:highlight w:val="none"/>
        </w:rPr>
      </w:pPr>
    </w:p>
    <w:p>
      <w:pPr>
        <w:autoSpaceDE/>
        <w:autoSpaceDN/>
        <w:adjustRightInd/>
        <w:snapToGrid/>
        <w:spacing w:line="240" w:lineRule="auto"/>
        <w:ind w:right="32"/>
        <w:jc w:val="center"/>
        <w:rPr>
          <w:rFonts w:hint="eastAsia" w:ascii="宋体" w:hAnsi="宋体" w:eastAsia="宋体" w:cs="宋体"/>
          <w:color w:val="auto"/>
          <w:sz w:val="21"/>
          <w:szCs w:val="21"/>
          <w:highlight w:val="none"/>
        </w:rPr>
      </w:pPr>
    </w:p>
    <w:p>
      <w:pPr>
        <w:ind w:firstLine="0" w:firstLineChars="0"/>
        <w:rPr>
          <w:rFonts w:hint="eastAsia" w:hAnsi="宋体"/>
          <w:bCs/>
          <w:color w:val="auto"/>
          <w:sz w:val="24"/>
          <w:highlight w:val="none"/>
        </w:rPr>
      </w:pPr>
    </w:p>
    <w:p>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设备维修维护/技改项目合同</w:t>
      </w:r>
    </w:p>
    <w:p>
      <w:pPr>
        <w:pStyle w:val="4"/>
        <w:keepNext w:val="0"/>
        <w:keepLines w:val="0"/>
        <w:rPr>
          <w:rFonts w:hint="default" w:eastAsia="宋体"/>
          <w:highlight w:val="none"/>
          <w:lang w:val="en-US" w:eastAsia="zh-CN"/>
        </w:rPr>
      </w:pPr>
      <w:r>
        <w:rPr>
          <w:rFonts w:hint="eastAsia" w:ascii="宋体" w:hAnsi="宋体" w:eastAsia="宋体" w:cs="宋体"/>
          <w:b/>
          <w:bCs/>
          <w:color w:val="auto"/>
          <w:sz w:val="48"/>
          <w:szCs w:val="48"/>
          <w:highlight w:val="none"/>
          <w:lang w:val="en-US" w:eastAsia="zh-CN"/>
        </w:rPr>
        <w:t xml:space="preserve">           </w:t>
      </w:r>
      <w:r>
        <w:rPr>
          <w:rFonts w:hint="eastAsia" w:ascii="宋体" w:hAnsi="宋体" w:cs="宋体"/>
          <w:b/>
          <w:bCs/>
          <w:color w:val="auto"/>
          <w:sz w:val="48"/>
          <w:szCs w:val="48"/>
          <w:highlight w:val="none"/>
          <w:lang w:val="en-US" w:eastAsia="zh-CN"/>
        </w:rPr>
        <w:t xml:space="preserve"> </w:t>
      </w:r>
    </w:p>
    <w:p>
      <w:pPr>
        <w:pStyle w:val="14"/>
        <w:snapToGrid/>
        <w:spacing w:line="400" w:lineRule="exact"/>
        <w:ind w:right="84" w:rightChars="40" w:firstLine="0" w:firstLineChars="0"/>
        <w:rPr>
          <w:rFonts w:hint="eastAsia" w:hAnsi="宋体" w:eastAsia="宋体"/>
          <w:b/>
          <w:color w:val="auto"/>
          <w:sz w:val="24"/>
          <w:highlight w:val="none"/>
        </w:rPr>
      </w:pPr>
    </w:p>
    <w:p>
      <w:pPr>
        <w:pStyle w:val="14"/>
        <w:snapToGrid/>
        <w:spacing w:line="400" w:lineRule="exact"/>
        <w:ind w:right="84" w:rightChars="40" w:firstLine="192" w:firstLineChars="80"/>
        <w:rPr>
          <w:rFonts w:hint="eastAsia" w:hAnsi="宋体" w:eastAsia="宋体"/>
          <w:bCs/>
          <w:color w:val="auto"/>
          <w:sz w:val="24"/>
          <w:highlight w:val="none"/>
        </w:rPr>
      </w:pPr>
    </w:p>
    <w:p>
      <w:pPr>
        <w:pStyle w:val="14"/>
        <w:snapToGrid/>
        <w:spacing w:line="400" w:lineRule="exact"/>
        <w:ind w:left="3077" w:leftChars="751" w:right="84" w:rightChars="40" w:hanging="1500" w:hangingChars="500"/>
        <w:rPr>
          <w:rFonts w:hint="eastAsia" w:ascii="仿宋_GB2312" w:hAnsi="仿宋_GB2312" w:eastAsia="仿宋_GB2312" w:cs="仿宋_GB2312"/>
          <w:b w:val="0"/>
          <w:bCs/>
          <w:color w:val="auto"/>
          <w:sz w:val="30"/>
          <w:szCs w:val="30"/>
          <w:highlight w:val="none"/>
          <w:lang w:eastAsia="zh-CN"/>
        </w:rPr>
      </w:pPr>
      <w:r>
        <w:rPr>
          <w:rFonts w:hint="eastAsia" w:ascii="仿宋_GB2312" w:hAnsi="仿宋_GB2312" w:eastAsia="仿宋_GB2312" w:cs="仿宋_GB2312"/>
          <w:b w:val="0"/>
          <w:bCs/>
          <w:color w:val="auto"/>
          <w:sz w:val="30"/>
          <w:szCs w:val="30"/>
          <w:highlight w:val="none"/>
        </w:rPr>
        <w:t>项目名称：</w:t>
      </w:r>
      <w:r>
        <w:rPr>
          <w:rFonts w:hint="eastAsia" w:ascii="仿宋_GB2312" w:hAnsi="仿宋_GB2312" w:eastAsia="仿宋_GB2312" w:cs="仿宋_GB2312"/>
          <w:b w:val="0"/>
          <w:bCs/>
          <w:color w:val="auto"/>
          <w:sz w:val="30"/>
          <w:szCs w:val="30"/>
          <w:highlight w:val="none"/>
          <w:lang w:eastAsia="zh-CN"/>
        </w:rPr>
        <w:t>广州净水公司2025年电气及自控系统等设备改造项目（</w:t>
      </w:r>
      <w:r>
        <w:rPr>
          <w:rFonts w:hint="eastAsia" w:ascii="仿宋_GB2312" w:hAnsi="仿宋_GB2312" w:eastAsia="仿宋_GB2312" w:cs="仿宋_GB2312"/>
          <w:b w:val="0"/>
          <w:bCs/>
          <w:color w:val="auto"/>
          <w:sz w:val="30"/>
          <w:szCs w:val="30"/>
          <w:highlight w:val="none"/>
          <w:u w:val="single"/>
          <w:lang w:val="en-US" w:eastAsia="zh-CN"/>
        </w:rPr>
        <w:t xml:space="preserve">    </w:t>
      </w:r>
      <w:r>
        <w:rPr>
          <w:rFonts w:hint="eastAsia" w:ascii="仿宋_GB2312" w:hAnsi="仿宋_GB2312" w:eastAsia="仿宋_GB2312" w:cs="仿宋_GB2312"/>
          <w:b w:val="0"/>
          <w:bCs/>
          <w:color w:val="auto"/>
          <w:sz w:val="30"/>
          <w:szCs w:val="30"/>
          <w:highlight w:val="none"/>
          <w:lang w:eastAsia="zh-CN"/>
        </w:rPr>
        <w:t>设备）</w:t>
      </w:r>
    </w:p>
    <w:p>
      <w:pPr>
        <w:pStyle w:val="14"/>
        <w:snapToGrid/>
        <w:ind w:right="84" w:rightChars="40"/>
        <w:rPr>
          <w:rFonts w:hint="eastAsia" w:ascii="仿宋_GB2312" w:hAnsi="仿宋_GB2312" w:eastAsia="仿宋_GB2312" w:cs="仿宋_GB2312"/>
          <w:b w:val="0"/>
          <w:bCs/>
          <w:color w:val="auto"/>
          <w:sz w:val="30"/>
          <w:szCs w:val="30"/>
          <w:highlight w:val="none"/>
        </w:rPr>
      </w:pPr>
    </w:p>
    <w:p>
      <w:pPr>
        <w:pStyle w:val="14"/>
        <w:snapToGrid/>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合同编号：穗净水合[    ]    号</w:t>
      </w:r>
    </w:p>
    <w:p>
      <w:pPr>
        <w:pStyle w:val="14"/>
        <w:snapToGrid/>
        <w:spacing w:line="400" w:lineRule="exact"/>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项目编号：</w:t>
      </w:r>
    </w:p>
    <w:p>
      <w:pPr>
        <w:pStyle w:val="14"/>
        <w:snapToGrid/>
        <w:ind w:right="84" w:rightChars="40" w:firstLine="1569"/>
        <w:rPr>
          <w:rFonts w:hint="eastAsia" w:ascii="仿宋_GB2312" w:hAnsi="仿宋_GB2312" w:eastAsia="仿宋_GB2312" w:cs="仿宋_GB2312"/>
          <w:b w:val="0"/>
          <w:bCs/>
          <w:color w:val="auto"/>
          <w:sz w:val="30"/>
          <w:szCs w:val="30"/>
          <w:highlight w:val="none"/>
        </w:rPr>
      </w:pPr>
    </w:p>
    <w:p>
      <w:pPr>
        <w:pStyle w:val="14"/>
        <w:snapToGrid/>
        <w:ind w:right="84" w:rightChars="40" w:firstLine="0"/>
        <w:rPr>
          <w:rFonts w:hint="eastAsia" w:ascii="仿宋_GB2312" w:hAnsi="仿宋_GB2312" w:eastAsia="仿宋_GB2312" w:cs="仿宋_GB2312"/>
          <w:b w:val="0"/>
          <w:bCs/>
          <w:color w:val="auto"/>
          <w:sz w:val="30"/>
          <w:szCs w:val="30"/>
          <w:highlight w:val="none"/>
        </w:rPr>
      </w:pPr>
    </w:p>
    <w:p>
      <w:pPr>
        <w:pStyle w:val="14"/>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甲方：广州市净水有限公司</w:t>
      </w:r>
    </w:p>
    <w:p>
      <w:pPr>
        <w:pStyle w:val="14"/>
        <w:snapToGrid/>
        <w:ind w:right="84" w:rightChars="40" w:firstLine="0"/>
        <w:rPr>
          <w:rFonts w:hint="eastAsia" w:ascii="仿宋_GB2312" w:hAnsi="仿宋_GB2312" w:eastAsia="仿宋_GB2312" w:cs="仿宋_GB2312"/>
          <w:b w:val="0"/>
          <w:bCs/>
          <w:color w:val="auto"/>
          <w:sz w:val="30"/>
          <w:szCs w:val="30"/>
          <w:highlight w:val="none"/>
        </w:rPr>
      </w:pPr>
    </w:p>
    <w:p>
      <w:pPr>
        <w:pStyle w:val="14"/>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乙方：</w:t>
      </w:r>
    </w:p>
    <w:p>
      <w:pPr>
        <w:pStyle w:val="14"/>
        <w:snapToGrid/>
        <w:ind w:right="84" w:rightChars="40" w:firstLine="1563" w:firstLineChars="521"/>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 xml:space="preserve"> </w:t>
      </w:r>
    </w:p>
    <w:p>
      <w:pPr>
        <w:pStyle w:val="14"/>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pPr>
        <w:ind w:firstLine="1500" w:firstLineChars="500"/>
        <w:rPr>
          <w:rFonts w:hint="eastAsia" w:ascii="宋体" w:hAnsi="宋体" w:eastAsia="宋体" w:cs="宋体"/>
          <w:b/>
          <w:color w:val="auto"/>
          <w:sz w:val="30"/>
          <w:szCs w:val="30"/>
          <w:highlight w:val="none"/>
          <w:lang w:val="zh-CN"/>
        </w:rPr>
      </w:pPr>
      <w:r>
        <w:rPr>
          <w:rFonts w:hint="eastAsia" w:ascii="仿宋_GB2312" w:hAnsi="仿宋_GB2312" w:eastAsia="仿宋_GB2312" w:cs="仿宋_GB2312"/>
          <w:b w:val="0"/>
          <w:bCs/>
          <w:color w:val="auto"/>
          <w:sz w:val="30"/>
          <w:szCs w:val="30"/>
          <w:highlight w:val="none"/>
        </w:rPr>
        <w:t>签订地点：广州市</w:t>
      </w:r>
    </w:p>
    <w:p>
      <w:pPr>
        <w:rPr>
          <w:rFonts w:hint="eastAsia" w:ascii="宋体" w:hAnsi="宋体" w:eastAsia="宋体"/>
          <w:b/>
          <w:color w:val="auto"/>
          <w:sz w:val="44"/>
          <w:szCs w:val="44"/>
          <w:highlight w:val="none"/>
        </w:rPr>
        <w:sectPr>
          <w:headerReference r:id="rId3" w:type="default"/>
          <w:footerReference r:id="rId4" w:type="default"/>
          <w:footerReference r:id="rId5" w:type="even"/>
          <w:pgSz w:w="11906" w:h="16838"/>
          <w:pgMar w:top="1644" w:right="1701" w:bottom="1644" w:left="1701" w:header="851" w:footer="992" w:gutter="0"/>
          <w:pgNumType w:fmt="numberInDash"/>
          <w:cols w:space="708" w:num="1"/>
          <w:docGrid w:type="lines" w:linePitch="312" w:charSpace="0"/>
        </w:sectPr>
      </w:pPr>
    </w:p>
    <w:p>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根据《中华人民共和国</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民法典</w:t>
      </w:r>
      <w:r>
        <w:rPr>
          <w:rFonts w:hint="eastAsia" w:ascii="仿宋_GB2312" w:hAnsi="仿宋_GB2312" w:eastAsia="仿宋_GB2312" w:cs="仿宋_GB2312"/>
          <w:color w:val="000000" w:themeColor="text1"/>
          <w:sz w:val="28"/>
          <w:szCs w:val="28"/>
          <w:highlight w:val="none"/>
          <w14:textFill>
            <w14:solidFill>
              <w14:schemeClr w14:val="tx1"/>
            </w14:solidFill>
          </w14:textFill>
        </w:rPr>
        <w:t>》及其他有关法律、行政法规，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（以下简称“甲方”）与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（以下简称“乙方”）就</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项目承接工作事宜，遵循平等、自愿、公平和诚实信用的原则，双方协商一致，订立本合同。</w:t>
      </w:r>
    </w:p>
    <w:p>
      <w:pPr>
        <w:spacing w:beforeLines="0" w:afterLines="0" w:line="560" w:lineRule="exact"/>
        <w:ind w:left="0" w:leftChars="0"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组成合同的文件及优先顺序</w:t>
      </w:r>
    </w:p>
    <w:p>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下列文件（如有）均为本合同的组成部分，可视为能相互说明和补充的，如果合同文件存在歧义或相矛盾的地方，则根据以下次序判断：</w:t>
      </w:r>
    </w:p>
    <w:p>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在本合同实施过程双方签署的补充与修正文件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本合同书；</w:t>
      </w:r>
    </w:p>
    <w:p>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中标通知书/发包通知书/</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成交通知书/</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委托函；</w:t>
      </w:r>
    </w:p>
    <w:p>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招标文件/询价文件；</w:t>
      </w:r>
    </w:p>
    <w:p>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投标文件/响应文件；</w:t>
      </w:r>
    </w:p>
    <w:p>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标准、规范及有关技术性文件；</w:t>
      </w:r>
    </w:p>
    <w:p>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图纸；</w:t>
      </w:r>
    </w:p>
    <w:p>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本合同其他附件；</w:t>
      </w:r>
    </w:p>
    <w:p>
      <w:pPr>
        <w:spacing w:beforeLines="0" w:afterLines="0" w:line="56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第二条 项目概况、项目承包范围</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2.1项目名称：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广州净水公司2025年电气及自控系统等设备改造项目（</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设备）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项目包含的子项目如下：</w:t>
      </w:r>
    </w:p>
    <w:tbl>
      <w:tblPr>
        <w:tblStyle w:val="25"/>
        <w:tblW w:w="7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791"/>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18" w:type="dxa"/>
            <w:noWrap w:val="0"/>
            <w:vAlign w:val="center"/>
          </w:tcPr>
          <w:p>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cs="宋体"/>
                <w:color w:val="auto"/>
                <w:kern w:val="0"/>
                <w:sz w:val="24"/>
                <w:szCs w:val="24"/>
                <w:highlight w:val="none"/>
                <w:u w:val="none"/>
                <w:lang w:val="en-US" w:eastAsia="zh-CN" w:bidi="ar"/>
              </w:rPr>
              <w:t>序号</w:t>
            </w:r>
          </w:p>
        </w:tc>
        <w:tc>
          <w:tcPr>
            <w:tcW w:w="1791" w:type="dxa"/>
            <w:noWrap w:val="0"/>
            <w:vAlign w:val="center"/>
          </w:tcPr>
          <w:p>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u w:val="none"/>
                <w:lang w:bidi="ar"/>
              </w:rPr>
              <w:t>分公司</w:t>
            </w:r>
          </w:p>
        </w:tc>
        <w:tc>
          <w:tcPr>
            <w:tcW w:w="4510" w:type="dxa"/>
            <w:noWrap w:val="0"/>
            <w:vAlign w:val="center"/>
          </w:tcPr>
          <w:p>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cs="宋体"/>
                <w:color w:val="auto"/>
                <w:kern w:val="0"/>
                <w:sz w:val="24"/>
                <w:szCs w:val="24"/>
                <w:highlight w:val="none"/>
                <w:u w:val="none"/>
                <w:lang w:val="en-US" w:eastAsia="zh-CN" w:bidi="ar"/>
              </w:rPr>
              <w:t>子</w:t>
            </w:r>
            <w:r>
              <w:rPr>
                <w:rFonts w:hint="eastAsia" w:ascii="宋体" w:hAnsi="宋体" w:eastAsia="宋体" w:cs="宋体"/>
                <w:color w:val="auto"/>
                <w:kern w:val="0"/>
                <w:sz w:val="24"/>
                <w:szCs w:val="24"/>
                <w:highlight w:val="none"/>
                <w:u w:val="none"/>
                <w:lang w:bidi="ar"/>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18"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79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51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18"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79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51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18"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79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51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18"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79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51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18"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9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51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spacing w:beforeLines="0" w:afterLines="0"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2.2项目地点：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广州市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pPr>
        <w:spacing w:beforeLines="0" w:afterLines="0" w:line="560" w:lineRule="exact"/>
        <w:ind w:firstLine="560" w:firstLineChars="200"/>
        <w:rPr>
          <w:rFonts w:hint="eastAsia" w:ascii="仿宋_GB2312" w:hAnsi="仿宋_GB2312" w:eastAsia="仿宋_GB2312" w:cs="仿宋_GB2312"/>
          <w:color w:val="000000" w:themeColor="text1"/>
          <w:spacing w:val="8"/>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2.3项目内容：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以上述包含的子项目为准</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beforeLines="0" w:afterLines="0" w:line="56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第三条 项目承包方式</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包工、包料、包工期、包质量、包安全、包文明施工。综合单价包干、项目措施费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按实结算</w:t>
      </w:r>
      <w:r>
        <w:rPr>
          <w:rFonts w:hint="eastAsia" w:ascii="仿宋_GB2312" w:hAnsi="仿宋_GB2312" w:eastAsia="仿宋_GB2312" w:cs="仿宋_GB2312"/>
          <w:color w:val="000000" w:themeColor="text1"/>
          <w:sz w:val="28"/>
          <w:szCs w:val="28"/>
          <w:highlight w:val="none"/>
          <w14:textFill>
            <w14:solidFill>
              <w14:schemeClr w14:val="tx1"/>
            </w14:solidFill>
          </w14:textFill>
        </w:rPr>
        <w:t>。（单价包干要求附</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□包工、包料、包质量、包工期、包安全、包文明施工、包设计、包调试、包验收的施工图纸，以总价包干形式。</w:t>
      </w:r>
    </w:p>
    <w:p>
      <w:pPr>
        <w:spacing w:beforeLines="0" w:afterLines="0" w:line="56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第四条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合同价款</w:t>
      </w:r>
    </w:p>
    <w:p>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bdr w:val="single" w:color="auto" w:sz="4" w:space="0"/>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4.1合同价款按以下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  </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w:t>
      </w:r>
    </w:p>
    <w:p>
      <w:pPr>
        <w:numPr>
          <w:ilvl w:val="-1"/>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）。经甲方或甲方委托有资质第三方机构审核后，审核价作为合同结算价。若合同结算价超合同暂定总价，双方另行签订补充协议。</w:t>
      </w:r>
    </w:p>
    <w:p>
      <w:pPr>
        <w:numPr>
          <w:ilvl w:val="-1"/>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（统筹项目）</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合同暂定总价组成：</w:t>
      </w:r>
    </w:p>
    <w:tbl>
      <w:tblPr>
        <w:tblStyle w:val="25"/>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39"/>
        <w:gridCol w:w="3875"/>
        <w:gridCol w:w="1144"/>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60" w:type="dxa"/>
            <w:noWrap w:val="0"/>
            <w:vAlign w:val="center"/>
          </w:tcPr>
          <w:p>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cs="宋体"/>
                <w:color w:val="auto"/>
                <w:kern w:val="0"/>
                <w:sz w:val="24"/>
                <w:szCs w:val="24"/>
                <w:highlight w:val="none"/>
                <w:u w:val="none"/>
                <w:lang w:val="en-US" w:eastAsia="zh-CN" w:bidi="ar"/>
              </w:rPr>
              <w:t>序号</w:t>
            </w:r>
          </w:p>
        </w:tc>
        <w:tc>
          <w:tcPr>
            <w:tcW w:w="1539" w:type="dxa"/>
            <w:noWrap w:val="0"/>
            <w:vAlign w:val="center"/>
          </w:tcPr>
          <w:p>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cs="宋体"/>
                <w:color w:val="auto"/>
                <w:kern w:val="0"/>
                <w:sz w:val="24"/>
                <w:szCs w:val="24"/>
                <w:highlight w:val="none"/>
                <w:u w:val="none"/>
                <w:lang w:bidi="ar"/>
              </w:rPr>
              <w:t>分公司</w:t>
            </w:r>
          </w:p>
        </w:tc>
        <w:tc>
          <w:tcPr>
            <w:tcW w:w="3875" w:type="dxa"/>
            <w:noWrap w:val="0"/>
            <w:vAlign w:val="center"/>
          </w:tcPr>
          <w:p>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cs="宋体"/>
                <w:color w:val="auto"/>
                <w:kern w:val="0"/>
                <w:sz w:val="24"/>
                <w:szCs w:val="24"/>
                <w:highlight w:val="none"/>
                <w:u w:val="none"/>
                <w:lang w:val="en-US" w:eastAsia="zh-CN" w:bidi="ar"/>
              </w:rPr>
              <w:t>子</w:t>
            </w:r>
            <w:r>
              <w:rPr>
                <w:rFonts w:hint="eastAsia" w:ascii="宋体" w:hAnsi="宋体" w:cs="宋体"/>
                <w:color w:val="auto"/>
                <w:kern w:val="0"/>
                <w:sz w:val="24"/>
                <w:szCs w:val="24"/>
                <w:highlight w:val="none"/>
                <w:u w:val="none"/>
                <w:lang w:bidi="ar"/>
              </w:rPr>
              <w:t>项目名称</w:t>
            </w:r>
          </w:p>
        </w:tc>
        <w:tc>
          <w:tcPr>
            <w:tcW w:w="1144" w:type="dxa"/>
            <w:noWrap w:val="0"/>
            <w:vAlign w:val="center"/>
          </w:tcPr>
          <w:p>
            <w:pPr>
              <w:widowControl/>
              <w:autoSpaceDE w:val="0"/>
              <w:autoSpaceDN w:val="0"/>
              <w:spacing w:line="360" w:lineRule="auto"/>
              <w:ind w:firstLineChars="0"/>
              <w:jc w:val="center"/>
              <w:textAlignment w:val="center"/>
              <w:rPr>
                <w:rFonts w:hint="default" w:ascii="宋体" w:hAnsi="宋体" w:eastAsia="宋体" w:cs="宋体"/>
                <w:color w:val="auto"/>
                <w:kern w:val="0"/>
                <w:sz w:val="24"/>
                <w:szCs w:val="24"/>
                <w:highlight w:val="none"/>
                <w:u w:val="none"/>
                <w:lang w:bidi="ar"/>
              </w:rPr>
            </w:pPr>
            <w:r>
              <w:rPr>
                <w:rFonts w:hint="eastAsia" w:ascii="宋体" w:hAnsi="宋体" w:cs="宋体"/>
                <w:color w:val="auto"/>
                <w:kern w:val="0"/>
                <w:sz w:val="24"/>
                <w:szCs w:val="24"/>
                <w:highlight w:val="none"/>
                <w:u w:val="none"/>
                <w:lang w:val="en-US" w:eastAsia="zh-CN" w:bidi="ar"/>
              </w:rPr>
              <w:t>合同金额（元）</w:t>
            </w:r>
          </w:p>
        </w:tc>
        <w:tc>
          <w:tcPr>
            <w:tcW w:w="1144" w:type="dxa"/>
            <w:noWrap w:val="0"/>
            <w:vAlign w:val="center"/>
          </w:tcPr>
          <w:p>
            <w:pPr>
              <w:widowControl/>
              <w:autoSpaceDE w:val="0"/>
              <w:autoSpaceDN w:val="0"/>
              <w:spacing w:line="360" w:lineRule="auto"/>
              <w:ind w:firstLineChars="0"/>
              <w:jc w:val="center"/>
              <w:textAlignment w:val="center"/>
              <w:rPr>
                <w:rFonts w:hint="default" w:ascii="宋体" w:hAnsi="宋体" w:eastAsia="宋体" w:cs="宋体"/>
                <w:color w:val="auto"/>
                <w:kern w:val="0"/>
                <w:sz w:val="24"/>
                <w:szCs w:val="24"/>
                <w:highlight w:val="none"/>
                <w:u w:val="none"/>
                <w:lang w:val="en-US" w:eastAsia="zh-CN" w:bidi="ar"/>
              </w:rPr>
            </w:pPr>
            <w:r>
              <w:rPr>
                <w:rFonts w:hint="eastAsia" w:ascii="宋体" w:hAnsi="宋体" w:cs="宋体"/>
                <w:color w:val="auto"/>
                <w:kern w:val="0"/>
                <w:sz w:val="24"/>
                <w:szCs w:val="24"/>
                <w:highlight w:val="none"/>
                <w:u w:val="none"/>
                <w:lang w:val="en-US" w:eastAsia="zh-CN" w:bidi="ar"/>
              </w:rPr>
              <w:t>其中暂列金（元）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6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53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4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4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6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3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4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4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6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53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4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4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53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875"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4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1144"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r>
    </w:tbl>
    <w:p>
      <w:pPr>
        <w:numPr>
          <w:ilvl w:val="0"/>
          <w:numId w:val="0"/>
        </w:numPr>
        <w:spacing w:beforeLines="0" w:afterLines="0" w:line="560" w:lineRule="exact"/>
        <w:ind w:firstLine="0" w:firstLineChars="0"/>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numPr>
          <w:ilvl w:val="0"/>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综合单价</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详见附件4工程量清单/工程量清单报价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合同以总价包干形式，合同暂定总价为：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4.2</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本合同约定的价格为含税价价格</w:t>
      </w:r>
      <w:r>
        <w:rPr>
          <w:rFonts w:hint="eastAsia" w:ascii="仿宋_GB2312" w:hAnsi="仿宋_GB2312" w:eastAsia="仿宋_GB2312" w:cs="仿宋_GB2312"/>
          <w:color w:val="000000" w:themeColor="text1"/>
          <w:sz w:val="28"/>
          <w:szCs w:val="28"/>
          <w:highlight w:val="none"/>
          <w14:textFill>
            <w14:solidFill>
              <w14:schemeClr w14:val="tx1"/>
            </w14:solidFill>
          </w14:textFill>
        </w:rPr>
        <w:t>（税率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4.3因非乙方原因引起工程量报价清单中工程量发生增减，且单个子目工程量变化幅度在25%以内（含）时，按工程量报价清单中列明的子目单价结算。否则，按新增单价执行：单个子目工程量增加幅度在25%以上时，单价按就低原则执行（原合同单价与重新组价之间比较）；单个子目工程量减少幅度在25%以上时，单价按就高原则执行（原合同单价与重新组价之间比较）。</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4.4</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合同中没有适用于变更工程项目的单价的，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按新增单价执行。</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新增单价计价原则：</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项目计价材料、设备价格的控制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按以下顺序作为降序优先级依次采用工程开工报告中开工日期当月的下列价格</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（3）综合价格、厂商价格中缺项的，采用由北京瑞恒达建筑咨询有限公司提供服务的“慧讯网”中查到的相应材料、设备价格的工程价。</w:t>
      </w:r>
    </w:p>
    <w:p>
      <w:pPr>
        <w:pStyle w:val="31"/>
        <w:autoSpaceDE/>
        <w:autoSpaceDN/>
        <w:adjustRightIn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（4）通过市场询价双方协商确定。</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3.按1、2组价后</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投标下浮率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计取。</w:t>
      </w:r>
    </w:p>
    <w:p>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4.5</w:t>
      </w:r>
      <w:r>
        <w:rPr>
          <w:rFonts w:hint="eastAsia" w:ascii="仿宋_GB2312" w:hAnsi="仿宋_GB2312" w:eastAsia="仿宋_GB2312" w:cs="仿宋_GB2312"/>
          <w:sz w:val="28"/>
          <w:szCs w:val="28"/>
          <w:highlight w:val="none"/>
        </w:rPr>
        <w:t>乙方送审结算时，应提供（子项）工程合同清单报价（量）与送审的工程清单报价（量）对比表，包括分部分项清单、措施项目清单、其他项目清单等对比表（含纸质版盖章及软件版）、主材设备发票或其他甲方认可的收据等资料。</w:t>
      </w:r>
    </w:p>
    <w:p>
      <w:pPr>
        <w:widowControl w:val="0"/>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工期及要求</w:t>
      </w:r>
    </w:p>
    <w:p>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工期</w:t>
      </w:r>
    </w:p>
    <w:p>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施工工期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详见下表各子项目工期规划</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tbl>
      <w:tblPr>
        <w:tblStyle w:val="25"/>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501"/>
        <w:gridCol w:w="3779"/>
        <w:gridCol w:w="1116"/>
        <w:gridCol w:w="1116"/>
        <w:tblGridChange w:id="0">
          <w:tblGrid>
            <w:gridCol w:w="652"/>
            <w:gridCol w:w="285"/>
            <w:gridCol w:w="1216"/>
            <w:gridCol w:w="285"/>
            <w:gridCol w:w="3494"/>
            <w:gridCol w:w="285"/>
            <w:gridCol w:w="1116"/>
            <w:gridCol w:w="1116"/>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cs="宋体"/>
                <w:color w:val="auto"/>
                <w:kern w:val="0"/>
                <w:sz w:val="24"/>
                <w:szCs w:val="24"/>
                <w:highlight w:val="none"/>
                <w:u w:val="none"/>
                <w:lang w:val="en-US" w:eastAsia="zh-CN" w:bidi="ar"/>
              </w:rPr>
              <w:t>序号</w:t>
            </w:r>
          </w:p>
        </w:tc>
        <w:tc>
          <w:tcPr>
            <w:tcW w:w="1501" w:type="dxa"/>
            <w:noWrap w:val="0"/>
            <w:vAlign w:val="center"/>
          </w:tcPr>
          <w:p>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cs="宋体"/>
                <w:color w:val="auto"/>
                <w:kern w:val="0"/>
                <w:sz w:val="24"/>
                <w:szCs w:val="24"/>
                <w:highlight w:val="none"/>
                <w:u w:val="none"/>
                <w:lang w:bidi="ar"/>
              </w:rPr>
              <w:t>分公司</w:t>
            </w:r>
          </w:p>
        </w:tc>
        <w:tc>
          <w:tcPr>
            <w:tcW w:w="3779" w:type="dxa"/>
            <w:noWrap w:val="0"/>
            <w:vAlign w:val="center"/>
          </w:tcPr>
          <w:p>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cs="宋体"/>
                <w:color w:val="auto"/>
                <w:kern w:val="0"/>
                <w:sz w:val="24"/>
                <w:szCs w:val="24"/>
                <w:highlight w:val="none"/>
                <w:u w:val="none"/>
                <w:lang w:val="en-US" w:eastAsia="zh-CN" w:bidi="ar"/>
              </w:rPr>
              <w:t>子</w:t>
            </w:r>
            <w:r>
              <w:rPr>
                <w:rFonts w:hint="eastAsia" w:ascii="宋体" w:hAnsi="宋体" w:cs="宋体"/>
                <w:color w:val="auto"/>
                <w:kern w:val="0"/>
                <w:sz w:val="24"/>
                <w:szCs w:val="24"/>
                <w:highlight w:val="none"/>
                <w:u w:val="none"/>
                <w:lang w:bidi="ar"/>
              </w:rPr>
              <w:t>项目名称</w:t>
            </w:r>
          </w:p>
        </w:tc>
        <w:tc>
          <w:tcPr>
            <w:tcW w:w="1116" w:type="dxa"/>
            <w:noWrap w:val="0"/>
            <w:vAlign w:val="center"/>
          </w:tcPr>
          <w:p>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u w:val="none"/>
                <w:lang w:bidi="ar"/>
              </w:rPr>
              <w:t>货期</w:t>
            </w:r>
          </w:p>
        </w:tc>
        <w:tc>
          <w:tcPr>
            <w:tcW w:w="1116" w:type="dxa"/>
            <w:noWrap w:val="0"/>
            <w:vAlign w:val="center"/>
          </w:tcPr>
          <w:p>
            <w:pPr>
              <w:widowControl/>
              <w:autoSpaceDE w:val="0"/>
              <w:autoSpaceDN w:val="0"/>
              <w:spacing w:line="360" w:lineRule="auto"/>
              <w:ind w:firstLineChars="0"/>
              <w:jc w:val="center"/>
              <w:textAlignment w:val="center"/>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kern w:val="0"/>
                <w:sz w:val="24"/>
                <w:szCs w:val="24"/>
                <w:highlight w:val="none"/>
                <w:u w:val="none"/>
                <w:lang w:bidi="ar"/>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50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77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50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77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50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77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150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77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0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77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0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77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1116"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r>
    </w:tbl>
    <w:p>
      <w:pPr>
        <w:widowControl w:val="0"/>
        <w:spacing w:beforeLines="0" w:afterLines="0" w:line="560" w:lineRule="exact"/>
        <w:ind w:firstLine="560" w:firstLineChars="200"/>
        <w:jc w:val="left"/>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货期：合同签订后次日开始计算，乙方负责将货物运送至甲方对应子项目实施单位现场，并通知甲方对应子项目负责人进行验收。</w:t>
      </w:r>
    </w:p>
    <w:p>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工期：</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开工日期以甲方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对应子项目分公司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发出的开工报告/</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书面</w:t>
      </w:r>
      <w:r>
        <w:rPr>
          <w:rFonts w:hint="eastAsia" w:ascii="仿宋_GB2312" w:hAnsi="仿宋_GB2312" w:eastAsia="仿宋_GB2312" w:cs="仿宋_GB2312"/>
          <w:color w:val="000000" w:themeColor="text1"/>
          <w:sz w:val="28"/>
          <w:szCs w:val="28"/>
          <w:highlight w:val="none"/>
          <w14:textFill>
            <w14:solidFill>
              <w14:schemeClr w14:val="tx1"/>
            </w14:solidFill>
          </w14:textFill>
        </w:rPr>
        <w:t>通知为准。</w:t>
      </w:r>
    </w:p>
    <w:p>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乙方不能按时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供货或</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开工，应当于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货期到期7天前，或</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开工报告/</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书面</w:t>
      </w:r>
      <w:r>
        <w:rPr>
          <w:rFonts w:hint="eastAsia" w:ascii="仿宋_GB2312" w:hAnsi="仿宋_GB2312" w:eastAsia="仿宋_GB2312" w:cs="仿宋_GB2312"/>
          <w:color w:val="000000" w:themeColor="text1"/>
          <w:sz w:val="28"/>
          <w:szCs w:val="28"/>
          <w:highlight w:val="none"/>
          <w14:textFill>
            <w14:solidFill>
              <w14:schemeClr w14:val="tx1"/>
            </w14:solidFill>
          </w14:textFill>
        </w:rPr>
        <w:t>通知载明的开工日期</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天前，以书面形式向甲方提出延期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供货或</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开工的理由。甲方应当在接到延期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供货或</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开工申请后的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内以书面形式答复乙方。甲方在接到延期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供货或</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开工申请后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内不答复，视为同意乙方要求，工期相应顺延。甲方不同意延期要求或乙方未在规定时间内提出延期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供货或</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货期或</w:t>
      </w:r>
      <w:r>
        <w:rPr>
          <w:rFonts w:hint="eastAsia" w:ascii="仿宋_GB2312" w:hAnsi="仿宋_GB2312" w:eastAsia="仿宋_GB2312" w:cs="仿宋_GB2312"/>
          <w:color w:val="000000" w:themeColor="text1"/>
          <w:sz w:val="28"/>
          <w:szCs w:val="28"/>
          <w:highlight w:val="none"/>
          <w14:textFill>
            <w14:solidFill>
              <w14:schemeClr w14:val="tx1"/>
            </w14:solidFill>
          </w14:textFill>
        </w:rPr>
        <w:t>工期不予顺延。</w:t>
      </w:r>
    </w:p>
    <w:p>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未按约定货期供货或未按甲方开工通知时间进场施工的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2000元</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，由此而造成的经济损失由乙方负责赔偿</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pPr>
        <w:widowControl w:val="0"/>
        <w:numPr>
          <w:ilvl w:val="0"/>
          <w:numId w:val="0"/>
        </w:num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乙方未能按合同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约定</w:t>
      </w:r>
      <w:r>
        <w:rPr>
          <w:rFonts w:hint="eastAsia" w:ascii="仿宋_GB2312" w:hAnsi="仿宋_GB2312" w:eastAsia="仿宋_GB2312" w:cs="仿宋_GB2312"/>
          <w:color w:val="000000" w:themeColor="text1"/>
          <w:sz w:val="28"/>
          <w:szCs w:val="28"/>
          <w:highlight w:val="none"/>
          <w14:textFill>
            <w14:solidFill>
              <w14:schemeClr w14:val="tx1"/>
            </w14:solidFill>
          </w14:textFill>
        </w:rPr>
        <w:t>竣工验收的，每逾期一天，甲方有权要求乙方按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合同暂定总价的 1%</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支付违约金，逾期达到</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20 </w:t>
      </w:r>
      <w:r>
        <w:rPr>
          <w:rFonts w:hint="eastAsia" w:ascii="仿宋_GB2312" w:hAnsi="仿宋_GB2312" w:eastAsia="仿宋_GB2312" w:cs="仿宋_GB2312"/>
          <w:color w:val="000000" w:themeColor="text1"/>
          <w:sz w:val="28"/>
          <w:szCs w:val="28"/>
          <w:highlight w:val="none"/>
          <w14:textFill>
            <w14:solidFill>
              <w14:schemeClr w14:val="tx1"/>
            </w14:solidFill>
          </w14:textFill>
        </w:rPr>
        <w:t>天及以上的，甲方有权解除合同并要求乙方支付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对应子项目合同暂定总价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pPr>
        <w:pStyle w:val="14"/>
        <w:spacing w:beforeLines="0" w:afterLines="0" w:line="560" w:lineRule="exact"/>
        <w:ind w:firstLine="528" w:firstLineChars="200"/>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0" w:name="_Toc3872"/>
      <w:bookmarkStart w:id="1" w:name="_Toc15706"/>
      <w:r>
        <w:rPr>
          <w:rFonts w:hint="eastAsia" w:ascii="仿宋_GB2312" w:hAnsi="仿宋_GB2312" w:eastAsia="仿宋_GB2312" w:cs="仿宋_GB2312"/>
          <w:color w:val="000000" w:themeColor="text1"/>
          <w:spacing w:val="-8"/>
          <w:sz w:val="28"/>
          <w:szCs w:val="28"/>
          <w:highlight w:val="none"/>
          <w:lang w:val="en-US" w:eastAsia="zh-CN"/>
          <w14:textFill>
            <w14:solidFill>
              <w14:schemeClr w14:val="tx1"/>
            </w14:solidFill>
          </w14:textFill>
        </w:rPr>
        <w:t>5.2合同签订后，在收到甲方开工通知后7天内，乙方需提交完整的盖章版施工备案资料，</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对应子项目合同暂定总价</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的1%/日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bookmarkEnd w:id="0"/>
      <w:bookmarkEnd w:id="1"/>
    </w:p>
    <w:p>
      <w:pPr>
        <w:widowControl w:val="0"/>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合同暂定总价的5%/次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作为违约金，超过三次（含三次）的，甲方有权解除合同，要求乙方支付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作为违约金。由此造成的经济和法律责任，均由乙方负责。</w:t>
      </w:r>
    </w:p>
    <w:p>
      <w:pPr>
        <w:widowControl w:val="0"/>
        <w:spacing w:beforeLines="0" w:afterLines="0" w:line="560" w:lineRule="exact"/>
        <w:ind w:left="1"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乙方应按合同及甲方提供的技术文件要求进行本项目实施和安装。乙方未经甲方同意，不得将本项目图纸泄露或转给第三人。除乙方存档需要的图纸外，乙方应于项目质量保修期满后</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7 </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内将全部图纸退还给甲方。</w:t>
      </w:r>
    </w:p>
    <w:p>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auto"/>
          <w:sz w:val="28"/>
          <w:szCs w:val="28"/>
          <w:highlight w:val="none"/>
        </w:rPr>
        <w:t>乙方保证其具有符合法律法规要求的完成本工程项目应具有的相应资质，禁止转包和</w:t>
      </w:r>
      <w:r>
        <w:rPr>
          <w:rFonts w:hint="eastAsia" w:ascii="仿宋_GB2312" w:hAnsi="仿宋_GB2312" w:eastAsia="仿宋_GB2312" w:cs="仿宋_GB2312"/>
          <w:color w:val="auto"/>
          <w:sz w:val="28"/>
          <w:szCs w:val="28"/>
          <w:highlight w:val="none"/>
          <w:u w:val="single"/>
          <w:lang w:val="en-US" w:eastAsia="zh-CN"/>
        </w:rPr>
        <w:t>专业</w:t>
      </w:r>
      <w:r>
        <w:rPr>
          <w:rFonts w:hint="eastAsia" w:ascii="仿宋_GB2312" w:hAnsi="仿宋_GB2312" w:eastAsia="仿宋_GB2312" w:cs="仿宋_GB2312"/>
          <w:color w:val="auto"/>
          <w:sz w:val="28"/>
          <w:szCs w:val="28"/>
          <w:highlight w:val="none"/>
          <w:u w:val="single"/>
        </w:rPr>
        <w:t>分包</w:t>
      </w:r>
      <w:r>
        <w:rPr>
          <w:rFonts w:hint="eastAsia" w:ascii="仿宋_GB2312" w:hAnsi="仿宋_GB2312" w:eastAsia="仿宋_GB2312" w:cs="仿宋_GB2312"/>
          <w:color w:val="auto"/>
          <w:sz w:val="28"/>
          <w:szCs w:val="28"/>
          <w:highlight w:val="none"/>
        </w:rPr>
        <w:t>，如违反上述约定，甲方有权解除合同，要求乙方支付</w:t>
      </w:r>
      <w:r>
        <w:rPr>
          <w:rFonts w:hint="eastAsia" w:ascii="仿宋_GB2312" w:hAnsi="仿宋_GB2312" w:eastAsia="仿宋_GB2312" w:cs="仿宋_GB2312"/>
          <w:color w:val="auto"/>
          <w:sz w:val="28"/>
          <w:szCs w:val="28"/>
          <w:highlight w:val="none"/>
          <w:u w:val="single"/>
          <w:lang w:val="en-US" w:eastAsia="zh-CN"/>
        </w:rPr>
        <w:t>合同暂定总价10%</w:t>
      </w:r>
      <w:r>
        <w:rPr>
          <w:rFonts w:hint="eastAsia" w:ascii="仿宋_GB2312" w:hAnsi="仿宋_GB2312" w:eastAsia="仿宋_GB2312" w:cs="仿宋_GB2312"/>
          <w:color w:val="auto"/>
          <w:sz w:val="28"/>
          <w:szCs w:val="28"/>
          <w:highlight w:val="none"/>
        </w:rPr>
        <w:t>作为违约金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由此造成一切责任由乙方承担。</w:t>
      </w:r>
    </w:p>
    <w:p>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5.6乙方不得随意更换项目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负责人</w:t>
      </w:r>
      <w:r>
        <w:rPr>
          <w:rFonts w:hint="eastAsia" w:ascii="仿宋_GB2312" w:hAnsi="仿宋_GB2312" w:eastAsia="仿宋_GB2312" w:cs="仿宋_GB2312"/>
          <w:color w:val="000000" w:themeColor="text1"/>
          <w:sz w:val="28"/>
          <w:szCs w:val="28"/>
          <w:highlight w:val="none"/>
          <w14:textFill>
            <w14:solidFill>
              <w14:schemeClr w14:val="tx1"/>
            </w14:solidFill>
          </w14:textFill>
        </w:rPr>
        <w:t>及</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附件5中的</w:t>
      </w:r>
      <w:r>
        <w:rPr>
          <w:rFonts w:hint="eastAsia" w:ascii="仿宋_GB2312" w:hAnsi="仿宋_GB2312" w:eastAsia="仿宋_GB2312" w:cs="仿宋_GB2312"/>
          <w:color w:val="000000" w:themeColor="text1"/>
          <w:sz w:val="28"/>
          <w:szCs w:val="28"/>
          <w:highlight w:val="none"/>
          <w14:textFill>
            <w14:solidFill>
              <w14:schemeClr w14:val="tx1"/>
            </w14:solidFill>
          </w14:textFill>
        </w:rPr>
        <w:t>相关人员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人员名单应与乙方在投标文件/报价文件中所载明的人员一致）</w:t>
      </w:r>
      <w:r>
        <w:rPr>
          <w:rFonts w:hint="eastAsia" w:ascii="仿宋_GB2312" w:hAnsi="仿宋_GB2312" w:eastAsia="仿宋_GB2312" w:cs="仿宋_GB2312"/>
          <w:color w:val="000000" w:themeColor="text1"/>
          <w:sz w:val="28"/>
          <w:szCs w:val="28"/>
          <w:highlight w:val="none"/>
          <w14:textFill>
            <w14:solidFill>
              <w14:schemeClr w14:val="tx1"/>
            </w14:solidFill>
          </w14:textFill>
        </w:rPr>
        <w:t>，如确须更换，应提前征得甲方同意。如有违反，甲方有权解除合同并要求乙方支付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1000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元/人次</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作为违约金，以及赔偿由此造成的一切损失(包含质量安全事故、工期延误、增加投资等)。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pStyle w:val="56"/>
        <w:spacing w:beforeLines="0" w:afterLines="0"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5.7</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乙方需满足项目同时实施要求，拟投入工程人员配备响应表配备相应工作人员以满足甲方要求，若因人员不足或人员素质不能满足工程实际需要时，乙方需无条件按照甲方的要求更换或增加相关人员。否则甲方有权解除合同并要求乙方支付</w:t>
      </w:r>
      <w:r>
        <w:rPr>
          <w:rFonts w:hint="eastAsia" w:ascii="仿宋_GB2312" w:hAnsi="仿宋_GB2312" w:eastAsia="仿宋_GB2312" w:cs="仿宋_GB2312"/>
          <w:b w:val="0"/>
          <w:bCs/>
          <w:color w:val="000000" w:themeColor="text1"/>
          <w:spacing w:val="-8"/>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元作为违约金。</w:t>
      </w:r>
    </w:p>
    <w:p>
      <w:pPr>
        <w:topLinePunct w:val="0"/>
        <w:spacing w:beforeLines="-2147483648" w:afterLines="-2147483648" w:line="240" w:lineRule="auto"/>
        <w:ind w:firstLine="0" w:firstLineChars="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5.8施工过程中，施工单位至少安排一名管理人员在场监管，涉及有限空间作业、动火作业、高处作业、临时用电、起重吊装、动土作业等危险作业时，要求施工单位安排专人监护，监护人不得从事除安全监护外的其他工作，</w:t>
      </w:r>
      <w:r>
        <w:rPr>
          <w:rFonts w:hint="eastAsia" w:ascii="仿宋_GB2312" w:hAnsi="仿宋_GB2312" w:eastAsia="仿宋_GB2312" w:cs="仿宋_GB2312"/>
          <w:color w:val="000000" w:themeColor="text1"/>
          <w:sz w:val="28"/>
          <w:szCs w:val="28"/>
          <w:highlight w:val="none"/>
          <w14:textFill>
            <w14:solidFill>
              <w14:schemeClr w14:val="tx1"/>
            </w14:solidFill>
          </w14:textFill>
        </w:rPr>
        <w:t>当在进行有限空间作业的工期时，应要求持资质（</w:t>
      </w:r>
      <w:r>
        <w:rPr>
          <w:rStyle w:val="28"/>
          <w:rFonts w:hint="eastAsia" w:ascii="仿宋_GB2312" w:hAnsi="仿宋_GB2312" w:eastAsia="仿宋_GB2312" w:cs="仿宋_GB2312"/>
          <w:b/>
          <w:bCs/>
          <w:i w:val="0"/>
          <w:iCs w:val="0"/>
          <w:caps w:val="0"/>
          <w:spacing w:val="0"/>
          <w:sz w:val="28"/>
          <w:szCs w:val="28"/>
          <w:shd w:val="clear" w:fill="FFFFFF"/>
          <w:vertAlign w:val="baseline"/>
        </w:rPr>
        <w:t>建筑施工企业项目负责人安全生产考核合格证书</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的项目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负责人</w:t>
      </w:r>
      <w:r>
        <w:rPr>
          <w:rFonts w:hint="eastAsia" w:ascii="仿宋_GB2312" w:hAnsi="仿宋_GB2312" w:eastAsia="仿宋_GB2312" w:cs="仿宋_GB2312"/>
          <w:color w:val="000000" w:themeColor="text1"/>
          <w:sz w:val="28"/>
          <w:szCs w:val="28"/>
          <w:highlight w:val="none"/>
          <w14:textFill>
            <w14:solidFill>
              <w14:schemeClr w14:val="tx1"/>
            </w14:solidFill>
          </w14:textFill>
        </w:rPr>
        <w:t>驻场履职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否则甲方有权要求乙方支付违约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1000元/天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，因此造成损失的，按实际发生额赔偿。</w:t>
      </w:r>
    </w:p>
    <w:p>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5.9</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合同暂定价的5%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/次的违约金。</w:t>
      </w:r>
    </w:p>
    <w:p>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出现上述情形超过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次（含</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次）的，甲方有权解除合同。</w:t>
      </w:r>
    </w:p>
    <w:p>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5.10</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pStyle w:val="56"/>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5.11</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乙方负责做好现场文明施工、安全围蔽及防护措施等工作，根据项目实际，充分辨识风险和制定相应管控措施，编制可行的专项施工方案应急预案并严格落实,并报甲方备案。</w:t>
      </w:r>
    </w:p>
    <w:p>
      <w:pPr>
        <w:pStyle w:val="14"/>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5.12施工过程中，乙方应负责配备现场的应急物资。具体应急物资配备详见附件应急救援物资清单。</w:t>
      </w:r>
      <w:r>
        <w:rPr>
          <w:rFonts w:hint="eastAsia" w:ascii="仿宋_GB2312" w:hAnsi="仿宋_GB2312" w:eastAsia="仿宋_GB2312" w:cs="仿宋_GB2312"/>
          <w:b w:val="0"/>
          <w:bCs w:val="0"/>
          <w:color w:val="000000" w:themeColor="text1"/>
          <w:sz w:val="28"/>
          <w:szCs w:val="28"/>
          <w:highlight w:val="none"/>
          <w:lang w:val="en-US"/>
          <w14:textFill>
            <w14:solidFill>
              <w14:schemeClr w14:val="tx1"/>
            </w14:solidFill>
          </w14:textFill>
        </w:rPr>
        <w:t>如发现配备不齐全，</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要求乙方在24小时内补足，否则甲方有权</w:t>
      </w:r>
      <w:r>
        <w:rPr>
          <w:rFonts w:hint="eastAsia" w:ascii="仿宋_GB2312" w:hAnsi="仿宋_GB2312" w:eastAsia="仿宋_GB2312" w:cs="仿宋_GB2312"/>
          <w:color w:val="auto"/>
          <w:sz w:val="28"/>
          <w:szCs w:val="28"/>
          <w:highlight w:val="none"/>
        </w:rPr>
        <w:t>要求乙方支付违约金</w:t>
      </w:r>
      <w:r>
        <w:rPr>
          <w:rFonts w:hint="eastAsia" w:ascii="仿宋_GB2312" w:hAnsi="仿宋_GB2312" w:eastAsia="仿宋_GB2312" w:cs="仿宋_GB2312"/>
          <w:color w:val="auto"/>
          <w:sz w:val="28"/>
          <w:szCs w:val="28"/>
          <w:highlight w:val="none"/>
          <w:u w:val="single"/>
          <w:lang w:val="en-US" w:eastAsia="zh-CN"/>
        </w:rPr>
        <w:t>1000元</w:t>
      </w:r>
      <w:r>
        <w:rPr>
          <w:rFonts w:hint="eastAsia" w:ascii="仿宋_GB2312" w:hAnsi="仿宋_GB2312" w:eastAsia="仿宋_GB2312" w:cs="仿宋_GB2312"/>
          <w:color w:val="auto"/>
          <w:sz w:val="28"/>
          <w:szCs w:val="28"/>
          <w:highlight w:val="none"/>
          <w:lang w:val="en-US" w:eastAsia="zh-CN"/>
        </w:rPr>
        <w:t>/天，逾期7日，甲方有权自行购买配备齐全，相关费用在乙方结算费用中抵扣。</w:t>
      </w:r>
    </w:p>
    <w:p>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13</w:t>
      </w:r>
      <w:r>
        <w:rPr>
          <w:rFonts w:ascii="仿宋_GB2312" w:hAnsi="仿宋_GB2312" w:eastAsia="仿宋_GB2312" w:cs="仿宋_GB2312"/>
          <w:color w:val="000000" w:themeColor="text1"/>
          <w:sz w:val="28"/>
          <w:szCs w:val="28"/>
          <w:highlight w:val="none"/>
          <w14:textFill>
            <w14:solidFill>
              <w14:schemeClr w14:val="tx1"/>
            </w14:solidFill>
          </w14:textFill>
        </w:rPr>
        <w:t>在合同有效期内，乙方自愿接受甲方《营运项目承包单位日常履约考评参照表（安全）》《营运项目承包单位综合履约考评表（安全）》，具体处理标准详见附件</w:t>
      </w:r>
      <w:r>
        <w:rPr>
          <w:rFonts w:hint="eastAsia" w:hAnsi="仿宋_GB2312" w:cs="仿宋_GB2312"/>
          <w:color w:val="000000" w:themeColor="text1"/>
          <w:sz w:val="28"/>
          <w:szCs w:val="28"/>
          <w:highlight w:val="none"/>
          <w:lang w:val="en-US" w:eastAsia="zh-CN"/>
          <w14:textFill>
            <w14:solidFill>
              <w14:schemeClr w14:val="tx1"/>
            </w14:solidFill>
          </w14:textFill>
        </w:rPr>
        <w:t>8</w:t>
      </w:r>
      <w:r>
        <w:rPr>
          <w:rFonts w:ascii="仿宋_GB2312" w:hAnsi="仿宋_GB2312" w:eastAsia="仿宋_GB2312" w:cs="仿宋_GB2312"/>
          <w:color w:val="000000" w:themeColor="text1"/>
          <w:sz w:val="28"/>
          <w:szCs w:val="28"/>
          <w:highlight w:val="none"/>
          <w14:textFill>
            <w14:solidFill>
              <w14:schemeClr w14:val="tx1"/>
            </w14:solidFill>
          </w14:textFill>
        </w:rPr>
        <w:t>。</w:t>
      </w:r>
    </w:p>
    <w:p>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textAlignment w:val="auto"/>
        <w:rPr>
          <w:rFonts w:hint="eastAsia" w:ascii="仿宋_GB2312" w:hAnsi="仿宋_GB2312" w:eastAsia="仿宋_GB2312" w:cs="仿宋_GB2312"/>
          <w:bCs/>
          <w:color w:val="auto"/>
          <w:sz w:val="28"/>
          <w:szCs w:val="28"/>
          <w:highlight w:val="none"/>
          <w:u w:val="single"/>
          <w:lang w:val="en-US" w:eastAsia="zh-CN"/>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5.14</w:t>
      </w:r>
      <w:r>
        <w:rPr>
          <w:rFonts w:hint="eastAsia" w:ascii="仿宋_GB2312" w:hAnsi="仿宋_GB2312" w:eastAsia="仿宋_GB2312" w:cs="仿宋_GB2312"/>
          <w:bCs/>
          <w:color w:val="auto"/>
          <w:sz w:val="28"/>
          <w:szCs w:val="28"/>
          <w:highlight w:val="none"/>
          <w:u w:val="single"/>
          <w:lang w:val="en-US" w:eastAsia="zh-CN"/>
        </w:rPr>
        <w:t>项目实施过程中，乙方应确保准时足额支付工人工资。如因工人工资造成的纠纷，由乙方承担责任。若因乙方拖欠工人工资引发工人聚众讨薪、群体性示威、游行、上访等事件的，甲方有权按讨薪人员</w:t>
      </w:r>
      <w:r>
        <w:rPr>
          <w:rFonts w:hint="eastAsia" w:hAnsi="仿宋_GB2312" w:cs="仿宋_GB2312"/>
          <w:bCs/>
          <w:color w:val="auto"/>
          <w:sz w:val="28"/>
          <w:szCs w:val="28"/>
          <w:highlight w:val="none"/>
          <w:u w:val="single"/>
          <w:lang w:val="en-US" w:eastAsia="zh-CN"/>
        </w:rPr>
        <w:t>1000</w:t>
      </w:r>
      <w:r>
        <w:rPr>
          <w:rFonts w:hint="eastAsia" w:ascii="仿宋_GB2312" w:hAnsi="仿宋_GB2312" w:eastAsia="仿宋_GB2312" w:cs="仿宋_GB2312"/>
          <w:bCs/>
          <w:color w:val="auto"/>
          <w:sz w:val="28"/>
          <w:szCs w:val="28"/>
          <w:highlight w:val="none"/>
          <w:u w:val="single"/>
          <w:lang w:val="en-US" w:eastAsia="zh-CN"/>
        </w:rPr>
        <w:t>元/人次的标准要求乙方支付违约金。</w:t>
      </w:r>
    </w:p>
    <w:p>
      <w:pPr>
        <w:pStyle w:val="24"/>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single"/>
          <w:shd w:val="clear"/>
          <w:lang w:eastAsia="zh-CN"/>
        </w:rPr>
      </w:pPr>
      <w:r>
        <w:rPr>
          <w:rFonts w:hint="eastAsia" w:ascii="仿宋_GB2312" w:hAnsi="仿宋_GB2312" w:eastAsia="仿宋_GB2312" w:cs="仿宋_GB2312"/>
          <w:bCs/>
          <w:color w:val="auto"/>
          <w:sz w:val="28"/>
          <w:szCs w:val="28"/>
          <w:highlight w:val="none"/>
          <w:u w:val="single"/>
        </w:rPr>
        <w:t>5</w:t>
      </w:r>
      <w:r>
        <w:rPr>
          <w:rFonts w:hint="eastAsia" w:ascii="仿宋_GB2312" w:hAnsi="仿宋_GB2312" w:eastAsia="仿宋_GB2312" w:cs="仿宋_GB2312"/>
          <w:bCs/>
          <w:color w:val="auto"/>
          <w:sz w:val="28"/>
          <w:szCs w:val="28"/>
          <w:highlight w:val="none"/>
          <w:u w:val="single"/>
          <w:lang w:val="en-US" w:eastAsia="zh-CN"/>
        </w:rPr>
        <w:t>.15</w:t>
      </w:r>
      <w:r>
        <w:rPr>
          <w:rFonts w:hint="eastAsia" w:ascii="仿宋_GB2312" w:hAnsi="仿宋_GB2312" w:eastAsia="仿宋_GB2312" w:cs="仿宋_GB2312"/>
          <w:bCs/>
          <w:i w:val="0"/>
          <w:iCs w:val="0"/>
          <w:caps w:val="0"/>
          <w:color w:val="auto"/>
          <w:spacing w:val="0"/>
          <w:sz w:val="28"/>
          <w:szCs w:val="28"/>
          <w:highlight w:val="none"/>
          <w:u w:val="single"/>
          <w:shd w:val="clear" w:fill="FFFFFF"/>
        </w:rPr>
        <w:t>甲方提供予乙方的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工程相关信息</w:t>
      </w:r>
      <w:r>
        <w:rPr>
          <w:rFonts w:hint="eastAsia" w:ascii="仿宋_GB2312" w:hAnsi="仿宋_GB2312" w:eastAsia="仿宋_GB2312" w:cs="仿宋_GB2312"/>
          <w:bCs/>
          <w:i w:val="0"/>
          <w:iCs w:val="0"/>
          <w:caps w:val="0"/>
          <w:color w:val="auto"/>
          <w:spacing w:val="0"/>
          <w:sz w:val="28"/>
          <w:szCs w:val="28"/>
          <w:highlight w:val="none"/>
          <w:u w:val="single"/>
          <w:shd w:val="clear" w:fill="FFFFFF"/>
        </w:rPr>
        <w:t>被视为保密资料，</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仅</w:t>
      </w:r>
      <w:r>
        <w:rPr>
          <w:rFonts w:hint="eastAsia" w:ascii="仿宋_GB2312" w:hAnsi="仿宋_GB2312" w:eastAsia="仿宋_GB2312" w:cs="仿宋_GB2312"/>
          <w:bCs/>
          <w:i w:val="0"/>
          <w:iCs w:val="0"/>
          <w:caps w:val="0"/>
          <w:color w:val="auto"/>
          <w:spacing w:val="0"/>
          <w:sz w:val="28"/>
          <w:szCs w:val="28"/>
          <w:highlight w:val="none"/>
          <w:u w:val="single"/>
          <w:shd w:val="clear" w:fill="FFFFFF"/>
        </w:rPr>
        <w:t>供乙方与本项目有关之用途。乙方应对甲方提供的信息资料严格保密，未经甲方书面同意，不得向任何第三方透露</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或</w:t>
      </w:r>
      <w:r>
        <w:rPr>
          <w:rFonts w:hint="eastAsia" w:ascii="仿宋_GB2312" w:hAnsi="仿宋_GB2312" w:eastAsia="仿宋_GB2312" w:cs="仿宋_GB2312"/>
          <w:bCs/>
          <w:i w:val="0"/>
          <w:iCs w:val="0"/>
          <w:caps w:val="0"/>
          <w:color w:val="auto"/>
          <w:spacing w:val="0"/>
          <w:sz w:val="28"/>
          <w:szCs w:val="28"/>
          <w:highlight w:val="none"/>
          <w:u w:val="single"/>
          <w:shd w:val="clear"/>
        </w:rPr>
        <w:t>用于其他目的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及</w:t>
      </w:r>
      <w:r>
        <w:rPr>
          <w:rFonts w:hint="eastAsia" w:ascii="仿宋_GB2312" w:hAnsi="仿宋_GB2312" w:eastAsia="仿宋_GB2312" w:cs="仿宋_GB2312"/>
          <w:bCs/>
          <w:i w:val="0"/>
          <w:iCs w:val="0"/>
          <w:caps w:val="0"/>
          <w:color w:val="auto"/>
          <w:spacing w:val="0"/>
          <w:sz w:val="28"/>
          <w:szCs w:val="28"/>
          <w:highlight w:val="none"/>
          <w:u w:val="single"/>
          <w:shd w:val="clear"/>
        </w:rPr>
        <w:t>用途</w:t>
      </w:r>
      <w:r>
        <w:rPr>
          <w:rFonts w:hint="eastAsia" w:ascii="仿宋_GB2312" w:hAnsi="仿宋_GB2312" w:eastAsia="仿宋_GB2312" w:cs="仿宋_GB2312"/>
          <w:bCs/>
          <w:i w:val="0"/>
          <w:iCs w:val="0"/>
          <w:caps w:val="0"/>
          <w:color w:val="auto"/>
          <w:spacing w:val="0"/>
          <w:sz w:val="28"/>
          <w:szCs w:val="28"/>
          <w:highlight w:val="none"/>
          <w:u w:val="single"/>
          <w:shd w:val="clear" w:fill="FFFFFF"/>
        </w:rPr>
        <w:t>，否则甲方有权单方解除合同，并按合同</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暂定总价</w:t>
      </w:r>
      <w:r>
        <w:rPr>
          <w:rFonts w:hint="eastAsia" w:ascii="仿宋_GB2312" w:hAnsi="仿宋_GB2312" w:eastAsia="仿宋_GB2312" w:cs="仿宋_GB2312"/>
          <w:bCs/>
          <w:i w:val="0"/>
          <w:iCs w:val="0"/>
          <w:caps w:val="0"/>
          <w:color w:val="auto"/>
          <w:spacing w:val="0"/>
          <w:sz w:val="28"/>
          <w:szCs w:val="28"/>
          <w:highlight w:val="none"/>
          <w:u w:val="single"/>
          <w:shd w:val="clear" w:fill="FFFFFF"/>
        </w:rPr>
        <w:t>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20</w:t>
      </w:r>
      <w:r>
        <w:rPr>
          <w:rFonts w:hint="eastAsia" w:ascii="仿宋_GB2312" w:hAnsi="仿宋_GB2312" w:eastAsia="仿宋_GB2312" w:cs="仿宋_GB2312"/>
          <w:bCs/>
          <w:i w:val="0"/>
          <w:iCs w:val="0"/>
          <w:caps w:val="0"/>
          <w:color w:val="auto"/>
          <w:spacing w:val="0"/>
          <w:sz w:val="28"/>
          <w:szCs w:val="28"/>
          <w:highlight w:val="none"/>
          <w:u w:val="single"/>
          <w:shd w:val="clear" w:fill="FFFFFF"/>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lang w:eastAsia="zh-CN"/>
        </w:rPr>
        <w:t>。</w:t>
      </w:r>
    </w:p>
    <w:p>
      <w:pPr>
        <w:pStyle w:val="24"/>
        <w:adjustRightInd/>
        <w:snapToGrid/>
        <w:spacing w:beforeLines="0" w:afterLines="0" w:line="560" w:lineRule="exact"/>
        <w:ind w:left="0" w:leftChars="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5.16乙方不得散播与本工程项目相关的不实信息，否则，甲方有权单方解除合同，并按</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合同暂定总价的20 %</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fill="FFFFFF"/>
        </w:rPr>
        <w:br w:type="textWrapping"/>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 xml:space="preserve">    </w:t>
      </w:r>
      <w:r>
        <w:rPr>
          <w:rFonts w:hint="eastAsia" w:ascii="仿宋_GB2312" w:hAnsi="仿宋_GB2312" w:cs="仿宋_GB2312"/>
          <w:bCs/>
          <w:color w:val="000000" w:themeColor="text1"/>
          <w:sz w:val="28"/>
          <w:szCs w:val="28"/>
          <w:highlight w:val="none"/>
          <w:lang w:val="en-US" w:eastAsia="zh-CN"/>
          <w14:textFill>
            <w14:solidFill>
              <w14:schemeClr w14:val="tx1"/>
            </w14:solidFill>
          </w14:textFill>
        </w:rPr>
        <w:t>5.17</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1万元</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，超过</w:t>
      </w:r>
      <w:r>
        <w:rPr>
          <w:rFonts w:hint="eastAsia" w:hAnsi="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日，甲方有权解除合同并要求乙方支付</w:t>
      </w:r>
      <w:r>
        <w:rPr>
          <w:rFonts w:hint="eastAsia" w:ascii="仿宋_GB2312" w:hAnsi="仿宋_GB2312" w:eastAsia="仿宋_GB2312" w:cs="仿宋_GB2312"/>
          <w:color w:val="auto"/>
          <w:sz w:val="28"/>
          <w:szCs w:val="28"/>
          <w:highlight w:val="none"/>
          <w:u w:val="single"/>
        </w:rPr>
        <w:t>子项目</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如合同另行约定违约责任，从其约定</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pPr>
        <w:pStyle w:val="24"/>
        <w:adjustRightInd/>
        <w:snapToGrid/>
        <w:spacing w:beforeLines="0" w:afterLines="0" w:line="560" w:lineRule="exact"/>
        <w:ind w:left="0" w:leftChars="0" w:firstLine="560" w:firstLineChars="200"/>
        <w:rPr>
          <w:rFonts w:hint="default"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hAnsi="仿宋_GB2312" w:cs="仿宋_GB2312"/>
          <w:bCs/>
          <w:color w:val="000000" w:themeColor="text1"/>
          <w:sz w:val="28"/>
          <w:szCs w:val="28"/>
          <w:highlight w:val="none"/>
          <w:lang w:val="en-US" w:eastAsia="zh-CN"/>
          <w14:textFill>
            <w14:solidFill>
              <w14:schemeClr w14:val="tx1"/>
            </w14:solidFill>
          </w14:textFill>
        </w:rPr>
        <w:t>5.18在合同有效期内，若乙方发生不履约行为情形的，乙方自愿接受甲方按《广州市净水有限公司经营建设项目参建企业不履约评价管理办法（试行）》处理。具体处理标准详见附件11。</w:t>
      </w:r>
    </w:p>
    <w:p>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实施条件及管理要求</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6.2施工用水用电采用以下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  </w:t>
      </w:r>
      <w:r>
        <w:rPr>
          <w:rFonts w:hint="eastAsia" w:ascii="仿宋_GB2312" w:hAnsi="仿宋_GB2312" w:eastAsia="仿宋_GB2312" w:cs="仿宋_GB2312"/>
          <w:color w:val="000000" w:themeColor="text1"/>
          <w:sz w:val="28"/>
          <w:szCs w:val="28"/>
          <w:highlight w:val="none"/>
          <w14:textFill>
            <w14:solidFill>
              <w14:schemeClr w14:val="tx1"/>
            </w14:solidFill>
          </w14:textFill>
        </w:rPr>
        <w:t>方式执行。</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（1）由甲方提供施工用水用电</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接口，水电费按合同综合单价水电含量计算，从甲方支付的工程款中直接扣回</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（2）由甲方提供施工用水用电接口，费用按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结算，由乙方向甲方或甲方下辖分公司/子公司支付。水电费用按所属供电局、自来水公司收费标准，按实计算。</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（3）由乙方自行负责。</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6.3施工时间安排：上午7：00-12：00，下午14：00-18：00，施工时间如需变动，以甲方的通知为准。</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6.4进场施工人员必须严格遵守</w:t>
      </w:r>
      <w:r>
        <w:rPr>
          <w:rFonts w:hint="eastAsia" w:ascii="仿宋_GB2312" w:hAnsi="仿宋_GB2312" w:eastAsia="仿宋_GB2312" w:cs="仿宋_GB2312"/>
          <w:color w:val="000000" w:themeColor="text1"/>
          <w:kern w:val="10"/>
          <w:sz w:val="28"/>
          <w:szCs w:val="28"/>
          <w:highlight w:val="none"/>
          <w14:textFill>
            <w14:solidFill>
              <w14:schemeClr w14:val="tx1"/>
            </w14:solidFill>
          </w14:textFill>
        </w:rPr>
        <w:t>污水处理厂</w:t>
      </w:r>
      <w:r>
        <w:rPr>
          <w:rFonts w:hint="eastAsia" w:ascii="仿宋_GB2312" w:hAnsi="仿宋_GB2312" w:eastAsia="仿宋_GB2312" w:cs="仿宋_GB2312"/>
          <w:color w:val="000000" w:themeColor="text1"/>
          <w:sz w:val="28"/>
          <w:szCs w:val="28"/>
          <w:highlight w:val="none"/>
          <w14:textFill>
            <w14:solidFill>
              <w14:schemeClr w14:val="tx1"/>
            </w14:solidFill>
          </w14:textFill>
        </w:rPr>
        <w:t>一切规章制度。进入施工现场人员必须佩戴出入证，并自觉接受门岗检查。</w:t>
      </w:r>
    </w:p>
    <w:p>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6.5环境保护要求：</w:t>
      </w:r>
    </w:p>
    <w:p>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（1）做好施工噪声、废气、废水等控制；</w:t>
      </w:r>
    </w:p>
    <w:p>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（2）按照国家及广州市相关规定做好建筑垃圾的处理。</w:t>
      </w:r>
    </w:p>
    <w:p>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6.6按相关法律法规及甲方相关作业施工管理要求执行。</w:t>
      </w:r>
    </w:p>
    <w:p>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6.7关于工程签证及变更</w:t>
      </w:r>
    </w:p>
    <w:p>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6.7.1 合同工程实施过程中如产生签证或变更，均需由甲乙双方、设计单位（如有）、监理单位（如有）协商一致，并以书面形式进行确认（具体流程按照甲方项目实施管理办法执行）。</w:t>
      </w:r>
    </w:p>
    <w:p>
      <w:pPr>
        <w:pStyle w:val="24"/>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6.7.2任何未经确认的签证或变更，甲方不予确认支付。乙方自行承担所发生的费用及返工责任。</w:t>
      </w:r>
    </w:p>
    <w:p>
      <w:pPr>
        <w:pStyle w:val="14"/>
        <w:spacing w:beforeLines="0" w:afterLines="0" w:line="56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第七条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材料及设备供应</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本项目承包范围内所需的设备材料、成品、未成品、运输、保管、质量等责任均由乙方承担。甲方不提供材料。</w:t>
      </w:r>
    </w:p>
    <w:p>
      <w:pPr>
        <w:spacing w:beforeLines="0" w:afterLines="0" w:line="560" w:lineRule="exact"/>
        <w:ind w:left="-2" w:leftChars="-1"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7.1采购供应的材料、其名称、品种、型号、规格、质量等，均应符合国家、地方及行业有关规范及要求。</w:t>
      </w:r>
    </w:p>
    <w:p>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7.2所有材料必须具备合格证明，并保证产品的有效性。</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pPr>
        <w:tabs>
          <w:tab w:val="left" w:pos="360"/>
        </w:tabs>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7.4乙方必须根据投标文件/询价响应文件（如有）上主要材料的明细（包括厂家、规格、品质等级等）提供材料。工程实施时，如发现材料不一致，甲方有权拒用，造成损失由乙方承担。</w:t>
      </w:r>
    </w:p>
    <w:p>
      <w:pPr>
        <w:tabs>
          <w:tab w:val="left" w:pos="360"/>
        </w:tabs>
        <w:spacing w:beforeLines="0" w:afterLines="0" w:line="560" w:lineRule="exact"/>
        <w:ind w:firstLine="48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7.5 甲方有权对施工质量进行监督、检查或检验，也可自行委托第三方进行质量检验，甲方或第三方的检验结果作为最终的质量评定结果。</w:t>
      </w:r>
    </w:p>
    <w:p>
      <w:pPr>
        <w:pStyle w:val="24"/>
        <w:spacing w:beforeLines="0" w:afterLines="0" w:line="560" w:lineRule="exact"/>
        <w:ind w:firstLine="560" w:firstLineChars="200"/>
        <w:rPr>
          <w:rFonts w:hint="eastAsia"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7.6</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对施工材料进行抽样送检，送检不合格的，</w:t>
      </w:r>
      <w:r>
        <w:rPr>
          <w:rFonts w:hint="eastAsia" w:ascii="仿宋_GB2312" w:hAnsi="仿宋_GB2312" w:eastAsia="仿宋_GB2312" w:cs="仿宋_GB2312"/>
          <w:color w:val="auto"/>
          <w:sz w:val="28"/>
          <w:szCs w:val="28"/>
          <w:highlight w:val="none"/>
        </w:rPr>
        <w:t>对乙方处以</w:t>
      </w:r>
      <w:r>
        <w:rPr>
          <w:rFonts w:hint="eastAsia" w:ascii="仿宋_GB2312" w:hAnsi="仿宋_GB2312" w:eastAsia="仿宋_GB2312" w:cs="仿宋_GB2312"/>
          <w:color w:val="auto"/>
          <w:sz w:val="28"/>
          <w:szCs w:val="28"/>
          <w:highlight w:val="none"/>
          <w:u w:val="single"/>
          <w:lang w:val="en-US" w:eastAsia="zh-CN"/>
        </w:rPr>
        <w:t>该批材料价格的</w:t>
      </w:r>
      <w:r>
        <w:rPr>
          <w:rFonts w:hint="eastAsia" w:hAnsi="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rPr>
        <w:t>的处罚</w:t>
      </w:r>
      <w:r>
        <w:rPr>
          <w:rFonts w:hint="eastAsia" w:ascii="仿宋_GB2312" w:hAnsi="仿宋_GB2312" w:eastAsia="仿宋_GB2312" w:cs="仿宋_GB2312"/>
          <w:color w:val="auto"/>
          <w:sz w:val="28"/>
          <w:szCs w:val="28"/>
          <w:highlight w:val="none"/>
          <w:lang w:eastAsia="zh-CN"/>
        </w:rPr>
        <w:t>。检测费用先由乙方支付，如果检验结果为不合格，则该费用由乙方承担，如果检验结果为合格，则该费用由甲方承担。</w:t>
      </w:r>
    </w:p>
    <w:p>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承包范围之内工程所用之设备，由乙方提供。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第八条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付</w:t>
      </w:r>
      <w:r>
        <w:rPr>
          <w:rFonts w:hint="eastAsia" w:ascii="仿宋_GB2312" w:hAnsi="仿宋_GB2312" w:eastAsia="仿宋_GB2312" w:cs="仿宋_GB2312"/>
          <w:b/>
          <w:color w:val="000000" w:themeColor="text1"/>
          <w:sz w:val="28"/>
          <w:szCs w:val="28"/>
          <w:highlight w:val="none"/>
          <w14:textFill>
            <w14:solidFill>
              <w14:schemeClr w14:val="tx1"/>
            </w14:solidFill>
          </w14:textFill>
        </w:rPr>
        <w:t>款及履约担保</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8.1</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预付款的支付：</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F0A8"/>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无；</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有,合同签订后，乙方开具等额的增值税专用发票及</w:t>
      </w:r>
      <w:r>
        <w:rPr>
          <w:rFonts w:hint="eastAsia" w:ascii="仿宋_GB2312" w:hAnsi="仿宋_GB2312" w:eastAsia="仿宋_GB2312" w:cs="仿宋_GB2312"/>
          <w:bCs w:val="0"/>
          <w:color w:val="000000" w:themeColor="text1"/>
          <w:sz w:val="28"/>
          <w:szCs w:val="28"/>
          <w:highlight w:val="none"/>
          <w:u w:val="single"/>
          <w:lang w:val="en-US" w:eastAsia="zh-CN"/>
          <w14:textFill>
            <w14:solidFill>
              <w14:schemeClr w14:val="tx1"/>
            </w14:solidFill>
          </w14:textFill>
        </w:rPr>
        <w:t>提交预付款担保及履约担保）</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后</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bCs w:val="0"/>
          <w:color w:val="000000" w:themeColor="text1"/>
          <w:sz w:val="28"/>
          <w:szCs w:val="28"/>
          <w:highlight w:val="none"/>
          <w:u w:val="single"/>
          <w14:textFill>
            <w14:solidFill>
              <w14:schemeClr w14:val="tx1"/>
            </w14:solidFill>
          </w14:textFill>
        </w:rPr>
        <w:t>10 个</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工作日内，甲方支付合同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暂定总价</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不含暂列金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即</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元，（大写：</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作为预付款。</w:t>
      </w:r>
      <w:r>
        <w:rPr>
          <w:rFonts w:hint="eastAsia" w:ascii="仿宋_GB2312" w:hAnsi="仿宋_GB2312" w:eastAsia="仿宋_GB2312" w:cs="仿宋_GB2312"/>
          <w:color w:val="000000" w:themeColor="text1"/>
          <w:sz w:val="28"/>
          <w:szCs w:val="28"/>
          <w:highlight w:val="none"/>
          <w14:textFill>
            <w14:solidFill>
              <w14:schemeClr w14:val="tx1"/>
            </w14:solidFill>
          </w14:textFill>
        </w:rPr>
        <w:t>若合同解除或终止，乙方在</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个工作日内返还预付款（无息）。</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逾期未返还，每逾期一天，乙方应按</w:t>
      </w:r>
      <w:r>
        <w:rPr>
          <w:rFonts w:hint="eastAsia" w:ascii="仿宋_GB2312" w:hAnsi="仿宋_GB2312" w:eastAsia="仿宋_GB2312" w:cs="仿宋_GB2312"/>
          <w:bCs w:val="0"/>
          <w:color w:val="000000" w:themeColor="text1"/>
          <w:kern w:val="2"/>
          <w:sz w:val="28"/>
          <w:szCs w:val="28"/>
          <w:highlight w:val="none"/>
          <w:u w:val="single"/>
          <w14:textFill>
            <w14:solidFill>
              <w14:schemeClr w14:val="tx1"/>
            </w14:solidFill>
          </w14:textFill>
        </w:rPr>
        <w:t>合同暂定总价的万分之五/天</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pStyle w:val="14"/>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8.2各子项目完成安全备案审批表的审批且设备材料进场工作量达到或超过对应子项目合同暂定价的50%后，由乙方提交申请支付资料15个工作日内，甲方项目对应分公司支付至对应子项目合同暂定价</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不含暂列金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的50％给乙方。</w:t>
      </w:r>
    </w:p>
    <w:p>
      <w:pPr>
        <w:pStyle w:val="14"/>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子项项目</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完工验收合格</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并提交工人工资结清证明（格式参照附件10）后</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由乙方提交申请支付资料 15 个工作日内，甲方支付</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至</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实际完成工作量</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80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％给乙方</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含预付款及已支付工人工资</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default" w:ascii="仿宋_GB2312" w:hAnsi="仿宋_GB2312" w:eastAsia="仿宋_GB2312" w:cs="仿宋_GB2312"/>
          <w:color w:val="000000" w:themeColor="text1"/>
          <w:sz w:val="28"/>
          <w:szCs w:val="28"/>
          <w:highlight w:val="none"/>
          <w:lang w:val="en-US"/>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子项目竣工验收合格后，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经甲方或</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甲方委托有资质第三方机构审核后，由乙方提交申请支付资料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项目对应分公司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支付至</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auto"/>
          <w:sz w:val="28"/>
          <w:szCs w:val="28"/>
          <w:highlight w:val="none"/>
        </w:rPr>
        <w:t>(含因乙方未按规定履行合同约定而产生的各种违约金、扣罚金、赔偿金以及应由乙方交纳的各种费用等)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default" w:ascii="仿宋_GB2312" w:hAnsi="仿宋_GB2312" w:eastAsia="仿宋_GB2312" w:cs="仿宋_GB2312"/>
          <w:color w:val="000000" w:themeColor="text1"/>
          <w:sz w:val="28"/>
          <w:szCs w:val="28"/>
          <w:highlight w:val="none"/>
          <w:lang w:val="en-US"/>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.2质保期按合同第十条规定执行，质保期满后且乙方不存在违约情形，由乙方提交申请质保金退还资料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项目对应分公司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对应</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％（质保金）给乙方（无息）。</w:t>
      </w:r>
    </w:p>
    <w:p>
      <w:pPr>
        <w:keepNext w:val="0"/>
        <w:keepLines w:val="0"/>
        <w:pageBreakBefore w:val="0"/>
        <w:widowControl w:val="0"/>
        <w:kinsoku/>
        <w:wordWrap/>
        <w:overflowPunct/>
        <w:bidi w:val="0"/>
        <w:spacing w:beforeLines="0" w:afterLines="0" w:line="560" w:lineRule="exact"/>
        <w:ind w:firstLine="548"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3"/>
          <w:sz w:val="28"/>
          <w:szCs w:val="28"/>
          <w:highlight w:val="none"/>
          <w:lang w:val="en-US" w:eastAsia="zh-CN"/>
          <w14:textFill>
            <w14:solidFill>
              <w14:schemeClr w14:val="tx1"/>
            </w14:solidFill>
          </w14:textFill>
        </w:rPr>
        <w:t>8.</w:t>
      </w:r>
      <w:r>
        <w:rPr>
          <w:rFonts w:hint="default" w:ascii="仿宋_GB2312" w:hAnsi="仿宋_GB2312" w:eastAsia="仿宋_GB2312" w:cs="仿宋_GB2312"/>
          <w:color w:val="000000" w:themeColor="text1"/>
          <w:spacing w:val="-3"/>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如出现合同费用超付，乙方应在获知超付之日起</w:t>
      </w:r>
      <w:r>
        <w:rPr>
          <w:rFonts w:hint="eastAsia" w:ascii="仿宋_GB2312" w:hAnsi="仿宋_GB2312" w:eastAsia="仿宋_GB2312" w:cs="仿宋_GB2312"/>
          <w:color w:val="000000" w:themeColor="text1"/>
          <w:spacing w:val="-3"/>
          <w:sz w:val="28"/>
          <w:szCs w:val="28"/>
          <w:highlight w:val="none"/>
          <w:u w:val="single"/>
          <w14:textFill>
            <w14:solidFill>
              <w14:schemeClr w14:val="tx1"/>
            </w14:solidFill>
          </w14:textFill>
        </w:rPr>
        <w:t>7个</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工作日内返还超付款项（无息）。</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每逾期一周乙方承担超付款项的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的逾期违约金，且支付超付款项相应存款利息。</w:t>
      </w:r>
    </w:p>
    <w:p>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结算审定价超过合同暂定总价时，暂停合同的工程款支付程序，签订补充协议后支付。</w:t>
      </w:r>
    </w:p>
    <w:p>
      <w:pPr>
        <w:pStyle w:val="14"/>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本项目工程款的支付单位为：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甲方项目对应分公司 </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乙方收款账户：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收款账号：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pPr>
        <w:spacing w:beforeLines="0" w:afterLines="0" w:line="560" w:lineRule="exact"/>
        <w:ind w:firstLine="560" w:firstLineChars="200"/>
        <w:outlineLvl w:val="9"/>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乙方在收款前需提交等额增值税专用发票给甲方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，乙方提交的发票被作废或红冲的，在乙方更换有效发票前，甲方有权要求退回该发票对应的已支付款项并不再给予支付后续的全部合同款项，由此造成甲方损失的，由乙方承担赔偿责任</w:t>
      </w:r>
      <w:r>
        <w:rPr>
          <w:rFonts w:hint="eastAsia" w:ascii="仿宋_GB2312" w:hAnsi="仿宋_GB2312" w:eastAsia="仿宋_GB2312" w:cs="仿宋_GB2312"/>
          <w:color w:val="000000" w:themeColor="text1"/>
          <w:sz w:val="28"/>
          <w:szCs w:val="28"/>
          <w:highlight w:val="none"/>
          <w14:textFill>
            <w14:solidFill>
              <w14:schemeClr w14:val="tx1"/>
            </w14:solidFill>
          </w14:textFill>
        </w:rPr>
        <w:t>。增值税专用发票信息：</w:t>
      </w:r>
    </w:p>
    <w:p>
      <w:pPr>
        <w:spacing w:beforeLines="0" w:afterLines="0" w:line="560" w:lineRule="exact"/>
        <w:ind w:firstLine="560" w:firstLineChars="200"/>
        <w:outlineLvl w:val="9"/>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名称：广州市净水有限公司</w:t>
      </w:r>
    </w:p>
    <w:p>
      <w:pPr>
        <w:spacing w:beforeLines="0" w:afterLines="0" w:line="560" w:lineRule="exact"/>
        <w:ind w:firstLine="560" w:firstLineChars="200"/>
        <w:outlineLvl w:val="9"/>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税号：91440101755584729Q</w:t>
      </w:r>
    </w:p>
    <w:p>
      <w:pPr>
        <w:spacing w:beforeLines="0" w:afterLines="0" w:line="560" w:lineRule="exact"/>
        <w:ind w:firstLine="560" w:firstLineChars="200"/>
        <w:outlineLvl w:val="9"/>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地址：广州市天河区临江大道501号</w:t>
      </w:r>
    </w:p>
    <w:p>
      <w:pPr>
        <w:spacing w:beforeLines="0" w:afterLines="0" w:line="560" w:lineRule="exact"/>
        <w:ind w:firstLine="560" w:firstLineChars="200"/>
        <w:outlineLvl w:val="9"/>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账号名：广州市净水有限公司</w:t>
      </w:r>
    </w:p>
    <w:p>
      <w:pPr>
        <w:spacing w:beforeLines="0" w:afterLines="0" w:line="560" w:lineRule="exact"/>
        <w:ind w:firstLine="560" w:firstLineChars="200"/>
        <w:outlineLvl w:val="9"/>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开户行：民生银行广州分行</w:t>
      </w:r>
    </w:p>
    <w:p>
      <w:pPr>
        <w:spacing w:beforeLines="0" w:afterLines="0" w:line="560" w:lineRule="exact"/>
        <w:ind w:firstLine="560" w:firstLineChars="200"/>
        <w:outlineLvl w:val="9"/>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银行账号：0301014140006932</w:t>
      </w:r>
    </w:p>
    <w:p>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及预付款担保</w:t>
      </w:r>
    </w:p>
    <w:p>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F0A8"/>
      </w: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无；    </w:t>
      </w:r>
      <w:r>
        <w:rPr>
          <w:rFonts w:hint="eastAsia" w:ascii="仿宋_GB2312" w:hAnsi="仿宋_GB2312" w:eastAsia="仿宋_GB2312" w:cs="仿宋_GB2312"/>
          <w:bCs/>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有，</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乙方于</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本合同签订后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按照</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价的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0%</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提交</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金额为：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（大写人民币：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未按时提供履约担保的，甲方有权解除合同并要求乙方支付</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履约担保按以下任一种形式提供：</w:t>
      </w:r>
    </w:p>
    <w:p>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（1）符合甲方要求（详见附件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保函格式）的银行独立保函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pStyle w:val="21"/>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（2）担保公司担保：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所在地担保公司出具并经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认可的无条件、不可撤销的连带担保</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pStyle w:val="21"/>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保证保险：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所在地保险公司出具并经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认可的无条件、不可撤销的保证保险</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现金转账至甲方以下指定账户：</w:t>
      </w:r>
    </w:p>
    <w:p>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户名：</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广州市净水有限公司</w:t>
      </w:r>
    </w:p>
    <w:p>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账号：</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82010154900000342 </w:t>
      </w:r>
    </w:p>
    <w:p>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开户行：</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浦发银行广州分行 </w:t>
      </w:r>
    </w:p>
    <w:p>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履约担保的担保期限和返还</w:t>
      </w:r>
    </w:p>
    <w:p>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担保期限：从提供履约担保（或转账成功）之日起至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履约银行保函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担保公司担保、保证保险</w:t>
      </w: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后，由乙方提出申请，甲方在28日内返还，不支付利息：</w:t>
      </w:r>
    </w:p>
    <w:p>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延长担保期限。乙方应在履约担保有效期届满之日的7天前，向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提交同样格式且更新日期后的有效担保替代原担保，否则，每逾期一天，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应向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2万元/天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且</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甲方有权提取全部履约担保金额并解除合同。</w:t>
      </w:r>
    </w:p>
    <w:p>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现金履约保证金的退还：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内将剩余保证金（无息）返还。</w:t>
      </w:r>
    </w:p>
    <w:p>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甲方按本合同规定提取履约担保金额后，乙方应在收到甲方通知后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日内补足数额，逾期未补足的，则甲方有权提取履约担保的全部余额并解除合同。</w:t>
      </w:r>
    </w:p>
    <w:p>
      <w:pPr>
        <w:spacing w:beforeLines="0" w:afterLines="0" w:line="560" w:lineRule="exact"/>
        <w:ind w:left="478" w:leftChars="228" w:firstLine="0" w:firstLineChars="0"/>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w:t>
      </w:r>
    </w:p>
    <w:p>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（1）</w:t>
      </w:r>
      <w:r>
        <w:rPr>
          <w:rFonts w:hint="eastAsia" w:ascii="仿宋_GB2312" w:hAnsi="仿宋_GB2312" w:eastAsia="仿宋_GB2312" w:cs="仿宋_GB2312"/>
          <w:color w:val="000000"/>
          <w:kern w:val="0"/>
          <w:sz w:val="28"/>
          <w:szCs w:val="28"/>
          <w:highlight w:val="none"/>
          <w:lang w:val="en-US" w:eastAsia="zh-CN"/>
        </w:rPr>
        <w:t>乙方向甲方提供无条件、不可撤销的银行独立保函作为预付款担保（预付款保函格式详见附件）。</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预付款担保的担保金额应与预付款金额相同。预付款从应支付给乙方的进度款中扣回。</w:t>
      </w:r>
    </w:p>
    <w:p>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（2）预付款担保应在预付款扣清后</w:t>
      </w:r>
      <w:r>
        <w:rPr>
          <w:rFonts w:hint="eastAsia" w:ascii="仿宋_GB2312" w:hAnsi="仿宋_GB2312" w:eastAsia="仿宋_GB2312" w:cs="仿宋_GB2312"/>
          <w:i w:val="0"/>
          <w:iCs w:val="0"/>
          <w:caps w:val="0"/>
          <w:color w:val="000000" w:themeColor="text1"/>
          <w:spacing w:val="0"/>
          <w:sz w:val="28"/>
          <w:szCs w:val="28"/>
          <w:highlight w:val="none"/>
          <w:u w:val="single"/>
          <w:shd w:val="clear"/>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14:textFill>
            <w14:solidFill>
              <w14:schemeClr w14:val="tx1"/>
            </w14:solidFill>
          </w14:textFill>
        </w:rPr>
        <w:t>28</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日内退还给乙方。甲方不承</w:t>
      </w:r>
    </w:p>
    <w:p>
      <w:pPr>
        <w:spacing w:beforeLines="0" w:afterLines="0" w:line="560" w:lineRule="exact"/>
        <w:ind w:left="0" w:leftChars="0" w:firstLine="0" w:firstLineChars="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担乙方与预付款担保有关的任何利息或其他类似的费用或收益</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p>
    <w:p>
      <w:pPr>
        <w:adjustRightInd/>
        <w:snapToGrid/>
        <w:spacing w:beforeLines="0" w:afterLines="0" w:line="560" w:lineRule="exact"/>
        <w:ind w:firstLine="560" w:firstLineChars="200"/>
        <w:jc w:val="left"/>
        <w:outlineLvl w:val="9"/>
        <w:rPr>
          <w:rFonts w:hint="eastAsia" w:ascii="仿宋_GB2312" w:hAnsi="仿宋_GB2312" w:eastAsia="仿宋_GB2312" w:cs="仿宋_GB2312"/>
          <w:bCs/>
          <w:color w:val="000000" w:themeColor="text1"/>
          <w:sz w:val="28"/>
          <w:szCs w:val="28"/>
          <w:highlight w:val="none"/>
          <w:bdr w:val="single" w:color="auto" w:sz="4" w:space="0"/>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8.1</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付款方式：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网银支付；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支票；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spacing w:beforeLines="0" w:afterLines="0" w:line="560" w:lineRule="exact"/>
        <w:ind w:firstLine="560"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第九条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竣工验收</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9.1乙方应在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子项目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工程完工后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30天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内将经甲方审核的完整竣工资料（含竣工图）和竣工验收报告各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一式四份</w:t>
      </w:r>
      <w:r>
        <w:rPr>
          <w:rFonts w:hint="eastAsia" w:ascii="仿宋_GB2312" w:hAnsi="仿宋_GB2312" w:eastAsia="仿宋_GB2312" w:cs="仿宋_GB2312"/>
          <w:color w:val="000000" w:themeColor="text1"/>
          <w:sz w:val="28"/>
          <w:szCs w:val="28"/>
          <w:highlight w:val="none"/>
          <w14:textFill>
            <w14:solidFill>
              <w14:schemeClr w14:val="tx1"/>
            </w14:solidFill>
          </w14:textFill>
        </w:rPr>
        <w:t>交甲方，不按时报送工程竣工资料的，每逾期一天，甲方要求乙方支付</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bidi="ar"/>
          <w14:textFill>
            <w14:solidFill>
              <w14:schemeClr w14:val="tx1"/>
            </w14:solidFill>
          </w14:textFill>
        </w:rPr>
        <w:t>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万分之五/天</w:t>
      </w:r>
      <w:r>
        <w:rPr>
          <w:rFonts w:hint="eastAsia" w:ascii="仿宋_GB2312" w:hAnsi="仿宋_GB2312" w:eastAsia="仿宋_GB2312" w:cs="仿宋_GB2312"/>
          <w:color w:val="000000" w:themeColor="text1"/>
          <w:sz w:val="28"/>
          <w:szCs w:val="28"/>
          <w:highlight w:val="none"/>
          <w14:textFill>
            <w14:solidFill>
              <w14:schemeClr w14:val="tx1"/>
            </w14:solidFill>
          </w14:textFill>
        </w:rPr>
        <w:t>，并在支付合同款时抵扣。</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9.2甲方收到完整的竣工验收资料（完整的竣工验收资料：施工方案、开工/竣工报告、安全备案整套资料、本合同书、</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招标</w:t>
      </w:r>
      <w:r>
        <w:rPr>
          <w:rFonts w:hint="eastAsia" w:ascii="仿宋_GB2312" w:hAnsi="仿宋_GB2312" w:eastAsia="仿宋_GB2312" w:cs="仿宋_GB2312"/>
          <w:color w:val="000000" w:themeColor="text1"/>
          <w:sz w:val="28"/>
          <w:szCs w:val="28"/>
          <w:highlight w:val="none"/>
          <w14:textFill>
            <w14:solidFill>
              <w14:schemeClr w14:val="tx1"/>
            </w14:solidFill>
          </w14:textFill>
        </w:rPr>
        <w:t>文件/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投标</w:t>
      </w:r>
      <w:r>
        <w:rPr>
          <w:rFonts w:hint="eastAsia" w:ascii="仿宋_GB2312" w:hAnsi="仿宋_GB2312" w:eastAsia="仿宋_GB2312" w:cs="仿宋_GB2312"/>
          <w:color w:val="000000" w:themeColor="text1"/>
          <w:sz w:val="28"/>
          <w:szCs w:val="28"/>
          <w:highlight w:val="none"/>
          <w14:textFill>
            <w14:solidFill>
              <w14:schemeClr w14:val="tx1"/>
            </w14:solidFill>
          </w14:textFill>
        </w:rPr>
        <w:t>文件、中标通知书/发包通知书/委托书、工程预算送审报告、工程结算书/签证记录、备件开箱记录表或送货单、竣工图等，如有必须提供）和竣工验收报告后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内组织有关单位进行验收，工程竣工验收严格按国家、省、市、部门有关文件执行，并在验收后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内给予认可或提出修改意见。乙方按要求修改，并承担修改的费用。</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9.3工程竣工验收通过，乙方送交完整的竣工验收资料和竣工验收报告的日期为实际竣工日期。工程按甲方要求修改后通过竣工验收的，实际竣工日期为乙方修改后提请甲方验收的日期。</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9.4隐蔽工程验收</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当项目具备覆盖、掩盖条件或达到中间验收部位后，乙方自检，并提前48 小时以书面形式通知甲方参加验收，经甲方验收合格并在验收记录上签字后，方可进行隐蔽和继续施工。</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lang w:val="en-US" w:eastAsia="zh-CN" w:bidi="ar"/>
          <w14:textFill>
            <w14:solidFill>
              <w14:schemeClr w14:val="tx1"/>
            </w14:solidFill>
          </w14:textFill>
        </w:rPr>
        <w:t>9.5</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 xml:space="preserve"> 工程竣工验收通过后</w:t>
      </w:r>
      <w:r>
        <w:rPr>
          <w:rFonts w:hint="eastAsia" w:ascii="仿宋_GB2312" w:hAnsi="仿宋_GB2312" w:eastAsia="仿宋_GB2312" w:cs="仿宋_GB2312"/>
          <w:i w:val="0"/>
          <w:iCs w:val="0"/>
          <w:caps w:val="0"/>
          <w:color w:val="000000" w:themeColor="text1"/>
          <w:spacing w:val="0"/>
          <w:kern w:val="2"/>
          <w:sz w:val="28"/>
          <w:szCs w:val="28"/>
          <w:highlight w:val="none"/>
          <w:u w:val="single"/>
          <w:shd w:val="clear" w:fill="auto"/>
          <w:lang w:val="en-US" w:eastAsia="zh-CN" w:bidi="ar"/>
          <w14:textFill>
            <w14:solidFill>
              <w14:schemeClr w14:val="tx1"/>
            </w14:solidFill>
          </w14:textFill>
        </w:rPr>
        <w:t xml:space="preserve"> 7 日</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内，乙方应按以下要求对施工场地进行清理，直至甲方检验合格为止。竣工清场费用由乙方承担。</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（1）清除施工场地内残留的垃圾（包括但不限于：施工的淤泥渣土、废弃的施工设备和材料等)。</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（2）如涉及临时工程，乙方负责拆除并对场地进行清理、平整或复原。</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478" w:leftChars="228" w:right="0" w:firstLine="0" w:firstLineChars="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（3）对乙方设备和剩余的材料进行撤场。</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leftChars="0" w:right="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如乙方逾期未能对施工场地进行清理，甲方有权委托第三方清理，清理费用由乙方承担，并在应付款项中抵扣。</w:t>
      </w:r>
    </w:p>
    <w:p>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lang w:eastAsia="zh-CN" w:bidi="ar"/>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lang w:val="en-US" w:eastAsia="zh-CN" w:bidi="ar"/>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 竣工档案的整理和移交</w:t>
      </w:r>
    </w:p>
    <w:p>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（a）竣工文件资料、竣工图档案（原件）各一式四份；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（b）与本款（a）项内容相同的电子版档案一式二份；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（2）乙方移交竣工档案的时限：乙方应于工程竣工验收后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30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内将竣工档案提交甲方签认。乙方应于甲方签认后 </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内将竣工档案移交给甲方归档并同时移交有关归档的证明文件。甲方经审查合格的，应在收到竣工档案后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内签署档案验收意见；不合格的，乙方应按甲方要求限期补正，直至合格为止。乙超过本条规定的时限，每逾期一天</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eastAsia="zh-CN" w:bidi="ar"/>
          <w14:textFill>
            <w14:solidFill>
              <w14:schemeClr w14:val="tx1"/>
            </w14:solidFill>
          </w14:textFill>
        </w:rPr>
        <w:t>对应子项目合同暂定总价</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万分之五/天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违约金。</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3）电子版竣工图的编制，以甲方提供的电子版施工图为基础。乙方在移交竣工档案时，应一并移交甲方提供的电子版施工图。电子版施工图和电子版竣工图的知识产权归属甲方所有，非经甲方许可，乙方不得以任何方式复制、备份、转让和利用。否则，由此引起的任何纠纷和责任由乙方承担。</w:t>
      </w:r>
    </w:p>
    <w:p>
      <w:pPr>
        <w:widowControl w:val="0"/>
        <w:pBdr>
          <w:top w:val="none" w:color="auto" w:sz="0" w:space="0"/>
          <w:left w:val="none" w:color="auto" w:sz="0" w:space="0"/>
          <w:bottom w:val="none" w:color="auto" w:sz="0" w:space="0"/>
          <w:right w:val="none" w:color="auto" w:sz="0" w:space="0"/>
        </w:pBd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bidi="ar"/>
          <w14:textFill>
            <w14:solidFill>
              <w14:schemeClr w14:val="tx1"/>
            </w14:solidFill>
          </w14:textFill>
        </w:rPr>
        <w:t>9.7</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本合同竣工验收单位为</w:t>
      </w:r>
      <w:r>
        <w:rPr>
          <w:rFonts w:hint="eastAsia" w:ascii="仿宋_GB2312" w:hAnsi="仿宋_GB2312" w:eastAsia="仿宋_GB2312" w:cs="仿宋_GB2312"/>
          <w:color w:val="000000" w:themeColor="text1"/>
          <w:sz w:val="28"/>
          <w:szCs w:val="28"/>
          <w:highlight w:val="none"/>
          <w:u w:val="none"/>
          <w:lang w:eastAsia="zh-CN" w:bidi="ar"/>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bidi="ar"/>
          <w14:textFill>
            <w14:solidFill>
              <w14:schemeClr w14:val="tx1"/>
            </w14:solidFill>
          </w14:textFill>
        </w:rPr>
        <w:t>广州市净水有限公司项目对应分公司</w:t>
      </w:r>
      <w:r>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t>。</w:t>
      </w:r>
    </w:p>
    <w:p>
      <w:pPr>
        <w:numPr>
          <w:ilvl w:val="0"/>
          <w:numId w:val="1"/>
        </w:numPr>
        <w:spacing w:before="0" w:beforeLines="0" w:afterLines="0" w:line="560" w:lineRule="exact"/>
        <w:ind w:firstLine="560"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bookmarkStart w:id="2" w:name="_Toc518992994"/>
      <w:bookmarkStart w:id="3" w:name="_Toc520190034"/>
      <w:bookmarkStart w:id="4" w:name="_Toc474245220"/>
      <w:r>
        <w:rPr>
          <w:rFonts w:hint="eastAsia" w:ascii="仿宋_GB2312" w:hAnsi="仿宋_GB2312" w:eastAsia="仿宋_GB2312" w:cs="仿宋_GB2312"/>
          <w:b/>
          <w:bCs/>
          <w:color w:val="000000" w:themeColor="text1"/>
          <w:sz w:val="28"/>
          <w:szCs w:val="28"/>
          <w:highlight w:val="none"/>
          <w14:textFill>
            <w14:solidFill>
              <w14:schemeClr w14:val="tx1"/>
            </w14:solidFill>
          </w14:textFill>
        </w:rPr>
        <w:t>质量保证</w:t>
      </w:r>
      <w:bookmarkEnd w:id="2"/>
      <w:bookmarkEnd w:id="3"/>
      <w:bookmarkEnd w:id="4"/>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10.1乙方保证所承包的项目质量符合国家相关标准和规范。对产品质量依据原厂商标准及国家标准从严执行。</w:t>
      </w:r>
    </w:p>
    <w:p>
      <w:pPr>
        <w:autoSpaceDE/>
        <w:autoSpaceDN/>
        <w:adjustRightInd/>
        <w:spacing w:beforeLines="0" w:afterLines="0" w:line="560" w:lineRule="exact"/>
        <w:ind w:left="0" w:firstLine="560" w:firstLineChars="200"/>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10.2本项目质量保修期为</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自验收合格之日起</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壹</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年</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,且不低于法定保修年限。</w:t>
      </w:r>
    </w:p>
    <w:p>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10.3质量保修期期间，本项目的质量问题由乙方免费提供保修服务，乙方应在收到甲方通知后</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2 </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日内派人员到场负责解决及维修，如果乙方不按时到场维修或到场后不能修复的，甲方有权委托他人予以维修，乙方承担由此发生的费用并支付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合同暂定总价的10%/次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p>
    <w:p>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10.4</w:t>
      </w:r>
      <w:r>
        <w:rPr>
          <w:rFonts w:hint="eastAsia" w:ascii="仿宋_GB2312" w:hAnsi="仿宋_GB2312" w:eastAsia="仿宋_GB2312" w:cs="仿宋_GB2312"/>
          <w:color w:val="000000" w:themeColor="text1"/>
          <w:sz w:val="28"/>
          <w:szCs w:val="28"/>
          <w:highlight w:val="none"/>
          <w14:textFill>
            <w14:solidFill>
              <w14:schemeClr w14:val="tx1"/>
            </w14:solidFill>
          </w14:textFill>
        </w:rPr>
        <w:t>约定的保修期限终止后，由乙方提出支付申请，甲方审核后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内将剩余的质量保证金（无息）返还。</w:t>
      </w:r>
    </w:p>
    <w:p>
      <w:p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5" w:name="_Toc107447255"/>
      <w:bookmarkStart w:id="6" w:name="_Toc520190040"/>
      <w:bookmarkStart w:id="7" w:name="_Toc19692"/>
      <w:bookmarkStart w:id="8" w:name="_Toc474245226"/>
      <w:bookmarkStart w:id="9" w:name="_Toc306350467"/>
      <w:bookmarkStart w:id="10" w:name="_Toc107446862"/>
      <w:bookmarkStart w:id="11" w:name="_Toc518993000"/>
      <w:bookmarkStart w:id="12" w:name="_Toc183666531"/>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不可抗力</w:t>
      </w:r>
      <w:bookmarkEnd w:id="5"/>
      <w:bookmarkEnd w:id="6"/>
      <w:bookmarkEnd w:id="7"/>
      <w:bookmarkEnd w:id="8"/>
      <w:bookmarkEnd w:id="9"/>
      <w:bookmarkEnd w:id="10"/>
      <w:bookmarkEnd w:id="11"/>
      <w:bookmarkEnd w:id="12"/>
    </w:p>
    <w:p>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13" w:name="_Toc12010"/>
      <w:bookmarkStart w:id="14" w:name="_Toc183666532"/>
      <w:bookmarkStart w:id="15" w:name="_Toc306350468"/>
      <w:r>
        <w:rPr>
          <w:rFonts w:hint="eastAsia" w:ascii="仿宋_GB2312" w:hAnsi="仿宋_GB2312" w:eastAsia="仿宋_GB2312" w:cs="仿宋_GB2312"/>
          <w:bCs/>
          <w:color w:val="000000" w:themeColor="text1"/>
          <w:sz w:val="28"/>
          <w:szCs w:val="28"/>
          <w:highlight w:val="none"/>
          <w14:textFill>
            <w14:solidFill>
              <w14:schemeClr w14:val="tx1"/>
            </w14:solidFill>
          </w14:textFill>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地震、火山爆发、滑坡、暴雨（橙色预警及以上）、台风（黄色预警及以上）、海啸、龙卷风、大面积流行病(如：非典型性肺炎等)或瘟疫；</w:t>
      </w:r>
    </w:p>
    <w:p>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战争行为、入侵、武装冲突或外敌行为、封锁、暴乱、恐怖行为或军事演习；</w:t>
      </w:r>
    </w:p>
    <w:p>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6" w:name="_Toc520190041"/>
      <w:bookmarkStart w:id="17" w:name="_Toc107446864"/>
      <w:bookmarkStart w:id="18" w:name="_Toc107447257"/>
      <w:bookmarkStart w:id="19" w:name="_Toc474245227"/>
      <w:bookmarkStart w:id="20" w:name="_Toc118172294"/>
      <w:bookmarkStart w:id="21" w:name="_Toc518993001"/>
    </w:p>
    <w:p>
      <w:pPr>
        <w:spacing w:beforeLines="0" w:afterLines="0" w:line="560" w:lineRule="exact"/>
        <w:ind w:firstLine="560"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十二条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争议解决</w:t>
      </w:r>
      <w:bookmarkEnd w:id="13"/>
      <w:bookmarkEnd w:id="14"/>
      <w:bookmarkEnd w:id="15"/>
      <w:bookmarkEnd w:id="16"/>
      <w:bookmarkEnd w:id="17"/>
      <w:bookmarkEnd w:id="18"/>
      <w:bookmarkEnd w:id="19"/>
      <w:bookmarkEnd w:id="20"/>
      <w:bookmarkEnd w:id="21"/>
    </w:p>
    <w:p>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22" w:name="_Toc183666533"/>
      <w:bookmarkStart w:id="23" w:name="_Toc306350469"/>
      <w:r>
        <w:rPr>
          <w:rFonts w:hint="eastAsia" w:ascii="仿宋_GB2312" w:hAnsi="仿宋_GB2312" w:eastAsia="仿宋_GB2312" w:cs="仿宋_GB2312"/>
          <w:bCs/>
          <w:color w:val="000000" w:themeColor="text1"/>
          <w:sz w:val="28"/>
          <w:szCs w:val="28"/>
          <w:highlight w:val="none"/>
          <w14:textFill>
            <w14:solidFill>
              <w14:schemeClr w14:val="tx1"/>
            </w14:solidFill>
          </w14:textFill>
        </w:rPr>
        <w:t>12.1甲乙双方应通过友好协商，解决在执行本合同所发生的或与本合同有关的一切争议。如协商不能解决争议，任何一方均可依法向甲方所在地人民法院提起诉讼。</w:t>
      </w:r>
    </w:p>
    <w:p>
      <w:p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12.2 </w:t>
      </w:r>
      <w:r>
        <w:rPr>
          <w:rFonts w:hint="eastAsia" w:ascii="仿宋_GB2312" w:hAnsi="仿宋_GB2312" w:eastAsia="仿宋_GB2312" w:cs="仿宋_GB2312"/>
          <w:color w:val="000000" w:themeColor="text1"/>
          <w:sz w:val="28"/>
          <w:szCs w:val="28"/>
          <w:highlight w:val="none"/>
          <w14:textFill>
            <w14:solidFill>
              <w14:schemeClr w14:val="tx1"/>
            </w14:solidFill>
          </w14:textFill>
        </w:rPr>
        <w:t>在甲方同意的情况下，除有争端之外的合同其它部分在争端解决前应继续执行。</w:t>
      </w:r>
      <w:bookmarkEnd w:id="22"/>
      <w:bookmarkEnd w:id="23"/>
      <w:bookmarkStart w:id="24" w:name="_Toc518993003"/>
      <w:bookmarkStart w:id="25" w:name="_Toc474245229"/>
      <w:bookmarkStart w:id="26" w:name="_Toc520190043"/>
    </w:p>
    <w:p>
      <w:pPr>
        <w:spacing w:beforeLines="0" w:afterLines="0" w:line="560" w:lineRule="exact"/>
        <w:ind w:firstLine="560"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第十三条</w:t>
      </w:r>
      <w:bookmarkStart w:id="27" w:name="_Toc107446871"/>
      <w:bookmarkStart w:id="28" w:name="_Toc107447264"/>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合同生效及其他</w:t>
      </w:r>
      <w:bookmarkEnd w:id="24"/>
      <w:bookmarkEnd w:id="25"/>
      <w:bookmarkEnd w:id="26"/>
      <w:bookmarkEnd w:id="27"/>
      <w:bookmarkEnd w:id="28"/>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13.1本合同经双方法定代表人或授权代表签字并加盖双方公章后生效.</w:t>
      </w:r>
    </w:p>
    <w:p>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13.2本合同正文一式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肆</w:t>
      </w:r>
      <w:r>
        <w:rPr>
          <w:rFonts w:hint="eastAsia" w:ascii="仿宋_GB2312" w:hAnsi="仿宋_GB2312" w:eastAsia="仿宋_GB2312" w:cs="仿宋_GB2312"/>
          <w:color w:val="000000" w:themeColor="text1"/>
          <w:sz w:val="28"/>
          <w:szCs w:val="28"/>
          <w:highlight w:val="none"/>
          <w14:textFill>
            <w14:solidFill>
              <w14:schemeClr w14:val="tx1"/>
            </w14:solidFill>
          </w14:textFill>
        </w:rPr>
        <w:t>份，其中：甲方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贰</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贰</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pPr>
        <w:spacing w:beforeLines="0" w:afterLines="0" w:line="560" w:lineRule="exact"/>
        <w:ind w:firstLine="560" w:firstLineChars="200"/>
        <w:rPr>
          <w:rFonts w:hint="default" w:ascii="仿宋_GB2312" w:hAnsi="仿宋_GB2312" w:eastAsia="仿宋_GB2312" w:cs="仿宋_GB2312"/>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13.3补充条款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附件：1.中标通知书</w:t>
      </w:r>
    </w:p>
    <w:p>
      <w:pPr>
        <w:numPr>
          <w:ilvl w:val="-1"/>
          <w:numId w:val="0"/>
        </w:num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autoSpaceDE/>
        <w:autoSpaceDN/>
        <w:bidi w:val="0"/>
        <w:spacing w:line="560" w:lineRule="exact"/>
        <w:ind w:firstLine="1400" w:firstLineChars="5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营运场所施工安全及消防安全协议书</w:t>
      </w:r>
    </w:p>
    <w:p>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4</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.工程量清单/工程量清单报价</w:t>
      </w:r>
    </w:p>
    <w:p>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.项目投入人员架构表 </w:t>
      </w:r>
    </w:p>
    <w:p>
      <w:pPr>
        <w:spacing w:line="560" w:lineRule="exact"/>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履约保函（模板）</w:t>
      </w:r>
    </w:p>
    <w:p>
      <w:pPr>
        <w:spacing w:line="560" w:lineRule="exact"/>
        <w:ind w:left="1676" w:leftChars="665" w:hanging="280" w:hangingChars="100"/>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施工项目危险作业安全作业物资及应急物资清单（承包方/乙方提供）</w:t>
      </w:r>
    </w:p>
    <w:p>
      <w:pPr>
        <w:pStyle w:val="24"/>
        <w:spacing w:line="560" w:lineRule="exact"/>
        <w:ind w:left="1756" w:leftChars="703" w:hanging="280" w:hangingChars="100"/>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8.</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营运项目承包单位日常履约考评参照表（安全）、营运项目承包单位综合履约考评表（安全）</w:t>
      </w:r>
    </w:p>
    <w:p>
      <w:pPr>
        <w:pStyle w:val="24"/>
        <w:spacing w:line="560" w:lineRule="exact"/>
        <w:ind w:firstLine="1400" w:firstLineChars="500"/>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9.预付款保函（模板）</w:t>
      </w:r>
    </w:p>
    <w:p>
      <w:p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工人工资结清证明（模板）</w:t>
      </w:r>
    </w:p>
    <w:p>
      <w:p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highlight w:val="none"/>
          <w14:textFill>
            <w14:solidFill>
              <w14:schemeClr w14:val="tx1"/>
            </w14:solidFill>
          </w14:textFill>
        </w:rPr>
        <w:t>不履约行为的情形及相应被暂停参与投标活动的处理标准</w:t>
      </w:r>
    </w:p>
    <w:p>
      <w:pPr>
        <w:spacing w:line="560" w:lineRule="exact"/>
        <w:ind w:firstLine="1400" w:firstLineChars="500"/>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12.技术需求书</w:t>
      </w:r>
    </w:p>
    <w:p>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甲方：广州市净水有限公司（盖章）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乙方：（盖章）</w:t>
      </w:r>
    </w:p>
    <w:p>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法定代表或</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w:t>
      </w:r>
    </w:p>
    <w:p>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p>
    <w:p>
      <w:pPr>
        <w:spacing w:line="560" w:lineRule="exact"/>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地址：广州市天河区临江大道501号</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p>
    <w:p>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p>
    <w:p>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p>
      <w:pPr>
        <w:pStyle w:val="24"/>
        <w:spacing w:beforeLines="0" w:afterLines="0"/>
        <w:ind w:left="0" w:leftChars="0" w:firstLine="720" w:firstLineChars="300"/>
        <w:rPr>
          <w:rFonts w:hint="default" w:ascii="宋体" w:hAnsi="宋体" w:eastAsia="宋体" w:cs="宋体"/>
          <w:color w:val="auto"/>
          <w:sz w:val="24"/>
          <w:szCs w:val="22"/>
          <w:lang w:val="en-US" w:eastAsia="zh-CN"/>
        </w:rPr>
      </w:pPr>
      <w:bookmarkStart w:id="29" w:name="_Toc389815339"/>
      <w:bookmarkStart w:id="30" w:name="_Toc389815031"/>
      <w:bookmarkStart w:id="31" w:name="_Toc387080836"/>
      <w:r>
        <w:rPr>
          <w:rFonts w:hint="eastAsia" w:ascii="宋体" w:hAnsi="宋体" w:cs="宋体"/>
          <w:color w:val="auto"/>
          <w:sz w:val="24"/>
          <w:szCs w:val="22"/>
          <w:lang w:val="en-US" w:eastAsia="zh-CN"/>
        </w:rPr>
        <w:t>以下无正文</w:t>
      </w:r>
    </w:p>
    <w:p>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bookmarkStart w:id="32" w:name="_GoBack"/>
      <w:bookmarkEnd w:id="32"/>
      <w:r>
        <w:rPr>
          <w:rFonts w:hint="eastAsia" w:ascii="黑体" w:hAnsi="黑体" w:eastAsia="黑体" w:cs="黑体"/>
          <w:b w:val="0"/>
          <w:bCs w:val="0"/>
          <w:color w:val="000000" w:themeColor="text1"/>
          <w:sz w:val="32"/>
          <w:szCs w:val="32"/>
          <w:highlight w:val="none"/>
          <w14:textFill>
            <w14:solidFill>
              <w14:schemeClr w14:val="tx1"/>
            </w14:solidFill>
          </w14:textFill>
        </w:rPr>
        <w:t>附件2</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(以下称甲方)与</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（二）严格执行</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u w:val="single"/>
          <w:lang w:eastAsia="zh-CN"/>
          <w14:textFill>
            <w14:solidFill>
              <w14:schemeClr w14:val="tx1"/>
            </w14:solidFill>
          </w14:textFill>
        </w:rPr>
        <w:t>广州净水公司2025年电气及自控系统等设备改造项目（</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u w:val="single"/>
          <w:lang w:eastAsia="zh-CN"/>
          <w14:textFill>
            <w14:solidFill>
              <w14:schemeClr w14:val="tx1"/>
            </w14:solidFill>
          </w14:textFill>
        </w:rPr>
        <w:t>设备）（穗净水合[      ]    号）</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4"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4"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4"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（五）乙方不得擅自与甲方工作人员就</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主</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甲方举报投诉联系部门：广州市净水有限公司</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纪检室</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020-38890265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甲方</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1、扣除主合同的全部履约保证金；</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2、解除</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3、追究乙方其他违约责任；</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第六条本协议作为</w:t>
      </w:r>
      <w:r>
        <w:rPr>
          <w:rFonts w:hint="eastAsia" w:ascii="仿宋_GB2312" w:hAnsi="仿宋_GB2312" w:eastAsia="仿宋_GB2312" w:cs="仿宋_GB2312"/>
          <w:b w:val="0"/>
          <w:bCs/>
          <w:color w:val="000000" w:themeColor="text1"/>
          <w:sz w:val="28"/>
          <w:szCs w:val="28"/>
          <w:highlight w:val="none"/>
          <w:u w:val="single"/>
          <w:lang w:eastAsia="zh-CN"/>
          <w14:textFill>
            <w14:solidFill>
              <w14:schemeClr w14:val="tx1"/>
            </w14:solidFill>
          </w14:textFill>
        </w:rPr>
        <w:t>广州净水公司2025年电气及自控系统等设备改造项目（</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u w:val="single"/>
          <w:lang w:eastAsia="zh-CN"/>
          <w14:textFill>
            <w14:solidFill>
              <w14:schemeClr w14:val="tx1"/>
            </w14:solidFill>
          </w14:textFill>
        </w:rPr>
        <w:t>设备）（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穗净水合〔    〕   号</w:t>
      </w:r>
      <w:r>
        <w:rPr>
          <w:rFonts w:hint="eastAsia" w:ascii="仿宋_GB2312" w:hAnsi="仿宋_GB2312" w:eastAsia="仿宋_GB2312" w:cs="仿宋_GB2312"/>
          <w:b w:val="0"/>
          <w:bCs/>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第七条本协议一式肆份，甲方</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贰</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份，乙方贰份。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甲方（盖章）：                     乙方（盖章）：</w:t>
      </w:r>
    </w:p>
    <w:p>
      <w:pPr>
        <w:pStyle w:val="5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ab/>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p>
    <w:p>
      <w:pPr>
        <w:pStyle w:val="24"/>
        <w:rPr>
          <w:rFonts w:hint="eastAsia" w:ascii="宋体" w:hAnsi="宋体" w:eastAsia="宋体" w:cs="宋体"/>
          <w:b w:val="0"/>
          <w:bCs/>
          <w:color w:val="000000" w:themeColor="text1"/>
          <w:sz w:val="24"/>
          <w:szCs w:val="24"/>
          <w:highlight w:val="none"/>
          <w14:textFill>
            <w14:solidFill>
              <w14:schemeClr w14:val="tx1"/>
            </w14:solidFill>
          </w14:textFill>
        </w:rPr>
      </w:pPr>
    </w:p>
    <w:p>
      <w:pPr>
        <w:pStyle w:val="24"/>
        <w:rPr>
          <w:rFonts w:hint="eastAsia" w:ascii="宋体" w:hAnsi="宋体" w:eastAsia="宋体" w:cs="宋体"/>
          <w:b w:val="0"/>
          <w:bCs/>
          <w:color w:val="000000" w:themeColor="text1"/>
          <w:sz w:val="24"/>
          <w:szCs w:val="24"/>
          <w:highlight w:val="none"/>
          <w14:textFill>
            <w14:solidFill>
              <w14:schemeClr w14:val="tx1"/>
            </w14:solidFill>
          </w14:textFill>
        </w:rPr>
      </w:pPr>
    </w:p>
    <w:p>
      <w:pPr>
        <w:pStyle w:val="24"/>
        <w:rPr>
          <w:rFonts w:hint="eastAsia" w:ascii="宋体" w:hAnsi="宋体" w:eastAsia="宋体" w:cs="宋体"/>
          <w:b w:val="0"/>
          <w:bCs/>
          <w:color w:val="000000" w:themeColor="text1"/>
          <w:sz w:val="24"/>
          <w:szCs w:val="24"/>
          <w:highlight w:val="none"/>
          <w14:textFill>
            <w14:solidFill>
              <w14:schemeClr w14:val="tx1"/>
            </w14:solidFill>
          </w14:textFill>
        </w:rPr>
      </w:pPr>
    </w:p>
    <w:p>
      <w:pPr>
        <w:spacing w:line="440" w:lineRule="exact"/>
        <w:jc w:val="both"/>
        <w:rPr>
          <w:rFonts w:hint="eastAsia" w:ascii="黑体" w:hAnsi="黑体" w:eastAsia="黑体" w:cs="黑体"/>
          <w:b w:val="0"/>
          <w:bCs/>
          <w:color w:val="000000" w:themeColor="text1"/>
          <w:sz w:val="32"/>
          <w:szCs w:val="32"/>
          <w:highlight w:val="none"/>
          <w14:textFill>
            <w14:solidFill>
              <w14:schemeClr w14:val="tx1"/>
            </w14:solidFill>
          </w14:textFill>
        </w:rPr>
      </w:pPr>
    </w:p>
    <w:p>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3</w:t>
      </w:r>
      <w:bookmarkEnd w:id="29"/>
      <w:bookmarkEnd w:id="30"/>
      <w:bookmarkEnd w:id="31"/>
    </w:p>
    <w:p>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广州市净水有限公司</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 xml:space="preserve">乙方： </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根据《中华人民共和国安全生产法》、</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《中华人民共和国消防法》、</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《生产安全事故报告和调查处理条例》</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、《建设工程安全生产管理条例》</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等国家及地方有关安全生产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法律法规，甲乙双方就安全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事宜，</w:t>
      </w:r>
      <w:r>
        <w:rPr>
          <w:rFonts w:hint="eastAsia" w:ascii="仿宋_GB2312" w:hAnsi="仿宋_GB2312" w:eastAsia="仿宋_GB2312" w:cs="仿宋_GB2312"/>
          <w:color w:val="000000" w:themeColor="text1"/>
          <w:sz w:val="28"/>
          <w:szCs w:val="28"/>
          <w:highlight w:val="none"/>
          <w14:textFill>
            <w14:solidFill>
              <w14:schemeClr w14:val="tx1"/>
            </w14:solidFill>
          </w14:textFill>
        </w:rPr>
        <w:t>经双方友好协商，达成如下协议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一、总则</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本协议是合同</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广州净水公司2025年电气及自控系统等设备改造项目（</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设备）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（穗净水合〔    〕   号） </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的组成部分。</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乙双方应遵守国家、省、市有关安全生产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消防安全的法律、法规、规章，履行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消防安全职责，保障人员生命、财产安全。</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乙双方应当逐级落实</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消防安全责任制，明确逐级岗位人员的安全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生产、消防安全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职责。</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本协议是对在满足法律法规规定的双方安全及消防安全责任的基础上的补充事项。</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（五）当同一个场所、池体内，甲方安排两个或以上的承包单位同时施工的，由甲方组织各承包单位签订《营运场所交叉作业安全及消防安全协议书》。</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乙方的单位及人员资质（</w:t>
      </w:r>
      <w:r>
        <w:rPr>
          <w:rFonts w:hint="eastAsia" w:ascii="仿宋_GB2312" w:hAnsi="仿宋_GB2312" w:eastAsia="仿宋_GB2312" w:cs="仿宋_GB2312"/>
          <w:b/>
          <w:bCs w:val="0"/>
          <w:color w:val="000000" w:themeColor="text1"/>
          <w:kern w:val="0"/>
          <w:sz w:val="28"/>
          <w:szCs w:val="28"/>
          <w:highlight w:val="none"/>
          <w:lang w:val="en-US" w:eastAsia="zh-CN"/>
          <w14:textFill>
            <w14:solidFill>
              <w14:schemeClr w14:val="tx1"/>
            </w14:solidFill>
          </w14:textFill>
        </w:rPr>
        <w:t>单项选择并填写</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1.详见合同第</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条。</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52"/>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2.详见文件《</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附件5</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二、甲方的安全及消防安全责任</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交底告知</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000000" w:themeColor="text1"/>
          <w:sz w:val="28"/>
          <w:szCs w:val="28"/>
          <w:highlight w:val="none"/>
          <w14:textFill>
            <w14:solidFill>
              <w14:schemeClr w14:val="tx1"/>
            </w14:solidFill>
          </w14:textFill>
        </w:rPr>
        <w:t>允许进出及行走的路线、禁止触动甲方设备设施等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；项目备案的要求。</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2.乙方进场作业前，</w:t>
      </w:r>
      <w:r>
        <w:rPr>
          <w:rFonts w:hint="eastAsia" w:ascii="仿宋_GB2312" w:hAnsi="仿宋_GB2312" w:eastAsia="仿宋_GB2312" w:cs="仿宋_GB2312"/>
          <w:color w:val="000000" w:themeColor="text1"/>
          <w:sz w:val="28"/>
          <w:szCs w:val="28"/>
          <w:highlight w:val="none"/>
          <w14:textFill>
            <w14:solidFill>
              <w14:schemeClr w14:val="tx1"/>
            </w14:solidFill>
          </w14:textFill>
        </w:rPr>
        <w:t>应对乙方进行交底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再次向乙方强调</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上述内容，以及施工期间的其他特殊注意事项，如生产方面的调度协调配合等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3.当乙方提出相关规范或乙方内部管理制度，比甲方规定的</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安全生产及消防安全管理要求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更严格的，应当接纳乙方的建议。</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（二）落实配合措施</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1.落实生产营运等相关配合措施，提供必要的施工条件。</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）安全及消防安全隐患</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检查与督促整改</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重大安全风险、生产安全重大事故隐患（重大火灾隐患）等情况报告及举报</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1.对乙方上报的重大安全风险、生产安全重大事故隐患（重大火灾隐患），应当如实向水投集团报告。</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3.甲方发现乙方在项目范围内（含工地范围内的住宿、办公等区域）开展违法、犯罪活动，向公安部门举报。</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（五）事故报告及举报</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1.对乙方上报的安全事故及消防安全事故，应当按水投集团有关程序，如实向集团报告。</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2.如发现乙方瞒报安全事故及消防安全事故，甲方除向水投集团报告外，有权向属地安全应急管理部门、属地行业主管部门举报。</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（六）补充条款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三、乙方的安全及消防安全责任</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接受交底告知并复核确认安全风险，落实管控措施</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1.乙方接受甲方交底。</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2.编制的方案应响应甲方告知，明确相应的措施。</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3.根据甲方项目备案的要求，提交项目备案材料</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4.当甲方规定的安全生产及消防安全管理要求，比相关规范或乙方内部管理制度严格的，按甲方的执行。</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告知甲方需要配合的事项</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1.向甲方告知在施工作业期间，需要甲方配合落实的措施</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落实安全及消防安全隐患排查与整改，并接受检查</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乙方应做好的每日安全生产、消防安全巡查及开展人员安全生产、消防安全教育，确保场所、场地、区域、施工、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仓储、住宿、办公</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等，符合国家、行业安全生产、消防安全相关要求，无对甲方、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乙方以及周边第三方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生产安全、消防安全、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人身安全等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2.接受甲方“四不两直”的不定期检查。</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重大安全风险、生产安全重大事故隐患（重大火灾隐患）报告</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1.乙方识别存在重大安全风险的，应研究并落实管控措施，降低风险等级，并向甲方、属地安全应急管理部门、属地行业主管部门上报。</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2.乙方自查或被外单位检查发现生产安全重大事故隐患（重大火灾隐患）的，应当立即向甲方、属地安全应急管理部门、属地行业主管部门上报。</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3.如甲方未收到乙方关于重大安全风险、生产安全重大事故隐患（重大火灾隐患）的报告，但由其他途径获知信息的，视为瞒报。</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4.不得谎报信息。</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（四）事故报告</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1.项目发生安全事故及消防安全事故的，乙方应当在预案规定时间内立即向甲方上报。否则视为迟报。</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2.如甲方未收到乙方关于安全事故及消防安全事故的报告，但由其他途径获知信息的，视为瞒报。</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3.不得谎报信息。</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四、违约责任</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未发生安全事故或消防安全事故的违约责任</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1.乙方未履行安全及消防安全责任的，甲方有权按合同相关条款处理。</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2.因甲方未履行安全及消防安全责任，乙方有权按合同相关条款处理。</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（二）发生安全事故或消防安全事故的违约责任</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2.如甲方未能提供甲方履职证明的，根据责任调查报告（意见）承担责任。</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五、附则</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作为合同的附件</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签字、同事盖章</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、同时生效、同时终止，具有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同等</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的法律效力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甲方、乙方双方执持数量与合同一致。</w:t>
      </w:r>
    </w:p>
    <w:p>
      <w:pPr>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adjustRightInd/>
              <w:snapToGrid/>
              <w:spacing w:line="50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pPr>
              <w:adjustRightInd/>
              <w:snapToGrid/>
              <w:spacing w:line="500" w:lineRule="exact"/>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p>
          <w:p>
            <w:pPr>
              <w:adjustRightInd/>
              <w:snapToGrid/>
              <w:spacing w:line="500" w:lineRule="exact"/>
              <w:ind w:firstLine="280" w:firstLineChars="100"/>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c>
          <w:tcPr>
            <w:tcW w:w="4474" w:type="dxa"/>
          </w:tcPr>
          <w:p>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pPr>
              <w:adjustRightInd/>
              <w:snapToGrid/>
              <w:spacing w:line="500" w:lineRule="exact"/>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bl>
    <w:p>
      <w:pPr>
        <w:rPr>
          <w:rFonts w:hint="eastAsia" w:ascii="宋体" w:hAnsi="宋体" w:cs="宋体"/>
          <w:color w:val="000000" w:themeColor="text1"/>
          <w:sz w:val="24"/>
          <w:highlight w:val="none"/>
          <w14:textFill>
            <w14:solidFill>
              <w14:schemeClr w14:val="tx1"/>
            </w14:solidFill>
          </w14:textFill>
        </w:rPr>
      </w:pPr>
    </w:p>
    <w:p>
      <w:pPr>
        <w:spacing w:line="360" w:lineRule="auto"/>
        <w:rPr>
          <w:rFonts w:hint="eastAsia" w:ascii="宋体" w:hAnsi="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cs="宋体"/>
          <w:b/>
          <w:bCs/>
          <w:color w:val="000000" w:themeColor="text1"/>
          <w:sz w:val="24"/>
          <w:szCs w:val="24"/>
          <w:highlight w:val="none"/>
          <w14:textFill>
            <w14:solidFill>
              <w14:schemeClr w14:val="tx1"/>
            </w14:solidFill>
          </w14:textFill>
        </w:rPr>
      </w:pPr>
    </w:p>
    <w:p>
      <w:pPr>
        <w:pStyle w:val="24"/>
        <w:rPr>
          <w:rFonts w:hint="eastAsia" w:ascii="宋体" w:hAnsi="宋体" w:eastAsia="宋体" w:cs="宋体"/>
          <w:color w:val="000000" w:themeColor="text1"/>
          <w:sz w:val="24"/>
          <w:szCs w:val="24"/>
          <w:highlight w:val="none"/>
          <w:lang w:eastAsia="zh-CN"/>
          <w14:textFill>
            <w14:solidFill>
              <w14:schemeClr w14:val="tx1"/>
            </w14:solidFill>
          </w14:textFill>
        </w:rPr>
      </w:pPr>
    </w:p>
    <w:p>
      <w:pPr>
        <w:spacing w:line="360" w:lineRule="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附件4</w:t>
      </w:r>
      <w:r>
        <w:rPr>
          <w:rFonts w:hint="eastAsia" w:ascii="黑体" w:hAnsi="黑体" w:eastAsia="黑体" w:cs="黑体"/>
          <w:color w:val="000000" w:themeColor="text1"/>
          <w:sz w:val="32"/>
          <w:szCs w:val="32"/>
          <w:highlight w:val="none"/>
          <w14:textFill>
            <w14:solidFill>
              <w14:schemeClr w14:val="tx1"/>
            </w14:solidFill>
          </w14:textFill>
        </w:rPr>
        <w:t>.工程量清单/工程量清单报价</w:t>
      </w:r>
    </w:p>
    <w:p>
      <w:pPr>
        <w:spacing w:line="360" w:lineRule="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附件5</w:t>
      </w:r>
      <w:r>
        <w:rPr>
          <w:rFonts w:hint="eastAsia" w:ascii="黑体" w:hAnsi="黑体" w:eastAsia="黑体" w:cs="黑体"/>
          <w:color w:val="000000" w:themeColor="text1"/>
          <w:sz w:val="32"/>
          <w:szCs w:val="32"/>
          <w:highlight w:val="none"/>
          <w14:textFill>
            <w14:solidFill>
              <w14:schemeClr w14:val="tx1"/>
            </w14:solidFill>
          </w14:textFill>
        </w:rPr>
        <w:t xml:space="preserve">.项目投入人员架构表 </w:t>
      </w:r>
    </w:p>
    <w:p>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6</w:t>
      </w:r>
    </w:p>
    <w:p>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履约保函模板</w:t>
      </w:r>
    </w:p>
    <w:p>
      <w:pPr>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致：</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（受益人）</w:t>
      </w:r>
      <w:r>
        <w:rPr>
          <w:rFonts w:hint="eastAsia" w:ascii="仿宋_GB2312" w:hAnsi="仿宋_GB2312" w:eastAsia="仿宋_GB2312" w:cs="仿宋_GB2312"/>
          <w:color w:val="000000" w:themeColor="text1"/>
          <w:sz w:val="28"/>
          <w:szCs w:val="28"/>
          <w:highlight w:val="none"/>
          <w14:textFill>
            <w14:solidFill>
              <w14:schemeClr w14:val="tx1"/>
            </w14:solidFill>
          </w14:textFill>
        </w:rPr>
        <w:br w:type="textWrapping"/>
      </w: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鉴于（以下简称“委托人”）与贵方于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年  月  日</w:t>
      </w:r>
      <w:r>
        <w:rPr>
          <w:rFonts w:hint="eastAsia" w:ascii="仿宋_GB2312" w:hAnsi="仿宋_GB2312" w:eastAsia="仿宋_GB2312" w:cs="仿宋_GB2312"/>
          <w:color w:val="000000" w:themeColor="text1"/>
          <w:sz w:val="28"/>
          <w:szCs w:val="28"/>
          <w:highlight w:val="none"/>
          <w14:textFill>
            <w14:solidFill>
              <w14:schemeClr w14:val="tx1"/>
            </w14:solidFill>
          </w14:textFill>
        </w:rPr>
        <w:t>签订了（以下简称“合同”），我行同意为委托人出具履约保函，作为委托人履行合同义务的担保，以使你方得到履约保函的保障。本保函为不可撤销，见索即付的独立保函。</w:t>
      </w: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auto"/>
          <w:sz w:val="28"/>
          <w:szCs w:val="28"/>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二、贵单位的索赔申请应符合下述条件：</w:t>
      </w: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（一）贵单位法定代表人或其授权代表签字并加盖单位公章；</w:t>
      </w: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（二）在保函有效期内送达我行；</w:t>
      </w: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（三）明确的索赔金额（不得超过本保函第一条所列之限额）。</w:t>
      </w: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三、本保函自签发之日起生效，有效期至</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  年  月  日</w:t>
      </w:r>
      <w:r>
        <w:rPr>
          <w:rFonts w:hint="eastAsia" w:ascii="仿宋_GB2312" w:hAnsi="仿宋_GB2312" w:eastAsia="仿宋_GB2312" w:cs="仿宋_GB2312"/>
          <w:color w:val="000000" w:themeColor="text1"/>
          <w:sz w:val="28"/>
          <w:szCs w:val="28"/>
          <w:highlight w:val="none"/>
          <w14:textFill>
            <w14:solidFill>
              <w14:schemeClr w14:val="tx1"/>
            </w14:solidFill>
          </w14:textFill>
        </w:rPr>
        <w:t>。本保函于下述任一事项发生之时立即失效，我行在本保函项下的保证义务即刻解除：</w:t>
      </w: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（一）本保函有效期限届满；</w:t>
      </w: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（二）我行保证的义务履行完毕。</w:t>
      </w: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pPr>
        <w:spacing w:line="500" w:lineRule="exact"/>
        <w:ind w:firstLine="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五、我行向你方支付索赔金额后，本保函担保金额即按贵方通知的索赔金额予以递减。</w:t>
      </w:r>
    </w:p>
    <w:p>
      <w:pPr>
        <w:spacing w:line="500" w:lineRule="exact"/>
        <w:ind w:firstLine="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六、保函失效后请将保函退回我行注销，无论正本最终退回与否，不影响本保函依上述约定自动失效。</w:t>
      </w:r>
    </w:p>
    <w:p>
      <w:pPr>
        <w:spacing w:line="500" w:lineRule="exact"/>
        <w:ind w:firstLine="0"/>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500" w:lineRule="exact"/>
        <w:ind w:firstLine="42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落款</w:t>
      </w:r>
    </w:p>
    <w:p>
      <w:pPr>
        <w:spacing w:line="500" w:lineRule="exact"/>
        <w:ind w:firstLine="0"/>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保函说明：</w:t>
      </w: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保函不得有下列或类似含义的表述：</w:t>
      </w: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1.银行承担的为连带责任保证、一般保证。</w:t>
      </w: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2.未经银行书面同意，受益人与申请人修改合同或其项下附件时，银行的保证义务解除。</w:t>
      </w: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3.合同撤销或无效的，保函失效。</w:t>
      </w:r>
    </w:p>
    <w:p>
      <w:pPr>
        <w:spacing w:line="50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4.申请人对受益人的抗辩，银行有权向受益人主张。</w:t>
      </w:r>
    </w:p>
    <w:p>
      <w:pPr>
        <w:spacing w:line="500" w:lineRule="exact"/>
        <w:ind w:firstLine="56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5.受益人请求付款的请款单据包含法院裁判文书、仲裁裁决、第三方单位出具的鉴定书等申请人违约的证明材料。</w:t>
      </w: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rPr>
          <w:rFonts w:hint="eastAsia" w:ascii="宋体" w:hAnsi="宋体" w:eastAsia="宋体" w:cs="宋体"/>
          <w:color w:val="000000" w:themeColor="text1"/>
          <w:sz w:val="24"/>
          <w:highlight w:val="none"/>
          <w14:textFill>
            <w14:solidFill>
              <w14:schemeClr w14:val="tx1"/>
            </w14:solidFill>
          </w14:textFill>
        </w:rPr>
      </w:pPr>
    </w:p>
    <w:p>
      <w:pPr>
        <w:bidi w:val="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p>
      <w:pPr>
        <w:bidi w:val="0"/>
        <w:jc w:val="left"/>
        <w:rPr>
          <w:rFonts w:hint="eastAsia" w:ascii="宋体" w:hAnsi="宋体" w:cs="宋体"/>
          <w:color w:val="000000" w:themeColor="text1"/>
          <w:sz w:val="24"/>
          <w:highlight w:val="none"/>
          <w:lang w:val="en-US" w:eastAsia="zh-CN"/>
          <w14:textFill>
            <w14:solidFill>
              <w14:schemeClr w14:val="tx1"/>
            </w14:solidFill>
          </w14:textFill>
        </w:rPr>
      </w:pPr>
    </w:p>
    <w:p>
      <w:pPr>
        <w:pStyle w:val="15"/>
        <w:rPr>
          <w:rFonts w:hint="eastAsia" w:ascii="宋体" w:hAnsi="宋体" w:cs="宋体"/>
          <w:color w:val="000000" w:themeColor="text1"/>
          <w:sz w:val="24"/>
          <w:highlight w:val="none"/>
          <w:lang w:val="en-US" w:eastAsia="zh-CN"/>
          <w14:textFill>
            <w14:solidFill>
              <w14:schemeClr w14:val="tx1"/>
            </w14:solidFill>
          </w14:textFill>
        </w:rPr>
      </w:pPr>
    </w:p>
    <w:p>
      <w:pPr>
        <w:pStyle w:val="15"/>
        <w:rPr>
          <w:rFonts w:hint="eastAsia" w:ascii="宋体" w:hAnsi="宋体" w:cs="宋体"/>
          <w:color w:val="000000" w:themeColor="text1"/>
          <w:sz w:val="24"/>
          <w:highlight w:val="none"/>
          <w:lang w:val="en-US" w:eastAsia="zh-CN"/>
          <w14:textFill>
            <w14:solidFill>
              <w14:schemeClr w14:val="tx1"/>
            </w14:solidFill>
          </w14:textFill>
        </w:rPr>
      </w:pPr>
    </w:p>
    <w:p>
      <w:pPr>
        <w:pStyle w:val="15"/>
        <w:rPr>
          <w:rFonts w:hint="eastAsia" w:ascii="宋体" w:hAnsi="宋体" w:cs="宋体"/>
          <w:color w:val="000000" w:themeColor="text1"/>
          <w:sz w:val="24"/>
          <w:highlight w:val="none"/>
          <w:lang w:val="en-US" w:eastAsia="zh-CN"/>
          <w14:textFill>
            <w14:solidFill>
              <w14:schemeClr w14:val="tx1"/>
            </w14:solidFill>
          </w14:textFill>
        </w:rPr>
      </w:pPr>
    </w:p>
    <w:p>
      <w:pPr>
        <w:spacing w:line="360" w:lineRule="auto"/>
        <w:ind w:firstLine="0" w:firstLineChars="0"/>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附件7.</w:t>
      </w:r>
      <w:r>
        <w:rPr>
          <w:rFonts w:hint="eastAsia" w:ascii="黑体" w:hAnsi="黑体" w:eastAsia="黑体" w:cs="黑体"/>
          <w:b w:val="0"/>
          <w:bCs w:val="0"/>
          <w:color w:val="000000" w:themeColor="text1"/>
          <w:sz w:val="32"/>
          <w:szCs w:val="32"/>
          <w:highlight w:val="none"/>
          <w14:textFill>
            <w14:solidFill>
              <w14:schemeClr w14:val="tx1"/>
            </w14:solidFill>
          </w14:textFill>
        </w:rPr>
        <w:t>施工项目危险作业安全作业物资及应急物资清单（承包方/乙方提供）</w:t>
      </w:r>
    </w:p>
    <w:tbl>
      <w:tblPr>
        <w:tblStyle w:val="25"/>
        <w:tblW w:w="10318" w:type="dxa"/>
        <w:tblInd w:w="-1026" w:type="dxa"/>
        <w:tblLayout w:type="autofit"/>
        <w:tblCellMar>
          <w:top w:w="0" w:type="dxa"/>
          <w:left w:w="108" w:type="dxa"/>
          <w:bottom w:w="0" w:type="dxa"/>
          <w:right w:w="108" w:type="dxa"/>
        </w:tblCellMar>
      </w:tblPr>
      <w:tblGrid>
        <w:gridCol w:w="820"/>
        <w:gridCol w:w="709"/>
        <w:gridCol w:w="1417"/>
        <w:gridCol w:w="3119"/>
        <w:gridCol w:w="660"/>
        <w:gridCol w:w="1325"/>
        <w:gridCol w:w="660"/>
        <w:gridCol w:w="1608"/>
      </w:tblGrid>
      <w:tr>
        <w:tblPrEx>
          <w:tblCellMar>
            <w:top w:w="0" w:type="dxa"/>
            <w:left w:w="108" w:type="dxa"/>
            <w:bottom w:w="0" w:type="dxa"/>
            <w:right w:w="108" w:type="dxa"/>
          </w:tblCellMar>
        </w:tblPrEx>
        <w:trPr>
          <w:trHeight w:val="420" w:hRule="atLeast"/>
          <w:tblHeader/>
        </w:trPr>
        <w:tc>
          <w:tcPr>
            <w:tcW w:w="8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风险类型</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物资种类</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物资名称</w:t>
            </w:r>
          </w:p>
        </w:tc>
        <w:tc>
          <w:tcPr>
            <w:tcW w:w="3779"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安全作业物资</w:t>
            </w:r>
          </w:p>
        </w:tc>
        <w:tc>
          <w:tcPr>
            <w:tcW w:w="198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应急物资</w:t>
            </w:r>
          </w:p>
        </w:tc>
        <w:tc>
          <w:tcPr>
            <w:tcW w:w="160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tblPrEx>
          <w:tblCellMar>
            <w:top w:w="0" w:type="dxa"/>
            <w:left w:w="108" w:type="dxa"/>
            <w:bottom w:w="0" w:type="dxa"/>
            <w:right w:w="108" w:type="dxa"/>
          </w:tblCellMar>
        </w:tblPrEx>
        <w:trPr>
          <w:trHeight w:val="420" w:hRule="atLeast"/>
          <w:tblHeader/>
        </w:trPr>
        <w:tc>
          <w:tcPr>
            <w:tcW w:w="8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000000"/>
                <w:kern w:val="0"/>
                <w:szCs w:val="21"/>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000000"/>
                <w:kern w:val="0"/>
                <w:szCs w:val="21"/>
              </w:rPr>
            </w:pPr>
          </w:p>
        </w:tc>
        <w:tc>
          <w:tcPr>
            <w:tcW w:w="3119" w:type="dxa"/>
            <w:tcBorders>
              <w:top w:val="nil"/>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数量</w:t>
            </w:r>
          </w:p>
        </w:tc>
        <w:tc>
          <w:tcPr>
            <w:tcW w:w="660" w:type="dxa"/>
            <w:tcBorders>
              <w:top w:val="nil"/>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单位</w:t>
            </w:r>
          </w:p>
        </w:tc>
        <w:tc>
          <w:tcPr>
            <w:tcW w:w="1325" w:type="dxa"/>
            <w:tcBorders>
              <w:top w:val="nil"/>
              <w:left w:val="nil"/>
              <w:bottom w:val="single" w:color="auto" w:sz="4" w:space="0"/>
              <w:right w:val="single" w:color="auto" w:sz="4" w:space="0"/>
            </w:tcBorders>
            <w:noWrap w:val="0"/>
            <w:vAlign w:val="center"/>
          </w:tcPr>
          <w:p>
            <w:pPr>
              <w:widowControl/>
              <w:jc w:val="center"/>
              <w:rPr>
                <w:rFonts w:ascii="黑体" w:hAnsi="黑体" w:eastAsia="黑体" w:cs="宋体"/>
                <w:kern w:val="0"/>
                <w:szCs w:val="21"/>
              </w:rPr>
            </w:pPr>
            <w:r>
              <w:rPr>
                <w:rFonts w:hint="eastAsia" w:ascii="黑体" w:hAnsi="黑体" w:eastAsia="黑体" w:cs="宋体"/>
                <w:kern w:val="0"/>
                <w:szCs w:val="21"/>
              </w:rPr>
              <w:t>数量</w:t>
            </w:r>
          </w:p>
        </w:tc>
        <w:tc>
          <w:tcPr>
            <w:tcW w:w="660" w:type="dxa"/>
            <w:tcBorders>
              <w:top w:val="nil"/>
              <w:left w:val="nil"/>
              <w:bottom w:val="single" w:color="auto" w:sz="4" w:space="0"/>
              <w:right w:val="single" w:color="auto" w:sz="4" w:space="0"/>
            </w:tcBorders>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单位</w:t>
            </w:r>
          </w:p>
        </w:tc>
        <w:tc>
          <w:tcPr>
            <w:tcW w:w="16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color w:val="000000"/>
                <w:kern w:val="0"/>
                <w:szCs w:val="21"/>
              </w:rPr>
            </w:pPr>
          </w:p>
        </w:tc>
      </w:tr>
      <w:tr>
        <w:tblPrEx>
          <w:tblCellMar>
            <w:top w:w="0" w:type="dxa"/>
            <w:left w:w="108" w:type="dxa"/>
            <w:bottom w:w="0" w:type="dxa"/>
            <w:right w:w="108" w:type="dxa"/>
          </w:tblCellMar>
        </w:tblPrEx>
        <w:trPr>
          <w:trHeight w:val="1140" w:hRule="atLeast"/>
        </w:trPr>
        <w:tc>
          <w:tcPr>
            <w:tcW w:w="820" w:type="dxa"/>
            <w:vMerge w:val="restart"/>
            <w:tcBorders>
              <w:top w:val="nil"/>
              <w:left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一、通用类</w:t>
            </w: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通讯</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对讲机</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相隔50米并同时施工的作业点，每个作业点配置至少配置2台</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按作业人数的2</w:t>
            </w:r>
            <w:r>
              <w:rPr>
                <w:rFonts w:ascii="仿宋_GB2312" w:hAnsi="宋体" w:eastAsia="仿宋_GB2312" w:cs="宋体"/>
                <w:kern w:val="0"/>
                <w:szCs w:val="21"/>
              </w:rPr>
              <w:t>0%</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840" w:hRule="atLeast"/>
        </w:trPr>
        <w:tc>
          <w:tcPr>
            <w:tcW w:w="820"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个人防护</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安全帽</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每个进入施工区域人员都需佩戴</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五点式安全带</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按实际作业和监护人员数</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1110" w:hRule="atLeast"/>
        </w:trPr>
        <w:tc>
          <w:tcPr>
            <w:tcW w:w="820"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照明</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手持式应急灯</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手持、非手持式应急灯有一项即可</w:t>
            </w:r>
          </w:p>
        </w:tc>
      </w:tr>
      <w:tr>
        <w:tblPrEx>
          <w:tblCellMar>
            <w:top w:w="0" w:type="dxa"/>
            <w:left w:w="108" w:type="dxa"/>
            <w:bottom w:w="0" w:type="dxa"/>
            <w:right w:w="108" w:type="dxa"/>
          </w:tblCellMar>
        </w:tblPrEx>
        <w:trPr>
          <w:trHeight w:val="1110" w:hRule="atLeast"/>
        </w:trPr>
        <w:tc>
          <w:tcPr>
            <w:tcW w:w="820"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非手持式应急灯（如头戴式电筒）</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1110" w:hRule="atLeast"/>
        </w:trPr>
        <w:tc>
          <w:tcPr>
            <w:tcW w:w="820"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医疗急救</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急救药箱</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color w:val="000000"/>
                <w:kern w:val="0"/>
                <w:szCs w:val="21"/>
              </w:rPr>
              <w:t>相隔50米并同时施工的作业点，每个作业点配置至少配置1套</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多功能担架</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围蔽警示</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警戒带</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卷</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卷</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夜间警示灯</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危险警示牌</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施工区域每个出入口1个</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路锥（雪糕筒）</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密目网</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60" w:hRule="atLeast"/>
        </w:trPr>
        <w:tc>
          <w:tcPr>
            <w:tcW w:w="8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二、有限空间</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通风设备</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轴流风机（配风管）</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所有清淤场所通风换气的频次不得低于5次/小时（每小时5次），对于气体检测不合格、地下厂清淤、加盖池体清淤、提升泵房清淤以及其他纵深较大的池、井等场所的清淤和大修作业，应加大通风换气频次，直至气体检测合格后作业</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132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有限空间作业风机配套风管10米（同型号采购2条接驳）</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按实际情况</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(风管必须延至作业面)</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与风机配套</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35"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防坠落</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速差式防坠器</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每个作业点得上下口配置1个</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之字安全爬梯</w:t>
            </w:r>
          </w:p>
        </w:tc>
        <w:tc>
          <w:tcPr>
            <w:tcW w:w="3119"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如条件允可，每个有限空间作业点配备1个（因地制宜）</w:t>
            </w:r>
          </w:p>
        </w:tc>
        <w:tc>
          <w:tcPr>
            <w:tcW w:w="66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包括设施的安装、拆除、租赁、搬运</w:t>
            </w:r>
          </w:p>
        </w:tc>
      </w:tr>
      <w:tr>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围蔽警示</w:t>
            </w: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有限空间警示牌</w:t>
            </w:r>
          </w:p>
        </w:tc>
        <w:tc>
          <w:tcPr>
            <w:tcW w:w="3119"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施工区域每个出入口1个</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检测</w:t>
            </w: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泵吸式气体检测仪</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相隔50米作业点，每个作业点配置至少配置2台</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vMerge w:val="restart"/>
            <w:tcBorders>
              <w:top w:val="nil"/>
              <w:left w:val="nil"/>
              <w:right w:val="single" w:color="auto" w:sz="4" w:space="0"/>
            </w:tcBorders>
            <w:shd w:val="clear" w:color="000000" w:fill="FFFFFF"/>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两者取一，至少四合一，建议配置泵吸式</w:t>
            </w:r>
          </w:p>
        </w:tc>
      </w:tr>
      <w:tr>
        <w:tblPrEx>
          <w:tblCellMar>
            <w:top w:w="0" w:type="dxa"/>
            <w:left w:w="108" w:type="dxa"/>
            <w:bottom w:w="0" w:type="dxa"/>
            <w:right w:w="108" w:type="dxa"/>
          </w:tblCellMar>
        </w:tblPrEx>
        <w:trPr>
          <w:trHeight w:val="103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扩散式气体检测仪</w:t>
            </w:r>
          </w:p>
        </w:tc>
        <w:tc>
          <w:tcPr>
            <w:tcW w:w="3119"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相隔50米作业点，每个作业点配置至少配置2台</w:t>
            </w:r>
          </w:p>
        </w:tc>
        <w:tc>
          <w:tcPr>
            <w:tcW w:w="660"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vMerge w:val="continue"/>
            <w:tcBorders>
              <w:left w:val="nil"/>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个人防护</w:t>
            </w:r>
          </w:p>
        </w:tc>
        <w:tc>
          <w:tcPr>
            <w:tcW w:w="141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安全绳</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按实际作业人员</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救生衣</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按实际作业人员</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防毒面具</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120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防毒面具配套滤毒盒</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至少防护硫化氢，建议五合一</w:t>
            </w:r>
          </w:p>
        </w:tc>
      </w:tr>
      <w:tr>
        <w:tblPrEx>
          <w:tblCellMar>
            <w:top w:w="0" w:type="dxa"/>
            <w:left w:w="108" w:type="dxa"/>
            <w:bottom w:w="0" w:type="dxa"/>
            <w:right w:w="108" w:type="dxa"/>
          </w:tblCellMar>
        </w:tblPrEx>
        <w:trPr>
          <w:trHeight w:val="132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应急救援</w:t>
            </w:r>
          </w:p>
        </w:tc>
        <w:tc>
          <w:tcPr>
            <w:tcW w:w="141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正压式空气呼吸器</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相隔50米并同时施工的作业点，每个作业点配置至少配置2套</w:t>
            </w:r>
          </w:p>
        </w:tc>
        <w:tc>
          <w:tcPr>
            <w:tcW w:w="66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7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起吊设备</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（三脚架）</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绳梯</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三、高空作业</w:t>
            </w:r>
          </w:p>
        </w:tc>
        <w:tc>
          <w:tcPr>
            <w:tcW w:w="70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防坠落</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防坠网</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按实际作业临边数量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速差式防坠器</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每个作业点得上下口配置1个</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如有需要</w:t>
            </w:r>
          </w:p>
        </w:tc>
      </w:tr>
      <w:tr>
        <w:tblPrEx>
          <w:tblCellMar>
            <w:top w:w="0" w:type="dxa"/>
            <w:left w:w="108" w:type="dxa"/>
            <w:bottom w:w="0" w:type="dxa"/>
            <w:right w:w="108" w:type="dxa"/>
          </w:tblCellMar>
        </w:tblPrEx>
        <w:trPr>
          <w:trHeight w:val="54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作业平台</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脚手架平台</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如有需要，按实际作业点配置</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包括设施的安装、拆除、租赁、搬运</w:t>
            </w:r>
          </w:p>
        </w:tc>
      </w:tr>
      <w:tr>
        <w:tblPrEx>
          <w:tblCellMar>
            <w:top w:w="0" w:type="dxa"/>
            <w:left w:w="108" w:type="dxa"/>
            <w:bottom w:w="0" w:type="dxa"/>
            <w:right w:w="108" w:type="dxa"/>
          </w:tblCellMar>
        </w:tblPrEx>
        <w:trPr>
          <w:trHeight w:val="465" w:hRule="atLeast"/>
        </w:trPr>
        <w:tc>
          <w:tcPr>
            <w:tcW w:w="82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液压升降作业车</w:t>
            </w:r>
          </w:p>
        </w:tc>
        <w:tc>
          <w:tcPr>
            <w:tcW w:w="3119"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如有需要，按实际作业点配置</w:t>
            </w:r>
          </w:p>
        </w:tc>
        <w:tc>
          <w:tcPr>
            <w:tcW w:w="66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台</w:t>
            </w:r>
          </w:p>
        </w:tc>
        <w:tc>
          <w:tcPr>
            <w:tcW w:w="1325"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台</w:t>
            </w:r>
          </w:p>
        </w:tc>
        <w:tc>
          <w:tcPr>
            <w:tcW w:w="160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个人防护</w:t>
            </w:r>
          </w:p>
        </w:tc>
        <w:tc>
          <w:tcPr>
            <w:tcW w:w="141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五点式安全带</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条</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条</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安全绳</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按实际作业人员</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防滑鞋</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四、危化品</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个人防护</w:t>
            </w:r>
          </w:p>
        </w:tc>
        <w:tc>
          <w:tcPr>
            <w:tcW w:w="141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化学防护服</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耐酸碱手套</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耐酸碱</w:t>
            </w:r>
            <w:r>
              <w:rPr>
                <w:rFonts w:hint="eastAsia" w:ascii="仿宋_GB2312" w:hAnsi="微软雅黑" w:eastAsia="仿宋_GB2312" w:cs="微软雅黑"/>
                <w:color w:val="000000"/>
                <w:kern w:val="0"/>
                <w:szCs w:val="21"/>
              </w:rPr>
              <w:t>鞋</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护目镜</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防毒口罩</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7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吸附材料</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（砂土等）</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批</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批</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五、临边作业</w:t>
            </w:r>
          </w:p>
        </w:tc>
        <w:tc>
          <w:tcPr>
            <w:tcW w:w="709" w:type="dxa"/>
            <w:vMerge w:val="restart"/>
            <w:tcBorders>
              <w:top w:val="nil"/>
              <w:left w:val="nil"/>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防坠落</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防坠网</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按实际作业临边数量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c>
          <w:tcPr>
            <w:tcW w:w="709" w:type="dxa"/>
            <w:vMerge w:val="continue"/>
            <w:tcBorders>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脚手架护栏</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按实际作业临边数量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个人防护</w:t>
            </w:r>
          </w:p>
        </w:tc>
        <w:tc>
          <w:tcPr>
            <w:tcW w:w="141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五点式安全带</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安全绳</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防滑鞋</w:t>
            </w:r>
          </w:p>
        </w:tc>
        <w:tc>
          <w:tcPr>
            <w:tcW w:w="3119"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按实际作业和监护人员</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应急救援</w:t>
            </w:r>
          </w:p>
        </w:tc>
        <w:tc>
          <w:tcPr>
            <w:tcW w:w="1417"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绳梯</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780" w:hRule="atLeast"/>
        </w:trPr>
        <w:tc>
          <w:tcPr>
            <w:tcW w:w="8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六、动火作业</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消防器材</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灭火器</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每个动火点配备2个4kg手提式灭火器</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每个动火点配备2个4kg手提式灭火器</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555"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消防逃生面罩</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每个动火点配备2个</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555"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安全防护</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气瓶支架</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检测</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易燃易爆气体检测仪</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如有需要</w:t>
            </w:r>
          </w:p>
        </w:tc>
      </w:tr>
      <w:tr>
        <w:tblPrEx>
          <w:tblCellMar>
            <w:top w:w="0" w:type="dxa"/>
            <w:left w:w="108" w:type="dxa"/>
            <w:bottom w:w="0" w:type="dxa"/>
            <w:right w:w="108" w:type="dxa"/>
          </w:tblCellMar>
        </w:tblPrEx>
        <w:trPr>
          <w:trHeight w:val="480" w:hRule="atLeast"/>
        </w:trPr>
        <w:tc>
          <w:tcPr>
            <w:tcW w:w="8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七、潜水作业</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(必须配备双供气系统)</w:t>
            </w:r>
          </w:p>
        </w:tc>
        <w:tc>
          <w:tcPr>
            <w:tcW w:w="709" w:type="dxa"/>
            <w:vMerge w:val="restart"/>
            <w:tcBorders>
              <w:top w:val="nil"/>
              <w:left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潜水套装</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潜水服装</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安全背带、信号绳</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潜水鞋</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压铅</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潜水面罩</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潜水头盔</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潜水脐带</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按作业人员数量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条</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应急气瓶</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配气盘</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气体连接管</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空气过滤器</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按救援人员数量</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84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双供气系统</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（空气压缩机+气瓶）</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潜水通讯工具</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555"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检测</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管道流速检测仪</w:t>
            </w:r>
          </w:p>
        </w:tc>
        <w:tc>
          <w:tcPr>
            <w:tcW w:w="3119"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易燃易爆气体检测仪</w:t>
            </w:r>
          </w:p>
        </w:tc>
        <w:tc>
          <w:tcPr>
            <w:tcW w:w="3119"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按实际作业点配置</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660"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如有需要</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救援设备</w:t>
            </w: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应急吊机</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三脚架</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660" w:type="dxa"/>
            <w:tcBorders>
              <w:top w:val="nil"/>
              <w:left w:val="nil"/>
              <w:bottom w:val="single" w:color="auto" w:sz="4" w:space="0"/>
              <w:right w:val="single" w:color="auto" w:sz="4" w:space="0"/>
            </w:tcBorders>
            <w:noWrap/>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套</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救生衣</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件</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trPr>
        <w:tc>
          <w:tcPr>
            <w:tcW w:w="82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color w:val="000000"/>
                <w:kern w:val="0"/>
                <w:szCs w:val="21"/>
              </w:rPr>
            </w:pPr>
          </w:p>
        </w:tc>
        <w:tc>
          <w:tcPr>
            <w:tcW w:w="1417"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救生圈</w:t>
            </w:r>
          </w:p>
        </w:tc>
        <w:tc>
          <w:tcPr>
            <w:tcW w:w="3119"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325"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6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个</w:t>
            </w:r>
          </w:p>
        </w:tc>
        <w:tc>
          <w:tcPr>
            <w:tcW w:w="1608"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bl>
    <w:p>
      <w:pPr>
        <w:spacing w:line="360" w:lineRule="auto"/>
        <w:rPr>
          <w:rFonts w:hint="eastAsia" w:ascii="宋体" w:hAnsi="宋体" w:cs="宋体"/>
          <w:b/>
          <w:bCs/>
          <w:color w:val="000000" w:themeColor="text1"/>
          <w:sz w:val="24"/>
          <w:szCs w:val="24"/>
          <w:highlight w:val="none"/>
          <w14:textFill>
            <w14:solidFill>
              <w14:schemeClr w14:val="tx1"/>
            </w14:solidFill>
          </w14:textFill>
        </w:rPr>
      </w:pPr>
    </w:p>
    <w:p>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8</w:t>
      </w:r>
    </w:p>
    <w:tbl>
      <w:tblPr>
        <w:tblStyle w:val="25"/>
        <w:tblW w:w="6001" w:type="pct"/>
        <w:tblInd w:w="-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637"/>
        <w:gridCol w:w="675"/>
        <w:gridCol w:w="2800"/>
        <w:gridCol w:w="1688"/>
        <w:gridCol w:w="1550"/>
        <w:gridCol w:w="1512"/>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序号</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考评分项</w:t>
            </w:r>
          </w:p>
        </w:tc>
        <w:tc>
          <w:tcPr>
            <w:tcW w:w="12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考评内容</w:t>
            </w:r>
          </w:p>
        </w:tc>
        <w:tc>
          <w:tcPr>
            <w:tcW w:w="28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合同金额＜5万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5万≤合同金额＜30万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30万≤合同金额＜100万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安全事故</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事故类型</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发生发生3人及以上重伤或发生1人及以上死亡或直接经济损失达200万元以上的安全生产事故</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发生重伤2人安全事故的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扣合同金额的30%～50%；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发生重伤1人安全事故的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发生停产、影响环境、破坏公共设施、造成不良影响等事故的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或2000～3000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或5000～1万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事故处理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1.发生事故或事件隐瞒不报的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2.未在1小时内向业主单位上报事故的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3.拒绝、不配合事故事件调查的或事故事件调查提供虚假信息</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4.未按规定和程序组织事故调查和事故处理的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5.未及时处理导致事故扩大的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6.未落实“四不放过”的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扣合同金额的30%～50%；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首次备案施工单位须提供的资料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一般资料</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1.施工人员签名的安全交底表（交底内容由分公司编写），被交底人员应与人员花名册一致</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2.施工单位对施工人员的三级安全教育材料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3.特殊时期需要增加的资料（如新冠疫情期间，需要增加的人员健康码和行程码资料）</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施工方案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4.施工方案，应满足合同要求，内容至少包括：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施工点介绍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施工内容（含作业流程、风险分析、施工工艺等）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施工设备和材料（必要时含构件测试手段等）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安全措施（根据工程特点、分公司的风险评估和施工单位的施工工艺制定）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正常施工安全物资（主要是安全防护设备、劳保用品）</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缺施工方案扣合同金额的6%或700；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缺施工方案扣合同金额的3%或3500；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缺施工方案扣合同金额的1.5%或5000；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缺施工方案扣合同金额的0.5%或1万；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应急预案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5.应急预案，内容至少包括：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现场情况介绍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风险评估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应急架构（包括应急主管人员和安全员，以及各应急小组，落实到人和联系方式）</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应急流程</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各种风险情况下的应急措施（根据现场情况、分公司的风险评估制定）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应急物资清单</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外单位救援力量及联系方式等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缺应急预案扣合同金额的6%或700；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缺应急预案扣合同金额的3%或3500；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缺应急预案扣合同金额的1.5%或5000；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缺应急预案扣合同金额的0.5%或1万；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安全架构</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6.安全架构和相应安全责任制（落实到人和联系方式），可编写入施工方案内，架构人员主要包括：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安全责任人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施工负责人（可与安全责任人为同一个人）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设备、物资管理人员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关键岗位人员、特种作业人员</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缺安全架构扣合同金额的10%或2000；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缺安全架构扣合同金额的2%或1万；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缺少任何一类人员及其职责的扣合同金额的1%或5000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缺安全架构扣合同金额的1%或2万；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10</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人员资质</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7.施工人员花名册，人员应包含：</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施工负责人（需要施工管理人员资格证书）</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特种作业人员（附证件号，同时要复印特种作业证，特种作业人数应满足合同要求）</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一般施工人员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可能需要进入厂区的其他人员（如监理人员、资料员等）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注：如作业涉及危险作业，作业人员须有作业人员岗前职业病体检和筛选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施工现场管理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现场面貌</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1.施工现场未开展有效围蔽</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3.现场无危险源公示、告知及相应警示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4.材料堆放存在重大隐患</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9"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1.现场未按施工方案落实安全防范措施的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2.危险作业未经业主人员审批先行施工的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3.未按施工方案施工的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扣合同金额的5%或5000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扣合同金额的2%或1万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每日安全交底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1.缺少书面交底、未留存书面资料或交底资料缺少交底人、被交底人及安全员签字的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2.内容未结合当天的现场状况、特点、工序，对危险因素、施工内容、安全作业和应急措施进行交底的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作业行为管理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1.违反9大危险作业相关作业规范的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2.现场存在违章作业、违章指挥等违反相关安全管理规定或制度的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3.人员错误使用劳保用品3次以上的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安全记录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未按施工要求开展现场记录或记录内容有缺失</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16</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1.未设置应急物资点，未统一存放应急物资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2.应急物资点无应急物资清单或无应急物资每日检查表</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3.无开展日常应急培训、训练、演练或无资料留档的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人员变更无完善的手续及资料的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隐患管理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未及时对发现的隐患开展整改的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扣合同金额的5%或500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违反业主或上级主管部门提出的其他管理要求、文件、规定或拒不执行的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或300～500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或1000～2000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扣合同金额的0.5%～1%；</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或2500～4500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扣合同金额的0.3%～0.4%；</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注：1、与安全管理相关的考评内容具体考评标准内容参照广州市净水有限公司标准《工程项目安全管理规范》（Q/GZJSA 1-2021）执行。</w:t>
            </w:r>
          </w:p>
        </w:tc>
      </w:tr>
    </w:tbl>
    <w:p>
      <w:pPr>
        <w:spacing w:line="320" w:lineRule="exact"/>
        <w:rPr>
          <w:rFonts w:hint="eastAsia" w:ascii="宋体" w:hAnsi="宋体" w:cs="宋体"/>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br w:type="page"/>
      </w:r>
    </w:p>
    <w:tbl>
      <w:tblPr>
        <w:tblStyle w:val="25"/>
        <w:tblW w:w="58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763"/>
        <w:gridCol w:w="640"/>
        <w:gridCol w:w="2910"/>
        <w:gridCol w:w="1376"/>
        <w:gridCol w:w="900"/>
        <w:gridCol w:w="915"/>
        <w:gridCol w:w="960"/>
        <w:gridCol w:w="885"/>
        <w:gridCol w:w="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2287"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项目名称：</w:t>
            </w:r>
          </w:p>
        </w:tc>
        <w:tc>
          <w:tcPr>
            <w:tcW w:w="652" w:type="pct"/>
            <w:tcBorders>
              <w:top w:val="nil"/>
              <w:left w:val="nil"/>
              <w:bottom w:val="nil"/>
              <w:right w:val="nil"/>
            </w:tcBorders>
            <w:shd w:val="clear" w:color="auto" w:fill="auto"/>
            <w:noWrap/>
            <w:vAlign w:val="center"/>
          </w:tcPr>
          <w:p>
            <w:pPr>
              <w:jc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p>
        </w:tc>
        <w:tc>
          <w:tcPr>
            <w:tcW w:w="2060" w:type="pct"/>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序号</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考评项目</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考评分项</w:t>
            </w:r>
          </w:p>
        </w:tc>
        <w:tc>
          <w:tcPr>
            <w:tcW w:w="1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考评内容</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考评标准</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监理单位考评</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分公司考评</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公司考评</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ind w:right="-10" w:rightChars="0"/>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业务主管部门</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安全管理部门</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综合管理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受到业主单位或上级管理部门通报表扬的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加5～10分/项，可叠加</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积极配合业主单位做好安全工作及相关宣传教育，积极主动排查隐患的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加5分/项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安全事故</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事故类型</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发生重伤1人及以上安全事故，或直接经济损失达200万元以上的安全生产事故</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发生停产、影响环境、破坏公共设施、造成不良影响等事故的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扣40分/项，可叠加，到达100分，3年内禁止来我公司投标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事故处理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1.发生事故或事件隐瞒不报的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2.未在1小时内向业主单位上报事故的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3.拒绝、不配合事故事件调查的或事故事件调查提供虚假信息</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4.未按规定和程序组织事故调查和事故处理的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5.未及时处理导致事故扩大的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6.未落实“四不放过”的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8</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首次备案施工单位须提供的资料</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一般资料</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1.施工人员签名的安全交底表（交底内容由分公司编写），被交底人员应与人员花名册一致</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2.施工单位对施工人员的三级安全教育材料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3.特殊时期需要增加的资料（如新冠疫情期间，需要增加的人员健康码和行程码资料）</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施工方案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4.施工方案，应满足合同要求，内容至少包括：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施工点介绍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施工内容（含作业流程、风险分析、施工工艺等）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施工设备和材料（必要时含构件测试手段等）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安全措施（根据工程特点、分公司的风险评估和施工单位的施工工艺制定）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正常施工安全物资（主要是安全防护设备、劳保用品）</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缺施工方案扣4～8分/项；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应急预案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5.应急预案，内容至少包括：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现场情况介绍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风险评估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应急架构（包括应急主管人员和安全员，以及各应急小组，落实到人和联系方式）</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应急流程</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各种风险情况下的应急措施（根据现场情况、分公司的风险评估制定）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应急物资清单</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外单位救援力量及联系方式等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缺应急预案扣4～8分/项；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安全架构</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6.安全架构和相应安全责任制（落实到人和联系方式），可编写入施工方案内，架构人员主要包括：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安全责任人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施工负责人（可与安全责任人为同一个人）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设备、物资管理人员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关键岗位人员、特种作业人员</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缺安全架构扣5～10分/项；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缺任何一类人员及其职责有问题扣2～4分/项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12</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人员资质</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7.施工人员花名册，人员应包含：</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施工负责人（需要施工管理人员资格证书）</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特种作业人员（附证件号，同时要复印特种作业证，特种作业人数应满足合同要求）</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一般施工人员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可能需要进入厂区的其他人员（如监理人员、资料员等）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注：如作业涉及危险作业，作业人员须有作业人员岗前职业病体检和筛选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施工现场管理</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现场面貌</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1.施工现场未开展有效围蔽</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3.现场无危险源公示、告知及相应警示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4.材料堆放存在重大隐患</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14</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1.现场未按施工方案落实安全防范措施的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2.危险作业未经业主人员审批先行施工的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3.未按施工方案施工的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每日安全交底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1.缺少书面交底、未留存书面资料或交底资料缺少交底人、被交底人及安全员签字的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2.内容未结合当天的现场状况、特点、工序，对危险因素、施工内容、安全作业和应急措施进行交底的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作业行为管理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1.违反9大危险作业相关作业规范的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2.现场存在违章作业、违章指挥等违反相关安全管理规定或制度的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3.人员错误使用劳保用品3次以上的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安全记录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未按施工要求开展现场记录或记录内容有缺失</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1.未设置应急物资点，未统一存放应急物资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2.应急物资点无应急物资清单或无应急物资每日检查表</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3.无开展日常应急培训、训练、演练或无资料留档的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人员变更无完善的手续及资料的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隐患管理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未及时对发现的隐患开展整改的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扣4～8分/项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违反业主或上级主管部门提出的其他管理要求、文件、规定或拒不执行的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2" w:hRule="atLeast"/>
          <w:jc w:val="center"/>
        </w:trPr>
        <w:tc>
          <w:tcPr>
            <w:tcW w:w="5000" w:type="pct"/>
            <w:gridSpan w:val="10"/>
            <w:tcBorders>
              <w:top w:val="nil"/>
              <w:left w:val="nil"/>
              <w:bottom w:val="nil"/>
              <w:right w:val="nil"/>
            </w:tcBorders>
            <w:shd w:val="clear" w:color="auto" w:fill="auto"/>
            <w:vAlign w:val="center"/>
          </w:tcPr>
          <w:p>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注：1、综合考评满分100分，各考评项目扣分不设上限；</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2、监理单位考评只作为参考及履职依据，不计入考评，无监理单位不需填写；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3、“公司考评”业务主管部门和安全办针对本部门检查发现的内容进行扣（奖）分，项目部已经进行扣（奖）分的不重复执行；</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4、各分公司考评填写相应的得（扣）分数值，如奖2分则填写“2”，扣2分则填写“-2”；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5、单项“综合考评”=项目部考评+公司考评；综合考评总分=各单项“综合考评”+100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6、最后得分=综合考评总分X类别系数；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7、各考评项目具体考评标准内容参照广州市净水有限公司标准《工程项目安全管理规范》（Q/GZJSA 1-2021）执行。 </w:t>
            </w:r>
          </w:p>
        </w:tc>
      </w:tr>
    </w:tbl>
    <w:p>
      <w:pPr>
        <w:rPr>
          <w:rFonts w:hint="eastAsia" w:ascii="宋体" w:hAnsi="宋体" w:eastAsia="宋体" w:cs="宋体"/>
          <w:b/>
          <w:bCs/>
          <w:color w:val="000000" w:themeColor="text1"/>
          <w:sz w:val="24"/>
          <w:szCs w:val="24"/>
          <w:highlight w:val="none"/>
          <w14:textFill>
            <w14:solidFill>
              <w14:schemeClr w14:val="tx1"/>
            </w14:solidFill>
          </w14:textFill>
        </w:rPr>
      </w:pPr>
    </w:p>
    <w:p>
      <w:pPr>
        <w:spacing w:line="5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9</w:t>
      </w:r>
    </w:p>
    <w:p>
      <w:pPr>
        <w:spacing w:line="240" w:lineRule="auto"/>
        <w:jc w:val="center"/>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预付款保函</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模板</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w:t>
      </w:r>
    </w:p>
    <w:p>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致：</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（受益人）</w:t>
      </w:r>
    </w:p>
    <w:p>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鉴于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（以下简称“委托人”）与你方于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年  月  日</w:t>
      </w:r>
      <w:r>
        <w:rPr>
          <w:rFonts w:hint="eastAsia" w:ascii="仿宋_GB2312" w:hAnsi="仿宋_GB2312" w:eastAsia="仿宋_GB2312" w:cs="仿宋_GB2312"/>
          <w:color w:val="000000" w:themeColor="text1"/>
          <w:sz w:val="28"/>
          <w:szCs w:val="28"/>
          <w:highlight w:val="none"/>
          <w14:textFill>
            <w14:solidFill>
              <w14:schemeClr w14:val="tx1"/>
            </w14:solidFill>
          </w14:textFill>
        </w:rPr>
        <w:t>签订了</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（以下简称“合同”），你方将按上述基础交易合同约定向委托人支付预付款人民币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元（大写：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）。我行接受委托人的申请，特此开立以你方为受益人的最高金额为人民币（大写：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）（以下称“保函金额”）的保函。</w:t>
      </w:r>
    </w:p>
    <w:p>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一、本保函为不可撤销、见索即付的独立保函。</w:t>
      </w:r>
    </w:p>
    <w:p>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二、在本保函的有效期内，如委托人违反上述基础交易合同约定的义务而未向你方退还预付款，我行将在收到你方提交的符合下述要求的索赔通知书后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日内，以上述保函金额为限向你方支付相应款项。</w:t>
      </w:r>
    </w:p>
    <w:p>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（一）索赔通知书须写明请求付款的金额，并声明该款项并未由委托人或其代理人直接或间接地支付给你方；</w:t>
      </w:r>
    </w:p>
    <w:p>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（二）索赔通知书应由你方法定代表人签字并加盖公章；</w:t>
      </w:r>
    </w:p>
    <w:p>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（三）索赔通知书必须于本保函有效期截止日前送达我行。</w:t>
      </w:r>
    </w:p>
    <w:p>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三、合同的任何修改、变更、解释或不可执行都不能削弱或免除我行按本保函应承担的义务。</w:t>
      </w:r>
    </w:p>
    <w:p>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本保函金额将随我行已向你方支付的金额而自动作相应递减。</w:t>
      </w:r>
    </w:p>
    <w:p>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四、本保函未经我行书面同意不得转让。</w:t>
      </w:r>
    </w:p>
    <w:p>
      <w:pPr>
        <w:spacing w:line="4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五、本保函自签发之日起生效，有效期至</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止。在上述期限内若累计赔偿额达到前述保函金额，本保函提前失效。本保函到期后，无论保函原件是否退回我行，皆告失效。</w:t>
      </w:r>
    </w:p>
    <w:p>
      <w:pPr>
        <w:spacing w:line="460" w:lineRule="exact"/>
        <w:ind w:firstLine="630" w:firstLineChars="225"/>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p>
    <w:p>
      <w:pPr>
        <w:spacing w:line="460" w:lineRule="exact"/>
        <w:ind w:firstLine="560" w:firstLineChars="200"/>
        <w:rPr>
          <w:rFonts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备注：</w:t>
      </w:r>
      <w:r>
        <w:rPr>
          <w:rFonts w:hint="eastAsia" w:ascii="仿宋_GB2312" w:hAnsi="仿宋_GB2312" w:eastAsia="仿宋_GB2312" w:cs="仿宋_GB2312"/>
          <w:color w:val="000000" w:themeColor="text1"/>
          <w:sz w:val="28"/>
          <w:szCs w:val="28"/>
          <w:highlight w:val="none"/>
          <w14:textFill>
            <w14:solidFill>
              <w14:schemeClr w14:val="tx1"/>
            </w14:solidFill>
          </w14:textFill>
        </w:rPr>
        <w:t>本预付款担保格式可采用经</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认可的其他格式，但相关内容不得违背合同文件约定的实质性内容。</w:t>
      </w:r>
    </w:p>
    <w:p>
      <w:pPr>
        <w:rPr>
          <w:rFonts w:hint="eastAsia" w:ascii="黑体" w:hAnsi="黑体" w:eastAsia="黑体" w:cs="黑体"/>
          <w:sz w:val="32"/>
          <w:szCs w:val="32"/>
          <w:highlight w:val="none"/>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附件10</w:t>
      </w:r>
    </w:p>
    <w:p>
      <w:pPr>
        <w:jc w:val="cente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rPr>
        <w:t>施工作业人员工资支付情况说明</w:t>
      </w:r>
      <w:r>
        <w:rPr>
          <w:rFonts w:hint="eastAsia" w:ascii="方正小标宋简体" w:hAnsi="方正小标宋简体" w:eastAsia="方正小标宋简体" w:cs="方正小标宋简体"/>
          <w:b w:val="0"/>
          <w:bCs w:val="0"/>
          <w:sz w:val="44"/>
          <w:szCs w:val="44"/>
          <w:highlight w:val="none"/>
          <w:lang w:eastAsia="zh-CN"/>
        </w:rPr>
        <w:t>（</w:t>
      </w:r>
      <w:r>
        <w:rPr>
          <w:rFonts w:hint="eastAsia" w:ascii="方正小标宋简体" w:hAnsi="方正小标宋简体" w:eastAsia="方正小标宋简体" w:cs="方正小标宋简体"/>
          <w:b w:val="0"/>
          <w:bCs w:val="0"/>
          <w:sz w:val="44"/>
          <w:szCs w:val="44"/>
          <w:highlight w:val="none"/>
          <w:lang w:val="en-US" w:eastAsia="zh-CN"/>
        </w:rPr>
        <w:t>模板</w:t>
      </w:r>
      <w:r>
        <w:rPr>
          <w:rFonts w:hint="eastAsia" w:ascii="方正小标宋简体" w:hAnsi="方正小标宋简体" w:eastAsia="方正小标宋简体" w:cs="方正小标宋简体"/>
          <w:b w:val="0"/>
          <w:bCs w:val="0"/>
          <w:sz w:val="44"/>
          <w:szCs w:val="44"/>
          <w:highlight w:val="none"/>
          <w:lang w:eastAsia="zh-CN"/>
        </w:rPr>
        <w:t>）</w:t>
      </w:r>
    </w:p>
    <w:p>
      <w:pPr>
        <w:jc w:val="both"/>
        <w:rPr>
          <w:rFonts w:hint="eastAsia"/>
          <w:sz w:val="40"/>
          <w:szCs w:val="40"/>
          <w:highlight w:val="none"/>
        </w:rPr>
      </w:pP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广州</w:t>
      </w:r>
      <w:r>
        <w:rPr>
          <w:rFonts w:hint="eastAsia" w:ascii="仿宋_GB2312" w:hAnsi="仿宋_GB2312" w:eastAsia="仿宋_GB2312" w:cs="仿宋_GB2312"/>
          <w:sz w:val="28"/>
          <w:szCs w:val="28"/>
          <w:highlight w:val="none"/>
          <w:lang w:val="en-US" w:eastAsia="zh-CN"/>
        </w:rPr>
        <w:t>市</w:t>
      </w:r>
      <w:r>
        <w:rPr>
          <w:rFonts w:hint="eastAsia" w:ascii="仿宋_GB2312" w:hAnsi="仿宋_GB2312" w:eastAsia="仿宋_GB2312" w:cs="仿宋_GB2312"/>
          <w:sz w:val="28"/>
          <w:szCs w:val="28"/>
          <w:highlight w:val="none"/>
        </w:rPr>
        <w:t>净水有限公司:</w:t>
      </w:r>
    </w:p>
    <w:p>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我公司负责建设的《</w:t>
      </w:r>
      <w:r>
        <w:rPr>
          <w:rFonts w:hint="eastAsia" w:ascii="仿宋_GB2312" w:hAnsi="仿宋_GB2312" w:eastAsia="仿宋_GB2312" w:cs="仿宋_GB2312"/>
          <w:sz w:val="28"/>
          <w:szCs w:val="28"/>
          <w:highlight w:val="none"/>
          <w:lang w:val="en-US" w:eastAsia="zh-CN"/>
        </w:rPr>
        <w:t>XX合同（统筹项目XX子项）</w:t>
      </w:r>
      <w:r>
        <w:rPr>
          <w:rFonts w:hint="eastAsia" w:ascii="仿宋_GB2312" w:hAnsi="仿宋_GB2312" w:eastAsia="仿宋_GB2312" w:cs="仿宋_GB2312"/>
          <w:sz w:val="28"/>
          <w:szCs w:val="28"/>
          <w:highlight w:val="none"/>
        </w:rPr>
        <w:t>》已经按合同约定完成</w:t>
      </w:r>
      <w:r>
        <w:rPr>
          <w:rFonts w:hint="eastAsia" w:ascii="仿宋_GB2312" w:hAnsi="仿宋_GB2312" w:eastAsia="仿宋_GB2312" w:cs="仿宋_GB2312"/>
          <w:sz w:val="28"/>
          <w:szCs w:val="28"/>
          <w:highlight w:val="none"/>
          <w:lang w:val="en-US" w:eastAsia="zh-CN"/>
        </w:rPr>
        <w:t>施工</w:t>
      </w:r>
      <w:r>
        <w:rPr>
          <w:rFonts w:hint="eastAsia" w:ascii="仿宋_GB2312" w:hAnsi="仿宋_GB2312" w:eastAsia="仿宋_GB2312" w:cs="仿宋_GB2312"/>
          <w:sz w:val="28"/>
          <w:szCs w:val="28"/>
          <w:highlight w:val="none"/>
        </w:rPr>
        <w:t>，该项目施工作业人员工资已相应支付，</w:t>
      </w:r>
      <w:r>
        <w:rPr>
          <w:rFonts w:hint="eastAsia" w:ascii="仿宋_GB2312" w:hAnsi="仿宋_GB2312" w:eastAsia="仿宋_GB2312" w:cs="仿宋_GB2312"/>
          <w:sz w:val="28"/>
          <w:szCs w:val="28"/>
          <w:highlight w:val="none"/>
          <w:lang w:val="en-US" w:eastAsia="zh-CN"/>
        </w:rPr>
        <w:t>无扣款、</w:t>
      </w:r>
      <w:r>
        <w:rPr>
          <w:rFonts w:hint="eastAsia" w:ascii="仿宋_GB2312" w:hAnsi="仿宋_GB2312" w:eastAsia="仿宋_GB2312" w:cs="仿宋_GB2312"/>
          <w:sz w:val="28"/>
          <w:szCs w:val="28"/>
          <w:highlight w:val="none"/>
        </w:rPr>
        <w:t>无拖延拖欠情况。</w:t>
      </w: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特此说明!</w:t>
      </w: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项目承包单位(公章):</w:t>
      </w:r>
    </w:p>
    <w:p>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项目负责人(签名):</w:t>
      </w:r>
    </w:p>
    <w:p>
      <w:pPr>
        <w:ind w:firstLine="5600" w:firstLineChars="20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日</w:t>
      </w:r>
    </w:p>
    <w:p>
      <w:pPr>
        <w:jc w:val="both"/>
        <w:rPr>
          <w:rFonts w:hint="eastAsia" w:ascii="仿宋_GB2312" w:hAnsi="仿宋_GB2312" w:eastAsia="仿宋_GB2312" w:cs="仿宋_GB2312"/>
          <w:sz w:val="28"/>
          <w:szCs w:val="28"/>
          <w:highlight w:val="none"/>
          <w:lang w:val="en-US" w:eastAsia="zh-CN"/>
        </w:rPr>
      </w:pPr>
    </w:p>
    <w:p>
      <w:pPr>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（该项目所有施工作业人员）施工作业人员确认签字（加盖手印）： </w:t>
      </w:r>
    </w:p>
    <w:p>
      <w:pPr>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rPr>
          <w:rFonts w:hint="default" w:ascii="黑体" w:hAnsi="黑体" w:eastAsia="黑体" w:cs="黑体"/>
          <w:sz w:val="32"/>
          <w:szCs w:val="32"/>
          <w:highlight w:val="none"/>
          <w:lang w:val="en-US"/>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附件11</w:t>
      </w:r>
    </w:p>
    <w:p>
      <w:pPr>
        <w:adjustRightInd w:val="0"/>
        <w:snapToGrid w:val="0"/>
        <w:jc w:val="both"/>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w:t>
      </w:r>
      <w:r>
        <w:rPr>
          <w:rFonts w:hint="eastAsia" w:ascii="方正小标宋简体" w:hAnsi="方正小标宋简体" w:eastAsia="方正小标宋简体" w:cs="方正小标宋简体"/>
          <w:sz w:val="32"/>
          <w:szCs w:val="32"/>
          <w:lang w:val="en-US" w:eastAsia="zh-CN"/>
        </w:rPr>
        <w:t>履约</w:t>
      </w:r>
      <w:r>
        <w:rPr>
          <w:rFonts w:hint="eastAsia" w:ascii="方正小标宋简体" w:hAnsi="方正小标宋简体" w:eastAsia="方正小标宋简体" w:cs="方正小标宋简体"/>
          <w:sz w:val="32"/>
          <w:szCs w:val="32"/>
        </w:rPr>
        <w:t>行为的情形及相应被暂停参与投标活动的处理标准</w:t>
      </w:r>
    </w:p>
    <w:tbl>
      <w:tblPr>
        <w:tblStyle w:val="25"/>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w:t>
            </w:r>
            <w:r>
              <w:rPr>
                <w:rFonts w:hint="eastAsia" w:ascii="仿宋_GB2312" w:hAnsi="仿宋_GB2312" w:eastAsia="仿宋_GB2312" w:cs="仿宋_GB2312"/>
                <w:szCs w:val="24"/>
                <w:lang w:val="en-US" w:eastAsia="zh-CN"/>
              </w:rPr>
              <w:t>履约</w:t>
            </w:r>
          </w:p>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w:t>
            </w:r>
            <w:r>
              <w:rPr>
                <w:rFonts w:hint="eastAsia" w:ascii="仿宋_GB2312" w:hAnsi="仿宋_GB2312" w:eastAsia="仿宋_GB2312" w:cs="仿宋_GB2312"/>
                <w:szCs w:val="24"/>
                <w:lang w:val="en-US" w:eastAsia="zh-CN"/>
              </w:rPr>
              <w:t>负责人</w:t>
            </w:r>
            <w:r>
              <w:rPr>
                <w:rFonts w:hint="eastAsia" w:ascii="仿宋_GB2312" w:hAnsi="仿宋_GB2312" w:eastAsia="仿宋_GB2312" w:cs="仿宋_GB2312"/>
                <w:szCs w:val="24"/>
              </w:rPr>
              <w:t>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426" w:type="dxa"/>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szCs w:val="24"/>
              </w:rPr>
            </w:pPr>
          </w:p>
        </w:tc>
      </w:tr>
    </w:tbl>
    <w:p>
      <w:pPr>
        <w:pStyle w:val="24"/>
        <w:rPr>
          <w:rFonts w:hint="eastAsia" w:ascii="仿宋_GB2312" w:hAnsi="仿宋_GB2312" w:eastAsia="仿宋_GB2312" w:cs="仿宋_GB2312"/>
          <w:color w:val="000000"/>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rPr>
        <w:t>广州市净水有限公司经营建设项目参建企业</w:t>
      </w:r>
      <w:r>
        <w:rPr>
          <w:rFonts w:hint="eastAsia" w:ascii="仿宋_GB2312" w:hAnsi="仿宋_GB2312" w:eastAsia="仿宋_GB2312" w:cs="仿宋_GB2312"/>
          <w:sz w:val="24"/>
          <w:szCs w:val="24"/>
          <w:lang w:val="en-US" w:eastAsia="zh-CN"/>
        </w:rPr>
        <w:t>不履约评价</w:t>
      </w:r>
      <w:r>
        <w:rPr>
          <w:rFonts w:hint="eastAsia" w:ascii="仿宋_GB2312" w:hAnsi="仿宋_GB2312" w:eastAsia="仿宋_GB2312" w:cs="仿宋_GB2312"/>
          <w:sz w:val="24"/>
          <w:szCs w:val="24"/>
        </w:rPr>
        <w:t>管理办法（试行）</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w:t>
      </w:r>
    </w:p>
    <w:p>
      <w:pPr>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附件12技术需求书</w:t>
      </w:r>
    </w:p>
    <w:p>
      <w:pPr>
        <w:pStyle w:val="24"/>
        <w:rPr>
          <w:rFonts w:hint="default" w:ascii="仿宋_GB2312" w:hAnsi="仿宋_GB2312" w:eastAsia="仿宋_GB2312" w:cs="仿宋_GB2312"/>
          <w:color w:val="000000"/>
          <w:sz w:val="24"/>
          <w:szCs w:val="24"/>
          <w:highlight w:val="none"/>
          <w:lang w:val="en-US" w:eastAsia="zh-CN"/>
        </w:rPr>
      </w:pPr>
    </w:p>
    <w:sectPr>
      <w:footerReference r:id="rId6" w:type="default"/>
      <w:pgSz w:w="11906" w:h="16838"/>
      <w:pgMar w:top="2098" w:right="1531" w:bottom="2098" w:left="1531" w:header="851"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328D8C5-6B87-435C-9435-D1F1F945D95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79A1E82-F318-46B0-8CB1-7C4063B953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F87F240-DE00-4487-8A12-AE5AD536FCF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embedRegular r:id="rId4" w:fontKey="{555AB0BD-225C-41FB-967D-7D34A126E3A0}"/>
  </w:font>
  <w:font w:name="Wingdings 2">
    <w:panose1 w:val="05020102010507070707"/>
    <w:charset w:val="00"/>
    <w:family w:val="auto"/>
    <w:pitch w:val="default"/>
    <w:sig w:usb0="00000000" w:usb1="00000000" w:usb2="00000000" w:usb3="00000000" w:csb0="80000000" w:csb1="00000000"/>
    <w:embedRegular r:id="rId5" w:fontKey="{693B7119-B306-455D-931C-ECC835CE813A}"/>
  </w:font>
  <w:font w:name="微软雅黑">
    <w:panose1 w:val="020B0503020204020204"/>
    <w:charset w:val="86"/>
    <w:family w:val="auto"/>
    <w:pitch w:val="default"/>
    <w:sig w:usb0="80000287" w:usb1="2ACF3C50" w:usb2="00000016" w:usb3="00000000" w:csb0="0004001F" w:csb1="00000000"/>
    <w:embedRegular r:id="rId6" w:fontKey="{751AC422-E0E1-476C-B0F0-309BA15122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-175895</wp:posOffset>
              </wp:positionV>
              <wp:extent cx="445135" cy="2305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pPr>
                            <w:pStyle w:val="1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13.85pt;height:18.15pt;width:35.05pt;mso-position-horizontal:outside;mso-position-horizontal-relative:margin;mso-wrap-style:none;z-index:251659264;mso-width-relative:page;mso-height-relative:page;" filled="f" stroked="f" coordsize="21600,21600" o:gfxdata="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sUSu/0gAAAAUBAAAPAAAAAAAAAAEAIAAAACIAAABk&#10;cnMvZG93bnJldi54bWxQSwECFAAUAAAACACHTuJAvEkSDNMBAAClAwAADgAAAAAAAAABACAAAAAh&#10;AQAAZHJzL2Uyb0RvYy54bWxQSwUGAAAAAAYABgBZAQAAZgUAAAAA&#10;">
              <v:fill on="f" focussize="0,0"/>
              <v:stroke on="f"/>
              <v:imagedata o:title=""/>
              <o:lock v:ext="edit" aspectratio="f"/>
              <v:textbox inset="0mm,0mm,0mm,0mm" style="mso-fit-shape-to-text:t;">
                <w:txbxContent>
                  <w:p>
                    <w:pPr>
                      <w:pStyle w:val="1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-181610</wp:posOffset>
              </wp:positionV>
              <wp:extent cx="516890" cy="31305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516890" cy="313055"/>
                      </a:xfrm>
                      <a:prstGeom prst="rect">
                        <a:avLst/>
                      </a:prstGeom>
                      <a:noFill/>
                      <a:ln>
                        <a:noFill/>
                      </a:ln>
                    </wps:spPr>
                    <wps:txbx>
                      <w:txbxContent>
                        <w:p>
                          <w:pPr>
                            <w:pStyle w:val="17"/>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lIns="0" tIns="0" rIns="0" bIns="0" upright="0"/>
                  </wps:wsp>
                </a:graphicData>
              </a:graphic>
            </wp:anchor>
          </w:drawing>
        </mc:Choice>
        <mc:Fallback>
          <w:pict>
            <v:shape id="文本框 1026" o:spid="_x0000_s1026" o:spt="202" type="#_x0000_t202" style="position:absolute;left:0pt;margin-left:0pt;margin-top:-14.3pt;height:24.65pt;width:40.7pt;mso-position-horizontal-relative:margin;z-index:251660288;mso-width-relative:page;mso-height-relative:page;" filled="f" stroked="f" coordsize="21600,21600" o:gfxdata="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G5s361gAAAAYBAAAPAAAAAAAAAAEAIAAAACIAAABkcnMvZG93bnJldi54bWxQSwEC&#10;FAAUAAAACACHTuJAz4VaFb0BAAB0AwAADgAAAAAAAAABACAAAAAlAQAAZHJzL2Uyb0RvYy54bWxQ&#10;SwUGAAAAAAYABgBZAQAAVAUAAAAA&#10;">
              <v:fill on="f" focussize="0,0"/>
              <v:stroke on="f"/>
              <v:imagedata o:title=""/>
              <o:lock v:ext="edit" aspectratio="f"/>
              <v:textbox inset="0mm,0mm,0mm,0mm">
                <w:txbxContent>
                  <w:p>
                    <w:pPr>
                      <w:pStyle w:val="17"/>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5052060</wp:posOffset>
              </wp:positionH>
              <wp:positionV relativeFrom="paragraph">
                <wp:posOffset>-95250</wp:posOffset>
              </wp:positionV>
              <wp:extent cx="563880" cy="37973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563880" cy="379730"/>
                      </a:xfrm>
                      <a:prstGeom prst="rect">
                        <a:avLst/>
                      </a:prstGeom>
                      <a:noFill/>
                      <a:ln>
                        <a:noFill/>
                      </a:ln>
                    </wps:spPr>
                    <wps:txbx>
                      <w:txbxContent>
                        <w:sdt>
                          <w:sdtPr>
                            <w:rPr>
                              <w:rFonts w:hint="eastAsia" w:ascii="宋体" w:hAnsi="宋体" w:eastAsia="宋体" w:cs="宋体"/>
                              <w:sz w:val="28"/>
                              <w:szCs w:val="28"/>
                            </w:rPr>
                            <w:id w:val="-1803232920"/>
                          </w:sdtPr>
                          <w:sdtEndPr>
                            <w:rPr>
                              <w:rFonts w:hint="eastAsia" w:ascii="宋体" w:hAnsi="宋体" w:eastAsia="宋体" w:cs="宋体"/>
                              <w:sz w:val="28"/>
                              <w:szCs w:val="28"/>
                            </w:rPr>
                          </w:sdtEndPr>
                          <w:sdtContent>
                            <w:p>
                              <w:pPr>
                                <w:pStyle w:val="17"/>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7</w:t>
                              </w:r>
                              <w:r>
                                <w:rPr>
                                  <w:rFonts w:hint="eastAsia" w:ascii="宋体" w:hAnsi="宋体" w:cs="宋体"/>
                                  <w:sz w:val="28"/>
                                  <w:szCs w:val="28"/>
                                </w:rPr>
                                <w:fldChar w:fldCharType="end"/>
                              </w:r>
                            </w:p>
                          </w:sdtContent>
                        </w:sdt>
                        <w:p/>
                      </w:txbxContent>
                    </wps:txbx>
                    <wps:bodyPr lIns="0" tIns="0" rIns="0" bIns="0" upright="0"/>
                  </wps:wsp>
                </a:graphicData>
              </a:graphic>
            </wp:anchor>
          </w:drawing>
        </mc:Choice>
        <mc:Fallback>
          <w:pict>
            <v:shape id="文本框 1027" o:spid="_x0000_s1026" o:spt="202" type="#_x0000_t202" style="position:absolute;left:0pt;margin-left:397.8pt;margin-top:-7.5pt;height:29.9pt;width:44.4pt;mso-position-horizontal-relative:margin;z-index:251661312;mso-width-relative:page;mso-height-relative:page;" filled="f" stroked="f" coordsize="21600,21600" o:gfxdata="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H2RtoAAAAKAQAADwAAAAAAAAABACAAAAAiAAAAZHJzL2Rvd25yZXYueG1s&#10;UEsBAhQAFAAAAAgAh07iQFsFKQa9AQAAdAMAAA4AAAAAAAAAAQAgAAAAKQEAAGRycy9lMm9Eb2Mu&#10;eG1sUEsFBgAAAAAGAAYAWQEAAFgFAAAAAA==&#10;">
              <v:fill on="f" focussize="0,0"/>
              <v:stroke on="f"/>
              <v:imagedata o:title=""/>
              <o:lock v:ext="edit" aspectratio="f"/>
              <v:textbox inset="0mm,0mm,0mm,0mm">
                <w:txbxContent>
                  <w:sdt>
                    <w:sdtPr>
                      <w:rPr>
                        <w:rFonts w:hint="eastAsia" w:ascii="宋体" w:hAnsi="宋体" w:eastAsia="宋体" w:cs="宋体"/>
                        <w:sz w:val="28"/>
                        <w:szCs w:val="28"/>
                      </w:rPr>
                      <w:id w:val="-1803232920"/>
                    </w:sdtPr>
                    <w:sdtEndPr>
                      <w:rPr>
                        <w:rFonts w:hint="eastAsia" w:ascii="宋体" w:hAnsi="宋体" w:eastAsia="宋体" w:cs="宋体"/>
                        <w:sz w:val="28"/>
                        <w:szCs w:val="28"/>
                      </w:rPr>
                    </w:sdtEndPr>
                    <w:sdtContent>
                      <w:p>
                        <w:pPr>
                          <w:pStyle w:val="17"/>
                          <w:jc w:val="cente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7</w:t>
                        </w:r>
                        <w:r>
                          <w:rPr>
                            <w:rFonts w:hint="eastAsia" w:ascii="宋体" w:hAnsi="宋体" w:cs="宋体"/>
                            <w:sz w:val="28"/>
                            <w:szCs w:val="28"/>
                          </w:rPr>
                          <w:fldChar w:fldCharType="end"/>
                        </w:r>
                      </w:p>
                    </w:sdtContent>
                  </w:sdt>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evenAndOddHeaders w:val="1"/>
  <w:drawingGridHorizontalSpacing w:val="210"/>
  <w:drawingGridVerticalSpacing w:val="156"/>
  <w:displayHorizontalDrawingGridEvery w:val="1"/>
  <w:displayVertic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MDZhOWRlNjc4ZmEzNjJiNDkxMjEyM2Q1M2JlMWYifQ=="/>
  </w:docVars>
  <w:rsids>
    <w:rsidRoot w:val="00172A27"/>
    <w:rsid w:val="000116F4"/>
    <w:rsid w:val="000160F0"/>
    <w:rsid w:val="00022E8F"/>
    <w:rsid w:val="00027CF8"/>
    <w:rsid w:val="0003063C"/>
    <w:rsid w:val="00033E52"/>
    <w:rsid w:val="000345AE"/>
    <w:rsid w:val="00037C52"/>
    <w:rsid w:val="00057FF6"/>
    <w:rsid w:val="00066159"/>
    <w:rsid w:val="00071CC7"/>
    <w:rsid w:val="00071E3E"/>
    <w:rsid w:val="00073A98"/>
    <w:rsid w:val="00075ED5"/>
    <w:rsid w:val="0008389C"/>
    <w:rsid w:val="00094002"/>
    <w:rsid w:val="00094F8A"/>
    <w:rsid w:val="00097681"/>
    <w:rsid w:val="000A5FA6"/>
    <w:rsid w:val="000B6A52"/>
    <w:rsid w:val="000C3B28"/>
    <w:rsid w:val="000D5859"/>
    <w:rsid w:val="000E5327"/>
    <w:rsid w:val="0012727D"/>
    <w:rsid w:val="00127F4F"/>
    <w:rsid w:val="00130D5B"/>
    <w:rsid w:val="001348FB"/>
    <w:rsid w:val="0013692F"/>
    <w:rsid w:val="0014004D"/>
    <w:rsid w:val="00140243"/>
    <w:rsid w:val="0015465F"/>
    <w:rsid w:val="00171748"/>
    <w:rsid w:val="00172A27"/>
    <w:rsid w:val="0017371F"/>
    <w:rsid w:val="00194A0A"/>
    <w:rsid w:val="001A4672"/>
    <w:rsid w:val="001B2DEE"/>
    <w:rsid w:val="001B5AE4"/>
    <w:rsid w:val="001B6E9F"/>
    <w:rsid w:val="001C1760"/>
    <w:rsid w:val="001D0148"/>
    <w:rsid w:val="001D4DB1"/>
    <w:rsid w:val="001D5631"/>
    <w:rsid w:val="001F5EF9"/>
    <w:rsid w:val="001F7034"/>
    <w:rsid w:val="0020272A"/>
    <w:rsid w:val="002065E9"/>
    <w:rsid w:val="00207810"/>
    <w:rsid w:val="002253C3"/>
    <w:rsid w:val="00225637"/>
    <w:rsid w:val="00225F8E"/>
    <w:rsid w:val="00231B49"/>
    <w:rsid w:val="00231C52"/>
    <w:rsid w:val="002357E1"/>
    <w:rsid w:val="00237FA0"/>
    <w:rsid w:val="00240583"/>
    <w:rsid w:val="00241057"/>
    <w:rsid w:val="002524ED"/>
    <w:rsid w:val="002536AD"/>
    <w:rsid w:val="0026733C"/>
    <w:rsid w:val="00270D52"/>
    <w:rsid w:val="002932B9"/>
    <w:rsid w:val="002A3E44"/>
    <w:rsid w:val="002A4B6F"/>
    <w:rsid w:val="002A73D0"/>
    <w:rsid w:val="002B4096"/>
    <w:rsid w:val="002B64E4"/>
    <w:rsid w:val="002C1443"/>
    <w:rsid w:val="002C2854"/>
    <w:rsid w:val="002E7E89"/>
    <w:rsid w:val="002F1E24"/>
    <w:rsid w:val="002F66BB"/>
    <w:rsid w:val="0030318C"/>
    <w:rsid w:val="00303F37"/>
    <w:rsid w:val="00305B4B"/>
    <w:rsid w:val="0031056F"/>
    <w:rsid w:val="003107A2"/>
    <w:rsid w:val="003255DB"/>
    <w:rsid w:val="00340E06"/>
    <w:rsid w:val="00353AB3"/>
    <w:rsid w:val="00357CB5"/>
    <w:rsid w:val="00360F9F"/>
    <w:rsid w:val="003623C6"/>
    <w:rsid w:val="00370B9B"/>
    <w:rsid w:val="003940BF"/>
    <w:rsid w:val="003C1BF5"/>
    <w:rsid w:val="003D2A80"/>
    <w:rsid w:val="003D683A"/>
    <w:rsid w:val="003E21FA"/>
    <w:rsid w:val="003F3168"/>
    <w:rsid w:val="00402D74"/>
    <w:rsid w:val="00405B90"/>
    <w:rsid w:val="00414260"/>
    <w:rsid w:val="00445044"/>
    <w:rsid w:val="00445800"/>
    <w:rsid w:val="004459CC"/>
    <w:rsid w:val="0044769E"/>
    <w:rsid w:val="004541C7"/>
    <w:rsid w:val="0046571A"/>
    <w:rsid w:val="00484DC9"/>
    <w:rsid w:val="004916BB"/>
    <w:rsid w:val="00493DDA"/>
    <w:rsid w:val="004A5F30"/>
    <w:rsid w:val="004A7A3D"/>
    <w:rsid w:val="004D3059"/>
    <w:rsid w:val="004D3279"/>
    <w:rsid w:val="004D4E03"/>
    <w:rsid w:val="004D5C89"/>
    <w:rsid w:val="004E1D21"/>
    <w:rsid w:val="004E3E05"/>
    <w:rsid w:val="004E3ED0"/>
    <w:rsid w:val="004E6CB8"/>
    <w:rsid w:val="0050150F"/>
    <w:rsid w:val="0050424B"/>
    <w:rsid w:val="0050794E"/>
    <w:rsid w:val="00513133"/>
    <w:rsid w:val="005164AC"/>
    <w:rsid w:val="00517E28"/>
    <w:rsid w:val="0052430E"/>
    <w:rsid w:val="00533ACD"/>
    <w:rsid w:val="0054544F"/>
    <w:rsid w:val="0055166C"/>
    <w:rsid w:val="00556CE9"/>
    <w:rsid w:val="00567A17"/>
    <w:rsid w:val="00571F0E"/>
    <w:rsid w:val="00571F67"/>
    <w:rsid w:val="0058148A"/>
    <w:rsid w:val="005943A4"/>
    <w:rsid w:val="00597E4B"/>
    <w:rsid w:val="005A12C3"/>
    <w:rsid w:val="005B05F8"/>
    <w:rsid w:val="005B11C9"/>
    <w:rsid w:val="005C1C3E"/>
    <w:rsid w:val="005C3B8F"/>
    <w:rsid w:val="005D002D"/>
    <w:rsid w:val="005D2F99"/>
    <w:rsid w:val="005D30F2"/>
    <w:rsid w:val="005E2C99"/>
    <w:rsid w:val="005E7898"/>
    <w:rsid w:val="005F1C5F"/>
    <w:rsid w:val="005F4A31"/>
    <w:rsid w:val="00604090"/>
    <w:rsid w:val="00607FF2"/>
    <w:rsid w:val="0061344A"/>
    <w:rsid w:val="00615C4E"/>
    <w:rsid w:val="006234B3"/>
    <w:rsid w:val="00626E24"/>
    <w:rsid w:val="00626EF8"/>
    <w:rsid w:val="00650829"/>
    <w:rsid w:val="006639C1"/>
    <w:rsid w:val="00664CAE"/>
    <w:rsid w:val="0066748E"/>
    <w:rsid w:val="00677B2B"/>
    <w:rsid w:val="0068707F"/>
    <w:rsid w:val="006A0B17"/>
    <w:rsid w:val="006B0FD6"/>
    <w:rsid w:val="006B6083"/>
    <w:rsid w:val="006E3AA2"/>
    <w:rsid w:val="006E6A7F"/>
    <w:rsid w:val="0070221C"/>
    <w:rsid w:val="00724782"/>
    <w:rsid w:val="007317DF"/>
    <w:rsid w:val="00736741"/>
    <w:rsid w:val="00740F88"/>
    <w:rsid w:val="00741428"/>
    <w:rsid w:val="00743945"/>
    <w:rsid w:val="007449DE"/>
    <w:rsid w:val="00746E6F"/>
    <w:rsid w:val="0075140F"/>
    <w:rsid w:val="00753AAF"/>
    <w:rsid w:val="00756B41"/>
    <w:rsid w:val="00762CC5"/>
    <w:rsid w:val="00766890"/>
    <w:rsid w:val="00767D69"/>
    <w:rsid w:val="00780A6D"/>
    <w:rsid w:val="00783376"/>
    <w:rsid w:val="00786DFA"/>
    <w:rsid w:val="007A38C4"/>
    <w:rsid w:val="007A7B5B"/>
    <w:rsid w:val="007B0429"/>
    <w:rsid w:val="007B4BEF"/>
    <w:rsid w:val="007C088B"/>
    <w:rsid w:val="007C1ECA"/>
    <w:rsid w:val="007C600B"/>
    <w:rsid w:val="007C7F48"/>
    <w:rsid w:val="007D0D4D"/>
    <w:rsid w:val="007D3EAB"/>
    <w:rsid w:val="00802B8F"/>
    <w:rsid w:val="00810C65"/>
    <w:rsid w:val="0081291C"/>
    <w:rsid w:val="008232A9"/>
    <w:rsid w:val="00824DA0"/>
    <w:rsid w:val="008306B2"/>
    <w:rsid w:val="00830F34"/>
    <w:rsid w:val="00831B55"/>
    <w:rsid w:val="00872E01"/>
    <w:rsid w:val="00875DE4"/>
    <w:rsid w:val="00891595"/>
    <w:rsid w:val="0089338A"/>
    <w:rsid w:val="00895156"/>
    <w:rsid w:val="0089637B"/>
    <w:rsid w:val="008B6C61"/>
    <w:rsid w:val="008C6F50"/>
    <w:rsid w:val="008D0054"/>
    <w:rsid w:val="008D4E34"/>
    <w:rsid w:val="008E643F"/>
    <w:rsid w:val="008F684A"/>
    <w:rsid w:val="009106EF"/>
    <w:rsid w:val="00914A68"/>
    <w:rsid w:val="0092364D"/>
    <w:rsid w:val="0093311F"/>
    <w:rsid w:val="009335B3"/>
    <w:rsid w:val="00934534"/>
    <w:rsid w:val="0094681E"/>
    <w:rsid w:val="00953176"/>
    <w:rsid w:val="00960D5A"/>
    <w:rsid w:val="00962BAC"/>
    <w:rsid w:val="009773AE"/>
    <w:rsid w:val="00986F9E"/>
    <w:rsid w:val="00992C5D"/>
    <w:rsid w:val="00996E45"/>
    <w:rsid w:val="009B2459"/>
    <w:rsid w:val="009B3A24"/>
    <w:rsid w:val="009C388D"/>
    <w:rsid w:val="009C6222"/>
    <w:rsid w:val="009D7484"/>
    <w:rsid w:val="009E285E"/>
    <w:rsid w:val="009E334D"/>
    <w:rsid w:val="009F0BC3"/>
    <w:rsid w:val="009F4C37"/>
    <w:rsid w:val="009F608A"/>
    <w:rsid w:val="00A05E5D"/>
    <w:rsid w:val="00A1158C"/>
    <w:rsid w:val="00A17C69"/>
    <w:rsid w:val="00A208E3"/>
    <w:rsid w:val="00A3494D"/>
    <w:rsid w:val="00A369F1"/>
    <w:rsid w:val="00A42859"/>
    <w:rsid w:val="00A54516"/>
    <w:rsid w:val="00A62CB6"/>
    <w:rsid w:val="00A7023A"/>
    <w:rsid w:val="00A741DE"/>
    <w:rsid w:val="00A82AAC"/>
    <w:rsid w:val="00A8428D"/>
    <w:rsid w:val="00A97B21"/>
    <w:rsid w:val="00AA10E0"/>
    <w:rsid w:val="00AA1C8C"/>
    <w:rsid w:val="00AA4B6D"/>
    <w:rsid w:val="00AB554A"/>
    <w:rsid w:val="00AC2952"/>
    <w:rsid w:val="00AE2785"/>
    <w:rsid w:val="00AF28D0"/>
    <w:rsid w:val="00B0320C"/>
    <w:rsid w:val="00B103DF"/>
    <w:rsid w:val="00B258EF"/>
    <w:rsid w:val="00B26903"/>
    <w:rsid w:val="00B26FC9"/>
    <w:rsid w:val="00B36427"/>
    <w:rsid w:val="00B50B5E"/>
    <w:rsid w:val="00B54873"/>
    <w:rsid w:val="00B672C3"/>
    <w:rsid w:val="00B67771"/>
    <w:rsid w:val="00B72ABE"/>
    <w:rsid w:val="00B73228"/>
    <w:rsid w:val="00B76080"/>
    <w:rsid w:val="00B80C26"/>
    <w:rsid w:val="00B82A56"/>
    <w:rsid w:val="00B87860"/>
    <w:rsid w:val="00BA0656"/>
    <w:rsid w:val="00BA6EBA"/>
    <w:rsid w:val="00BB619C"/>
    <w:rsid w:val="00BB7B28"/>
    <w:rsid w:val="00BC3736"/>
    <w:rsid w:val="00BD1570"/>
    <w:rsid w:val="00BE399E"/>
    <w:rsid w:val="00C006B8"/>
    <w:rsid w:val="00C0361C"/>
    <w:rsid w:val="00C203C9"/>
    <w:rsid w:val="00C259DA"/>
    <w:rsid w:val="00C27268"/>
    <w:rsid w:val="00C27F32"/>
    <w:rsid w:val="00C411E2"/>
    <w:rsid w:val="00C51DF3"/>
    <w:rsid w:val="00C60E44"/>
    <w:rsid w:val="00C64B23"/>
    <w:rsid w:val="00C6562D"/>
    <w:rsid w:val="00C6566A"/>
    <w:rsid w:val="00C8096E"/>
    <w:rsid w:val="00C811E1"/>
    <w:rsid w:val="00C81BA3"/>
    <w:rsid w:val="00CA219A"/>
    <w:rsid w:val="00CA2E67"/>
    <w:rsid w:val="00CB0961"/>
    <w:rsid w:val="00CB5248"/>
    <w:rsid w:val="00CC5CAB"/>
    <w:rsid w:val="00CE6D2A"/>
    <w:rsid w:val="00CF2481"/>
    <w:rsid w:val="00CF2A16"/>
    <w:rsid w:val="00CF4084"/>
    <w:rsid w:val="00D04FCE"/>
    <w:rsid w:val="00D45239"/>
    <w:rsid w:val="00D76466"/>
    <w:rsid w:val="00D8185A"/>
    <w:rsid w:val="00D81F73"/>
    <w:rsid w:val="00D91336"/>
    <w:rsid w:val="00D94195"/>
    <w:rsid w:val="00D97648"/>
    <w:rsid w:val="00DA4009"/>
    <w:rsid w:val="00DA5ECB"/>
    <w:rsid w:val="00DB57F6"/>
    <w:rsid w:val="00DC0871"/>
    <w:rsid w:val="00E0082A"/>
    <w:rsid w:val="00E04057"/>
    <w:rsid w:val="00E04431"/>
    <w:rsid w:val="00E070E5"/>
    <w:rsid w:val="00E14CAD"/>
    <w:rsid w:val="00E16382"/>
    <w:rsid w:val="00E26AA6"/>
    <w:rsid w:val="00E31348"/>
    <w:rsid w:val="00E319A7"/>
    <w:rsid w:val="00E34468"/>
    <w:rsid w:val="00E53FFD"/>
    <w:rsid w:val="00E55449"/>
    <w:rsid w:val="00E606D6"/>
    <w:rsid w:val="00E67C0A"/>
    <w:rsid w:val="00E71BF3"/>
    <w:rsid w:val="00E721FB"/>
    <w:rsid w:val="00E745DE"/>
    <w:rsid w:val="00E77052"/>
    <w:rsid w:val="00E9732D"/>
    <w:rsid w:val="00EA169E"/>
    <w:rsid w:val="00EB09B3"/>
    <w:rsid w:val="00EB1748"/>
    <w:rsid w:val="00EB33AB"/>
    <w:rsid w:val="00EC7078"/>
    <w:rsid w:val="00ED2E70"/>
    <w:rsid w:val="00ED4E3E"/>
    <w:rsid w:val="00EE1C11"/>
    <w:rsid w:val="00EF21BD"/>
    <w:rsid w:val="00EF3DD8"/>
    <w:rsid w:val="00F054F3"/>
    <w:rsid w:val="00F13DC3"/>
    <w:rsid w:val="00F13E25"/>
    <w:rsid w:val="00F178C5"/>
    <w:rsid w:val="00F179BA"/>
    <w:rsid w:val="00F20C56"/>
    <w:rsid w:val="00F23C04"/>
    <w:rsid w:val="00F252C9"/>
    <w:rsid w:val="00F352C7"/>
    <w:rsid w:val="00F404BE"/>
    <w:rsid w:val="00F439C1"/>
    <w:rsid w:val="00F463F5"/>
    <w:rsid w:val="00F46698"/>
    <w:rsid w:val="00F533EA"/>
    <w:rsid w:val="00F539CE"/>
    <w:rsid w:val="00F56DA0"/>
    <w:rsid w:val="00F60173"/>
    <w:rsid w:val="00F60EA4"/>
    <w:rsid w:val="00F64026"/>
    <w:rsid w:val="00F65F17"/>
    <w:rsid w:val="00F66C2A"/>
    <w:rsid w:val="00F710A1"/>
    <w:rsid w:val="00F7120A"/>
    <w:rsid w:val="00F75794"/>
    <w:rsid w:val="00F81522"/>
    <w:rsid w:val="00F82140"/>
    <w:rsid w:val="00F84413"/>
    <w:rsid w:val="00F90BC0"/>
    <w:rsid w:val="00F964E0"/>
    <w:rsid w:val="00FA08A2"/>
    <w:rsid w:val="00FA1C46"/>
    <w:rsid w:val="00FA2E65"/>
    <w:rsid w:val="00FA4C39"/>
    <w:rsid w:val="00FB2E4D"/>
    <w:rsid w:val="00FB73A1"/>
    <w:rsid w:val="00FD2FD9"/>
    <w:rsid w:val="00FE25E8"/>
    <w:rsid w:val="00FF433A"/>
    <w:rsid w:val="00FF5588"/>
    <w:rsid w:val="015E2F3D"/>
    <w:rsid w:val="01A66A5A"/>
    <w:rsid w:val="022A3EEB"/>
    <w:rsid w:val="050C0DD7"/>
    <w:rsid w:val="05BD4D88"/>
    <w:rsid w:val="060B6117"/>
    <w:rsid w:val="06551EA9"/>
    <w:rsid w:val="06DB4D9F"/>
    <w:rsid w:val="08FC0CCA"/>
    <w:rsid w:val="09DE4628"/>
    <w:rsid w:val="0B276A4A"/>
    <w:rsid w:val="0B952B8D"/>
    <w:rsid w:val="0DB87318"/>
    <w:rsid w:val="0EBA2E73"/>
    <w:rsid w:val="0EEE56EB"/>
    <w:rsid w:val="0F8F209F"/>
    <w:rsid w:val="0FEB39D9"/>
    <w:rsid w:val="0FEF09D5"/>
    <w:rsid w:val="1041248F"/>
    <w:rsid w:val="11344D4B"/>
    <w:rsid w:val="11424BD3"/>
    <w:rsid w:val="1191627F"/>
    <w:rsid w:val="11993FCA"/>
    <w:rsid w:val="12B50787"/>
    <w:rsid w:val="1457734B"/>
    <w:rsid w:val="146975C2"/>
    <w:rsid w:val="146D0647"/>
    <w:rsid w:val="146D2C0E"/>
    <w:rsid w:val="14AD3953"/>
    <w:rsid w:val="14FE5909"/>
    <w:rsid w:val="15053BA9"/>
    <w:rsid w:val="15A538CD"/>
    <w:rsid w:val="16F615E1"/>
    <w:rsid w:val="17AB2923"/>
    <w:rsid w:val="182E2859"/>
    <w:rsid w:val="18730966"/>
    <w:rsid w:val="18D869F9"/>
    <w:rsid w:val="18FD37DA"/>
    <w:rsid w:val="191B532F"/>
    <w:rsid w:val="192848F3"/>
    <w:rsid w:val="1A162CE4"/>
    <w:rsid w:val="1AF56A43"/>
    <w:rsid w:val="1AFF314E"/>
    <w:rsid w:val="1B1C0EEA"/>
    <w:rsid w:val="1C7578A3"/>
    <w:rsid w:val="1D102AC0"/>
    <w:rsid w:val="1D4E55A7"/>
    <w:rsid w:val="1D9B05A0"/>
    <w:rsid w:val="1DF7547E"/>
    <w:rsid w:val="1E2D4AA6"/>
    <w:rsid w:val="1F4B62D2"/>
    <w:rsid w:val="20C9681B"/>
    <w:rsid w:val="21412146"/>
    <w:rsid w:val="2281080E"/>
    <w:rsid w:val="235F22C3"/>
    <w:rsid w:val="240B299B"/>
    <w:rsid w:val="24CC1BD3"/>
    <w:rsid w:val="24F75C3E"/>
    <w:rsid w:val="251141A9"/>
    <w:rsid w:val="257D1496"/>
    <w:rsid w:val="25A348DA"/>
    <w:rsid w:val="26373E8A"/>
    <w:rsid w:val="26826F28"/>
    <w:rsid w:val="280E60F4"/>
    <w:rsid w:val="29D20428"/>
    <w:rsid w:val="2A360A92"/>
    <w:rsid w:val="2A5B1723"/>
    <w:rsid w:val="2A761F42"/>
    <w:rsid w:val="2A994FFC"/>
    <w:rsid w:val="2C8612E5"/>
    <w:rsid w:val="2F547084"/>
    <w:rsid w:val="30FF1C97"/>
    <w:rsid w:val="316D1255"/>
    <w:rsid w:val="32587BB2"/>
    <w:rsid w:val="32CF6F78"/>
    <w:rsid w:val="331E0155"/>
    <w:rsid w:val="347E3E22"/>
    <w:rsid w:val="34AE4101"/>
    <w:rsid w:val="34C63EF6"/>
    <w:rsid w:val="35234A93"/>
    <w:rsid w:val="35CF23CB"/>
    <w:rsid w:val="35FD22DA"/>
    <w:rsid w:val="377B7B62"/>
    <w:rsid w:val="37CD4A7A"/>
    <w:rsid w:val="37CE1367"/>
    <w:rsid w:val="38416B6B"/>
    <w:rsid w:val="38E77668"/>
    <w:rsid w:val="393352D0"/>
    <w:rsid w:val="39846582"/>
    <w:rsid w:val="39E41315"/>
    <w:rsid w:val="3AA322FB"/>
    <w:rsid w:val="3B6C71D8"/>
    <w:rsid w:val="3BAA2D10"/>
    <w:rsid w:val="3BAE4B93"/>
    <w:rsid w:val="3D396C68"/>
    <w:rsid w:val="3F1B1335"/>
    <w:rsid w:val="3F4577B5"/>
    <w:rsid w:val="3FD34AF2"/>
    <w:rsid w:val="40B3559D"/>
    <w:rsid w:val="40CA20FF"/>
    <w:rsid w:val="40F8107D"/>
    <w:rsid w:val="41873C36"/>
    <w:rsid w:val="42E03A6F"/>
    <w:rsid w:val="433553E8"/>
    <w:rsid w:val="43547DE0"/>
    <w:rsid w:val="45467488"/>
    <w:rsid w:val="45A9244C"/>
    <w:rsid w:val="467A3B2C"/>
    <w:rsid w:val="47653A95"/>
    <w:rsid w:val="47CD6A02"/>
    <w:rsid w:val="494551F3"/>
    <w:rsid w:val="49B20572"/>
    <w:rsid w:val="49B44860"/>
    <w:rsid w:val="4BF058F8"/>
    <w:rsid w:val="4C516396"/>
    <w:rsid w:val="4C920D40"/>
    <w:rsid w:val="4D1B1261"/>
    <w:rsid w:val="4E1F6FE5"/>
    <w:rsid w:val="4E7D4A4F"/>
    <w:rsid w:val="4ECC264C"/>
    <w:rsid w:val="4FA743FB"/>
    <w:rsid w:val="510645FA"/>
    <w:rsid w:val="51216BE8"/>
    <w:rsid w:val="51664527"/>
    <w:rsid w:val="51736776"/>
    <w:rsid w:val="51A14015"/>
    <w:rsid w:val="530159C6"/>
    <w:rsid w:val="53E45D42"/>
    <w:rsid w:val="549D0001"/>
    <w:rsid w:val="54B33922"/>
    <w:rsid w:val="551D4CE4"/>
    <w:rsid w:val="555C346A"/>
    <w:rsid w:val="55640996"/>
    <w:rsid w:val="559746D8"/>
    <w:rsid w:val="55CD3EDB"/>
    <w:rsid w:val="56100A19"/>
    <w:rsid w:val="5B570FB7"/>
    <w:rsid w:val="5BDE576D"/>
    <w:rsid w:val="5C50666A"/>
    <w:rsid w:val="5C8C6F64"/>
    <w:rsid w:val="5C916DFE"/>
    <w:rsid w:val="5CA34F80"/>
    <w:rsid w:val="5D4F6922"/>
    <w:rsid w:val="5DBA22A7"/>
    <w:rsid w:val="5DC5002E"/>
    <w:rsid w:val="5DFA3C1D"/>
    <w:rsid w:val="5E0F35C8"/>
    <w:rsid w:val="5E105329"/>
    <w:rsid w:val="5E121888"/>
    <w:rsid w:val="5E97077C"/>
    <w:rsid w:val="602A7BF4"/>
    <w:rsid w:val="60593873"/>
    <w:rsid w:val="60D41851"/>
    <w:rsid w:val="61011CDA"/>
    <w:rsid w:val="61AD0F98"/>
    <w:rsid w:val="61F42E1D"/>
    <w:rsid w:val="620C3034"/>
    <w:rsid w:val="62467179"/>
    <w:rsid w:val="62762193"/>
    <w:rsid w:val="62A93765"/>
    <w:rsid w:val="63212CD8"/>
    <w:rsid w:val="63AA2A78"/>
    <w:rsid w:val="643806ED"/>
    <w:rsid w:val="64A51B2D"/>
    <w:rsid w:val="650E5FF1"/>
    <w:rsid w:val="65FE286C"/>
    <w:rsid w:val="66446756"/>
    <w:rsid w:val="667374DB"/>
    <w:rsid w:val="67952097"/>
    <w:rsid w:val="67F241AA"/>
    <w:rsid w:val="68032A33"/>
    <w:rsid w:val="68B971B6"/>
    <w:rsid w:val="695919A3"/>
    <w:rsid w:val="69AC5B4D"/>
    <w:rsid w:val="6AF24A77"/>
    <w:rsid w:val="6B872412"/>
    <w:rsid w:val="6BB927D9"/>
    <w:rsid w:val="6C0665E4"/>
    <w:rsid w:val="6C394AD8"/>
    <w:rsid w:val="6D562C3D"/>
    <w:rsid w:val="6D8C26A0"/>
    <w:rsid w:val="6F220321"/>
    <w:rsid w:val="6F9B3A24"/>
    <w:rsid w:val="6FA515EE"/>
    <w:rsid w:val="6FFA408B"/>
    <w:rsid w:val="70B654CF"/>
    <w:rsid w:val="7170570D"/>
    <w:rsid w:val="71987A34"/>
    <w:rsid w:val="72C62D8B"/>
    <w:rsid w:val="72FC6805"/>
    <w:rsid w:val="734144B7"/>
    <w:rsid w:val="742D050C"/>
    <w:rsid w:val="747125DF"/>
    <w:rsid w:val="74BD7B76"/>
    <w:rsid w:val="75365DA9"/>
    <w:rsid w:val="769335E7"/>
    <w:rsid w:val="770F35A7"/>
    <w:rsid w:val="77612FB4"/>
    <w:rsid w:val="77EC10D8"/>
    <w:rsid w:val="77F52C5C"/>
    <w:rsid w:val="78B4658A"/>
    <w:rsid w:val="78D426F8"/>
    <w:rsid w:val="7A800AE8"/>
    <w:rsid w:val="7AAA2CE3"/>
    <w:rsid w:val="7AC30597"/>
    <w:rsid w:val="7BD04052"/>
    <w:rsid w:val="7BFA3AA5"/>
    <w:rsid w:val="7D2D571E"/>
    <w:rsid w:val="7D6372B7"/>
    <w:rsid w:val="7EB20667"/>
    <w:rsid w:val="7F350A56"/>
    <w:rsid w:val="7F951C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38"/>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1"/>
    <w:link w:val="36"/>
    <w:qFormat/>
    <w:uiPriority w:val="0"/>
    <w:pPr>
      <w:spacing w:after="120"/>
    </w:pPr>
  </w:style>
  <w:style w:type="paragraph" w:styleId="11">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2">
    <w:name w:val="Body Text Indent"/>
    <w:basedOn w:val="1"/>
    <w:next w:val="13"/>
    <w:qFormat/>
    <w:uiPriority w:val="0"/>
    <w:pPr>
      <w:ind w:firstLine="830" w:firstLineChars="352"/>
    </w:pPr>
    <w:rPr>
      <w:rFonts w:ascii="仿宋_GB2312" w:eastAsia="仿宋_GB2312"/>
      <w:sz w:val="32"/>
      <w:szCs w:val="20"/>
    </w:rPr>
  </w:style>
  <w:style w:type="paragraph" w:styleId="13">
    <w:name w:val="envelope return"/>
    <w:basedOn w:val="1"/>
    <w:qFormat/>
    <w:uiPriority w:val="0"/>
    <w:pPr>
      <w:snapToGrid w:val="0"/>
    </w:pPr>
    <w:rPr>
      <w:rFonts w:ascii="Arial" w:hAnsi="Arial"/>
      <w:szCs w:val="24"/>
    </w:rPr>
  </w:style>
  <w:style w:type="paragraph" w:styleId="14">
    <w:name w:val="Plain Text"/>
    <w:basedOn w:val="1"/>
    <w:link w:val="34"/>
    <w:qFormat/>
    <w:uiPriority w:val="0"/>
    <w:rPr>
      <w:rFonts w:ascii="宋体" w:hAnsi="Courier New" w:cs="Courier New"/>
      <w:szCs w:val="21"/>
    </w:rPr>
  </w:style>
  <w:style w:type="paragraph" w:styleId="15">
    <w:name w:val="Body Text Indent 2"/>
    <w:basedOn w:val="1"/>
    <w:link w:val="53"/>
    <w:qFormat/>
    <w:uiPriority w:val="0"/>
    <w:pPr>
      <w:spacing w:after="120" w:line="480" w:lineRule="auto"/>
      <w:ind w:left="420" w:leftChars="200"/>
    </w:pPr>
  </w:style>
  <w:style w:type="paragraph" w:styleId="16">
    <w:name w:val="Balloon Text"/>
    <w:basedOn w:val="1"/>
    <w:link w:val="37"/>
    <w:qFormat/>
    <w:uiPriority w:val="99"/>
    <w:rPr>
      <w:sz w:val="18"/>
      <w:szCs w:val="18"/>
    </w:rPr>
  </w:style>
  <w:style w:type="paragraph" w:styleId="17">
    <w:name w:val="footer"/>
    <w:basedOn w:val="1"/>
    <w:link w:val="51"/>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Body Text Indent 3"/>
    <w:basedOn w:val="1"/>
    <w:link w:val="35"/>
    <w:qFormat/>
    <w:uiPriority w:val="0"/>
    <w:pPr>
      <w:spacing w:after="120"/>
      <w:ind w:left="420" w:leftChars="200"/>
    </w:pPr>
    <w:rPr>
      <w:sz w:val="16"/>
      <w:szCs w:val="16"/>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link w:val="32"/>
    <w:qFormat/>
    <w:uiPriority w:val="0"/>
    <w:pPr>
      <w:spacing w:before="240" w:after="60"/>
      <w:jc w:val="center"/>
      <w:outlineLvl w:val="0"/>
    </w:pPr>
    <w:rPr>
      <w:rFonts w:ascii="Cambria" w:hAnsi="Cambria"/>
      <w:b/>
      <w:bCs/>
      <w:sz w:val="32"/>
      <w:szCs w:val="32"/>
    </w:rPr>
  </w:style>
  <w:style w:type="paragraph" w:styleId="24">
    <w:name w:val="Body Text First Indent 2"/>
    <w:basedOn w:val="12"/>
    <w:qFormat/>
    <w:uiPriority w:val="0"/>
    <w:pPr>
      <w:adjustRightInd/>
      <w:snapToGrid/>
      <w:spacing w:line="360" w:lineRule="auto"/>
      <w:ind w:firstLine="471" w:firstLineChars="200"/>
      <w:textAlignment w:val="auto"/>
    </w:pPr>
    <w:rPr>
      <w:rFonts w:hint="eastAsia" w:hAnsi="Times New Roman"/>
      <w:kern w:val="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rFonts w:eastAsia="宋体"/>
      <w:b/>
      <w:bCs/>
      <w:kern w:val="2"/>
      <w:sz w:val="24"/>
      <w:szCs w:val="24"/>
      <w:lang w:val="en-US" w:eastAsia="zh-CN" w:bidi="ar-SA"/>
    </w:rPr>
  </w:style>
  <w:style w:type="character" w:styleId="29">
    <w:name w:val="page number"/>
    <w:basedOn w:val="27"/>
    <w:qFormat/>
    <w:uiPriority w:val="0"/>
  </w:style>
  <w:style w:type="character" w:styleId="30">
    <w:name w:val="annotation reference"/>
    <w:basedOn w:val="27"/>
    <w:qFormat/>
    <w:uiPriority w:val="0"/>
    <w:rPr>
      <w:sz w:val="21"/>
      <w:szCs w:val="21"/>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2">
    <w:name w:val="标题 Char"/>
    <w:basedOn w:val="27"/>
    <w:link w:val="23"/>
    <w:qFormat/>
    <w:uiPriority w:val="0"/>
    <w:rPr>
      <w:rFonts w:ascii="Cambria" w:hAnsi="Cambria" w:cs="Times New Roman"/>
      <w:b/>
      <w:bCs/>
      <w:sz w:val="32"/>
      <w:szCs w:val="32"/>
    </w:rPr>
  </w:style>
  <w:style w:type="character" w:customStyle="1" w:styleId="33">
    <w:name w:val="标题 1 Char"/>
    <w:basedOn w:val="27"/>
    <w:link w:val="2"/>
    <w:qFormat/>
    <w:uiPriority w:val="0"/>
    <w:rPr>
      <w:b/>
      <w:bCs/>
      <w:kern w:val="44"/>
      <w:sz w:val="44"/>
      <w:szCs w:val="44"/>
    </w:rPr>
  </w:style>
  <w:style w:type="character" w:customStyle="1" w:styleId="34">
    <w:name w:val="纯文本 Char"/>
    <w:basedOn w:val="27"/>
    <w:link w:val="14"/>
    <w:qFormat/>
    <w:uiPriority w:val="0"/>
    <w:rPr>
      <w:rFonts w:ascii="宋体" w:hAnsi="Courier New" w:cs="Courier New"/>
      <w:sz w:val="21"/>
      <w:szCs w:val="21"/>
    </w:rPr>
  </w:style>
  <w:style w:type="character" w:customStyle="1" w:styleId="35">
    <w:name w:val="正文文本缩进 3 Char"/>
    <w:basedOn w:val="27"/>
    <w:link w:val="20"/>
    <w:qFormat/>
    <w:uiPriority w:val="0"/>
    <w:rPr>
      <w:sz w:val="16"/>
      <w:szCs w:val="16"/>
    </w:rPr>
  </w:style>
  <w:style w:type="character" w:customStyle="1" w:styleId="36">
    <w:name w:val="正文文本 Char"/>
    <w:basedOn w:val="27"/>
    <w:link w:val="10"/>
    <w:qFormat/>
    <w:uiPriority w:val="0"/>
    <w:rPr>
      <w:sz w:val="21"/>
    </w:rPr>
  </w:style>
  <w:style w:type="character" w:customStyle="1" w:styleId="37">
    <w:name w:val="批注框文本 Char"/>
    <w:basedOn w:val="27"/>
    <w:link w:val="16"/>
    <w:qFormat/>
    <w:uiPriority w:val="99"/>
    <w:rPr>
      <w:sz w:val="18"/>
      <w:szCs w:val="18"/>
    </w:rPr>
  </w:style>
  <w:style w:type="character" w:customStyle="1" w:styleId="38">
    <w:name w:val="批注文字 Char"/>
    <w:basedOn w:val="27"/>
    <w:link w:val="8"/>
    <w:qFormat/>
    <w:uiPriority w:val="0"/>
    <w:rPr>
      <w:sz w:val="21"/>
    </w:rPr>
  </w:style>
  <w:style w:type="paragraph" w:customStyle="1" w:styleId="3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0">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1">
    <w:name w:val="表格文字"/>
    <w:basedOn w:val="1"/>
    <w:qFormat/>
    <w:uiPriority w:val="0"/>
    <w:pPr>
      <w:spacing w:before="25" w:after="25"/>
      <w:jc w:val="left"/>
    </w:pPr>
    <w:rPr>
      <w:bCs/>
      <w:spacing w:val="10"/>
      <w:kern w:val="0"/>
      <w:sz w:val="24"/>
      <w:szCs w:val="20"/>
    </w:rPr>
  </w:style>
  <w:style w:type="paragraph" w:customStyle="1" w:styleId="4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
    <w:name w:val="1.1"/>
    <w:basedOn w:val="1"/>
    <w:next w:val="1"/>
    <w:qFormat/>
    <w:uiPriority w:val="0"/>
    <w:pPr>
      <w:tabs>
        <w:tab w:val="left" w:pos="900"/>
      </w:tabs>
      <w:adjustRightInd w:val="0"/>
      <w:snapToGrid w:val="0"/>
      <w:spacing w:beforeLines="50" w:afterLines="50" w:line="400" w:lineRule="atLeast"/>
      <w:ind w:left="50" w:leftChars="50" w:right="200" w:rightChars="200" w:hanging="901" w:hangingChars="299"/>
    </w:pPr>
    <w:rPr>
      <w:b/>
      <w:kern w:val="0"/>
      <w:sz w:val="30"/>
      <w:szCs w:val="20"/>
    </w:rPr>
  </w:style>
  <w:style w:type="paragraph" w:customStyle="1" w:styleId="45">
    <w:name w:val="题注4"/>
    <w:basedOn w:val="1"/>
    <w:next w:val="7"/>
    <w:qFormat/>
    <w:uiPriority w:val="0"/>
    <w:pPr>
      <w:ind w:left="-132" w:leftChars="-64" w:right="-105" w:rightChars="-50" w:hanging="2"/>
      <w:jc w:val="center"/>
    </w:pPr>
    <w:rPr>
      <w:b/>
      <w:color w:val="FF0000"/>
      <w:szCs w:val="21"/>
      <w:lang w:val="en-GB"/>
    </w:rPr>
  </w:style>
  <w:style w:type="paragraph" w:customStyle="1" w:styleId="46">
    <w:name w:val="Char Char2 Char"/>
    <w:basedOn w:val="1"/>
    <w:qFormat/>
    <w:uiPriority w:val="0"/>
  </w:style>
  <w:style w:type="paragraph" w:customStyle="1" w:styleId="47">
    <w:name w:val="Char"/>
    <w:basedOn w:val="1"/>
    <w:qFormat/>
    <w:uiPriority w:val="0"/>
    <w:pPr>
      <w:spacing w:line="480" w:lineRule="exact"/>
    </w:pPr>
    <w:rPr>
      <w:sz w:val="24"/>
    </w:rPr>
  </w:style>
  <w:style w:type="paragraph" w:customStyle="1" w:styleId="48">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49">
    <w:name w:val="Char Char Char Char"/>
    <w:basedOn w:val="1"/>
    <w:qFormat/>
    <w:uiPriority w:val="0"/>
  </w:style>
  <w:style w:type="paragraph" w:styleId="5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页脚 Char"/>
    <w:basedOn w:val="27"/>
    <w:link w:val="17"/>
    <w:qFormat/>
    <w:uiPriority w:val="99"/>
    <w:rPr>
      <w:kern w:val="2"/>
      <w:sz w:val="18"/>
      <w:szCs w:val="24"/>
    </w:rPr>
  </w:style>
  <w:style w:type="paragraph" w:customStyle="1" w:styleId="52">
    <w:name w:val="_Style 4"/>
    <w:basedOn w:val="2"/>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character" w:customStyle="1" w:styleId="53">
    <w:name w:val="正文文本缩进 2 Char"/>
    <w:basedOn w:val="27"/>
    <w:link w:val="15"/>
    <w:qFormat/>
    <w:uiPriority w:val="0"/>
    <w:rPr>
      <w:kern w:val="2"/>
      <w:sz w:val="21"/>
      <w:szCs w:val="24"/>
    </w:rPr>
  </w:style>
  <w:style w:type="paragraph" w:styleId="54">
    <w:name w:val="List Paragraph"/>
    <w:basedOn w:val="1"/>
    <w:qFormat/>
    <w:uiPriority w:val="99"/>
    <w:pPr>
      <w:ind w:firstLine="420" w:firstLineChars="200"/>
    </w:pPr>
    <w:rPr>
      <w:rFonts w:ascii="Calibri" w:hAnsi="Calibri"/>
      <w:szCs w:val="22"/>
    </w:rPr>
  </w:style>
  <w:style w:type="paragraph" w:customStyle="1" w:styleId="55">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56">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23308</Words>
  <Characters>24354</Characters>
  <Lines>89</Lines>
  <Paragraphs>25</Paragraphs>
  <TotalTime>43</TotalTime>
  <ScaleCrop>false</ScaleCrop>
  <LinksUpToDate>false</LinksUpToDate>
  <CharactersWithSpaces>25347</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2020-10-21T03:35:00Z</dcterms:created>
  <dc:creator>李继能</dc:creator>
  <cp:lastModifiedBy>魏少慧</cp:lastModifiedBy>
  <cp:lastPrinted>2025-04-29T06:45:00Z</cp:lastPrinted>
  <dcterms:modified xsi:type="dcterms:W3CDTF">2025-06-17T09:04:46Z</dcterms:modified>
  <dc:title>询价文件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8168F556453142EA952E278BC356BCCC</vt:lpwstr>
  </property>
  <property fmtid="{D5CDD505-2E9C-101B-9397-08002B2CF9AE}" pid="4" name="KSOTemplateDocerSaveRecord">
    <vt:lpwstr>eyJoZGlkIjoiNzE1YWM3OTIyOGZlMTExZmNmNDU3MjQyZTYzNGUyNWMiLCJ1c2VySWQiOiIxNDIzMTU3NTQwIn0=</vt:lpwstr>
  </property>
</Properties>
</file>