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118B8">
      <w:pPr>
        <w:pStyle w:val="2"/>
        <w:rPr>
          <w:color w:val="auto"/>
          <w:highlight w:val="none"/>
          <w:lang w:val="en-US"/>
        </w:rPr>
      </w:pPr>
      <w:r>
        <w:rPr>
          <w:color w:val="auto"/>
          <w:highlight w:val="none"/>
          <w:lang w:val="en-US"/>
        </w:rPr>
        <mc:AlternateContent>
          <mc:Choice Requires="wps">
            <w:drawing>
              <wp:anchor distT="0" distB="0" distL="114300" distR="114300" simplePos="0" relativeHeight="251663360" behindDoc="0" locked="0" layoutInCell="1" allowOverlap="1">
                <wp:simplePos x="0" y="0"/>
                <wp:positionH relativeFrom="column">
                  <wp:posOffset>-646430</wp:posOffset>
                </wp:positionH>
                <wp:positionV relativeFrom="paragraph">
                  <wp:posOffset>-419100</wp:posOffset>
                </wp:positionV>
                <wp:extent cx="1298575" cy="883285"/>
                <wp:effectExtent l="0" t="0" r="15875" b="12065"/>
                <wp:wrapNone/>
                <wp:docPr id="3" name="文本框 3"/>
                <wp:cNvGraphicFramePr/>
                <a:graphic xmlns:a="http://schemas.openxmlformats.org/drawingml/2006/main">
                  <a:graphicData uri="http://schemas.microsoft.com/office/word/2010/wordprocessingShape">
                    <wps:wsp>
                      <wps:cNvSpPr txBox="1"/>
                      <wps:spPr>
                        <a:xfrm>
                          <a:off x="367665" y="495300"/>
                          <a:ext cx="1298575" cy="883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CA2D993">
                            <w:pPr>
                              <w:rPr>
                                <w:rFonts w:ascii="宋体" w:hAnsi="宋体" w:cs="宋体"/>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33pt;height:69.55pt;width:102.25pt;z-index:251663360;mso-width-relative:page;mso-height-relative:page;" fillcolor="#FFFFFF [3201]" filled="t" stroked="f" coordsize="21600,21600" o:gfxdata="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OARD9YA&#10;AAALAQAADwAAAAAAAAABACAAAAAiAAAAZHJzL2Rvd25yZXYueG1sUEsBAhQAFAAAAAgAh07iQOPG&#10;y/RaAgAAmQQAAA4AAAAAAAAAAQAgAAAAJQEAAGRycy9lMm9Eb2MueG1sUEsFBgAAAAAGAAYAWQEA&#10;APEFAAAAAA==&#10;">
                <v:fill on="t" focussize="0,0"/>
                <v:stroke on="f" weight="0.5pt"/>
                <v:imagedata o:title=""/>
                <o:lock v:ext="edit" aspectratio="f"/>
                <v:textbox>
                  <w:txbxContent>
                    <w:p w14:paraId="3CA2D993">
                      <w:pPr>
                        <w:rPr>
                          <w:rFonts w:ascii="宋体" w:hAnsi="宋体" w:cs="宋体"/>
                          <w:sz w:val="28"/>
                          <w:szCs w:val="28"/>
                        </w:rPr>
                      </w:pPr>
                    </w:p>
                  </w:txbxContent>
                </v:textbox>
              </v:shape>
            </w:pict>
          </mc:Fallback>
        </mc:AlternateContent>
      </w:r>
    </w:p>
    <w:p w14:paraId="1C3F6F04">
      <w:pPr>
        <w:pStyle w:val="2"/>
        <w:rPr>
          <w:color w:val="auto"/>
          <w:highlight w:val="none"/>
        </w:rPr>
      </w:pPr>
    </w:p>
    <w:p w14:paraId="12EF0BBA">
      <w:pPr>
        <w:pStyle w:val="2"/>
        <w:rPr>
          <w:color w:val="auto"/>
          <w:highlight w:val="none"/>
        </w:rPr>
      </w:pPr>
    </w:p>
    <w:p w14:paraId="4C984189">
      <w:pPr>
        <w:pStyle w:val="2"/>
        <w:rPr>
          <w:color w:val="auto"/>
          <w:highlight w:val="none"/>
        </w:rPr>
      </w:pPr>
    </w:p>
    <w:p w14:paraId="575B808C">
      <w:pPr>
        <w:spacing w:line="360" w:lineRule="auto"/>
        <w:ind w:left="-567" w:leftChars="-270" w:right="-624" w:rightChars="-297"/>
        <w:jc w:val="center"/>
        <w:rPr>
          <w:rFonts w:ascii="宋体" w:hAnsi="宋体" w:cs="宋体"/>
          <w:b/>
          <w:color w:val="auto"/>
          <w:kern w:val="2"/>
          <w:sz w:val="52"/>
          <w:szCs w:val="48"/>
          <w:highlight w:val="none"/>
        </w:rPr>
      </w:pPr>
    </w:p>
    <w:p w14:paraId="641DD6ED">
      <w:pPr>
        <w:pStyle w:val="2"/>
        <w:spacing w:line="360" w:lineRule="auto"/>
        <w:jc w:val="center"/>
        <w:rPr>
          <w:rFonts w:cs="宋体"/>
          <w:b/>
          <w:color w:val="auto"/>
          <w:kern w:val="2"/>
          <w:sz w:val="52"/>
          <w:szCs w:val="48"/>
          <w:highlight w:val="none"/>
          <w:lang w:val="en-US"/>
        </w:rPr>
      </w:pPr>
      <w:r>
        <w:rPr>
          <w:rFonts w:hint="eastAsia" w:cs="宋体"/>
          <w:b/>
          <w:color w:val="auto"/>
          <w:kern w:val="2"/>
          <w:sz w:val="52"/>
          <w:szCs w:val="48"/>
          <w:highlight w:val="none"/>
          <w:lang w:val="en-US"/>
        </w:rPr>
        <w:t>白云区太和镇卫生院新址建设项目</w:t>
      </w:r>
    </w:p>
    <w:p w14:paraId="705D8453">
      <w:pPr>
        <w:pStyle w:val="2"/>
        <w:spacing w:line="360" w:lineRule="auto"/>
        <w:jc w:val="center"/>
        <w:rPr>
          <w:color w:val="auto"/>
          <w:highlight w:val="none"/>
          <w:lang w:val="en-US"/>
        </w:rPr>
      </w:pPr>
      <w:r>
        <w:rPr>
          <w:rFonts w:hint="eastAsia" w:cs="宋体"/>
          <w:b/>
          <w:color w:val="auto"/>
          <w:kern w:val="2"/>
          <w:sz w:val="52"/>
          <w:szCs w:val="48"/>
          <w:highlight w:val="none"/>
          <w:lang w:val="en-US"/>
        </w:rPr>
        <w:t>勘察设计施工总承包</w:t>
      </w:r>
    </w:p>
    <w:p w14:paraId="4E49BCAB">
      <w:pPr>
        <w:pStyle w:val="2"/>
        <w:spacing w:line="360" w:lineRule="auto"/>
        <w:rPr>
          <w:color w:val="auto"/>
          <w:highlight w:val="none"/>
        </w:rPr>
      </w:pPr>
    </w:p>
    <w:p w14:paraId="07E3FE01">
      <w:pPr>
        <w:pStyle w:val="2"/>
        <w:spacing w:line="360" w:lineRule="auto"/>
        <w:rPr>
          <w:color w:val="auto"/>
          <w:highlight w:val="none"/>
        </w:rPr>
      </w:pPr>
    </w:p>
    <w:p w14:paraId="053B5A44">
      <w:pPr>
        <w:spacing w:line="360" w:lineRule="auto"/>
        <w:jc w:val="center"/>
        <w:rPr>
          <w:rFonts w:ascii="宋体" w:hAnsi="宋体" w:cs="宋体"/>
          <w:color w:val="auto"/>
          <w:kern w:val="1"/>
          <w:sz w:val="72"/>
          <w:szCs w:val="72"/>
          <w:highlight w:val="none"/>
        </w:rPr>
      </w:pPr>
    </w:p>
    <w:p w14:paraId="75F65886">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招</w:t>
      </w:r>
      <w:r>
        <w:rPr>
          <w:rFonts w:ascii="宋体" w:hAnsi="宋体" w:cs="宋体"/>
          <w:b/>
          <w:bCs/>
          <w:color w:val="auto"/>
          <w:kern w:val="1"/>
          <w:sz w:val="84"/>
          <w:szCs w:val="84"/>
          <w:highlight w:val="none"/>
        </w:rPr>
        <w:t xml:space="preserve"> </w:t>
      </w:r>
      <w:r>
        <w:rPr>
          <w:rFonts w:hint="eastAsia" w:ascii="宋体" w:hAnsi="宋体" w:cs="宋体"/>
          <w:b/>
          <w:bCs/>
          <w:color w:val="auto"/>
          <w:kern w:val="1"/>
          <w:sz w:val="84"/>
          <w:szCs w:val="84"/>
          <w:highlight w:val="none"/>
        </w:rPr>
        <w:t>标</w:t>
      </w:r>
      <w:r>
        <w:rPr>
          <w:rFonts w:ascii="宋体" w:hAnsi="宋体" w:cs="宋体"/>
          <w:b/>
          <w:bCs/>
          <w:color w:val="auto"/>
          <w:kern w:val="1"/>
          <w:sz w:val="84"/>
          <w:szCs w:val="84"/>
          <w:highlight w:val="none"/>
        </w:rPr>
        <w:t xml:space="preserve"> </w:t>
      </w:r>
      <w:r>
        <w:rPr>
          <w:rFonts w:hint="eastAsia" w:ascii="宋体" w:hAnsi="宋体" w:cs="宋体"/>
          <w:b/>
          <w:bCs/>
          <w:color w:val="auto"/>
          <w:kern w:val="1"/>
          <w:sz w:val="84"/>
          <w:szCs w:val="84"/>
          <w:highlight w:val="none"/>
        </w:rPr>
        <w:t>文</w:t>
      </w:r>
      <w:r>
        <w:rPr>
          <w:rFonts w:ascii="宋体" w:hAnsi="宋体" w:cs="宋体"/>
          <w:b/>
          <w:bCs/>
          <w:color w:val="auto"/>
          <w:kern w:val="1"/>
          <w:sz w:val="84"/>
          <w:szCs w:val="84"/>
          <w:highlight w:val="none"/>
        </w:rPr>
        <w:t xml:space="preserve"> </w:t>
      </w:r>
      <w:r>
        <w:rPr>
          <w:rFonts w:hint="eastAsia" w:ascii="宋体" w:hAnsi="宋体" w:cs="宋体"/>
          <w:b/>
          <w:bCs/>
          <w:color w:val="auto"/>
          <w:kern w:val="1"/>
          <w:sz w:val="84"/>
          <w:szCs w:val="84"/>
          <w:highlight w:val="none"/>
        </w:rPr>
        <w:t>件</w:t>
      </w:r>
    </w:p>
    <w:p w14:paraId="6889CFD9">
      <w:pPr>
        <w:spacing w:line="360" w:lineRule="auto"/>
        <w:jc w:val="center"/>
        <w:rPr>
          <w:rFonts w:ascii="宋体" w:hAnsi="宋体" w:cs="宋体"/>
          <w:color w:val="auto"/>
          <w:kern w:val="1"/>
          <w:sz w:val="48"/>
          <w:szCs w:val="21"/>
          <w:highlight w:val="none"/>
        </w:rPr>
      </w:pPr>
    </w:p>
    <w:p w14:paraId="1ED8C027">
      <w:pPr>
        <w:spacing w:line="360" w:lineRule="auto"/>
        <w:jc w:val="center"/>
        <w:rPr>
          <w:rFonts w:ascii="宋体" w:hAnsi="宋体" w:cs="宋体"/>
          <w:color w:val="auto"/>
          <w:kern w:val="1"/>
          <w:sz w:val="32"/>
          <w:szCs w:val="32"/>
          <w:highlight w:val="none"/>
        </w:rPr>
      </w:pPr>
    </w:p>
    <w:p w14:paraId="192A9B22">
      <w:pPr>
        <w:pStyle w:val="2"/>
        <w:spacing w:line="360" w:lineRule="auto"/>
        <w:rPr>
          <w:color w:val="auto"/>
          <w:highlight w:val="none"/>
        </w:rPr>
      </w:pPr>
    </w:p>
    <w:p w14:paraId="4EFDB8DA">
      <w:pPr>
        <w:spacing w:line="360" w:lineRule="auto"/>
        <w:rPr>
          <w:rFonts w:ascii="宋体" w:hAnsi="宋体" w:cs="宋体"/>
          <w:color w:val="auto"/>
          <w:kern w:val="1"/>
          <w:highlight w:val="none"/>
        </w:rPr>
      </w:pPr>
    </w:p>
    <w:p w14:paraId="538CFAFE">
      <w:pPr>
        <w:pStyle w:val="2"/>
        <w:rPr>
          <w:color w:val="auto"/>
          <w:highlight w:val="none"/>
          <w:lang w:val="en-US"/>
        </w:rPr>
      </w:pPr>
    </w:p>
    <w:p w14:paraId="12356803">
      <w:pPr>
        <w:pStyle w:val="2"/>
        <w:rPr>
          <w:color w:val="auto"/>
          <w:highlight w:val="none"/>
          <w:lang w:val="en-US"/>
        </w:rPr>
      </w:pPr>
    </w:p>
    <w:p w14:paraId="1EAC757A">
      <w:pPr>
        <w:pStyle w:val="2"/>
        <w:rPr>
          <w:color w:val="auto"/>
          <w:highlight w:val="none"/>
          <w:lang w:val="en-US"/>
        </w:rPr>
      </w:pPr>
    </w:p>
    <w:p w14:paraId="2884D083">
      <w:pPr>
        <w:spacing w:line="360" w:lineRule="auto"/>
        <w:ind w:firstLine="707" w:firstLineChars="220"/>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招</w:t>
      </w:r>
      <w:r>
        <w:rPr>
          <w:rFonts w:ascii="宋体" w:hAnsi="宋体" w:cs="宋体"/>
          <w:b/>
          <w:color w:val="auto"/>
          <w:kern w:val="1"/>
          <w:sz w:val="32"/>
          <w:szCs w:val="32"/>
          <w:highlight w:val="none"/>
        </w:rPr>
        <w:t xml:space="preserve">   </w:t>
      </w:r>
      <w:r>
        <w:rPr>
          <w:rFonts w:hint="eastAsia" w:ascii="宋体" w:hAnsi="宋体" w:cs="宋体"/>
          <w:b/>
          <w:color w:val="auto"/>
          <w:kern w:val="1"/>
          <w:sz w:val="32"/>
          <w:szCs w:val="32"/>
          <w:highlight w:val="none"/>
        </w:rPr>
        <w:t>标</w:t>
      </w:r>
      <w:r>
        <w:rPr>
          <w:rFonts w:ascii="宋体" w:hAnsi="宋体" w:cs="宋体"/>
          <w:b/>
          <w:color w:val="auto"/>
          <w:kern w:val="1"/>
          <w:sz w:val="32"/>
          <w:szCs w:val="32"/>
          <w:highlight w:val="none"/>
        </w:rPr>
        <w:t xml:space="preserve">   </w:t>
      </w:r>
      <w:r>
        <w:rPr>
          <w:rFonts w:hint="eastAsia" w:ascii="宋体" w:hAnsi="宋体" w:cs="宋体"/>
          <w:b/>
          <w:color w:val="auto"/>
          <w:kern w:val="1"/>
          <w:sz w:val="32"/>
          <w:szCs w:val="32"/>
          <w:highlight w:val="none"/>
        </w:rPr>
        <w:t>人：广州市白云城市建设投资有限公司</w:t>
      </w:r>
    </w:p>
    <w:p w14:paraId="7DE2C5B0">
      <w:pPr>
        <w:pStyle w:val="29"/>
        <w:spacing w:line="360" w:lineRule="auto"/>
        <w:ind w:firstLine="643" w:firstLineChars="200"/>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招标代理机构：广州市白云工程咨询管理有限公司</w:t>
      </w:r>
    </w:p>
    <w:p w14:paraId="34502C29">
      <w:pPr>
        <w:pStyle w:val="29"/>
        <w:spacing w:line="360" w:lineRule="auto"/>
        <w:ind w:firstLine="643" w:firstLineChars="200"/>
        <w:rPr>
          <w:rFonts w:ascii="宋体" w:hAnsi="宋体" w:cs="宋体"/>
          <w:b/>
          <w:color w:val="auto"/>
          <w:kern w:val="1"/>
          <w:sz w:val="32"/>
          <w:szCs w:val="32"/>
          <w:highlight w:val="none"/>
        </w:rPr>
      </w:pPr>
      <w:r>
        <w:rPr>
          <w:rFonts w:hint="eastAsia" w:ascii="宋体" w:hAnsi="宋体" w:cs="宋体"/>
          <w:b/>
          <w:color w:val="auto"/>
          <w:kern w:val="2"/>
          <w:sz w:val="32"/>
          <w:szCs w:val="32"/>
          <w:highlight w:val="none"/>
        </w:rPr>
        <w:t>日</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bookmarkStart w:id="0" w:name="_Toc144974478"/>
      <w:bookmarkEnd w:id="0"/>
      <w:bookmarkStart w:id="1" w:name="_Toc300834926"/>
      <w:bookmarkEnd w:id="1"/>
      <w:bookmarkStart w:id="2" w:name="_Toc367729707"/>
      <w:bookmarkEnd w:id="2"/>
      <w:bookmarkStart w:id="3" w:name="_Toc247527532"/>
      <w:bookmarkEnd w:id="3"/>
      <w:bookmarkStart w:id="4" w:name="_Toc152042286"/>
      <w:bookmarkEnd w:id="4"/>
      <w:r>
        <w:rPr>
          <w:rFonts w:ascii="宋体" w:hAnsi="宋体" w:cs="宋体"/>
          <w:b/>
          <w:color w:val="auto"/>
          <w:kern w:val="1"/>
          <w:sz w:val="32"/>
          <w:szCs w:val="32"/>
          <w:highlight w:val="none"/>
        </w:rPr>
        <w:t>2025</w:t>
      </w:r>
      <w:r>
        <w:rPr>
          <w:rFonts w:hint="eastAsia" w:ascii="宋体" w:hAnsi="宋体" w:cs="宋体"/>
          <w:b/>
          <w:color w:val="auto"/>
          <w:kern w:val="1"/>
          <w:sz w:val="32"/>
          <w:szCs w:val="32"/>
          <w:highlight w:val="none"/>
        </w:rPr>
        <w:t>年</w:t>
      </w:r>
      <w:r>
        <w:rPr>
          <w:rFonts w:ascii="宋体" w:hAnsi="宋体" w:cs="宋体"/>
          <w:b/>
          <w:color w:val="auto"/>
          <w:kern w:val="1"/>
          <w:sz w:val="32"/>
          <w:szCs w:val="32"/>
          <w:highlight w:val="none"/>
        </w:rPr>
        <w:t>08</w:t>
      </w:r>
      <w:r>
        <w:rPr>
          <w:rFonts w:hint="eastAsia" w:ascii="宋体" w:hAnsi="宋体" w:cs="宋体"/>
          <w:b/>
          <w:color w:val="auto"/>
          <w:kern w:val="1"/>
          <w:sz w:val="32"/>
          <w:szCs w:val="32"/>
          <w:highlight w:val="none"/>
        </w:rPr>
        <w:t>月</w:t>
      </w:r>
    </w:p>
    <w:p w14:paraId="3B089E8B">
      <w:pPr>
        <w:pStyle w:val="29"/>
        <w:spacing w:line="360" w:lineRule="auto"/>
        <w:ind w:firstLine="3092" w:firstLineChars="1100"/>
        <w:rPr>
          <w:rFonts w:ascii="宋体" w:hAnsi="宋体" w:cs="宋体"/>
          <w:b/>
          <w:color w:val="auto"/>
          <w:sz w:val="28"/>
          <w:highlight w:val="none"/>
        </w:rPr>
        <w:sectPr>
          <w:headerReference r:id="rId4" w:type="first"/>
          <w:headerReference r:id="rId3" w:type="default"/>
          <w:footerReference r:id="rId5" w:type="default"/>
          <w:pgSz w:w="11906" w:h="16838"/>
          <w:pgMar w:top="1440" w:right="1269" w:bottom="1440" w:left="1597" w:header="851" w:footer="992" w:gutter="0"/>
          <w:pgNumType w:start="0"/>
          <w:cols w:space="720" w:num="1"/>
        </w:sectPr>
      </w:pPr>
    </w:p>
    <w:p w14:paraId="7D29A0A4">
      <w:pPr>
        <w:pStyle w:val="29"/>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目</w:t>
      </w:r>
      <w:r>
        <w:rPr>
          <w:rFonts w:ascii="宋体" w:hAnsi="宋体" w:cs="宋体"/>
          <w:b/>
          <w:color w:val="auto"/>
          <w:sz w:val="28"/>
          <w:highlight w:val="none"/>
        </w:rPr>
        <w:t xml:space="preserve">     </w:t>
      </w:r>
      <w:r>
        <w:rPr>
          <w:rFonts w:hint="eastAsia" w:ascii="宋体" w:hAnsi="宋体" w:cs="宋体"/>
          <w:b/>
          <w:color w:val="auto"/>
          <w:sz w:val="28"/>
          <w:highlight w:val="none"/>
        </w:rPr>
        <w:t>录</w:t>
      </w:r>
    </w:p>
    <w:p w14:paraId="01385024">
      <w:pPr>
        <w:pStyle w:val="24"/>
        <w:tabs>
          <w:tab w:val="right" w:leader="dot" w:pos="9040"/>
        </w:tabs>
        <w:spacing w:line="360" w:lineRule="auto"/>
        <w:rPr>
          <w:color w:val="auto"/>
          <w:sz w:val="24"/>
          <w:szCs w:val="24"/>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TOC \o </w:instrText>
      </w:r>
      <w:r>
        <w:rPr>
          <w:rFonts w:hint="eastAsia" w:ascii="宋体" w:hAnsi="宋体" w:cs="宋体"/>
          <w:color w:val="auto"/>
          <w:sz w:val="32"/>
          <w:szCs w:val="32"/>
          <w:highlight w:val="none"/>
        </w:rPr>
        <w:fldChar w:fldCharType="separate"/>
      </w:r>
      <w:bookmarkStart w:id="5" w:name="_Toc152045511"/>
      <w:bookmarkEnd w:id="5"/>
      <w:bookmarkStart w:id="6" w:name="_Toc247527533"/>
      <w:bookmarkEnd w:id="6"/>
      <w:bookmarkStart w:id="7" w:name="_Toc247513932"/>
      <w:bookmarkEnd w:id="7"/>
      <w:bookmarkStart w:id="8" w:name="_Toc152042287"/>
      <w:bookmarkEnd w:id="8"/>
      <w:bookmarkStart w:id="9" w:name="_Toc144974479"/>
      <w:bookmarkEnd w:id="9"/>
      <w:r>
        <w:rPr>
          <w:rFonts w:hint="default" w:ascii="宋体" w:hAnsi="宋体" w:cs="宋体"/>
          <w:color w:val="auto"/>
          <w:sz w:val="24"/>
          <w:szCs w:val="24"/>
          <w:highlight w:val="none"/>
        </w:rPr>
        <w:t xml:space="preserve">第一章 </w:t>
      </w:r>
      <w:r>
        <w:rPr>
          <w:rFonts w:hint="eastAsia" w:ascii="宋体" w:hAnsi="宋体" w:cs="宋体"/>
          <w:color w:val="auto"/>
          <w:sz w:val="24"/>
          <w:szCs w:val="24"/>
          <w:highlight w:val="none"/>
        </w:rPr>
        <w:t>招标公告（另册）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_Toc5615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p>
    <w:p w14:paraId="7108A006">
      <w:pPr>
        <w:pStyle w:val="24"/>
        <w:tabs>
          <w:tab w:val="right" w:leader="dot" w:pos="9040"/>
        </w:tabs>
        <w:spacing w:line="360" w:lineRule="auto"/>
        <w:rPr>
          <w:color w:val="auto"/>
          <w:sz w:val="24"/>
          <w:szCs w:val="24"/>
          <w:highlight w:val="none"/>
        </w:rPr>
      </w:pPr>
      <w:r>
        <w:rPr>
          <w:rFonts w:hint="eastAsia" w:ascii="宋体" w:hAnsi="宋体" w:cs="宋体"/>
          <w:color w:val="auto"/>
          <w:kern w:val="1"/>
          <w:sz w:val="24"/>
          <w:szCs w:val="24"/>
          <w:highlight w:val="none"/>
        </w:rPr>
        <w:t>第二章</w:t>
      </w:r>
      <w:r>
        <w:rPr>
          <w:rFonts w:ascii="宋体" w:hAnsi="宋体" w:cs="宋体"/>
          <w:color w:val="auto"/>
          <w:kern w:val="1"/>
          <w:sz w:val="24"/>
          <w:szCs w:val="24"/>
          <w:highlight w:val="none"/>
        </w:rPr>
        <w:t xml:space="preserve"> </w:t>
      </w:r>
      <w:r>
        <w:rPr>
          <w:rFonts w:hint="eastAsia" w:ascii="宋体" w:hAnsi="宋体" w:cs="宋体"/>
          <w:color w:val="auto"/>
          <w:kern w:val="1"/>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_Toc22351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p>
    <w:p w14:paraId="7B7F165D">
      <w:pPr>
        <w:pStyle w:val="24"/>
        <w:tabs>
          <w:tab w:val="right" w:leader="dot" w:pos="9040"/>
        </w:tabs>
        <w:spacing w:line="360" w:lineRule="auto"/>
        <w:rPr>
          <w:color w:val="auto"/>
          <w:sz w:val="24"/>
          <w:szCs w:val="24"/>
          <w:highlight w:val="none"/>
        </w:rPr>
      </w:pPr>
      <w:r>
        <w:rPr>
          <w:rFonts w:hint="eastAsia" w:ascii="宋体" w:hAnsi="宋体" w:cs="宋体"/>
          <w:color w:val="auto"/>
          <w:kern w:val="1"/>
          <w:sz w:val="24"/>
          <w:szCs w:val="24"/>
          <w:highlight w:val="none"/>
        </w:rPr>
        <w:t>第三章</w:t>
      </w:r>
      <w:r>
        <w:rPr>
          <w:rFonts w:ascii="宋体" w:hAnsi="宋体" w:cs="宋体"/>
          <w:color w:val="auto"/>
          <w:kern w:val="1"/>
          <w:sz w:val="24"/>
          <w:szCs w:val="24"/>
          <w:highlight w:val="none"/>
        </w:rPr>
        <w:t xml:space="preserve"> </w:t>
      </w:r>
      <w:r>
        <w:rPr>
          <w:rFonts w:hint="eastAsia" w:ascii="宋体" w:hAnsi="宋体" w:cs="宋体"/>
          <w:color w:val="auto"/>
          <w:kern w:val="1"/>
          <w:sz w:val="24"/>
          <w:szCs w:val="24"/>
          <w:highlight w:val="none"/>
        </w:rPr>
        <w:t>评标办法（综合评估法）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_Toc14047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p>
    <w:p w14:paraId="47A262BB">
      <w:pPr>
        <w:pStyle w:val="24"/>
        <w:tabs>
          <w:tab w:val="right" w:leader="dot" w:pos="9040"/>
        </w:tabs>
        <w:spacing w:line="360" w:lineRule="auto"/>
        <w:rPr>
          <w:color w:val="auto"/>
          <w:sz w:val="24"/>
          <w:szCs w:val="24"/>
          <w:highlight w:val="none"/>
        </w:rPr>
      </w:pPr>
      <w:r>
        <w:rPr>
          <w:rFonts w:hint="eastAsia" w:ascii="宋体" w:hAnsi="宋体" w:cs="宋体"/>
          <w:color w:val="auto"/>
          <w:kern w:val="1"/>
          <w:sz w:val="24"/>
          <w:szCs w:val="24"/>
          <w:highlight w:val="none"/>
        </w:rPr>
        <w:t>第四章</w:t>
      </w:r>
      <w:r>
        <w:rPr>
          <w:rFonts w:ascii="宋体" w:hAnsi="宋体" w:cs="宋体"/>
          <w:color w:val="auto"/>
          <w:kern w:val="1"/>
          <w:sz w:val="24"/>
          <w:szCs w:val="24"/>
          <w:highlight w:val="none"/>
        </w:rPr>
        <w:t xml:space="preserve"> </w:t>
      </w:r>
      <w:r>
        <w:rPr>
          <w:rFonts w:hint="eastAsia" w:ascii="宋体" w:hAnsi="宋体" w:cs="宋体"/>
          <w:color w:val="auto"/>
          <w:kern w:val="1"/>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_Toc3141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p>
    <w:p w14:paraId="7FB5EDB3">
      <w:pPr>
        <w:pStyle w:val="24"/>
        <w:tabs>
          <w:tab w:val="right" w:leader="dot" w:pos="9040"/>
        </w:tabs>
        <w:spacing w:line="360" w:lineRule="auto"/>
        <w:rPr>
          <w:color w:val="auto"/>
          <w:sz w:val="24"/>
          <w:szCs w:val="24"/>
          <w:highlight w:val="none"/>
        </w:rPr>
      </w:pPr>
      <w:r>
        <w:rPr>
          <w:rFonts w:hint="eastAsia"/>
          <w:color w:val="auto"/>
          <w:sz w:val="24"/>
          <w:szCs w:val="24"/>
          <w:highlight w:val="none"/>
        </w:rPr>
        <w:t>第五章</w:t>
      </w:r>
      <w:r>
        <w:rPr>
          <w:color w:val="auto"/>
          <w:sz w:val="24"/>
          <w:szCs w:val="24"/>
          <w:highlight w:val="none"/>
        </w:rPr>
        <w:t xml:space="preserve"> </w:t>
      </w:r>
      <w:r>
        <w:rPr>
          <w:rFonts w:hint="eastAsia"/>
          <w:color w:val="auto"/>
          <w:sz w:val="24"/>
          <w:szCs w:val="24"/>
          <w:highlight w:val="none"/>
        </w:rPr>
        <w:t>招标人要求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_Toc1084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p>
    <w:p w14:paraId="63F99148">
      <w:pPr>
        <w:pStyle w:val="24"/>
        <w:tabs>
          <w:tab w:val="right" w:leader="dot" w:pos="9040"/>
        </w:tabs>
        <w:spacing w:line="360" w:lineRule="auto"/>
        <w:rPr>
          <w:color w:val="auto"/>
          <w:sz w:val="24"/>
          <w:szCs w:val="24"/>
          <w:highlight w:val="none"/>
        </w:rPr>
      </w:pPr>
      <w:r>
        <w:rPr>
          <w:rFonts w:hint="eastAsia"/>
          <w:color w:val="auto"/>
          <w:sz w:val="24"/>
          <w:szCs w:val="24"/>
          <w:highlight w:val="none"/>
        </w:rPr>
        <w:t>第六章</w:t>
      </w:r>
      <w:r>
        <w:rPr>
          <w:color w:val="auto"/>
          <w:sz w:val="24"/>
          <w:szCs w:val="24"/>
          <w:highlight w:val="none"/>
        </w:rPr>
        <w:t xml:space="preserve"> </w:t>
      </w:r>
      <w:r>
        <w:rPr>
          <w:rFonts w:hint="eastAsia"/>
          <w:color w:val="auto"/>
          <w:sz w:val="24"/>
          <w:szCs w:val="24"/>
          <w:highlight w:val="none"/>
        </w:rPr>
        <w:t>招标人提供的资料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_Toc1392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p>
    <w:p w14:paraId="068684F4">
      <w:pPr>
        <w:pStyle w:val="24"/>
        <w:tabs>
          <w:tab w:val="right" w:leader="dot" w:pos="9040"/>
        </w:tabs>
        <w:spacing w:line="360" w:lineRule="auto"/>
        <w:rPr>
          <w:color w:val="auto"/>
          <w:sz w:val="24"/>
          <w:szCs w:val="24"/>
          <w:highlight w:val="none"/>
        </w:rPr>
      </w:pPr>
      <w:r>
        <w:rPr>
          <w:rFonts w:hint="eastAsia"/>
          <w:color w:val="auto"/>
          <w:sz w:val="24"/>
          <w:szCs w:val="24"/>
          <w:highlight w:val="none"/>
        </w:rPr>
        <w:t>第七章</w:t>
      </w:r>
      <w:r>
        <w:rPr>
          <w:color w:val="auto"/>
          <w:sz w:val="24"/>
          <w:szCs w:val="24"/>
          <w:highlight w:val="none"/>
        </w:rPr>
        <w:t xml:space="preserve"> </w:t>
      </w:r>
      <w:r>
        <w:rPr>
          <w:rFonts w:hint="eastAsia"/>
          <w:color w:val="auto"/>
          <w:sz w:val="24"/>
          <w:szCs w:val="24"/>
          <w:highlight w:val="none"/>
        </w:rPr>
        <w:t>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_Toc30645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p>
    <w:p w14:paraId="19F141D8">
      <w:pPr>
        <w:pStyle w:val="24"/>
        <w:tabs>
          <w:tab w:val="right" w:leader="dot" w:pos="9040"/>
        </w:tabs>
        <w:spacing w:line="360" w:lineRule="auto"/>
        <w:rPr>
          <w:color w:val="auto"/>
          <w:sz w:val="24"/>
          <w:szCs w:val="24"/>
          <w:highlight w:val="none"/>
        </w:rPr>
      </w:pPr>
      <w:r>
        <w:rPr>
          <w:rFonts w:hint="eastAsia" w:ascii="宋体" w:hAnsi="宋体" w:cs="方正大标宋简体"/>
          <w:color w:val="auto"/>
          <w:sz w:val="24"/>
          <w:szCs w:val="44"/>
          <w:highlight w:val="none"/>
          <w:lang w:bidi="ar"/>
        </w:rPr>
        <w:t>第八章</w:t>
      </w:r>
      <w:r>
        <w:rPr>
          <w:rFonts w:ascii="宋体" w:hAnsi="宋体" w:cs="方正大标宋简体"/>
          <w:color w:val="auto"/>
          <w:sz w:val="24"/>
          <w:szCs w:val="44"/>
          <w:highlight w:val="none"/>
          <w:lang w:bidi="ar"/>
        </w:rPr>
        <w:t xml:space="preserve"> </w:t>
      </w:r>
      <w:r>
        <w:rPr>
          <w:rFonts w:hint="eastAsia" w:ascii="宋体" w:hAnsi="宋体" w:cs="方正大标宋简体"/>
          <w:color w:val="auto"/>
          <w:sz w:val="24"/>
          <w:szCs w:val="44"/>
          <w:highlight w:val="none"/>
          <w:lang w:bidi="ar"/>
        </w:rPr>
        <w:t>最高投标限价明细表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_Toc27574 \h </w:instrText>
      </w:r>
      <w:r>
        <w:rPr>
          <w:color w:val="auto"/>
          <w:sz w:val="24"/>
          <w:szCs w:val="24"/>
          <w:highlight w:val="none"/>
        </w:rPr>
        <w:fldChar w:fldCharType="separate"/>
      </w:r>
      <w:r>
        <w:rPr>
          <w:color w:val="auto"/>
          <w:sz w:val="24"/>
          <w:szCs w:val="24"/>
          <w:highlight w:val="none"/>
        </w:rPr>
        <w:t>79</w:t>
      </w:r>
      <w:r>
        <w:rPr>
          <w:color w:val="auto"/>
          <w:sz w:val="24"/>
          <w:szCs w:val="24"/>
          <w:highlight w:val="none"/>
        </w:rPr>
        <w:fldChar w:fldCharType="end"/>
      </w:r>
    </w:p>
    <w:p w14:paraId="2D442885">
      <w:pPr>
        <w:pStyle w:val="24"/>
        <w:tabs>
          <w:tab w:val="right" w:leader="dot" w:pos="9297"/>
        </w:tabs>
        <w:spacing w:line="360" w:lineRule="auto"/>
        <w:rPr>
          <w:rFonts w:ascii="宋体" w:hAnsi="宋体" w:cs="宋体"/>
          <w:color w:val="auto"/>
          <w:highlight w:val="none"/>
        </w:rPr>
      </w:pPr>
      <w:r>
        <w:rPr>
          <w:rFonts w:hint="eastAsia" w:ascii="宋体" w:hAnsi="宋体" w:cs="宋体"/>
          <w:color w:val="auto"/>
          <w:sz w:val="24"/>
          <w:szCs w:val="32"/>
          <w:highlight w:val="none"/>
        </w:rPr>
        <w:fldChar w:fldCharType="end"/>
      </w:r>
      <w:bookmarkStart w:id="10" w:name="_Toc247527551"/>
      <w:bookmarkEnd w:id="10"/>
      <w:bookmarkStart w:id="11" w:name="_Toc144974495"/>
      <w:bookmarkEnd w:id="11"/>
      <w:bookmarkStart w:id="12" w:name="_Toc152042303"/>
      <w:bookmarkEnd w:id="12"/>
      <w:bookmarkStart w:id="13" w:name="_Toc443505819"/>
      <w:bookmarkEnd w:id="13"/>
      <w:bookmarkStart w:id="14" w:name="_Toc144974494"/>
      <w:bookmarkEnd w:id="14"/>
      <w:bookmarkStart w:id="15" w:name="_Toc247513949"/>
      <w:bookmarkEnd w:id="15"/>
      <w:bookmarkStart w:id="16" w:name="_Toc152045526"/>
      <w:bookmarkEnd w:id="16"/>
      <w:bookmarkStart w:id="17" w:name="_Toc247527550"/>
      <w:bookmarkEnd w:id="17"/>
      <w:bookmarkStart w:id="18" w:name="_Toc152042302"/>
      <w:bookmarkEnd w:id="18"/>
      <w:bookmarkStart w:id="19" w:name="_Toc152045527"/>
      <w:bookmarkEnd w:id="19"/>
      <w:bookmarkStart w:id="20" w:name="_Toc247513950"/>
      <w:bookmarkEnd w:id="20"/>
    </w:p>
    <w:p w14:paraId="3DE31327">
      <w:pPr>
        <w:pStyle w:val="3"/>
        <w:numPr>
          <w:ilvl w:val="0"/>
          <w:numId w:val="1"/>
        </w:numPr>
        <w:spacing w:line="360" w:lineRule="auto"/>
        <w:jc w:val="center"/>
        <w:rPr>
          <w:rFonts w:ascii="宋体" w:hAnsi="宋体" w:cs="宋体"/>
          <w:color w:val="auto"/>
          <w:highlight w:val="none"/>
        </w:rPr>
      </w:pPr>
      <w:bookmarkStart w:id="21" w:name="_Toc5620293"/>
      <w:r>
        <w:rPr>
          <w:rFonts w:ascii="宋体" w:hAnsi="宋体" w:cs="宋体"/>
          <w:color w:val="auto"/>
          <w:highlight w:val="none"/>
        </w:rPr>
        <w:br w:type="page"/>
      </w:r>
      <w:bookmarkEnd w:id="21"/>
      <w:r>
        <w:rPr>
          <w:rFonts w:ascii="宋体" w:hAnsi="宋体" w:cs="宋体"/>
          <w:color w:val="auto"/>
          <w:highlight w:val="none"/>
        </w:rPr>
        <w:t xml:space="preserve"> </w:t>
      </w:r>
      <w:bookmarkStart w:id="22" w:name="_Toc5615"/>
      <w:r>
        <w:rPr>
          <w:rFonts w:hint="eastAsia" w:ascii="宋体" w:hAnsi="宋体" w:cs="宋体"/>
          <w:color w:val="auto"/>
          <w:highlight w:val="none"/>
        </w:rPr>
        <w:t>招标公告（另册）</w:t>
      </w:r>
      <w:bookmarkEnd w:id="22"/>
    </w:p>
    <w:p w14:paraId="38F9C1D7">
      <w:pPr>
        <w:pStyle w:val="2"/>
        <w:spacing w:line="360" w:lineRule="auto"/>
        <w:rPr>
          <w:color w:val="auto"/>
          <w:highlight w:val="none"/>
        </w:rPr>
      </w:pPr>
      <w:r>
        <w:rPr>
          <w:color w:val="auto"/>
          <w:highlight w:val="none"/>
        </w:rPr>
        <w:br w:type="page"/>
      </w:r>
    </w:p>
    <w:p w14:paraId="51D52ED7">
      <w:pPr>
        <w:pStyle w:val="3"/>
        <w:spacing w:after="100" w:line="360" w:lineRule="auto"/>
        <w:jc w:val="center"/>
        <w:rPr>
          <w:rFonts w:ascii="宋体" w:hAnsi="宋体" w:cs="宋体"/>
          <w:color w:val="auto"/>
          <w:kern w:val="1"/>
          <w:highlight w:val="none"/>
        </w:rPr>
      </w:pPr>
      <w:bookmarkStart w:id="23" w:name="_Toc12275"/>
      <w:bookmarkEnd w:id="23"/>
      <w:bookmarkStart w:id="24" w:name="_Toc22351"/>
      <w:r>
        <w:rPr>
          <w:rFonts w:hint="eastAsia" w:ascii="宋体" w:hAnsi="宋体" w:cs="宋体"/>
          <w:color w:val="auto"/>
          <w:kern w:val="1"/>
          <w:highlight w:val="none"/>
        </w:rPr>
        <w:t>第二章</w:t>
      </w:r>
      <w:r>
        <w:rPr>
          <w:rFonts w:ascii="宋体" w:hAnsi="宋体" w:cs="宋体"/>
          <w:color w:val="auto"/>
          <w:kern w:val="1"/>
          <w:highlight w:val="none"/>
        </w:rPr>
        <w:t xml:space="preserve"> </w:t>
      </w:r>
      <w:r>
        <w:rPr>
          <w:rFonts w:hint="eastAsia" w:ascii="宋体" w:hAnsi="宋体" w:cs="宋体"/>
          <w:color w:val="auto"/>
          <w:kern w:val="1"/>
          <w:highlight w:val="none"/>
        </w:rPr>
        <w:t>投标人须知</w:t>
      </w:r>
      <w:bookmarkEnd w:id="24"/>
    </w:p>
    <w:p w14:paraId="6C86D3E9">
      <w:pPr>
        <w:pStyle w:val="4"/>
        <w:spacing w:before="100" w:after="100" w:line="360" w:lineRule="auto"/>
        <w:jc w:val="center"/>
        <w:rPr>
          <w:rFonts w:ascii="宋体" w:hAnsi="宋体" w:eastAsia="宋体" w:cs="宋体"/>
          <w:color w:val="auto"/>
          <w:highlight w:val="none"/>
          <w:lang w:val="zh-CN"/>
        </w:rPr>
      </w:pPr>
      <w:bookmarkStart w:id="25" w:name="_Toc152045528"/>
      <w:bookmarkEnd w:id="25"/>
      <w:bookmarkStart w:id="26" w:name="_Toc357089510"/>
      <w:bookmarkEnd w:id="26"/>
      <w:bookmarkStart w:id="27" w:name="_Toc144974496"/>
      <w:bookmarkEnd w:id="27"/>
      <w:bookmarkStart w:id="28" w:name="_Toc300834948"/>
      <w:bookmarkEnd w:id="28"/>
      <w:bookmarkStart w:id="29" w:name="_Toc362816479"/>
      <w:bookmarkEnd w:id="29"/>
      <w:bookmarkStart w:id="30" w:name="_Toc6703"/>
      <w:bookmarkEnd w:id="30"/>
      <w:bookmarkStart w:id="31" w:name="_Toc247527552"/>
      <w:bookmarkEnd w:id="31"/>
      <w:bookmarkStart w:id="32" w:name="_Toc30749"/>
      <w:bookmarkEnd w:id="32"/>
      <w:bookmarkStart w:id="33" w:name="_Toc152042304"/>
      <w:bookmarkEnd w:id="33"/>
      <w:bookmarkStart w:id="34" w:name="_Toc443505821"/>
      <w:bookmarkEnd w:id="34"/>
      <w:bookmarkStart w:id="35" w:name="_Toc247513951"/>
      <w:bookmarkEnd w:id="35"/>
      <w:bookmarkStart w:id="36" w:name="_Toc24422"/>
      <w:r>
        <w:rPr>
          <w:rFonts w:hint="eastAsia" w:ascii="宋体" w:hAnsi="宋体" w:eastAsia="宋体" w:cs="宋体"/>
          <w:color w:val="auto"/>
          <w:highlight w:val="none"/>
          <w:lang w:val="zh-CN"/>
        </w:rPr>
        <w:t>投标人须知前附表</w:t>
      </w:r>
      <w:bookmarkEnd w:id="36"/>
    </w:p>
    <w:tbl>
      <w:tblPr>
        <w:tblStyle w:val="34"/>
        <w:tblW w:w="9685" w:type="dxa"/>
        <w:jc w:val="center"/>
        <w:tblLayout w:type="fixed"/>
        <w:tblCellMar>
          <w:top w:w="0" w:type="dxa"/>
          <w:left w:w="108" w:type="dxa"/>
          <w:bottom w:w="0" w:type="dxa"/>
          <w:right w:w="108" w:type="dxa"/>
        </w:tblCellMar>
      </w:tblPr>
      <w:tblGrid>
        <w:gridCol w:w="884"/>
        <w:gridCol w:w="2369"/>
        <w:gridCol w:w="6432"/>
      </w:tblGrid>
      <w:tr w14:paraId="38FEC892">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C90E">
            <w:pPr>
              <w:spacing w:line="360" w:lineRule="auto"/>
              <w:ind w:left="-134" w:right="-107"/>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1BC5">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款</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名</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称</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028C">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列</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内</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容</w:t>
            </w:r>
          </w:p>
        </w:tc>
      </w:tr>
      <w:tr w14:paraId="74837228">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3039">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F2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913A">
            <w:pPr>
              <w:spacing w:line="360" w:lineRule="auto"/>
              <w:rPr>
                <w:rFonts w:ascii="宋体" w:hAnsi="宋体" w:cs="宋体"/>
                <w:color w:val="auto"/>
                <w:szCs w:val="21"/>
                <w:highlight w:val="none"/>
              </w:rPr>
            </w:pPr>
            <w:r>
              <w:rPr>
                <w:rFonts w:hint="eastAsia" w:ascii="宋体" w:hAnsi="宋体" w:cs="宋体"/>
                <w:color w:val="auto"/>
                <w:kern w:val="1"/>
                <w:szCs w:val="21"/>
                <w:highlight w:val="none"/>
              </w:rPr>
              <w:t>招标人</w:t>
            </w: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广州市白云城市建设投资有限公司</w:t>
            </w:r>
          </w:p>
          <w:p w14:paraId="459A8A57">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广州市白云区齐富路</w:t>
            </w:r>
            <w:r>
              <w:rPr>
                <w:rFonts w:ascii="宋体" w:hAnsi="宋体" w:cs="宋体"/>
                <w:color w:val="auto"/>
                <w:szCs w:val="21"/>
                <w:highlight w:val="none"/>
                <w:u w:val="single"/>
              </w:rPr>
              <w:t>88</w:t>
            </w:r>
            <w:r>
              <w:rPr>
                <w:rFonts w:hint="eastAsia" w:ascii="宋体" w:hAnsi="宋体" w:cs="宋体"/>
                <w:color w:val="auto"/>
                <w:szCs w:val="21"/>
                <w:highlight w:val="none"/>
                <w:u w:val="single"/>
              </w:rPr>
              <w:t>号</w:t>
            </w:r>
            <w:r>
              <w:rPr>
                <w:rFonts w:ascii="宋体" w:hAnsi="宋体" w:cs="宋体"/>
                <w:color w:val="auto"/>
                <w:szCs w:val="21"/>
                <w:highlight w:val="none"/>
                <w:u w:val="single"/>
              </w:rPr>
              <w:t>C</w:t>
            </w:r>
            <w:r>
              <w:rPr>
                <w:rFonts w:hint="eastAsia" w:ascii="宋体" w:hAnsi="宋体" w:cs="宋体"/>
                <w:color w:val="auto"/>
                <w:szCs w:val="21"/>
                <w:highlight w:val="none"/>
                <w:u w:val="single"/>
              </w:rPr>
              <w:t>座八楼</w:t>
            </w:r>
          </w:p>
          <w:p w14:paraId="7555DDDF">
            <w:pPr>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古工</w:t>
            </w:r>
          </w:p>
          <w:p w14:paraId="4D048D04">
            <w:pPr>
              <w:spacing w:line="360" w:lineRule="auto"/>
              <w:rPr>
                <w:rFonts w:ascii="宋体" w:hAnsi="宋体" w:cs="宋体"/>
                <w:color w:val="auto"/>
                <w:szCs w:val="21"/>
                <w:highlight w:val="none"/>
              </w:rPr>
            </w:pPr>
            <w:r>
              <w:rPr>
                <w:rFonts w:hint="eastAsia" w:cs="宋体"/>
                <w:color w:val="auto"/>
                <w:szCs w:val="21"/>
                <w:highlight w:val="none"/>
              </w:rPr>
              <w:t>电话：</w:t>
            </w:r>
            <w:r>
              <w:rPr>
                <w:rFonts w:ascii="宋体" w:hAnsi="宋体" w:cs="宋体"/>
                <w:color w:val="auto"/>
                <w:szCs w:val="21"/>
                <w:highlight w:val="none"/>
                <w:u w:val="single"/>
              </w:rPr>
              <w:t>020-36487351</w:t>
            </w:r>
          </w:p>
        </w:tc>
      </w:tr>
      <w:tr w14:paraId="4C893AB4">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DA3E">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1.1.3</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A4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B0F4">
            <w:pPr>
              <w:spacing w:line="360"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广州市白云工程咨询管理有限公司</w:t>
            </w:r>
          </w:p>
          <w:p w14:paraId="08CE991C">
            <w:pPr>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广州市白云区齐富路</w:t>
            </w:r>
            <w:r>
              <w:rPr>
                <w:rFonts w:ascii="宋体" w:hAnsi="宋体" w:cs="宋体"/>
                <w:color w:val="auto"/>
                <w:szCs w:val="21"/>
                <w:highlight w:val="none"/>
                <w:u w:val="single"/>
              </w:rPr>
              <w:t>88</w:t>
            </w:r>
            <w:r>
              <w:rPr>
                <w:rFonts w:hint="eastAsia" w:ascii="宋体" w:hAnsi="宋体" w:cs="宋体"/>
                <w:color w:val="auto"/>
                <w:szCs w:val="21"/>
                <w:highlight w:val="none"/>
                <w:u w:val="single"/>
              </w:rPr>
              <w:t>号</w:t>
            </w:r>
            <w:r>
              <w:rPr>
                <w:rFonts w:ascii="宋体" w:hAnsi="宋体" w:cs="宋体"/>
                <w:color w:val="auto"/>
                <w:szCs w:val="21"/>
                <w:highlight w:val="none"/>
                <w:u w:val="single"/>
              </w:rPr>
              <w:t>C</w:t>
            </w:r>
            <w:r>
              <w:rPr>
                <w:rFonts w:hint="eastAsia" w:ascii="宋体" w:hAnsi="宋体" w:cs="宋体"/>
                <w:color w:val="auto"/>
                <w:szCs w:val="21"/>
                <w:highlight w:val="none"/>
                <w:u w:val="single"/>
              </w:rPr>
              <w:t>座五楼</w:t>
            </w:r>
          </w:p>
          <w:p w14:paraId="6B48E3B8">
            <w:pPr>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肖工</w:t>
            </w:r>
          </w:p>
          <w:p w14:paraId="25D076AF">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020-35622940</w:t>
            </w:r>
          </w:p>
        </w:tc>
      </w:tr>
      <w:tr w14:paraId="0A89A85C">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07E2">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1.1.4</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E88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F596">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白云区太和镇卫生院新址建设项目勘察设计施工总承包</w:t>
            </w:r>
            <w:r>
              <w:rPr>
                <w:rFonts w:ascii="宋体" w:hAnsi="宋体" w:cs="宋体"/>
                <w:color w:val="auto"/>
                <w:kern w:val="1"/>
                <w:szCs w:val="21"/>
                <w:highlight w:val="none"/>
              </w:rPr>
              <w:t xml:space="preserve"> </w:t>
            </w:r>
          </w:p>
        </w:tc>
      </w:tr>
      <w:tr w14:paraId="744BC408">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579A">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1.1.5</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1D7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14D">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30FD37DA">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0D4D">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1.2.1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F96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D1EE">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39C67ACE">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4D5C">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1.2.2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2D3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8A62">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0A450E6F">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E75F">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1.3.1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F1C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115E">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47104868">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C22">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1.3.2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53E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1A43">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698EC1AC">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B1BA">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1.3.3</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1BB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A977">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49A22B24">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F33E">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1.4.1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CA3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投标人资质条件、能力和信誉</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31A3">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见本项目招标公告</w:t>
            </w:r>
          </w:p>
        </w:tc>
      </w:tr>
      <w:tr w14:paraId="03E7663D">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A845">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1.4.2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5D9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是否接受联合体投标</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6524">
            <w:pPr>
              <w:pStyle w:val="12"/>
              <w:spacing w:line="360" w:lineRule="auto"/>
              <w:rPr>
                <w:color w:val="auto"/>
                <w:kern w:val="1"/>
                <w:sz w:val="21"/>
                <w:szCs w:val="21"/>
                <w:highlight w:val="none"/>
              </w:rPr>
            </w:pPr>
            <w:r>
              <w:rPr>
                <w:rFonts w:hint="eastAsia"/>
                <w:color w:val="auto"/>
                <w:kern w:val="1"/>
                <w:sz w:val="21"/>
                <w:szCs w:val="21"/>
                <w:highlight w:val="none"/>
              </w:rPr>
              <w:t>□不接受</w:t>
            </w:r>
          </w:p>
          <w:p w14:paraId="4A0E5CE9">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接受，应满足下列要求：</w:t>
            </w:r>
            <w:r>
              <w:rPr>
                <w:rFonts w:hint="eastAsia" w:ascii="宋体" w:hAnsi="宋体" w:cs="宋体"/>
                <w:color w:val="auto"/>
                <w:szCs w:val="21"/>
                <w:highlight w:val="none"/>
              </w:rPr>
              <w:t>见本项目招标公告要求。</w:t>
            </w:r>
          </w:p>
        </w:tc>
      </w:tr>
      <w:tr w14:paraId="0EFD79E0">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C2E">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1.5</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1E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费用承担和设计成果补偿</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F9D">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不补偿</w:t>
            </w:r>
          </w:p>
          <w:p w14:paraId="2627F779">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□补偿，补偿标准：</w:t>
            </w:r>
            <w:r>
              <w:rPr>
                <w:rFonts w:ascii="宋体" w:hAnsi="宋体" w:cs="宋体"/>
                <w:color w:val="auto"/>
                <w:szCs w:val="21"/>
                <w:highlight w:val="none"/>
              </w:rPr>
              <w:t>/</w:t>
            </w:r>
          </w:p>
        </w:tc>
      </w:tr>
      <w:tr w14:paraId="50DE11B7">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A58">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1.9.1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2D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踏勘</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F81B">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不组织：自行踏勘。</w:t>
            </w:r>
          </w:p>
          <w:p w14:paraId="6E258EC5">
            <w:pPr>
              <w:tabs>
                <w:tab w:val="center" w:pos="2950"/>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□组织，踏勘时间：</w:t>
            </w:r>
          </w:p>
          <w:p w14:paraId="3E884659">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踏勘集中地点：</w:t>
            </w:r>
          </w:p>
        </w:tc>
      </w:tr>
      <w:tr w14:paraId="33EE06AF">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95A2">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1.10.1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D9F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投标预备会</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B0E2">
            <w:pPr>
              <w:pStyle w:val="12"/>
              <w:spacing w:line="360" w:lineRule="auto"/>
              <w:rPr>
                <w:color w:val="auto"/>
                <w:kern w:val="1"/>
                <w:sz w:val="21"/>
                <w:szCs w:val="21"/>
                <w:highlight w:val="none"/>
              </w:rPr>
            </w:pPr>
            <w:r>
              <w:rPr>
                <w:rFonts w:hint="eastAsia"/>
                <w:color w:val="auto"/>
                <w:kern w:val="1"/>
                <w:sz w:val="21"/>
                <w:szCs w:val="21"/>
                <w:highlight w:val="none"/>
              </w:rPr>
              <w:t>■不召开</w:t>
            </w:r>
          </w:p>
          <w:p w14:paraId="7DE450D2">
            <w:pPr>
              <w:widowControl/>
              <w:spacing w:line="360" w:lineRule="auto"/>
              <w:rPr>
                <w:rFonts w:ascii="宋体" w:hAnsi="宋体" w:cs="宋体"/>
                <w:color w:val="auto"/>
                <w:szCs w:val="21"/>
                <w:highlight w:val="none"/>
              </w:rPr>
            </w:pPr>
            <w:r>
              <w:rPr>
                <w:rFonts w:hint="eastAsia" w:ascii="宋体" w:hAnsi="宋体" w:cs="宋体"/>
                <w:color w:val="auto"/>
                <w:kern w:val="1"/>
                <w:szCs w:val="21"/>
                <w:highlight w:val="none"/>
              </w:rPr>
              <w:t>□</w:t>
            </w:r>
            <w:r>
              <w:rPr>
                <w:rFonts w:hint="eastAsia" w:ascii="宋体" w:hAnsi="宋体" w:cs="宋体"/>
                <w:color w:val="auto"/>
                <w:szCs w:val="21"/>
                <w:highlight w:val="none"/>
              </w:rPr>
              <w:t>召开，召开时间：另行通知</w:t>
            </w:r>
          </w:p>
          <w:p w14:paraId="18997171">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召开地点：</w:t>
            </w:r>
          </w:p>
        </w:tc>
      </w:tr>
      <w:tr w14:paraId="76580576">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DB62">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1.10.2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08B7">
            <w:pPr>
              <w:pStyle w:val="32"/>
              <w:spacing w:after="0" w:line="360" w:lineRule="auto"/>
              <w:ind w:firstLine="0"/>
              <w:jc w:val="center"/>
              <w:rPr>
                <w:rFonts w:ascii="宋体" w:hAnsi="宋体" w:cs="宋体"/>
                <w:color w:val="auto"/>
                <w:szCs w:val="21"/>
                <w:highlight w:val="none"/>
              </w:rPr>
            </w:pPr>
            <w:r>
              <w:rPr>
                <w:rFonts w:hint="eastAsia" w:ascii="宋体" w:hAnsi="宋体" w:cs="宋体"/>
                <w:color w:val="auto"/>
                <w:szCs w:val="21"/>
                <w:highlight w:val="none"/>
              </w:rPr>
              <w:t>招标答疑</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16F2">
            <w:pPr>
              <w:spacing w:line="360" w:lineRule="auto"/>
              <w:jc w:val="left"/>
              <w:rPr>
                <w:rFonts w:ascii="宋体" w:hAnsi="宋体" w:cs="宋体"/>
                <w:color w:val="auto"/>
                <w:kern w:val="1"/>
                <w:szCs w:val="21"/>
                <w:highlight w:val="none"/>
              </w:rPr>
            </w:pPr>
            <w:r>
              <w:rPr>
                <w:rFonts w:ascii="宋体" w:hAnsi="宋体" w:cs="宋体"/>
                <w:color w:val="auto"/>
                <w:kern w:val="1"/>
                <w:szCs w:val="21"/>
                <w:highlight w:val="none"/>
              </w:rPr>
              <w:t>1.</w:t>
            </w:r>
            <w:r>
              <w:rPr>
                <w:rFonts w:hint="eastAsia" w:ascii="宋体" w:hAnsi="宋体" w:cs="宋体"/>
                <w:color w:val="auto"/>
                <w:kern w:val="1"/>
                <w:szCs w:val="21"/>
                <w:highlight w:val="none"/>
              </w:rPr>
              <w:t>本项目采用网上答疑方式。</w:t>
            </w:r>
          </w:p>
          <w:p w14:paraId="1821091B">
            <w:pPr>
              <w:spacing w:line="360" w:lineRule="auto"/>
              <w:jc w:val="left"/>
              <w:rPr>
                <w:rFonts w:ascii="宋体" w:hAnsi="宋体" w:cs="宋体"/>
                <w:color w:val="auto"/>
                <w:kern w:val="1"/>
                <w:szCs w:val="21"/>
                <w:highlight w:val="none"/>
              </w:rPr>
            </w:pPr>
            <w:r>
              <w:rPr>
                <w:rFonts w:ascii="宋体" w:hAnsi="宋体" w:cs="宋体"/>
                <w:color w:val="auto"/>
                <w:kern w:val="1"/>
                <w:szCs w:val="21"/>
                <w:highlight w:val="none"/>
              </w:rPr>
              <w:t>2.</w:t>
            </w:r>
            <w:r>
              <w:rPr>
                <w:rFonts w:hint="eastAsia" w:ascii="宋体" w:hAnsi="宋体" w:cs="宋体"/>
                <w:color w:val="auto"/>
                <w:kern w:val="1"/>
                <w:szCs w:val="21"/>
                <w:highlight w:val="none"/>
              </w:rPr>
              <w:t>投标人疑问期限：在投标截止日期前</w:t>
            </w:r>
            <w:r>
              <w:rPr>
                <w:rFonts w:ascii="宋体" w:hAnsi="宋体" w:cs="宋体"/>
                <w:color w:val="auto"/>
                <w:kern w:val="1"/>
                <w:szCs w:val="21"/>
                <w:highlight w:val="none"/>
              </w:rPr>
              <w:t>18</w:t>
            </w:r>
            <w:r>
              <w:rPr>
                <w:rFonts w:hint="eastAsia" w:ascii="宋体" w:hAnsi="宋体" w:cs="宋体"/>
                <w:color w:val="auto"/>
                <w:kern w:val="1"/>
                <w:szCs w:val="21"/>
                <w:highlight w:val="none"/>
              </w:rPr>
              <w:t>日，将投标疑问</w:t>
            </w:r>
            <w:r>
              <w:rPr>
                <w:rFonts w:hint="eastAsia" w:ascii="宋体" w:hAnsi="宋体"/>
                <w:color w:val="auto"/>
                <w:szCs w:val="21"/>
                <w:highlight w:val="none"/>
              </w:rPr>
              <w:t>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r>
              <w:rPr>
                <w:rFonts w:hint="eastAsia" w:ascii="宋体" w:hAnsi="宋体" w:cs="宋体"/>
                <w:color w:val="auto"/>
                <w:kern w:val="1"/>
                <w:szCs w:val="21"/>
                <w:highlight w:val="none"/>
              </w:rPr>
              <w:t>。</w:t>
            </w:r>
          </w:p>
          <w:p w14:paraId="48C62F6D">
            <w:pPr>
              <w:spacing w:line="360" w:lineRule="auto"/>
              <w:ind w:right="24"/>
              <w:jc w:val="left"/>
              <w:rPr>
                <w:rFonts w:ascii="宋体" w:hAnsi="宋体" w:cs="宋体"/>
                <w:color w:val="auto"/>
                <w:kern w:val="1"/>
                <w:szCs w:val="21"/>
                <w:highlight w:val="none"/>
              </w:rPr>
            </w:pPr>
            <w:r>
              <w:rPr>
                <w:rFonts w:ascii="宋体" w:hAnsi="宋体" w:cs="宋体"/>
                <w:color w:val="auto"/>
                <w:kern w:val="1"/>
                <w:szCs w:val="21"/>
                <w:highlight w:val="none"/>
              </w:rPr>
              <w:t>3.</w:t>
            </w:r>
            <w:r>
              <w:rPr>
                <w:rFonts w:hint="eastAsia" w:ascii="宋体" w:hAnsi="宋体" w:cs="宋体"/>
                <w:color w:val="auto"/>
                <w:kern w:val="1"/>
                <w:szCs w:val="21"/>
                <w:highlight w:val="none"/>
              </w:rPr>
              <w:t>招标人澄清、修补或答疑期限：在递交投标文件截止日期前</w:t>
            </w:r>
            <w:r>
              <w:rPr>
                <w:rFonts w:ascii="宋体" w:hAnsi="宋体" w:cs="宋体"/>
                <w:color w:val="auto"/>
                <w:kern w:val="1"/>
                <w:szCs w:val="21"/>
                <w:highlight w:val="none"/>
              </w:rPr>
              <w:t>15</w:t>
            </w:r>
            <w:r>
              <w:rPr>
                <w:rFonts w:hint="eastAsia" w:ascii="宋体" w:hAnsi="宋体" w:cs="宋体"/>
                <w:color w:val="auto"/>
                <w:kern w:val="1"/>
                <w:szCs w:val="21"/>
                <w:highlight w:val="none"/>
              </w:rPr>
              <w:t>日，答疑纪要在广州公共资源交易中心（</w:t>
            </w:r>
            <w:r>
              <w:rPr>
                <w:rFonts w:ascii="宋体" w:hAnsi="宋体" w:cs="宋体"/>
                <w:color w:val="auto"/>
                <w:kern w:val="1"/>
                <w:szCs w:val="21"/>
                <w:highlight w:val="none"/>
              </w:rPr>
              <w:t>http://www.gzggzy.cn/</w:t>
            </w:r>
            <w:r>
              <w:rPr>
                <w:rFonts w:hint="eastAsia" w:ascii="宋体" w:hAnsi="宋体" w:cs="宋体"/>
                <w:color w:val="auto"/>
                <w:kern w:val="1"/>
                <w:szCs w:val="21"/>
                <w:highlight w:val="none"/>
              </w:rPr>
              <w:t xml:space="preserve">）发布。 </w:t>
            </w:r>
          </w:p>
          <w:p w14:paraId="589D79DF">
            <w:pPr>
              <w:spacing w:line="360" w:lineRule="auto"/>
              <w:ind w:right="24"/>
              <w:jc w:val="left"/>
              <w:rPr>
                <w:rFonts w:ascii="宋体" w:hAnsi="宋体" w:cs="宋体"/>
                <w:color w:val="auto"/>
                <w:kern w:val="1"/>
                <w:szCs w:val="21"/>
                <w:highlight w:val="none"/>
              </w:rPr>
            </w:pPr>
            <w:r>
              <w:rPr>
                <w:rFonts w:ascii="宋体" w:hAnsi="宋体" w:cs="宋体"/>
                <w:color w:val="auto"/>
                <w:kern w:val="1"/>
                <w:szCs w:val="21"/>
                <w:highlight w:val="none"/>
              </w:rPr>
              <w:t>4.</w:t>
            </w:r>
            <w:r>
              <w:rPr>
                <w:rFonts w:hint="eastAsia" w:ascii="宋体" w:hAnsi="宋体" w:cs="宋体"/>
                <w:color w:val="auto"/>
                <w:kern w:val="1"/>
                <w:szCs w:val="21"/>
                <w:highlight w:val="none"/>
              </w:rPr>
              <w:t>网上答疑的相关事项详见本章第</w:t>
            </w:r>
            <w:r>
              <w:rPr>
                <w:rFonts w:ascii="宋体" w:hAnsi="宋体" w:cs="宋体"/>
                <w:color w:val="auto"/>
                <w:kern w:val="1"/>
                <w:szCs w:val="21"/>
                <w:highlight w:val="none"/>
              </w:rPr>
              <w:t>2.2</w:t>
            </w:r>
            <w:r>
              <w:rPr>
                <w:rFonts w:hint="eastAsia" w:ascii="宋体" w:hAnsi="宋体" w:cs="宋体"/>
                <w:color w:val="auto"/>
                <w:kern w:val="1"/>
                <w:szCs w:val="21"/>
                <w:highlight w:val="none"/>
              </w:rPr>
              <w:t>款。</w:t>
            </w:r>
          </w:p>
        </w:tc>
      </w:tr>
      <w:tr w14:paraId="1034DF3E">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077F">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1.11.1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0D1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招标人规定由分包人承担的工作</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7A22">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无</w:t>
            </w:r>
          </w:p>
        </w:tc>
      </w:tr>
      <w:tr w14:paraId="3B80D989">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1FA">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1.11.2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C3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投标人拟分包的工作</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CA65">
            <w:pPr>
              <w:pStyle w:val="12"/>
              <w:spacing w:line="360" w:lineRule="auto"/>
              <w:rPr>
                <w:color w:val="auto"/>
                <w:kern w:val="1"/>
                <w:sz w:val="2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7C6681C8">
            <w:pPr>
              <w:spacing w:line="360" w:lineRule="auto"/>
              <w:rPr>
                <w:rFonts w:ascii="宋体" w:hAnsi="宋体" w:cs="宋体"/>
                <w:color w:val="auto"/>
                <w:kern w:val="1"/>
                <w:szCs w:val="21"/>
                <w:highlight w:val="none"/>
              </w:rPr>
            </w:pPr>
            <w:r>
              <w:rPr>
                <w:rFonts w:hint="eastAsia"/>
                <w:color w:val="auto"/>
                <w:kern w:val="1"/>
                <w:szCs w:val="21"/>
                <w:highlight w:val="none"/>
              </w:rPr>
              <w:t>■</w:t>
            </w:r>
            <w:r>
              <w:rPr>
                <w:rFonts w:hint="eastAsia" w:ascii="宋体" w:hAnsi="宋体" w:cs="宋体"/>
                <w:color w:val="auto"/>
                <w:kern w:val="1"/>
                <w:szCs w:val="21"/>
                <w:highlight w:val="none"/>
              </w:rPr>
              <w:t>允许，</w:t>
            </w:r>
            <w:r>
              <w:rPr>
                <w:rFonts w:hint="eastAsia" w:ascii="宋体" w:hAnsi="宋体" w:cs="宋体"/>
                <w:color w:val="auto"/>
                <w:szCs w:val="21"/>
                <w:highlight w:val="none"/>
              </w:rPr>
              <w:t>允许非主体、非关键性工程进行分包，分包需经招标人审核批准后分包给具有相应资质和能力的专业单位实施。</w:t>
            </w:r>
          </w:p>
        </w:tc>
      </w:tr>
      <w:tr w14:paraId="7AC7D631">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DDF0">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259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偏离</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770D">
            <w:pPr>
              <w:pStyle w:val="12"/>
              <w:spacing w:line="360" w:lineRule="auto"/>
              <w:rPr>
                <w:color w:val="auto"/>
                <w:kern w:val="1"/>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66C1949E">
            <w:pPr>
              <w:pStyle w:val="12"/>
              <w:spacing w:line="360" w:lineRule="auto"/>
              <w:rPr>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允许，允许偏离的内容、偏离范围和幅度：满足第三章《评标办法》规定的有效性审查标准。</w:t>
            </w:r>
          </w:p>
        </w:tc>
      </w:tr>
      <w:tr w14:paraId="12314C49">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529">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DED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构成招标文件的其他资料</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54EC">
            <w:pPr>
              <w:spacing w:line="360" w:lineRule="auto"/>
              <w:rPr>
                <w:rFonts w:ascii="宋体" w:hAnsi="宋体" w:cs="宋体"/>
                <w:color w:val="auto"/>
                <w:kern w:val="1"/>
                <w:szCs w:val="21"/>
                <w:highlight w:val="none"/>
              </w:rPr>
            </w:pPr>
            <w:r>
              <w:rPr>
                <w:rFonts w:hint="eastAsia" w:ascii="宋体" w:hAnsi="宋体" w:cs="宋体"/>
                <w:color w:val="auto"/>
                <w:szCs w:val="21"/>
                <w:highlight w:val="none"/>
                <w:u w:val="single"/>
              </w:rPr>
              <w:t>答疑纪要、澄清文件等（如有）</w:t>
            </w:r>
          </w:p>
        </w:tc>
      </w:tr>
      <w:tr w14:paraId="2309FB38">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9A29">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2.2.1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7E1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投标人要求澄清招标文件的截止时间</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BFC0">
            <w:pPr>
              <w:pStyle w:val="2"/>
              <w:rPr>
                <w:rFonts w:cs="宋体"/>
                <w:color w:val="auto"/>
                <w:szCs w:val="21"/>
                <w:highlight w:val="none"/>
              </w:rPr>
            </w:pPr>
            <w:r>
              <w:rPr>
                <w:rFonts w:hint="eastAsia" w:cs="宋体"/>
                <w:color w:val="auto"/>
                <w:szCs w:val="21"/>
                <w:highlight w:val="none"/>
              </w:rPr>
              <w:t>时间：在提交投标文件截止时间</w:t>
            </w:r>
            <w:r>
              <w:rPr>
                <w:rFonts w:cs="宋体"/>
                <w:color w:val="auto"/>
                <w:szCs w:val="21"/>
                <w:highlight w:val="none"/>
              </w:rPr>
              <w:t>18</w:t>
            </w:r>
            <w:r>
              <w:rPr>
                <w:rFonts w:hint="eastAsia" w:cs="宋体"/>
                <w:color w:val="auto"/>
                <w:szCs w:val="21"/>
                <w:highlight w:val="none"/>
              </w:rPr>
              <w:t>天前提出。</w:t>
            </w:r>
          </w:p>
          <w:p w14:paraId="54E1A20A">
            <w:pPr>
              <w:pStyle w:val="2"/>
              <w:tabs>
                <w:tab w:val="left" w:pos="3780"/>
              </w:tabs>
              <w:rPr>
                <w:color w:val="auto"/>
                <w:highlight w:val="none"/>
                <w:lang w:val="en-US"/>
              </w:rPr>
            </w:pPr>
            <w:r>
              <w:rPr>
                <w:rFonts w:hint="eastAsia" w:cs="宋体"/>
                <w:color w:val="auto"/>
                <w:sz w:val="21"/>
                <w:szCs w:val="21"/>
                <w:highlight w:val="none"/>
                <w:lang w:val="en-US"/>
              </w:rPr>
              <w:t>形式：投标人疑问通过网上提交。网上答疑的操作指南为：登陆广州公共资源交易中心网站交易系统→进入“我的投标”专区→进入“招标答疑”选项→通过项目编号或名称找到所需的项目→在答疑时间内点击“答疑提问</w:t>
            </w:r>
            <w:r>
              <w:rPr>
                <w:rFonts w:cs="宋体"/>
                <w:color w:val="auto"/>
                <w:sz w:val="21"/>
                <w:szCs w:val="21"/>
                <w:highlight w:val="none"/>
                <w:lang w:val="en-US"/>
              </w:rPr>
              <w:t>-</w:t>
            </w:r>
            <w:r>
              <w:rPr>
                <w:rFonts w:hint="eastAsia" w:cs="宋体"/>
                <w:color w:val="auto"/>
                <w:sz w:val="21"/>
                <w:szCs w:val="21"/>
                <w:highlight w:val="none"/>
                <w:lang w:val="en-US"/>
              </w:rPr>
              <w:t>新增提问”→提出问题</w:t>
            </w:r>
            <w:r>
              <w:rPr>
                <w:rFonts w:cs="宋体"/>
                <w:color w:val="auto"/>
                <w:sz w:val="21"/>
                <w:szCs w:val="21"/>
                <w:highlight w:val="none"/>
                <w:lang w:val="en-US"/>
              </w:rPr>
              <w:t>(</w:t>
            </w:r>
            <w:r>
              <w:rPr>
                <w:rFonts w:hint="eastAsia" w:cs="宋体"/>
                <w:color w:val="auto"/>
                <w:sz w:val="21"/>
                <w:szCs w:val="21"/>
                <w:highlight w:val="none"/>
                <w:lang w:val="en-US"/>
              </w:rPr>
              <w:t>提问一律不得署名</w:t>
            </w:r>
            <w:r>
              <w:rPr>
                <w:rFonts w:cs="宋体"/>
                <w:color w:val="auto"/>
                <w:sz w:val="21"/>
                <w:szCs w:val="21"/>
                <w:highlight w:val="none"/>
                <w:lang w:val="en-US"/>
              </w:rPr>
              <w:t>)</w:t>
            </w:r>
            <w:r>
              <w:rPr>
                <w:rFonts w:hint="eastAsia" w:cs="宋体"/>
                <w:color w:val="auto"/>
                <w:sz w:val="21"/>
                <w:szCs w:val="21"/>
                <w:highlight w:val="none"/>
                <w:lang w:val="en-US"/>
              </w:rPr>
              <w:t>。具体操作方法详见《建设工程全流程电子化项目操作指南》。</w:t>
            </w:r>
          </w:p>
        </w:tc>
      </w:tr>
      <w:tr w14:paraId="7FF31645">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6E90">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2.2.3</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5B1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投标人确认收到答疑纪要或澄清的时间</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5509">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075CA9B9">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7DF0">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2.3.2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1BB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投标人确认收到招标文件修改的时间</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1D19">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3F15F553">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6C7C">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3.1.1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86F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构成投标文件的其他资料</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E05D">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04EA3956">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C41F">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3.2.1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26E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报价方式</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A495">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投标报价由勘察费投标报价、设计费投标报价和建安工程费投标报价组成。本项目勘察、设计、施工投标报价同时采用下浮率报价和数值报价方式，最终按实结算。报价下浮率以百分比计，精确到小数点后</w:t>
            </w:r>
            <w:r>
              <w:rPr>
                <w:rFonts w:ascii="宋体" w:hAnsi="宋体" w:cs="宋体"/>
                <w:color w:val="auto"/>
                <w:szCs w:val="21"/>
                <w:highlight w:val="none"/>
              </w:rPr>
              <w:t>2</w:t>
            </w:r>
            <w:r>
              <w:rPr>
                <w:rFonts w:hint="eastAsia" w:ascii="宋体" w:hAnsi="宋体" w:cs="宋体"/>
                <w:color w:val="auto"/>
                <w:szCs w:val="21"/>
                <w:highlight w:val="none"/>
              </w:rPr>
              <w:t>位，投标人对每一分项（如勘察、设计、施工）只能报一个投标数值报价和下浮率报价，数值总报价以元计，如下浮率报价和数值报价不一致时，以下浮率报价为准。</w:t>
            </w:r>
          </w:p>
        </w:tc>
      </w:tr>
      <w:tr w14:paraId="4370B0A7">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97B5">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3.2.4</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136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157">
            <w:pPr>
              <w:widowControl/>
              <w:textAlignment w:val="center"/>
              <w:rPr>
                <w:rFonts w:ascii="宋体" w:hAnsi="宋体" w:cs="宋体"/>
                <w:color w:val="auto"/>
                <w:szCs w:val="21"/>
                <w:highlight w:val="none"/>
                <w:lang w:bidi="ar"/>
              </w:rPr>
            </w:pPr>
            <w:r>
              <w:rPr>
                <w:rFonts w:ascii="宋体" w:hAnsi="宋体" w:cs="宋体"/>
                <w:color w:val="auto"/>
                <w:szCs w:val="21"/>
                <w:highlight w:val="none"/>
                <w:lang w:bidi="ar"/>
              </w:rPr>
              <w:t>1</w:t>
            </w:r>
            <w:r>
              <w:rPr>
                <w:rFonts w:hint="eastAsia" w:ascii="宋体" w:hAnsi="宋体" w:cs="宋体"/>
                <w:color w:val="auto"/>
                <w:szCs w:val="21"/>
                <w:highlight w:val="none"/>
                <w:lang w:bidi="ar"/>
              </w:rPr>
              <w:t>、本次招标最高投标限价</w:t>
            </w:r>
            <w:r>
              <w:rPr>
                <w:rFonts w:hint="eastAsia" w:ascii="宋体" w:hAnsi="宋体" w:cs="宋体"/>
                <w:color w:val="auto"/>
                <w:szCs w:val="21"/>
                <w:highlight w:val="none"/>
                <w:u w:val="single"/>
                <w:lang w:bidi="ar"/>
              </w:rPr>
              <w:t>26036.89</w:t>
            </w:r>
            <w:r>
              <w:rPr>
                <w:rFonts w:hint="eastAsia" w:ascii="宋体" w:hAnsi="宋体" w:cs="宋体"/>
                <w:color w:val="auto"/>
                <w:szCs w:val="21"/>
                <w:highlight w:val="none"/>
                <w:u w:val="single"/>
                <w:lang w:bidi="ar"/>
              </w:rPr>
              <w:tab/>
            </w:r>
            <w:r>
              <w:rPr>
                <w:rFonts w:hint="eastAsia" w:ascii="宋体" w:hAnsi="宋体" w:cs="宋体"/>
                <w:color w:val="auto"/>
                <w:szCs w:val="21"/>
                <w:highlight w:val="none"/>
                <w:lang w:bidi="ar"/>
              </w:rPr>
              <w:t>万元，其中：勘察费最高投标限价为</w:t>
            </w:r>
            <w:r>
              <w:rPr>
                <w:rFonts w:hint="eastAsia" w:ascii="宋体" w:hAnsi="宋体" w:cs="宋体"/>
                <w:color w:val="auto"/>
                <w:szCs w:val="21"/>
                <w:highlight w:val="none"/>
                <w:u w:val="single"/>
                <w:lang w:bidi="ar"/>
              </w:rPr>
              <w:t>142.35</w:t>
            </w:r>
            <w:r>
              <w:rPr>
                <w:rFonts w:hint="eastAsia" w:ascii="宋体" w:hAnsi="宋体" w:cs="宋体"/>
                <w:color w:val="auto"/>
                <w:szCs w:val="21"/>
                <w:highlight w:val="none"/>
                <w:lang w:bidi="ar"/>
              </w:rPr>
              <w:t>万元；设计费最高投标限价为</w:t>
            </w:r>
            <w:r>
              <w:rPr>
                <w:rFonts w:hint="eastAsia" w:ascii="宋体" w:hAnsi="宋体" w:cs="宋体"/>
                <w:color w:val="auto"/>
                <w:szCs w:val="21"/>
                <w:highlight w:val="none"/>
                <w:u w:val="single"/>
                <w:lang w:bidi="ar"/>
              </w:rPr>
              <w:t>649.74</w:t>
            </w:r>
            <w:r>
              <w:rPr>
                <w:rFonts w:hint="eastAsia" w:ascii="宋体" w:hAnsi="宋体" w:cs="宋体"/>
                <w:color w:val="auto"/>
                <w:szCs w:val="21"/>
                <w:highlight w:val="none"/>
                <w:lang w:bidi="ar"/>
              </w:rPr>
              <w:t>万元；建安工程费最高投标限价为人民币</w:t>
            </w:r>
            <w:r>
              <w:rPr>
                <w:rFonts w:ascii="宋体" w:hAnsi="宋体" w:cs="宋体"/>
                <w:color w:val="auto"/>
                <w:szCs w:val="21"/>
                <w:highlight w:val="none"/>
                <w:u w:val="single"/>
                <w:lang w:bidi="ar"/>
              </w:rPr>
              <w:t>25244.80</w:t>
            </w:r>
            <w:r>
              <w:rPr>
                <w:rFonts w:hint="eastAsia" w:ascii="宋体" w:hAnsi="宋体" w:cs="宋体"/>
                <w:color w:val="auto"/>
                <w:szCs w:val="21"/>
                <w:highlight w:val="none"/>
                <w:lang w:bidi="ar"/>
              </w:rPr>
              <w:t>万元。</w:t>
            </w:r>
          </w:p>
          <w:p w14:paraId="49DAA833">
            <w:pPr>
              <w:pStyle w:val="2"/>
              <w:rPr>
                <w:color w:val="auto"/>
                <w:highlight w:val="none"/>
              </w:rPr>
            </w:pPr>
            <w:r>
              <w:rPr>
                <w:rFonts w:hint="eastAsia"/>
                <w:color w:val="auto"/>
                <w:highlight w:val="none"/>
              </w:rPr>
              <w:t>其中：岩土工程勘察综合包干单价投标报价应不高于</w:t>
            </w:r>
            <w:r>
              <w:rPr>
                <w:rFonts w:hint="eastAsia"/>
                <w:color w:val="auto"/>
                <w:highlight w:val="none"/>
                <w:lang w:val="en-US"/>
              </w:rPr>
              <w:t>125</w:t>
            </w:r>
            <w:r>
              <w:rPr>
                <w:rFonts w:hint="eastAsia"/>
                <w:color w:val="auto"/>
                <w:highlight w:val="none"/>
              </w:rPr>
              <w:t>元</w:t>
            </w:r>
            <w:r>
              <w:rPr>
                <w:color w:val="auto"/>
                <w:highlight w:val="none"/>
              </w:rPr>
              <w:t>/m</w:t>
            </w:r>
            <w:r>
              <w:rPr>
                <w:rFonts w:hint="eastAsia"/>
                <w:color w:val="auto"/>
                <w:highlight w:val="none"/>
              </w:rPr>
              <w:t>，超前钻综合包干单价投标报价应不高于</w:t>
            </w:r>
            <w:r>
              <w:rPr>
                <w:color w:val="auto"/>
                <w:highlight w:val="none"/>
              </w:rPr>
              <w:t>105</w:t>
            </w:r>
            <w:r>
              <w:rPr>
                <w:rFonts w:hint="eastAsia"/>
                <w:color w:val="auto"/>
                <w:highlight w:val="none"/>
              </w:rPr>
              <w:t>元</w:t>
            </w:r>
            <w:r>
              <w:rPr>
                <w:color w:val="auto"/>
                <w:highlight w:val="none"/>
              </w:rPr>
              <w:t>/m</w:t>
            </w:r>
            <w:r>
              <w:rPr>
                <w:rFonts w:hint="eastAsia"/>
                <w:color w:val="auto"/>
                <w:highlight w:val="none"/>
              </w:rPr>
              <w:t>，工程物探费综合包干单价投标报价应不高于</w:t>
            </w:r>
            <w:r>
              <w:rPr>
                <w:color w:val="auto"/>
                <w:highlight w:val="none"/>
              </w:rPr>
              <w:t>1.5</w:t>
            </w:r>
            <w:r>
              <w:rPr>
                <w:rFonts w:hint="eastAsia"/>
                <w:color w:val="auto"/>
                <w:highlight w:val="none"/>
              </w:rPr>
              <w:t>元</w:t>
            </w:r>
            <w:r>
              <w:rPr>
                <w:color w:val="auto"/>
                <w:highlight w:val="none"/>
              </w:rPr>
              <w:t>/</w:t>
            </w:r>
            <w:r>
              <w:rPr>
                <w:rFonts w:hint="eastAsia"/>
                <w:color w:val="auto"/>
                <w:highlight w:val="none"/>
              </w:rPr>
              <w:t>㎡，土壤氡浓度测试综合包干单价投标报价应不高于</w:t>
            </w:r>
            <w:r>
              <w:rPr>
                <w:color w:val="auto"/>
                <w:highlight w:val="none"/>
              </w:rPr>
              <w:t>120</w:t>
            </w:r>
            <w:r>
              <w:rPr>
                <w:rFonts w:hint="eastAsia"/>
                <w:color w:val="auto"/>
                <w:highlight w:val="none"/>
              </w:rPr>
              <w:t>元</w:t>
            </w:r>
            <w:r>
              <w:rPr>
                <w:color w:val="auto"/>
                <w:highlight w:val="none"/>
              </w:rPr>
              <w:t>/</w:t>
            </w:r>
            <w:r>
              <w:rPr>
                <w:rFonts w:hint="eastAsia"/>
                <w:color w:val="auto"/>
                <w:highlight w:val="none"/>
              </w:rPr>
              <w:t>点，抽水试验综合包干单价投标报价应不高于</w:t>
            </w:r>
            <w:r>
              <w:rPr>
                <w:color w:val="auto"/>
                <w:highlight w:val="none"/>
              </w:rPr>
              <w:t>12000</w:t>
            </w:r>
            <w:r>
              <w:rPr>
                <w:rFonts w:hint="eastAsia"/>
                <w:color w:val="auto"/>
                <w:highlight w:val="none"/>
              </w:rPr>
              <w:t>元</w:t>
            </w:r>
            <w:r>
              <w:rPr>
                <w:color w:val="auto"/>
                <w:highlight w:val="none"/>
              </w:rPr>
              <w:t>/</w:t>
            </w:r>
            <w:r>
              <w:rPr>
                <w:rFonts w:hint="eastAsia"/>
                <w:color w:val="auto"/>
                <w:highlight w:val="none"/>
              </w:rPr>
              <w:t>个，剪切波速综合包干单价投标报价应不高于</w:t>
            </w:r>
            <w:r>
              <w:rPr>
                <w:color w:val="auto"/>
                <w:highlight w:val="none"/>
              </w:rPr>
              <w:t>3000</w:t>
            </w:r>
            <w:r>
              <w:rPr>
                <w:rFonts w:hint="eastAsia"/>
                <w:color w:val="auto"/>
                <w:highlight w:val="none"/>
              </w:rPr>
              <w:t>元</w:t>
            </w:r>
            <w:r>
              <w:rPr>
                <w:color w:val="auto"/>
                <w:highlight w:val="none"/>
              </w:rPr>
              <w:t>/</w:t>
            </w:r>
            <w:r>
              <w:rPr>
                <w:rFonts w:hint="eastAsia"/>
                <w:color w:val="auto"/>
                <w:highlight w:val="none"/>
              </w:rPr>
              <w:t>个，噪声测试综合包干单价投标报价应不高于</w:t>
            </w:r>
            <w:r>
              <w:rPr>
                <w:color w:val="auto"/>
                <w:highlight w:val="none"/>
              </w:rPr>
              <w:t>3000</w:t>
            </w:r>
            <w:r>
              <w:rPr>
                <w:rFonts w:hint="eastAsia"/>
                <w:color w:val="auto"/>
                <w:highlight w:val="none"/>
              </w:rPr>
              <w:t>元</w:t>
            </w:r>
            <w:r>
              <w:rPr>
                <w:color w:val="auto"/>
                <w:highlight w:val="none"/>
              </w:rPr>
              <w:t>/</w:t>
            </w:r>
            <w:bookmarkStart w:id="382" w:name="_GoBack"/>
            <w:r>
              <w:rPr>
                <w:rFonts w:hint="eastAsia"/>
                <w:color w:val="auto"/>
                <w:highlight w:val="none"/>
                <w:lang w:val="en-US" w:eastAsia="zh-CN"/>
              </w:rPr>
              <w:t>项</w:t>
            </w:r>
            <w:bookmarkEnd w:id="382"/>
            <w:r>
              <w:rPr>
                <w:rFonts w:hint="eastAsia"/>
                <w:color w:val="auto"/>
                <w:highlight w:val="none"/>
              </w:rPr>
              <w:t>，工程测量费投标报价应不高于</w:t>
            </w:r>
            <w:r>
              <w:rPr>
                <w:rFonts w:hint="eastAsia"/>
                <w:color w:val="auto"/>
                <w:highlight w:val="none"/>
                <w:lang w:val="en-US"/>
              </w:rPr>
              <w:t>2</w:t>
            </w:r>
            <w:r>
              <w:rPr>
                <w:color w:val="auto"/>
                <w:highlight w:val="none"/>
              </w:rPr>
              <w:t>00000.00</w:t>
            </w:r>
            <w:r>
              <w:rPr>
                <w:rFonts w:hint="eastAsia"/>
                <w:color w:val="auto"/>
                <w:highlight w:val="none"/>
              </w:rPr>
              <w:t>元；</w:t>
            </w:r>
          </w:p>
          <w:p w14:paraId="096F3687">
            <w:pPr>
              <w:widowControl/>
              <w:tabs>
                <w:tab w:val="left" w:pos="105"/>
              </w:tabs>
              <w:adjustRightInd w:val="0"/>
              <w:snapToGrid w:val="0"/>
              <w:jc w:val="left"/>
              <w:textAlignment w:val="center"/>
              <w:rPr>
                <w:rFonts w:ascii="宋体" w:hAnsi="宋体" w:cs="宋体"/>
                <w:color w:val="auto"/>
                <w:sz w:val="22"/>
                <w:highlight w:val="none"/>
                <w:lang w:bidi="ar"/>
              </w:rPr>
            </w:pPr>
            <w:r>
              <w:rPr>
                <w:rFonts w:ascii="宋体" w:hAnsi="宋体" w:cs="宋体"/>
                <w:color w:val="auto"/>
                <w:szCs w:val="21"/>
                <w:highlight w:val="none"/>
                <w:lang w:bidi="ar"/>
              </w:rPr>
              <w:t>2</w:t>
            </w:r>
            <w:r>
              <w:rPr>
                <w:rFonts w:hint="eastAsia" w:ascii="宋体" w:hAnsi="宋体" w:cs="宋体"/>
                <w:color w:val="auto"/>
                <w:szCs w:val="21"/>
                <w:highlight w:val="none"/>
                <w:lang w:bidi="ar"/>
              </w:rPr>
              <w:t>、投标人未按要求报价或投标报价（含投标总报价、勘察费总投标报价、设计费总投标报价、建安工程费总投标报价）超过上述相应最高投标限价的为无效标。招标文件第八章最高投标限价明细表中的各项数据仅作为参考，不作为废标条款。</w:t>
            </w:r>
          </w:p>
        </w:tc>
      </w:tr>
      <w:tr w14:paraId="5C4A826F">
        <w:tblPrEx>
          <w:tblCellMar>
            <w:top w:w="0" w:type="dxa"/>
            <w:left w:w="108" w:type="dxa"/>
            <w:bottom w:w="0" w:type="dxa"/>
            <w:right w:w="108" w:type="dxa"/>
          </w:tblCellMar>
        </w:tblPrEx>
        <w:trPr>
          <w:trHeight w:val="85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96AE">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3.2.5</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658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投标报价的其他要求</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C23D">
            <w:pPr>
              <w:rPr>
                <w:color w:val="auto"/>
                <w:highlight w:val="none"/>
              </w:rPr>
            </w:pPr>
            <w:r>
              <w:rPr>
                <w:rFonts w:hint="eastAsia"/>
                <w:color w:val="auto"/>
                <w:highlight w:val="none"/>
              </w:rPr>
              <w:t>投标报价由勘察费报价、设计费报价与建安费报价组成.</w:t>
            </w:r>
          </w:p>
          <w:p w14:paraId="73BC376E">
            <w:pPr>
              <w:rPr>
                <w:color w:val="auto"/>
                <w:highlight w:val="none"/>
              </w:rPr>
            </w:pPr>
            <w:r>
              <w:rPr>
                <w:rFonts w:hint="eastAsia"/>
                <w:color w:val="auto"/>
                <w:highlight w:val="none"/>
              </w:rPr>
              <w:t>1、设计部分投标报价的要求：</w:t>
            </w:r>
          </w:p>
          <w:p w14:paraId="6147EBC6">
            <w:pPr>
              <w:rPr>
                <w:color w:val="auto"/>
                <w:highlight w:val="none"/>
              </w:rPr>
            </w:pPr>
            <w:r>
              <w:rPr>
                <w:rFonts w:hint="eastAsia"/>
                <w:color w:val="auto"/>
                <w:highlight w:val="none"/>
              </w:rPr>
              <w:t>设计费用参照国家有关收费标准计算，投标下浮率由投标人自行填报。合同约定下浮率及结算方式以合同约定为准。</w:t>
            </w:r>
          </w:p>
          <w:p w14:paraId="31D7CCE6">
            <w:pPr>
              <w:rPr>
                <w:color w:val="auto"/>
                <w:highlight w:val="none"/>
              </w:rPr>
            </w:pPr>
            <w:r>
              <w:rPr>
                <w:rFonts w:hint="eastAsia"/>
                <w:color w:val="auto"/>
                <w:highlight w:val="none"/>
              </w:rPr>
              <w:t>2、勘察部分投标报价要求：</w:t>
            </w:r>
          </w:p>
          <w:p w14:paraId="6787E540">
            <w:pPr>
              <w:rPr>
                <w:color w:val="auto"/>
                <w:highlight w:val="none"/>
              </w:rPr>
            </w:pPr>
            <w:r>
              <w:rPr>
                <w:rFonts w:hint="eastAsia"/>
                <w:color w:val="auto"/>
                <w:highlight w:val="none"/>
              </w:rPr>
              <w:t>勘察费用参照国家有关收费标准计算，在合同实施期间工程勘察费按实际完成工作量调整。合同约定下浮率及结算方式以合同约定为准。</w:t>
            </w:r>
          </w:p>
          <w:p w14:paraId="1F6B89A4">
            <w:pPr>
              <w:rPr>
                <w:color w:val="auto"/>
                <w:highlight w:val="none"/>
              </w:rPr>
            </w:pPr>
            <w:r>
              <w:rPr>
                <w:rFonts w:hint="eastAsia"/>
                <w:color w:val="auto"/>
                <w:highlight w:val="none"/>
              </w:rPr>
              <w:t>3、施工部分投标报价的要求：</w:t>
            </w:r>
          </w:p>
          <w:p w14:paraId="362A34FA">
            <w:pPr>
              <w:rPr>
                <w:color w:val="auto"/>
                <w:highlight w:val="none"/>
              </w:rPr>
            </w:pPr>
            <w:r>
              <w:rPr>
                <w:rFonts w:hint="eastAsia"/>
                <w:color w:val="auto"/>
                <w:highlight w:val="none"/>
              </w:rPr>
              <w:t>建安工程费用由投标人根据招标文件要求以及企业自身情况填报投标下浮率，投标报价不得高于最高投标限价。施工的投标下浮率、合同约定下浮率（5%）及施工合同的计价方式（详见附件合同计价方式，具体签订的施工合同为准）作为签订结算的依据，最终结算以有关部门审定结果为准。</w:t>
            </w:r>
          </w:p>
          <w:p w14:paraId="171DEF1D">
            <w:pPr>
              <w:rPr>
                <w:color w:val="auto"/>
                <w:highlight w:val="none"/>
              </w:rPr>
            </w:pPr>
            <w:r>
              <w:rPr>
                <w:rFonts w:hint="eastAsia"/>
                <w:color w:val="auto"/>
                <w:highlight w:val="none"/>
              </w:rPr>
              <w:t>4、其它投标报价要求：自2016年5月1日起,国家全面实施营改增政策，投标人须充分考虑风险，不得提出任何由于营改增造成的变更增加费用要求及相关投诉。</w:t>
            </w:r>
          </w:p>
          <w:p w14:paraId="18C3E2D5">
            <w:pPr>
              <w:rPr>
                <w:color w:val="auto"/>
                <w:szCs w:val="21"/>
                <w:highlight w:val="none"/>
              </w:rPr>
            </w:pPr>
            <w:r>
              <w:rPr>
                <w:rFonts w:hint="eastAsia"/>
                <w:color w:val="auto"/>
                <w:highlight w:val="none"/>
              </w:rPr>
              <w:t>5、本项目投标报价以元为单位，小数点后保留</w:t>
            </w:r>
            <w:r>
              <w:rPr>
                <w:rFonts w:hint="eastAsia"/>
                <w:color w:val="auto"/>
                <w:highlight w:val="none"/>
                <w:lang w:val="en-US" w:eastAsia="zh-CN"/>
              </w:rPr>
              <w:t>两</w:t>
            </w:r>
            <w:r>
              <w:rPr>
                <w:rFonts w:hint="eastAsia"/>
                <w:color w:val="auto"/>
                <w:highlight w:val="none"/>
              </w:rPr>
              <w:t>位小数，第</w:t>
            </w:r>
            <w:r>
              <w:rPr>
                <w:rFonts w:hint="eastAsia"/>
                <w:color w:val="auto"/>
                <w:highlight w:val="none"/>
                <w:lang w:val="en-US" w:eastAsia="zh-CN"/>
              </w:rPr>
              <w:t>三</w:t>
            </w:r>
            <w:r>
              <w:rPr>
                <w:rFonts w:hint="eastAsia"/>
                <w:color w:val="auto"/>
                <w:highlight w:val="none"/>
              </w:rPr>
              <w:t>位小数四舍五入；投标下浮率小数点后保留二位小数，第三位小数四舍五入。</w:t>
            </w:r>
          </w:p>
        </w:tc>
      </w:tr>
      <w:tr w14:paraId="13F104C1">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0C9B">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3.3.1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60D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投标有效期</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9BF3">
            <w:pPr>
              <w:widowControl/>
              <w:spacing w:line="360" w:lineRule="auto"/>
              <w:rPr>
                <w:rFonts w:ascii="宋体" w:hAnsi="宋体" w:cs="宋体"/>
                <w:color w:val="auto"/>
                <w:szCs w:val="21"/>
                <w:highlight w:val="none"/>
              </w:rPr>
            </w:pPr>
            <w:r>
              <w:rPr>
                <w:rFonts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14:paraId="1235408C">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6E32">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3.4.1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F80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投标保证金</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4886">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14:paraId="620B3136">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92EE">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3.6</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999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4242">
            <w:pPr>
              <w:pStyle w:val="12"/>
              <w:spacing w:line="360" w:lineRule="auto"/>
              <w:rPr>
                <w:color w:val="auto"/>
                <w:kern w:val="1"/>
                <w:sz w:val="21"/>
                <w:szCs w:val="21"/>
                <w:highlight w:val="none"/>
              </w:rPr>
            </w:pPr>
            <w:r>
              <w:rPr>
                <w:rFonts w:hint="eastAsia"/>
                <w:color w:val="auto"/>
                <w:kern w:val="1"/>
                <w:sz w:val="21"/>
                <w:szCs w:val="21"/>
                <w:highlight w:val="none"/>
              </w:rPr>
              <w:t>■不允许</w:t>
            </w:r>
          </w:p>
          <w:p w14:paraId="0D6B1E7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□允许</w:t>
            </w:r>
          </w:p>
        </w:tc>
      </w:tr>
      <w:tr w14:paraId="5DDE3742">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DE0C">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3.7.3</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C19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DB7D">
            <w:pPr>
              <w:spacing w:line="360" w:lineRule="auto"/>
              <w:rPr>
                <w:rFonts w:ascii="宋体" w:hAnsi="宋体" w:cs="宋体"/>
                <w:color w:val="auto"/>
                <w:kern w:val="1"/>
                <w:szCs w:val="21"/>
                <w:highlight w:val="none"/>
                <w:u w:val="single"/>
              </w:rPr>
            </w:pPr>
            <w:r>
              <w:rPr>
                <w:rFonts w:hint="eastAsia" w:ascii="宋体" w:hAnsi="宋体" w:cs="宋体"/>
                <w:b/>
                <w:color w:val="auto"/>
                <w:kern w:val="1"/>
                <w:szCs w:val="21"/>
                <w:highlight w:val="none"/>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
                <w:bCs/>
                <w:color w:val="auto"/>
                <w:szCs w:val="21"/>
                <w:highlight w:val="none"/>
              </w:rPr>
              <w:t>联合体投标的，除《联合体共同投标协议书》必须联合体各方分别按要求进行签字、盖章外，投标文件封面及其他内容落款中的“投标人”应填写联合体各方的单位全称【格式为：</w:t>
            </w:r>
            <w:r>
              <w:rPr>
                <w:rFonts w:ascii="宋体" w:hAnsi="宋体" w:cs="宋体"/>
                <w:b/>
                <w:bCs/>
                <w:color w:val="auto"/>
                <w:szCs w:val="21"/>
                <w:highlight w:val="none"/>
              </w:rPr>
              <w:t>(</w:t>
            </w:r>
            <w:r>
              <w:rPr>
                <w:rFonts w:hint="eastAsia" w:ascii="宋体" w:hAnsi="宋体" w:cs="宋体"/>
                <w:b/>
                <w:bCs/>
                <w:color w:val="auto"/>
                <w:szCs w:val="21"/>
                <w:highlight w:val="none"/>
              </w:rPr>
              <w:t>主</w:t>
            </w:r>
            <w:r>
              <w:rPr>
                <w:rFonts w:ascii="宋体" w:hAnsi="宋体" w:cs="宋体"/>
                <w:b/>
                <w:bCs/>
                <w:color w:val="auto"/>
                <w:szCs w:val="21"/>
                <w:highlight w:val="none"/>
              </w:rPr>
              <w:t>)XXXX</w:t>
            </w:r>
            <w:r>
              <w:rPr>
                <w:rFonts w:hint="eastAsia" w:ascii="宋体" w:hAnsi="宋体" w:cs="宋体"/>
                <w:b/>
                <w:bCs/>
                <w:color w:val="auto"/>
                <w:szCs w:val="21"/>
                <w:highlight w:val="none"/>
              </w:rPr>
              <w:t>公司</w:t>
            </w:r>
            <w:r>
              <w:rPr>
                <w:rFonts w:ascii="宋体" w:hAnsi="宋体" w:cs="宋体"/>
                <w:b/>
                <w:bCs/>
                <w:color w:val="auto"/>
                <w:szCs w:val="21"/>
                <w:highlight w:val="none"/>
              </w:rPr>
              <w:t>(</w:t>
            </w:r>
            <w:r>
              <w:rPr>
                <w:rFonts w:hint="eastAsia" w:ascii="宋体" w:hAnsi="宋体" w:cs="宋体"/>
                <w:b/>
                <w:bCs/>
                <w:color w:val="auto"/>
                <w:szCs w:val="21"/>
                <w:highlight w:val="none"/>
              </w:rPr>
              <w:t>成</w:t>
            </w:r>
            <w:r>
              <w:rPr>
                <w:rFonts w:ascii="宋体" w:hAnsi="宋体" w:cs="宋体"/>
                <w:b/>
                <w:bCs/>
                <w:color w:val="auto"/>
                <w:szCs w:val="21"/>
                <w:highlight w:val="none"/>
              </w:rPr>
              <w:t>)XXXX</w:t>
            </w:r>
            <w:r>
              <w:rPr>
                <w:rFonts w:hint="eastAsia" w:ascii="宋体" w:hAnsi="宋体" w:cs="宋体"/>
                <w:b/>
                <w:bCs/>
                <w:color w:val="auto"/>
                <w:szCs w:val="21"/>
                <w:highlight w:val="none"/>
              </w:rPr>
              <w:t>公司</w:t>
            </w:r>
            <w:r>
              <w:rPr>
                <w:rFonts w:ascii="宋体" w:hAnsi="宋体" w:cs="宋体"/>
                <w:b/>
                <w:bCs/>
                <w:color w:val="auto"/>
                <w:szCs w:val="21"/>
                <w:highlight w:val="none"/>
              </w:rPr>
              <w:t>(</w:t>
            </w:r>
            <w:r>
              <w:rPr>
                <w:rFonts w:hint="eastAsia" w:ascii="宋体" w:hAnsi="宋体" w:cs="宋体"/>
                <w:b/>
                <w:bCs/>
                <w:color w:val="auto"/>
                <w:szCs w:val="21"/>
                <w:highlight w:val="none"/>
              </w:rPr>
              <w:t>成</w:t>
            </w:r>
            <w:r>
              <w:rPr>
                <w:rFonts w:ascii="宋体" w:hAnsi="宋体" w:cs="宋体"/>
                <w:b/>
                <w:bCs/>
                <w:color w:val="auto"/>
                <w:szCs w:val="21"/>
                <w:highlight w:val="none"/>
              </w:rPr>
              <w:t>)</w:t>
            </w:r>
            <w:r>
              <w:rPr>
                <w:rFonts w:hint="eastAsia" w:ascii="宋体" w:hAnsi="宋体" w:cs="宋体"/>
                <w:b/>
                <w:bCs/>
                <w:color w:val="auto"/>
                <w:szCs w:val="21"/>
                <w:highlight w:val="none"/>
              </w:rPr>
              <w:t>……】，由联合体牵头方签字、盖章即可。</w:t>
            </w:r>
          </w:p>
        </w:tc>
      </w:tr>
      <w:tr w14:paraId="4ACCFFB2">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F794">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4.1.1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3B6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29D5">
            <w:pPr>
              <w:spacing w:line="360" w:lineRule="auto"/>
              <w:rPr>
                <w:rFonts w:ascii="宋体" w:hAnsi="宋体" w:cs="宋体"/>
                <w:color w:val="auto"/>
                <w:kern w:val="1"/>
                <w:szCs w:val="21"/>
                <w:highlight w:val="none"/>
              </w:rPr>
            </w:pPr>
            <w:r>
              <w:rPr>
                <w:rFonts w:ascii="宋体" w:hAnsi="宋体" w:cs="宋体"/>
                <w:color w:val="auto"/>
                <w:kern w:val="1"/>
                <w:szCs w:val="21"/>
                <w:highlight w:val="none"/>
              </w:rPr>
              <w:t>1</w:t>
            </w:r>
            <w:r>
              <w:rPr>
                <w:rFonts w:hint="eastAsia" w:ascii="宋体" w:hAnsi="宋体" w:cs="宋体"/>
                <w:color w:val="auto"/>
                <w:kern w:val="1"/>
                <w:szCs w:val="21"/>
                <w:highlight w:val="none"/>
              </w:rPr>
              <w:t>、网上递交的电子投标文件须进行加密。具体操作详见广州公共资源交易中心交易平台相关操作指南。</w:t>
            </w:r>
          </w:p>
          <w:p w14:paraId="5D50EC85">
            <w:pPr>
              <w:spacing w:line="360" w:lineRule="auto"/>
              <w:rPr>
                <w:color w:val="auto"/>
                <w:highlight w:val="none"/>
              </w:rPr>
            </w:pPr>
            <w:r>
              <w:rPr>
                <w:rFonts w:ascii="宋体" w:hAnsi="宋体" w:cs="宋体"/>
                <w:color w:val="auto"/>
                <w:kern w:val="1"/>
                <w:szCs w:val="21"/>
                <w:highlight w:val="none"/>
              </w:rPr>
              <w:t>2</w:t>
            </w:r>
            <w:r>
              <w:rPr>
                <w:rFonts w:hint="eastAsia" w:ascii="宋体" w:hAnsi="宋体" w:cs="宋体"/>
                <w:color w:val="auto"/>
                <w:kern w:val="1"/>
                <w:szCs w:val="21"/>
                <w:highlight w:val="none"/>
              </w:rPr>
              <w:t>、未按要求加密的投标文件，招标人将予以拒收。</w:t>
            </w:r>
          </w:p>
        </w:tc>
      </w:tr>
      <w:tr w14:paraId="0F1C9576">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E427">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4.1.2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CBA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FE5C">
            <w:pPr>
              <w:spacing w:line="360" w:lineRule="auto"/>
              <w:rPr>
                <w:rFonts w:ascii="宋体" w:hAnsi="宋体" w:cs="宋体"/>
                <w:color w:val="auto"/>
                <w:szCs w:val="21"/>
                <w:highlight w:val="none"/>
              </w:rPr>
            </w:pPr>
            <w:r>
              <w:rPr>
                <w:rFonts w:hint="eastAsia" w:ascii="宋体" w:hAnsi="宋体" w:cs="宋体"/>
                <w:color w:val="auto"/>
                <w:szCs w:val="21"/>
                <w:highlight w:val="none"/>
              </w:rPr>
              <w:t>如有提交备用电子投标文件光盘或</w:t>
            </w:r>
            <w:r>
              <w:rPr>
                <w:rFonts w:ascii="宋体" w:hAnsi="宋体" w:cs="宋体"/>
                <w:color w:val="auto"/>
                <w:szCs w:val="21"/>
                <w:highlight w:val="none"/>
              </w:rPr>
              <w:t>u</w:t>
            </w:r>
            <w:r>
              <w:rPr>
                <w:rFonts w:hint="eastAsia" w:ascii="宋体" w:hAnsi="宋体" w:cs="宋体"/>
                <w:color w:val="auto"/>
                <w:szCs w:val="21"/>
                <w:highlight w:val="none"/>
              </w:rPr>
              <w:t>盘，封套上应注明如下信息：</w:t>
            </w:r>
          </w:p>
          <w:p w14:paraId="653088B3">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招标人名称：</w:t>
            </w:r>
            <w:r>
              <w:rPr>
                <w:rFonts w:ascii="宋体" w:hAnsi="宋体" w:cs="宋体"/>
                <w:color w:val="auto"/>
                <w:szCs w:val="21"/>
                <w:highlight w:val="none"/>
                <w:u w:val="single"/>
              </w:rPr>
              <w:t xml:space="preserve">               </w:t>
            </w:r>
          </w:p>
          <w:p w14:paraId="50443B88">
            <w:pPr>
              <w:spacing w:line="360" w:lineRule="auto"/>
              <w:rPr>
                <w:rFonts w:ascii="宋体" w:hAnsi="宋体" w:cs="宋体"/>
                <w:color w:val="auto"/>
                <w:szCs w:val="21"/>
                <w:highlight w:val="none"/>
              </w:rPr>
            </w:pPr>
            <w:r>
              <w:rPr>
                <w:rFonts w:hint="eastAsia" w:ascii="宋体" w:hAnsi="宋体" w:cs="宋体"/>
                <w:color w:val="auto"/>
                <w:szCs w:val="21"/>
                <w:highlight w:val="none"/>
              </w:rPr>
              <w:t>招标人地址：</w:t>
            </w:r>
            <w:r>
              <w:rPr>
                <w:rFonts w:ascii="宋体" w:hAnsi="宋体" w:cs="宋体"/>
                <w:color w:val="auto"/>
                <w:szCs w:val="21"/>
                <w:highlight w:val="none"/>
                <w:u w:val="single"/>
              </w:rPr>
              <w:t xml:space="preserve">               </w:t>
            </w:r>
          </w:p>
          <w:p w14:paraId="124E95F3">
            <w:pPr>
              <w:spacing w:line="360" w:lineRule="auto"/>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招标项目投标文件</w:t>
            </w:r>
          </w:p>
          <w:p w14:paraId="2A551FF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招标项目编号：</w:t>
            </w:r>
            <w:r>
              <w:rPr>
                <w:rFonts w:ascii="宋体" w:hAnsi="宋体" w:cs="宋体"/>
                <w:color w:val="auto"/>
                <w:szCs w:val="21"/>
                <w:highlight w:val="none"/>
                <w:u w:val="single"/>
              </w:rPr>
              <w:t xml:space="preserve">        </w:t>
            </w:r>
          </w:p>
          <w:p w14:paraId="76D32CC2">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65D48D7B">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rPr>
              <w:t>分前不得开启（填入开标时间）</w:t>
            </w:r>
          </w:p>
        </w:tc>
      </w:tr>
      <w:tr w14:paraId="17063757">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39D1">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4.2.1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8ADF">
            <w:pPr>
              <w:spacing w:line="360" w:lineRule="auto"/>
              <w:jc w:val="center"/>
              <w:rPr>
                <w:rFonts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9731">
            <w:pPr>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ascii="宋体" w:hAnsi="宋体" w:cs="宋体"/>
                <w:color w:val="auto"/>
                <w:szCs w:val="21"/>
                <w:highlight w:val="none"/>
                <w:u w:val="single"/>
              </w:rPr>
              <w:t>2025</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p w14:paraId="52342812">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具体时间可以到广州公共资源交易中心网站的项目查询</w:t>
            </w:r>
            <w:r>
              <w:rPr>
                <w:rFonts w:ascii="宋体" w:hAnsi="宋体" w:cs="宋体"/>
                <w:color w:val="auto"/>
                <w:szCs w:val="21"/>
                <w:highlight w:val="none"/>
                <w:u w:val="single"/>
              </w:rPr>
              <w:t>(</w:t>
            </w:r>
            <w:r>
              <w:rPr>
                <w:rFonts w:hint="eastAsia" w:ascii="宋体" w:hAnsi="宋体" w:cs="宋体"/>
                <w:color w:val="auto"/>
                <w:szCs w:val="21"/>
                <w:highlight w:val="none"/>
                <w:u w:val="single"/>
              </w:rPr>
              <w:t>日程安排、答疑纪要</w:t>
            </w:r>
            <w:r>
              <w:rPr>
                <w:rFonts w:ascii="宋体" w:hAnsi="宋体" w:cs="宋体"/>
                <w:color w:val="auto"/>
                <w:szCs w:val="21"/>
                <w:highlight w:val="none"/>
                <w:u w:val="single"/>
              </w:rPr>
              <w:t>)</w:t>
            </w:r>
            <w:r>
              <w:rPr>
                <w:rFonts w:hint="eastAsia" w:ascii="宋体" w:hAnsi="宋体" w:cs="宋体"/>
                <w:color w:val="auto"/>
                <w:szCs w:val="21"/>
                <w:highlight w:val="none"/>
                <w:u w:val="single"/>
              </w:rPr>
              <w:t>中输入本项目编号或项目名称进行查询。</w:t>
            </w:r>
          </w:p>
        </w:tc>
      </w:tr>
      <w:tr w14:paraId="0E88B823">
        <w:tblPrEx>
          <w:tblCellMar>
            <w:top w:w="0" w:type="dxa"/>
            <w:left w:w="108" w:type="dxa"/>
            <w:bottom w:w="0" w:type="dxa"/>
            <w:right w:w="108" w:type="dxa"/>
          </w:tblCellMar>
        </w:tblPrEx>
        <w:trPr>
          <w:trHeight w:val="5246" w:hRule="atLeast"/>
          <w:jc w:val="center"/>
        </w:trPr>
        <w:tc>
          <w:tcPr>
            <w:tcW w:w="884" w:type="dxa"/>
            <w:tcBorders>
              <w:top w:val="single" w:color="auto" w:sz="4" w:space="0"/>
              <w:left w:val="single" w:color="auto" w:sz="4" w:space="0"/>
              <w:bottom w:val="single" w:color="auto" w:sz="4" w:space="0"/>
              <w:right w:val="single" w:color="000000" w:sz="4" w:space="0"/>
            </w:tcBorders>
            <w:shd w:val="clear" w:color="auto" w:fill="auto"/>
            <w:vAlign w:val="center"/>
          </w:tcPr>
          <w:p w14:paraId="29B3B6B4">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5.1</w:t>
            </w:r>
          </w:p>
        </w:tc>
        <w:tc>
          <w:tcPr>
            <w:tcW w:w="2369" w:type="dxa"/>
            <w:tcBorders>
              <w:top w:val="single" w:color="auto" w:sz="4" w:space="0"/>
              <w:left w:val="single" w:color="000000" w:sz="4" w:space="0"/>
              <w:bottom w:val="single" w:color="auto" w:sz="4" w:space="0"/>
              <w:right w:val="single" w:color="000000" w:sz="4" w:space="0"/>
            </w:tcBorders>
            <w:shd w:val="clear" w:color="auto" w:fill="auto"/>
            <w:vAlign w:val="center"/>
          </w:tcPr>
          <w:p w14:paraId="750BB1F7">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432" w:type="dxa"/>
            <w:tcBorders>
              <w:top w:val="single" w:color="auto" w:sz="4" w:space="0"/>
              <w:left w:val="single" w:color="000000" w:sz="4" w:space="0"/>
              <w:bottom w:val="single" w:color="auto" w:sz="4" w:space="0"/>
              <w:right w:val="single" w:color="auto" w:sz="4" w:space="0"/>
            </w:tcBorders>
            <w:shd w:val="clear" w:color="auto" w:fill="auto"/>
            <w:vAlign w:val="center"/>
          </w:tcPr>
          <w:p w14:paraId="1F5579AA">
            <w:pPr>
              <w:spacing w:line="360" w:lineRule="auto"/>
              <w:rPr>
                <w:rFonts w:ascii="宋体" w:hAnsi="宋体" w:cs="宋体"/>
                <w:color w:val="auto"/>
                <w:szCs w:val="21"/>
                <w:highlight w:val="none"/>
              </w:rPr>
            </w:pPr>
            <w:r>
              <w:rPr>
                <w:rFonts w:hint="eastAsia" w:ascii="宋体" w:hAnsi="宋体" w:cs="宋体"/>
                <w:color w:val="auto"/>
                <w:szCs w:val="21"/>
                <w:highlight w:val="none"/>
              </w:rPr>
              <w:t>招标人在本章第</w:t>
            </w:r>
            <w:r>
              <w:rPr>
                <w:rFonts w:ascii="宋体" w:hAnsi="宋体" w:cs="宋体"/>
                <w:color w:val="auto"/>
                <w:szCs w:val="21"/>
                <w:highlight w:val="none"/>
              </w:rPr>
              <w:t xml:space="preserve"> 4.2.1</w:t>
            </w:r>
            <w:r>
              <w:rPr>
                <w:rFonts w:hint="eastAsia" w:ascii="宋体" w:hAnsi="宋体" w:cs="宋体"/>
                <w:color w:val="auto"/>
                <w:szCs w:val="21"/>
                <w:highlight w:val="none"/>
              </w:rPr>
              <w:t>项规定的投标截止时间（开标时间）</w:t>
            </w:r>
            <w:r>
              <w:rPr>
                <w:rFonts w:ascii="宋体" w:hAnsi="宋体" w:cs="宋体"/>
                <w:color w:val="auto"/>
                <w:szCs w:val="21"/>
                <w:highlight w:val="none"/>
              </w:rPr>
              <w:t>,</w:t>
            </w:r>
            <w:r>
              <w:rPr>
                <w:rFonts w:hint="eastAsia" w:ascii="宋体" w:hAnsi="宋体" w:cs="宋体"/>
                <w:color w:val="auto"/>
                <w:szCs w:val="21"/>
                <w:highlight w:val="none"/>
              </w:rPr>
              <w:t>在广州公共资源交易中心</w:t>
            </w:r>
            <w:r>
              <w:rPr>
                <w:rFonts w:hint="eastAsia" w:ascii="宋体" w:hAnsi="宋体" w:cs="宋体"/>
                <w:color w:val="auto"/>
                <w:szCs w:val="21"/>
                <w:highlight w:val="none"/>
                <w:u w:val="single"/>
              </w:rPr>
              <w:t>第</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开标室</w:t>
            </w:r>
            <w:r>
              <w:rPr>
                <w:rFonts w:hint="eastAsia" w:ascii="宋体" w:hAnsi="宋体" w:cs="宋体"/>
                <w:color w:val="auto"/>
                <w:szCs w:val="21"/>
                <w:highlight w:val="none"/>
              </w:rPr>
              <w:t>通过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C97ED5E">
            <w:pPr>
              <w:spacing w:line="360" w:lineRule="auto"/>
              <w:rPr>
                <w:rFonts w:ascii="宋体" w:hAnsi="宋体" w:cs="宋体"/>
                <w:color w:val="auto"/>
                <w:szCs w:val="21"/>
                <w:highlight w:val="none"/>
              </w:rPr>
            </w:pPr>
            <w:r>
              <w:rPr>
                <w:rFonts w:hint="eastAsia" w:ascii="宋体" w:hAnsi="宋体" w:cs="宋体"/>
                <w:color w:val="auto"/>
                <w:szCs w:val="21"/>
                <w:highlight w:val="none"/>
              </w:rPr>
              <w:t>递交备用电子投标文件时间：</w:t>
            </w:r>
            <w:r>
              <w:rPr>
                <w:rFonts w:ascii="宋体" w:hAnsi="宋体" w:cs="宋体"/>
                <w:color w:val="auto"/>
                <w:szCs w:val="21"/>
                <w:highlight w:val="none"/>
                <w:u w:val="single"/>
              </w:rPr>
              <w:t>2025</w:t>
            </w:r>
            <w:r>
              <w:rPr>
                <w:rFonts w:hint="eastAsia" w:ascii="宋体" w:hAnsi="宋体" w:cs="宋体"/>
                <w:color w:val="auto"/>
                <w:szCs w:val="21"/>
                <w:highlight w:val="none"/>
                <w:u w:val="singl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分至</w:t>
            </w:r>
            <w:r>
              <w:rPr>
                <w:rFonts w:ascii="宋体" w:hAnsi="宋体" w:cs="宋体"/>
                <w:color w:val="auto"/>
                <w:szCs w:val="21"/>
                <w:highlight w:val="none"/>
                <w:u w:val="single"/>
              </w:rPr>
              <w:t>2025</w:t>
            </w:r>
            <w:r>
              <w:rPr>
                <w:rFonts w:hint="eastAsia" w:ascii="宋体" w:hAnsi="宋体" w:cs="宋体"/>
                <w:color w:val="auto"/>
                <w:szCs w:val="21"/>
                <w:highlight w:val="none"/>
                <w:u w:val="singl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w:t>
            </w:r>
            <w:r>
              <w:rPr>
                <w:rFonts w:hint="eastAsia" w:ascii="宋体" w:hAnsi="宋体" w:cs="宋体"/>
                <w:color w:val="auto"/>
                <w:szCs w:val="21"/>
                <w:highlight w:val="none"/>
              </w:rPr>
              <w:t>；递交地点：同开标地点。</w:t>
            </w:r>
          </w:p>
          <w:p w14:paraId="37D6EA10">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具体时间、地点可以到广州公共资源交易中心网站的项目查询</w:t>
            </w:r>
            <w:r>
              <w:rPr>
                <w:rFonts w:ascii="宋体" w:hAnsi="宋体" w:cs="宋体"/>
                <w:color w:val="auto"/>
                <w:szCs w:val="21"/>
                <w:highlight w:val="none"/>
              </w:rPr>
              <w:t>(</w:t>
            </w:r>
            <w:r>
              <w:rPr>
                <w:rFonts w:hint="eastAsia" w:ascii="宋体" w:hAnsi="宋体" w:cs="宋体"/>
                <w:color w:val="auto"/>
                <w:szCs w:val="21"/>
                <w:highlight w:val="none"/>
              </w:rPr>
              <w:t>日程安排、答疑纪要</w:t>
            </w:r>
            <w:r>
              <w:rPr>
                <w:rFonts w:ascii="宋体" w:hAnsi="宋体" w:cs="宋体"/>
                <w:color w:val="auto"/>
                <w:szCs w:val="21"/>
                <w:highlight w:val="none"/>
              </w:rPr>
              <w:t>)</w:t>
            </w:r>
            <w:r>
              <w:rPr>
                <w:rFonts w:hint="eastAsia" w:ascii="宋体" w:hAnsi="宋体" w:cs="宋体"/>
                <w:color w:val="auto"/>
                <w:szCs w:val="21"/>
                <w:highlight w:val="none"/>
              </w:rPr>
              <w:t>中输入本项目编号或项目名称进行查询。</w:t>
            </w:r>
          </w:p>
        </w:tc>
      </w:tr>
      <w:tr w14:paraId="0D8B518F">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shd w:val="clear" w:color="auto" w:fill="auto"/>
            <w:vAlign w:val="center"/>
          </w:tcPr>
          <w:p w14:paraId="3B91C5D1">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6.1.1</w:t>
            </w:r>
          </w:p>
        </w:tc>
        <w:tc>
          <w:tcPr>
            <w:tcW w:w="2369" w:type="dxa"/>
            <w:tcBorders>
              <w:top w:val="single" w:color="auto" w:sz="4" w:space="0"/>
              <w:left w:val="single" w:color="000000" w:sz="4" w:space="0"/>
              <w:bottom w:val="single" w:color="000000" w:sz="4" w:space="0"/>
              <w:right w:val="single" w:color="000000" w:sz="4" w:space="0"/>
            </w:tcBorders>
            <w:shd w:val="clear" w:color="auto" w:fill="auto"/>
            <w:vAlign w:val="center"/>
          </w:tcPr>
          <w:p w14:paraId="20A330B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432" w:type="dxa"/>
            <w:tcBorders>
              <w:top w:val="single" w:color="auto" w:sz="4" w:space="0"/>
              <w:left w:val="single" w:color="000000" w:sz="4" w:space="0"/>
              <w:bottom w:val="single" w:color="000000" w:sz="4" w:space="0"/>
              <w:right w:val="single" w:color="000000" w:sz="4" w:space="0"/>
            </w:tcBorders>
            <w:shd w:val="clear" w:color="auto" w:fill="auto"/>
            <w:vAlign w:val="center"/>
          </w:tcPr>
          <w:p w14:paraId="709DDF8B">
            <w:pPr>
              <w:spacing w:line="360" w:lineRule="auto"/>
              <w:rPr>
                <w:rFonts w:ascii="宋体" w:hAnsi="宋体" w:cs="宋体"/>
                <w:color w:val="auto"/>
                <w:szCs w:val="21"/>
                <w:highlight w:val="none"/>
              </w:rPr>
            </w:pPr>
            <w:r>
              <w:rPr>
                <w:rFonts w:hint="eastAsia" w:ascii="宋体" w:hAnsi="宋体" w:cs="宋体"/>
                <w:color w:val="auto"/>
                <w:szCs w:val="21"/>
                <w:highlight w:val="none"/>
              </w:rPr>
              <w:t>评标由招标人在开标前依法组建的评标委员会负责，分勘察设计评审组、综合评审组，资格评审由综合评审组负责评审。</w:t>
            </w:r>
          </w:p>
        </w:tc>
      </w:tr>
      <w:tr w14:paraId="28BFDFFD">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EEA">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7.1.1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775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FFA">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□是</w:t>
            </w:r>
          </w:p>
          <w:p w14:paraId="1C240C88">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■否，推荐的中标候选人数：</w:t>
            </w:r>
            <w:r>
              <w:rPr>
                <w:rFonts w:ascii="宋体" w:hAnsi="宋体" w:cs="宋体"/>
                <w:color w:val="auto"/>
                <w:szCs w:val="21"/>
                <w:highlight w:val="none"/>
                <w:u w:val="single"/>
              </w:rPr>
              <w:t>3</w:t>
            </w:r>
            <w:r>
              <w:rPr>
                <w:rFonts w:hint="eastAsia" w:ascii="宋体" w:hAnsi="宋体" w:cs="宋体"/>
                <w:color w:val="auto"/>
                <w:szCs w:val="21"/>
                <w:highlight w:val="none"/>
                <w:u w:val="single"/>
              </w:rPr>
              <w:t>人</w:t>
            </w:r>
          </w:p>
        </w:tc>
      </w:tr>
      <w:tr w14:paraId="193EB9E9">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shd w:val="clear" w:color="auto" w:fill="auto"/>
            <w:vAlign w:val="center"/>
          </w:tcPr>
          <w:p w14:paraId="5AC72090">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7.2.1</w:t>
            </w:r>
          </w:p>
        </w:tc>
        <w:tc>
          <w:tcPr>
            <w:tcW w:w="2369" w:type="dxa"/>
            <w:tcBorders>
              <w:top w:val="single" w:color="000000" w:sz="4" w:space="0"/>
              <w:left w:val="single" w:color="000000" w:sz="4" w:space="0"/>
              <w:right w:val="single" w:color="000000" w:sz="4" w:space="0"/>
            </w:tcBorders>
            <w:shd w:val="clear" w:color="auto" w:fill="auto"/>
            <w:vAlign w:val="center"/>
          </w:tcPr>
          <w:p w14:paraId="0814271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432" w:type="dxa"/>
            <w:tcBorders>
              <w:top w:val="single" w:color="000000" w:sz="4" w:space="0"/>
              <w:left w:val="single" w:color="000000" w:sz="4" w:space="0"/>
              <w:right w:val="single" w:color="000000" w:sz="4" w:space="0"/>
            </w:tcBorders>
            <w:shd w:val="clear" w:color="auto" w:fill="auto"/>
            <w:vAlign w:val="center"/>
          </w:tcPr>
          <w:p w14:paraId="2E420265">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广州公共资源交易中心网站、中国招标投标公共服务平台、广东省招标投标监管网</w:t>
            </w:r>
          </w:p>
        </w:tc>
      </w:tr>
      <w:tr w14:paraId="1AC0B161">
        <w:tblPrEx>
          <w:tblCellMar>
            <w:top w:w="0" w:type="dxa"/>
            <w:left w:w="108" w:type="dxa"/>
            <w:bottom w:w="0" w:type="dxa"/>
            <w:right w:w="108" w:type="dxa"/>
          </w:tblCellMar>
        </w:tblPrEx>
        <w:trPr>
          <w:trHeight w:val="2353"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B925">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7.4.1</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4D0">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履约担保</w:t>
            </w:r>
          </w:p>
        </w:tc>
        <w:tc>
          <w:tcPr>
            <w:tcW w:w="6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415B">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履约担保的形式：以合同约定为准。</w:t>
            </w:r>
          </w:p>
          <w:p w14:paraId="266A7C2A">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履约担保的金额：中标总价的</w:t>
            </w:r>
            <w:r>
              <w:rPr>
                <w:rFonts w:ascii="宋体" w:hAnsi="宋体" w:cs="宋体"/>
                <w:color w:val="auto"/>
                <w:szCs w:val="21"/>
                <w:highlight w:val="none"/>
              </w:rPr>
              <w:t>10%</w:t>
            </w:r>
            <w:r>
              <w:rPr>
                <w:rFonts w:hint="eastAsia" w:ascii="宋体" w:hAnsi="宋体" w:cs="宋体"/>
                <w:color w:val="auto"/>
                <w:szCs w:val="21"/>
                <w:highlight w:val="none"/>
              </w:rPr>
              <w:t>，具体以合同约定为准。</w:t>
            </w:r>
          </w:p>
          <w:p w14:paraId="5CAB3313">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担保期限从提供履约担保之日起至合同工程结算审定完成并移交工程档案后止。（履约担保到期但本项目未工程结算的，无论何种原因，投标人承诺无条件续保，如履约担保到期不提供续保则承担一般违约责任）</w:t>
            </w:r>
          </w:p>
        </w:tc>
      </w:tr>
      <w:tr w14:paraId="1C14E33A">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8A8">
            <w:pPr>
              <w:spacing w:line="360" w:lineRule="auto"/>
              <w:jc w:val="center"/>
              <w:rPr>
                <w:rFonts w:ascii="宋体" w:hAnsi="宋体" w:cs="宋体"/>
                <w:b/>
                <w:color w:val="auto"/>
                <w:kern w:val="1"/>
                <w:szCs w:val="21"/>
                <w:highlight w:val="none"/>
              </w:rPr>
            </w:pPr>
            <w:r>
              <w:rPr>
                <w:rFonts w:ascii="宋体" w:hAnsi="宋体" w:cs="宋体"/>
                <w:b/>
                <w:color w:val="auto"/>
                <w:kern w:val="1"/>
                <w:szCs w:val="21"/>
                <w:highlight w:val="none"/>
              </w:rPr>
              <w:t>9</w:t>
            </w:r>
          </w:p>
        </w:tc>
        <w:tc>
          <w:tcPr>
            <w:tcW w:w="8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7F8E2">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4014FB78">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AD4D">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9.1</w:t>
            </w:r>
          </w:p>
        </w:tc>
        <w:tc>
          <w:tcPr>
            <w:tcW w:w="8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6CB76">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建设工程质量检测单位：</w:t>
            </w:r>
          </w:p>
          <w:p w14:paraId="44B09693">
            <w:pPr>
              <w:spacing w:line="360" w:lineRule="auto"/>
              <w:rPr>
                <w:rFonts w:ascii="Times New Roman" w:hAnsi="Times New Roman" w:cs="Times New Roman"/>
                <w:color w:val="auto"/>
                <w:szCs w:val="21"/>
                <w:highlight w:val="none"/>
              </w:rPr>
            </w:pPr>
            <w:r>
              <w:rPr>
                <w:rFonts w:hint="eastAsia" w:ascii="宋体" w:hAnsi="宋体"/>
                <w:color w:val="auto"/>
                <w:highlight w:val="none"/>
              </w:rPr>
              <w:t>建设单位和中标人均不得委托近二年（从招标公告发布年度起逆推</w:t>
            </w:r>
            <w:r>
              <w:rPr>
                <w:rFonts w:ascii="宋体" w:hAnsi="宋体"/>
                <w:color w:val="auto"/>
                <w:highlight w:val="none"/>
              </w:rPr>
              <w:t>2</w:t>
            </w:r>
            <w:r>
              <w:rPr>
                <w:rFonts w:hint="eastAsia" w:ascii="宋体" w:hAnsi="宋体"/>
                <w:color w:val="auto"/>
                <w:highlight w:val="none"/>
              </w:rPr>
              <w:t>年的</w:t>
            </w:r>
            <w:r>
              <w:rPr>
                <w:rFonts w:ascii="宋体" w:hAnsi="宋体"/>
                <w:color w:val="auto"/>
                <w:highlight w:val="none"/>
              </w:rPr>
              <w:t>1</w:t>
            </w:r>
            <w:r>
              <w:rPr>
                <w:rFonts w:hint="eastAsia" w:ascii="宋体" w:hAnsi="宋体"/>
                <w:color w:val="auto"/>
                <w:highlight w:val="none"/>
              </w:rPr>
              <w:t>月</w:t>
            </w:r>
            <w:r>
              <w:rPr>
                <w:rFonts w:ascii="宋体" w:hAnsi="宋体"/>
                <w:color w:val="auto"/>
                <w:highlight w:val="none"/>
              </w:rPr>
              <w:t>1</w:t>
            </w:r>
            <w:r>
              <w:rPr>
                <w:rFonts w:hint="eastAsia" w:ascii="宋体" w:hAnsi="宋体"/>
                <w:color w:val="auto"/>
                <w:highlight w:val="none"/>
              </w:rPr>
              <w:t>日起至投标截止时间止）因伪造检测数据、出具虚假检测报告被各级建设行政主管部门或市场监督管理部门行政处罚或通报的检测单位负责本项目的检测工作。</w:t>
            </w:r>
          </w:p>
        </w:tc>
      </w:tr>
      <w:tr w14:paraId="573C8102">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D099">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9.2</w:t>
            </w:r>
          </w:p>
        </w:tc>
        <w:tc>
          <w:tcPr>
            <w:tcW w:w="8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05C49">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793A9E40">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9D67">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9.3</w:t>
            </w:r>
          </w:p>
        </w:tc>
        <w:tc>
          <w:tcPr>
            <w:tcW w:w="8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46656">
            <w:pPr>
              <w:spacing w:line="360" w:lineRule="auto"/>
              <w:rPr>
                <w:rFonts w:ascii="宋体" w:hAnsi="宋体" w:cs="宋体"/>
                <w:color w:val="auto"/>
                <w:szCs w:val="21"/>
                <w:highlight w:val="none"/>
              </w:rPr>
            </w:pPr>
            <w:r>
              <w:rPr>
                <w:rFonts w:hint="eastAsia" w:ascii="宋体" w:hAnsi="宋体" w:cs="宋体"/>
                <w:color w:val="auto"/>
                <w:szCs w:val="21"/>
                <w:highlight w:val="none"/>
              </w:rPr>
              <w:t>在招标和合同实施期间，招标人要求投标人和承包人遵守最高的道德标准。</w:t>
            </w:r>
          </w:p>
          <w:p w14:paraId="2439E935">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、对本条款的规定，特定义如下词汇：</w:t>
            </w:r>
          </w:p>
          <w:p w14:paraId="08B1EDB7">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）“腐败行为”是指在招标或合同执行期间，通过提供、给予、接受或索要任何有价值的东西，从而影响招标人有关人员工作的行为；</w:t>
            </w:r>
          </w:p>
          <w:p w14:paraId="6C01B200">
            <w:pPr>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709C273B">
            <w:pPr>
              <w:widowControl/>
              <w:spacing w:line="360" w:lineRule="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、如果投标人被认定在本招标的竞争中有腐败或欺诈行为，则会被取消投标资格。</w:t>
            </w:r>
          </w:p>
        </w:tc>
      </w:tr>
      <w:tr w14:paraId="6CB3E2C2">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DBCB">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9.4</w:t>
            </w:r>
          </w:p>
        </w:tc>
        <w:tc>
          <w:tcPr>
            <w:tcW w:w="8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683BE">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承包方式：包勘察、设计</w:t>
            </w:r>
            <w:r>
              <w:rPr>
                <w:rFonts w:ascii="宋体" w:hAnsi="宋体" w:cs="宋体"/>
                <w:color w:val="auto"/>
                <w:kern w:val="1"/>
                <w:szCs w:val="21"/>
                <w:highlight w:val="none"/>
              </w:rPr>
              <w:t>(</w:t>
            </w:r>
            <w:r>
              <w:rPr>
                <w:rFonts w:hint="eastAsia" w:ascii="宋体" w:hAnsi="宋体" w:cs="宋体"/>
                <w:color w:val="auto"/>
                <w:kern w:val="1"/>
                <w:szCs w:val="21"/>
                <w:highlight w:val="none"/>
              </w:rPr>
              <w:t>含深化设计</w:t>
            </w:r>
            <w:r>
              <w:rPr>
                <w:rFonts w:ascii="宋体" w:hAnsi="宋体" w:cs="宋体"/>
                <w:color w:val="auto"/>
                <w:kern w:val="1"/>
                <w:szCs w:val="21"/>
                <w:highlight w:val="none"/>
              </w:rPr>
              <w:t>)</w:t>
            </w:r>
            <w:r>
              <w:rPr>
                <w:rFonts w:hint="eastAsia" w:ascii="宋体" w:hAnsi="宋体" w:cs="宋体"/>
                <w:color w:val="auto"/>
                <w:kern w:val="1"/>
                <w:szCs w:val="21"/>
                <w:highlight w:val="none"/>
              </w:rPr>
              <w:t>、包工程施工、包工、包料、包设备、包工期、包质量、包造价控制、包安全、包文明施工、包验收通过、包保修、包工程概、预算编制、包变更预算及结算编制、包项目协调管理、包验收移交、包竣工资料收集整理、包保修。</w:t>
            </w:r>
          </w:p>
          <w:p w14:paraId="5191F379">
            <w:pPr>
              <w:widowControl/>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结算方式具体按合同条款规定。</w:t>
            </w:r>
          </w:p>
          <w:p w14:paraId="6BCAF909">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项目在施工阶段，因工程实施环境变化等任何因素引起的设计和施工调整、设计和施工最终造价不得超过最高投标限价。</w:t>
            </w:r>
          </w:p>
          <w:p w14:paraId="10E1C4EB">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本工程实行全过程限额设计施工，限额投资。工程变更需经过建设单位审定后方可实施。</w:t>
            </w:r>
          </w:p>
        </w:tc>
      </w:tr>
      <w:tr w14:paraId="7A2999F2">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4B23">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9.5</w:t>
            </w:r>
          </w:p>
        </w:tc>
        <w:tc>
          <w:tcPr>
            <w:tcW w:w="8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1767E">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01897059">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32F">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9.6</w:t>
            </w:r>
          </w:p>
        </w:tc>
        <w:tc>
          <w:tcPr>
            <w:tcW w:w="8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B0BFB">
            <w:pPr>
              <w:pStyle w:val="62"/>
              <w:tabs>
                <w:tab w:val="left" w:pos="0"/>
              </w:tabs>
              <w:spacing w:line="360" w:lineRule="auto"/>
              <w:ind w:firstLine="0" w:firstLineChars="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、中标人需按照粤建管</w:t>
            </w:r>
            <w:r>
              <w:rPr>
                <w:rFonts w:ascii="宋体" w:hAnsi="宋体" w:cs="宋体"/>
                <w:color w:val="auto"/>
                <w:szCs w:val="21"/>
                <w:highlight w:val="none"/>
              </w:rPr>
              <w:t>[2007]39</w:t>
            </w:r>
            <w:r>
              <w:rPr>
                <w:rFonts w:hint="eastAsia" w:ascii="宋体" w:hAnsi="宋体" w:cs="宋体"/>
                <w:color w:val="auto"/>
                <w:szCs w:val="21"/>
                <w:highlight w:val="none"/>
              </w:rPr>
              <w:t>号文的规定、广州市建委穗建筑</w:t>
            </w:r>
            <w:r>
              <w:rPr>
                <w:rFonts w:ascii="宋体" w:hAnsi="宋体" w:cs="宋体"/>
                <w:color w:val="auto"/>
                <w:szCs w:val="21"/>
                <w:highlight w:val="none"/>
              </w:rPr>
              <w:t>[1999]175</w:t>
            </w:r>
            <w:r>
              <w:rPr>
                <w:rFonts w:hint="eastAsia" w:ascii="宋体" w:hAnsi="宋体" w:cs="宋体"/>
                <w:color w:val="auto"/>
                <w:szCs w:val="21"/>
                <w:highlight w:val="none"/>
              </w:rPr>
              <w:t>号文及《建筑施工安全检查标准》（</w:t>
            </w:r>
            <w:r>
              <w:rPr>
                <w:rFonts w:ascii="宋体" w:hAnsi="宋体" w:cs="宋体"/>
                <w:color w:val="auto"/>
                <w:szCs w:val="21"/>
                <w:highlight w:val="none"/>
              </w:rPr>
              <w:t>JGJ59-2011</w:t>
            </w:r>
            <w:r>
              <w:rPr>
                <w:rFonts w:hint="eastAsia" w:ascii="宋体" w:hAnsi="宋体" w:cs="宋体"/>
                <w:color w:val="auto"/>
                <w:szCs w:val="21"/>
                <w:highlight w:val="none"/>
              </w:rPr>
              <w:t>）、穗建质函</w:t>
            </w:r>
            <w:r>
              <w:rPr>
                <w:rFonts w:ascii="宋体" w:hAnsi="宋体" w:cs="宋体"/>
                <w:color w:val="auto"/>
                <w:szCs w:val="21"/>
                <w:highlight w:val="none"/>
              </w:rPr>
              <w:t>[2014]3205</w:t>
            </w:r>
            <w:r>
              <w:rPr>
                <w:rFonts w:hint="eastAsia" w:ascii="宋体" w:hAnsi="宋体" w:cs="宋体"/>
                <w:color w:val="auto"/>
                <w:szCs w:val="21"/>
                <w:highlight w:val="none"/>
              </w:rPr>
              <w:t>号文的有关规定做好安全文明施工各项工作，否则由招标人另行委托队伍施工，其费用由中标人自行负责。（注：前述文件有更新的，按最新的发文规定执行。）</w:t>
            </w:r>
          </w:p>
          <w:p w14:paraId="387BBE3A">
            <w:pPr>
              <w:pStyle w:val="62"/>
              <w:tabs>
                <w:tab w:val="left" w:pos="0"/>
              </w:tabs>
              <w:spacing w:line="360" w:lineRule="auto"/>
              <w:ind w:firstLine="0" w:firstLineChars="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中标人（联合体投标的由联合体牵头方提供）必须根据招标文件规定的时间要求及时出具履约担保，如中标人无法及时提供履约担保的，视为自动放弃中标资格并停止参加招标人的招标投标活动十二个月。招标人可以按照评标委员会提出的中标候选人名单排序依次确定其他中标候选人为中标人</w:t>
            </w:r>
            <w:r>
              <w:rPr>
                <w:rFonts w:ascii="宋体" w:hAnsi="宋体" w:cs="宋体"/>
                <w:color w:val="auto"/>
                <w:szCs w:val="21"/>
                <w:highlight w:val="none"/>
              </w:rPr>
              <w:t>,</w:t>
            </w:r>
            <w:r>
              <w:rPr>
                <w:rFonts w:hint="eastAsia" w:ascii="宋体" w:hAnsi="宋体" w:cs="宋体"/>
                <w:color w:val="auto"/>
                <w:szCs w:val="21"/>
                <w:highlight w:val="none"/>
              </w:rPr>
              <w:t>也可以重新招标。</w:t>
            </w:r>
          </w:p>
          <w:p w14:paraId="27D9D853">
            <w:pPr>
              <w:spacing w:line="360" w:lineRule="auto"/>
              <w:rPr>
                <w:rFonts w:ascii="宋体" w:hAnsi="宋体" w:cs="宋体"/>
                <w:b/>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、投标人如在本项目中存在串通投标、弄虚作假骗取中标、行贿情形的，中标无效，该投标人将被招标人列入黑名单并限制其投标。行政监督部门将对其违法行为进行行政处罚并通报。</w:t>
            </w:r>
          </w:p>
        </w:tc>
      </w:tr>
      <w:tr w14:paraId="73C867C1">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ABCC">
            <w:pPr>
              <w:widowControl/>
              <w:spacing w:line="360" w:lineRule="auto"/>
              <w:jc w:val="center"/>
              <w:rPr>
                <w:rFonts w:ascii="宋体" w:hAnsi="宋体" w:cs="宋体"/>
                <w:color w:val="auto"/>
                <w:szCs w:val="21"/>
                <w:highlight w:val="none"/>
              </w:rPr>
            </w:pPr>
            <w:r>
              <w:rPr>
                <w:rFonts w:ascii="宋体" w:hAnsi="宋体" w:cs="宋体"/>
                <w:color w:val="auto"/>
                <w:szCs w:val="21"/>
                <w:highlight w:val="none"/>
              </w:rPr>
              <w:t>9.7</w:t>
            </w:r>
          </w:p>
        </w:tc>
        <w:tc>
          <w:tcPr>
            <w:tcW w:w="8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75B05">
            <w:pPr>
              <w:spacing w:line="360" w:lineRule="exac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根据《广东省政府采购促进中小企业发展实施细则</w:t>
            </w:r>
            <w:r>
              <w:rPr>
                <w:rFonts w:ascii="宋体" w:hAnsi="宋体"/>
                <w:color w:val="auto"/>
                <w:szCs w:val="21"/>
                <w:highlight w:val="none"/>
              </w:rPr>
              <w:t>(</w:t>
            </w:r>
            <w:r>
              <w:rPr>
                <w:rFonts w:hint="eastAsia" w:ascii="宋体" w:hAnsi="宋体"/>
                <w:color w:val="auto"/>
                <w:szCs w:val="21"/>
                <w:highlight w:val="none"/>
              </w:rPr>
              <w:t>试行</w:t>
            </w:r>
            <w:r>
              <w:rPr>
                <w:rFonts w:ascii="宋体" w:hAnsi="宋体"/>
                <w:color w:val="auto"/>
                <w:szCs w:val="21"/>
                <w:highlight w:val="none"/>
              </w:rPr>
              <w:t>)</w:t>
            </w:r>
            <w:r>
              <w:rPr>
                <w:rFonts w:hint="eastAsia" w:ascii="宋体" w:hAnsi="宋体"/>
                <w:color w:val="auto"/>
                <w:szCs w:val="21"/>
                <w:highlight w:val="none"/>
              </w:rPr>
              <w:t>》要求，对符合《政府采购促进中小企业发展管理办法》的投标人，给予相应的价格评审优惠。</w:t>
            </w:r>
          </w:p>
          <w:p w14:paraId="5F4C1E82">
            <w:pPr>
              <w:spacing w:line="36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本招标项目评标计算价格分时，对小微企业投标的，在采用原报价进行评分的基础上增加其价格得分的</w:t>
            </w:r>
            <w:r>
              <w:rPr>
                <w:rFonts w:ascii="宋体" w:hAnsi="宋体"/>
                <w:color w:val="auto"/>
                <w:szCs w:val="21"/>
                <w:highlight w:val="none"/>
              </w:rPr>
              <w:t>5%</w:t>
            </w:r>
            <w:r>
              <w:rPr>
                <w:rFonts w:hint="eastAsia" w:ascii="宋体" w:hAnsi="宋体"/>
                <w:color w:val="auto"/>
                <w:szCs w:val="21"/>
                <w:highlight w:val="none"/>
              </w:rPr>
              <w:t>作为其价格分</w:t>
            </w:r>
            <w:r>
              <w:rPr>
                <w:rFonts w:ascii="宋体" w:hAnsi="宋体"/>
                <w:color w:val="auto"/>
                <w:szCs w:val="21"/>
                <w:highlight w:val="none"/>
              </w:rPr>
              <w:t>:</w:t>
            </w:r>
            <w:r>
              <w:rPr>
                <w:rFonts w:hint="eastAsia" w:ascii="宋体" w:hAnsi="宋体"/>
                <w:color w:val="auto"/>
                <w:szCs w:val="21"/>
                <w:highlight w:val="none"/>
              </w:rPr>
              <w:t>对大中型企业与小微企业组成联合体或者允许大中型企业向一家或者多家小微企业分包</w:t>
            </w:r>
            <w:r>
              <w:rPr>
                <w:rFonts w:ascii="宋体" w:hAnsi="宋体"/>
                <w:color w:val="auto"/>
                <w:szCs w:val="21"/>
                <w:highlight w:val="none"/>
              </w:rPr>
              <w:t>(</w:t>
            </w:r>
            <w:r>
              <w:rPr>
                <w:rFonts w:hint="eastAsia" w:ascii="宋体" w:hAnsi="宋体"/>
                <w:color w:val="auto"/>
                <w:szCs w:val="21"/>
                <w:highlight w:val="none"/>
              </w:rPr>
              <w:t>联合协议或者分包意向协议</w:t>
            </w:r>
            <w:r>
              <w:rPr>
                <w:rFonts w:ascii="宋体" w:hAnsi="宋体"/>
                <w:color w:val="auto"/>
                <w:szCs w:val="21"/>
                <w:highlight w:val="none"/>
              </w:rPr>
              <w:t>(</w:t>
            </w:r>
            <w:r>
              <w:rPr>
                <w:rFonts w:hint="eastAsia" w:ascii="宋体" w:hAnsi="宋体"/>
                <w:color w:val="auto"/>
                <w:szCs w:val="21"/>
                <w:highlight w:val="none"/>
              </w:rPr>
              <w:t>格式详见第七章投标文件格式</w:t>
            </w:r>
            <w:r>
              <w:rPr>
                <w:rFonts w:ascii="宋体" w:hAnsi="宋体"/>
                <w:color w:val="auto"/>
                <w:szCs w:val="21"/>
                <w:highlight w:val="none"/>
              </w:rPr>
              <w:t>)</w:t>
            </w:r>
            <w:r>
              <w:rPr>
                <w:rFonts w:hint="eastAsia" w:ascii="宋体" w:hAnsi="宋体"/>
                <w:color w:val="auto"/>
                <w:szCs w:val="21"/>
                <w:highlight w:val="none"/>
              </w:rPr>
              <w:t>约定小微企业的合同份额占到合同总金额</w:t>
            </w:r>
            <w:r>
              <w:rPr>
                <w:rFonts w:ascii="宋体" w:hAnsi="宋体"/>
                <w:color w:val="auto"/>
                <w:szCs w:val="21"/>
                <w:highlight w:val="none"/>
              </w:rPr>
              <w:t>30%</w:t>
            </w:r>
            <w:r>
              <w:rPr>
                <w:rFonts w:hint="eastAsia" w:ascii="宋体" w:hAnsi="宋体"/>
                <w:color w:val="auto"/>
                <w:szCs w:val="21"/>
                <w:highlight w:val="none"/>
              </w:rPr>
              <w:t>以上</w:t>
            </w:r>
            <w:r>
              <w:rPr>
                <w:rFonts w:ascii="宋体" w:hAnsi="宋体"/>
                <w:color w:val="auto"/>
                <w:szCs w:val="21"/>
                <w:highlight w:val="none"/>
              </w:rPr>
              <w:t>)</w:t>
            </w:r>
            <w:r>
              <w:rPr>
                <w:rFonts w:hint="eastAsia" w:ascii="宋体" w:hAnsi="宋体"/>
                <w:color w:val="auto"/>
                <w:szCs w:val="21"/>
                <w:highlight w:val="none"/>
              </w:rPr>
              <w:t>的，在采用原报价进行评分的基础上增加其价格得分的</w:t>
            </w:r>
            <w:r>
              <w:rPr>
                <w:rFonts w:ascii="宋体" w:hAnsi="宋体"/>
                <w:color w:val="auto"/>
                <w:szCs w:val="21"/>
                <w:highlight w:val="none"/>
              </w:rPr>
              <w:t>2%</w:t>
            </w:r>
            <w:r>
              <w:rPr>
                <w:rFonts w:hint="eastAsia" w:ascii="宋体" w:hAnsi="宋体"/>
                <w:color w:val="auto"/>
                <w:szCs w:val="21"/>
                <w:highlight w:val="none"/>
              </w:rPr>
              <w:t>作为其价格分。若原报价己满分，仍可突破满分上限继续享受加分优惠，以实际计算结果作为最终价格分。</w:t>
            </w:r>
          </w:p>
          <w:p w14:paraId="33F56ED9">
            <w:pPr>
              <w:spacing w:line="36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投标人应按《政府采购促进中小企业发展管理办法》规定出具《中小企业声明函》</w:t>
            </w:r>
            <w:r>
              <w:rPr>
                <w:rFonts w:ascii="宋体" w:hAnsi="宋体"/>
                <w:color w:val="auto"/>
                <w:szCs w:val="21"/>
                <w:highlight w:val="none"/>
              </w:rPr>
              <w:t>(</w:t>
            </w:r>
            <w:r>
              <w:rPr>
                <w:rFonts w:hint="eastAsia" w:ascii="宋体" w:hAnsi="宋体"/>
                <w:color w:val="auto"/>
                <w:szCs w:val="21"/>
                <w:highlight w:val="none"/>
              </w:rPr>
              <w:t>格式详见第七章投标文件格式</w:t>
            </w:r>
            <w:r>
              <w:rPr>
                <w:rFonts w:ascii="宋体" w:hAnsi="宋体"/>
                <w:color w:val="auto"/>
                <w:szCs w:val="21"/>
                <w:highlight w:val="none"/>
              </w:rPr>
              <w:t>)</w:t>
            </w:r>
            <w:r>
              <w:rPr>
                <w:rFonts w:hint="eastAsia" w:ascii="宋体" w:hAnsi="宋体"/>
                <w:color w:val="auto"/>
                <w:szCs w:val="21"/>
                <w:highlight w:val="none"/>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w:t>
            </w:r>
            <w:r>
              <w:rPr>
                <w:rFonts w:ascii="宋体" w:hAnsi="宋体"/>
                <w:color w:val="auto"/>
                <w:szCs w:val="21"/>
                <w:highlight w:val="none"/>
              </w:rPr>
              <w:t>;</w:t>
            </w:r>
            <w:r>
              <w:rPr>
                <w:rFonts w:hint="eastAsia" w:ascii="宋体" w:hAnsi="宋体"/>
                <w:color w:val="auto"/>
                <w:szCs w:val="21"/>
                <w:highlight w:val="none"/>
              </w:rPr>
              <w:t>从业人数可以社会保险参保人数为准</w:t>
            </w:r>
            <w:r>
              <w:rPr>
                <w:rFonts w:ascii="宋体" w:hAnsi="宋体"/>
                <w:color w:val="auto"/>
                <w:szCs w:val="21"/>
                <w:highlight w:val="none"/>
              </w:rPr>
              <w:t>;</w:t>
            </w:r>
            <w:r>
              <w:rPr>
                <w:rFonts w:hint="eastAsia" w:ascii="宋体" w:hAnsi="宋体"/>
                <w:color w:val="auto"/>
                <w:szCs w:val="21"/>
                <w:highlight w:val="none"/>
              </w:rPr>
              <w:t>营业收入、资产总额可以第三方出具的报告为准。</w:t>
            </w:r>
          </w:p>
          <w:p w14:paraId="691675CC">
            <w:pPr>
              <w:spacing w:line="360" w:lineRule="exac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小微企业划分标准按照《工业和信息化部</w:t>
            </w:r>
            <w:r>
              <w:rPr>
                <w:rFonts w:ascii="宋体" w:hAnsi="宋体"/>
                <w:color w:val="auto"/>
                <w:szCs w:val="21"/>
                <w:highlight w:val="none"/>
              </w:rPr>
              <w:t xml:space="preserve"> </w:t>
            </w:r>
            <w:r>
              <w:rPr>
                <w:rFonts w:hint="eastAsia" w:ascii="宋体" w:hAnsi="宋体"/>
                <w:color w:val="auto"/>
                <w:szCs w:val="21"/>
                <w:highlight w:val="none"/>
              </w:rPr>
              <w:t>国家统计局</w:t>
            </w:r>
            <w:r>
              <w:rPr>
                <w:rFonts w:ascii="宋体" w:hAnsi="宋体"/>
                <w:color w:val="auto"/>
                <w:szCs w:val="21"/>
                <w:highlight w:val="none"/>
              </w:rPr>
              <w:t xml:space="preserve"> </w:t>
            </w:r>
            <w:r>
              <w:rPr>
                <w:rFonts w:hint="eastAsia" w:ascii="宋体" w:hAnsi="宋体"/>
                <w:color w:val="auto"/>
                <w:szCs w:val="21"/>
                <w:highlight w:val="none"/>
              </w:rPr>
              <w:t>国家发展和改革委员会</w:t>
            </w:r>
            <w:r>
              <w:rPr>
                <w:rFonts w:ascii="宋体" w:hAnsi="宋体"/>
                <w:color w:val="auto"/>
                <w:szCs w:val="21"/>
                <w:highlight w:val="none"/>
              </w:rPr>
              <w:t xml:space="preserve"> </w:t>
            </w:r>
            <w:r>
              <w:rPr>
                <w:rFonts w:hint="eastAsia" w:ascii="宋体" w:hAnsi="宋体"/>
                <w:color w:val="auto"/>
                <w:szCs w:val="21"/>
                <w:highlight w:val="none"/>
              </w:rPr>
              <w:t>财政部关于印发中小企业划型标准规定的通知》</w:t>
            </w:r>
            <w:r>
              <w:rPr>
                <w:rFonts w:ascii="宋体" w:hAnsi="宋体"/>
                <w:color w:val="auto"/>
                <w:szCs w:val="21"/>
                <w:highlight w:val="none"/>
              </w:rPr>
              <w:t>(</w:t>
            </w:r>
            <w:r>
              <w:rPr>
                <w:rFonts w:hint="eastAsia" w:ascii="宋体" w:hAnsi="宋体"/>
                <w:color w:val="auto"/>
                <w:szCs w:val="21"/>
                <w:highlight w:val="none"/>
              </w:rPr>
              <w:t>工信部联企业</w:t>
            </w:r>
            <w:r>
              <w:rPr>
                <w:rFonts w:ascii="宋体" w:hAnsi="宋体"/>
                <w:color w:val="auto"/>
                <w:szCs w:val="21"/>
                <w:highlight w:val="none"/>
              </w:rPr>
              <w:t>(2011)300</w:t>
            </w:r>
            <w:r>
              <w:rPr>
                <w:rFonts w:hint="eastAsia" w:ascii="宋体" w:hAnsi="宋体"/>
                <w:color w:val="auto"/>
                <w:szCs w:val="21"/>
                <w:highlight w:val="none"/>
              </w:rPr>
              <w:t>号</w:t>
            </w:r>
            <w:r>
              <w:rPr>
                <w:rFonts w:ascii="宋体" w:hAnsi="宋体"/>
                <w:color w:val="auto"/>
                <w:szCs w:val="21"/>
                <w:highlight w:val="none"/>
              </w:rPr>
              <w:t>)</w:t>
            </w:r>
            <w:r>
              <w:rPr>
                <w:rFonts w:hint="eastAsia" w:ascii="宋体" w:hAnsi="宋体"/>
                <w:color w:val="auto"/>
                <w:szCs w:val="21"/>
                <w:highlight w:val="none"/>
              </w:rPr>
              <w:t>执行。本项目施工部分属于</w:t>
            </w:r>
            <w:r>
              <w:rPr>
                <w:rFonts w:hint="eastAsia" w:ascii="宋体" w:hAnsi="宋体"/>
                <w:b/>
                <w:bCs/>
                <w:color w:val="auto"/>
                <w:szCs w:val="21"/>
                <w:highlight w:val="none"/>
                <w:u w:val="single"/>
              </w:rPr>
              <w:t>建筑业</w:t>
            </w:r>
            <w:r>
              <w:rPr>
                <w:rFonts w:hint="eastAsia" w:ascii="宋体" w:hAnsi="宋体"/>
                <w:color w:val="auto"/>
                <w:szCs w:val="21"/>
                <w:highlight w:val="none"/>
              </w:rPr>
              <w:t>，营业收入</w:t>
            </w:r>
            <w:r>
              <w:rPr>
                <w:rFonts w:ascii="宋体" w:hAnsi="宋体"/>
                <w:color w:val="auto"/>
                <w:szCs w:val="21"/>
                <w:highlight w:val="none"/>
              </w:rPr>
              <w:t xml:space="preserve"> 80000 </w:t>
            </w:r>
            <w:r>
              <w:rPr>
                <w:rFonts w:hint="eastAsia" w:ascii="宋体" w:hAnsi="宋体"/>
                <w:color w:val="auto"/>
                <w:szCs w:val="21"/>
                <w:highlight w:val="none"/>
              </w:rPr>
              <w:t>万元以下或资产总额</w:t>
            </w:r>
            <w:r>
              <w:rPr>
                <w:rFonts w:ascii="宋体" w:hAnsi="宋体"/>
                <w:color w:val="auto"/>
                <w:szCs w:val="21"/>
                <w:highlight w:val="none"/>
              </w:rPr>
              <w:t xml:space="preserve"> 80000 </w:t>
            </w:r>
            <w:r>
              <w:rPr>
                <w:rFonts w:hint="eastAsia" w:ascii="宋体" w:hAnsi="宋体"/>
                <w:color w:val="auto"/>
                <w:szCs w:val="21"/>
                <w:highlight w:val="none"/>
              </w:rPr>
              <w:t>万元以下的为中小微型企业。其中，营业收入</w:t>
            </w:r>
            <w:r>
              <w:rPr>
                <w:rFonts w:ascii="宋体" w:hAnsi="宋体"/>
                <w:color w:val="auto"/>
                <w:szCs w:val="21"/>
                <w:highlight w:val="none"/>
              </w:rPr>
              <w:t xml:space="preserve"> 6000 </w:t>
            </w:r>
            <w:r>
              <w:rPr>
                <w:rFonts w:hint="eastAsia" w:ascii="宋体" w:hAnsi="宋体"/>
                <w:color w:val="auto"/>
                <w:szCs w:val="21"/>
                <w:highlight w:val="none"/>
              </w:rPr>
              <w:t>万元及以上，且资产总额</w:t>
            </w:r>
            <w:r>
              <w:rPr>
                <w:rFonts w:ascii="宋体" w:hAnsi="宋体"/>
                <w:color w:val="auto"/>
                <w:szCs w:val="21"/>
                <w:highlight w:val="none"/>
              </w:rPr>
              <w:t xml:space="preserve">5000 </w:t>
            </w:r>
            <w:r>
              <w:rPr>
                <w:rFonts w:hint="eastAsia" w:ascii="宋体" w:hAnsi="宋体"/>
                <w:color w:val="auto"/>
                <w:szCs w:val="21"/>
                <w:highlight w:val="none"/>
              </w:rPr>
              <w:t>万元及以上的为中型企业</w:t>
            </w:r>
            <w:r>
              <w:rPr>
                <w:rFonts w:ascii="宋体" w:hAnsi="宋体"/>
                <w:color w:val="auto"/>
                <w:szCs w:val="21"/>
                <w:highlight w:val="none"/>
              </w:rPr>
              <w:t>;</w:t>
            </w:r>
            <w:r>
              <w:rPr>
                <w:rFonts w:hint="eastAsia" w:ascii="宋体" w:hAnsi="宋体"/>
                <w:color w:val="auto"/>
                <w:szCs w:val="21"/>
                <w:highlight w:val="none"/>
              </w:rPr>
              <w:t>营业收入</w:t>
            </w:r>
            <w:r>
              <w:rPr>
                <w:rFonts w:ascii="宋体" w:hAnsi="宋体"/>
                <w:color w:val="auto"/>
                <w:szCs w:val="21"/>
                <w:highlight w:val="none"/>
              </w:rPr>
              <w:t>300</w:t>
            </w:r>
            <w:r>
              <w:rPr>
                <w:rFonts w:hint="eastAsia" w:ascii="宋体" w:hAnsi="宋体"/>
                <w:color w:val="auto"/>
                <w:szCs w:val="21"/>
                <w:highlight w:val="none"/>
              </w:rPr>
              <w:t>万元及以上，且资产总额</w:t>
            </w:r>
            <w:r>
              <w:rPr>
                <w:rFonts w:ascii="宋体" w:hAnsi="宋体"/>
                <w:color w:val="auto"/>
                <w:szCs w:val="21"/>
                <w:highlight w:val="none"/>
              </w:rPr>
              <w:t xml:space="preserve"> 300 </w:t>
            </w:r>
            <w:r>
              <w:rPr>
                <w:rFonts w:hint="eastAsia" w:ascii="宋体" w:hAnsi="宋体"/>
                <w:color w:val="auto"/>
                <w:szCs w:val="21"/>
                <w:highlight w:val="none"/>
              </w:rPr>
              <w:t>万元及以上的为小型企业</w:t>
            </w:r>
            <w:r>
              <w:rPr>
                <w:rFonts w:ascii="宋体" w:hAnsi="宋体"/>
                <w:color w:val="auto"/>
                <w:szCs w:val="21"/>
                <w:highlight w:val="none"/>
              </w:rPr>
              <w:t>:</w:t>
            </w:r>
            <w:r>
              <w:rPr>
                <w:rFonts w:hint="eastAsia" w:ascii="宋体" w:hAnsi="宋体"/>
                <w:color w:val="auto"/>
                <w:szCs w:val="21"/>
                <w:highlight w:val="none"/>
              </w:rPr>
              <w:t>营业收入</w:t>
            </w:r>
            <w:r>
              <w:rPr>
                <w:rFonts w:ascii="宋体" w:hAnsi="宋体"/>
                <w:color w:val="auto"/>
                <w:szCs w:val="21"/>
                <w:highlight w:val="none"/>
              </w:rPr>
              <w:t xml:space="preserve"> 300 </w:t>
            </w:r>
            <w:r>
              <w:rPr>
                <w:rFonts w:hint="eastAsia" w:ascii="宋体" w:hAnsi="宋体"/>
                <w:color w:val="auto"/>
                <w:szCs w:val="21"/>
                <w:highlight w:val="none"/>
              </w:rPr>
              <w:t>万元以下或资产总额</w:t>
            </w:r>
            <w:r>
              <w:rPr>
                <w:rFonts w:ascii="宋体" w:hAnsi="宋体"/>
                <w:color w:val="auto"/>
                <w:szCs w:val="21"/>
                <w:highlight w:val="none"/>
              </w:rPr>
              <w:t xml:space="preserve"> 300 </w:t>
            </w:r>
            <w:r>
              <w:rPr>
                <w:rFonts w:hint="eastAsia" w:ascii="宋体" w:hAnsi="宋体"/>
                <w:color w:val="auto"/>
                <w:szCs w:val="21"/>
                <w:highlight w:val="none"/>
              </w:rPr>
              <w:t>万元以下的为微型企业。本项目勘察和设计部分属于</w:t>
            </w:r>
            <w:r>
              <w:rPr>
                <w:rFonts w:hint="eastAsia" w:ascii="宋体" w:hAnsi="宋体"/>
                <w:b/>
                <w:bCs/>
                <w:color w:val="auto"/>
                <w:szCs w:val="21"/>
                <w:highlight w:val="none"/>
                <w:u w:val="single"/>
              </w:rPr>
              <w:t>其他未列明行业</w:t>
            </w:r>
            <w:r>
              <w:rPr>
                <w:rFonts w:hint="eastAsia" w:ascii="宋体" w:hAnsi="宋体"/>
                <w:color w:val="auto"/>
                <w:szCs w:val="21"/>
                <w:highlight w:val="none"/>
              </w:rPr>
              <w:t>，从业人员</w:t>
            </w:r>
            <w:r>
              <w:rPr>
                <w:rFonts w:ascii="宋体" w:hAnsi="宋体"/>
                <w:color w:val="auto"/>
                <w:szCs w:val="21"/>
                <w:highlight w:val="none"/>
              </w:rPr>
              <w:t>300</w:t>
            </w:r>
            <w:r>
              <w:rPr>
                <w:rFonts w:hint="eastAsia" w:ascii="宋体" w:hAnsi="宋体"/>
                <w:color w:val="auto"/>
                <w:szCs w:val="21"/>
                <w:highlight w:val="none"/>
              </w:rPr>
              <w:t>人以下的为中小微型企业。其中，从业人员</w:t>
            </w:r>
            <w:r>
              <w:rPr>
                <w:rFonts w:ascii="宋体" w:hAnsi="宋体"/>
                <w:color w:val="auto"/>
                <w:szCs w:val="21"/>
                <w:highlight w:val="none"/>
              </w:rPr>
              <w:t>100</w:t>
            </w:r>
            <w:r>
              <w:rPr>
                <w:rFonts w:hint="eastAsia" w:ascii="宋体" w:hAnsi="宋体"/>
                <w:color w:val="auto"/>
                <w:szCs w:val="21"/>
                <w:highlight w:val="none"/>
              </w:rPr>
              <w:t>人及以上的为中型企业</w:t>
            </w:r>
            <w:r>
              <w:rPr>
                <w:rFonts w:ascii="宋体" w:hAnsi="宋体"/>
                <w:color w:val="auto"/>
                <w:szCs w:val="21"/>
                <w:highlight w:val="none"/>
              </w:rPr>
              <w:t>;</w:t>
            </w:r>
            <w:r>
              <w:rPr>
                <w:rFonts w:hint="eastAsia" w:ascii="宋体" w:hAnsi="宋体"/>
                <w:color w:val="auto"/>
                <w:szCs w:val="21"/>
                <w:highlight w:val="none"/>
              </w:rPr>
              <w:t>从业人员</w:t>
            </w:r>
            <w:r>
              <w:rPr>
                <w:rFonts w:ascii="宋体" w:hAnsi="宋体"/>
                <w:color w:val="auto"/>
                <w:szCs w:val="21"/>
                <w:highlight w:val="none"/>
              </w:rPr>
              <w:t>10</w:t>
            </w:r>
            <w:r>
              <w:rPr>
                <w:rFonts w:hint="eastAsia" w:ascii="宋体" w:hAnsi="宋体"/>
                <w:color w:val="auto"/>
                <w:szCs w:val="21"/>
                <w:highlight w:val="none"/>
              </w:rPr>
              <w:t>人及以上的为小型企业</w:t>
            </w:r>
            <w:r>
              <w:rPr>
                <w:rFonts w:ascii="宋体" w:hAnsi="宋体"/>
                <w:color w:val="auto"/>
                <w:szCs w:val="21"/>
                <w:highlight w:val="none"/>
              </w:rPr>
              <w:t>;</w:t>
            </w:r>
            <w:r>
              <w:rPr>
                <w:rFonts w:hint="eastAsia" w:ascii="宋体" w:hAnsi="宋体"/>
                <w:color w:val="auto"/>
                <w:szCs w:val="21"/>
                <w:highlight w:val="none"/>
              </w:rPr>
              <w:t>从业人员</w:t>
            </w:r>
            <w:r>
              <w:rPr>
                <w:rFonts w:ascii="宋体" w:hAnsi="宋体"/>
                <w:color w:val="auto"/>
                <w:szCs w:val="21"/>
                <w:highlight w:val="none"/>
              </w:rPr>
              <w:t>10</w:t>
            </w:r>
            <w:r>
              <w:rPr>
                <w:rFonts w:hint="eastAsia" w:ascii="宋体" w:hAnsi="宋体"/>
                <w:color w:val="auto"/>
                <w:szCs w:val="21"/>
                <w:highlight w:val="none"/>
              </w:rPr>
              <w:t>人以下的为微型企业。</w:t>
            </w:r>
          </w:p>
          <w:p w14:paraId="05B16BAE">
            <w:pPr>
              <w:spacing w:line="36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5F7E9AD8">
            <w:pPr>
              <w:spacing w:line="360" w:lineRule="exac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组成联合体或者接受分包合同的小微企业与联合体内其他企业、分包企业之间存在直接控股、管理关系的，不享受价格评分优惠。</w:t>
            </w:r>
          </w:p>
          <w:p w14:paraId="260F5117">
            <w:pPr>
              <w:spacing w:line="360" w:lineRule="exac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公示期间如有异议、投诉的，被异议、投诉单位需提供注册登记所在地的县级以上人民政府中小企业主管部门认定函。</w:t>
            </w:r>
          </w:p>
          <w:p w14:paraId="307E7F2C">
            <w:pPr>
              <w:spacing w:line="36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）规定享受扶持政策获得承包合同的，小微企业不得将合同分包给大中型企业，中型企业不得将合同分包给大型企业。</w:t>
            </w:r>
          </w:p>
          <w:p w14:paraId="613BAEC6">
            <w:pPr>
              <w:spacing w:line="360" w:lineRule="exact"/>
              <w:rPr>
                <w:color w:val="auto"/>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）根据《财政部</w:t>
            </w:r>
            <w:r>
              <w:rPr>
                <w:rFonts w:ascii="宋体" w:hAnsi="宋体"/>
                <w:color w:val="auto"/>
                <w:szCs w:val="21"/>
                <w:highlight w:val="none"/>
              </w:rPr>
              <w:t xml:space="preserve"> </w:t>
            </w:r>
            <w:r>
              <w:rPr>
                <w:rFonts w:hint="eastAsia" w:ascii="宋体" w:hAnsi="宋体"/>
                <w:color w:val="auto"/>
                <w:szCs w:val="21"/>
                <w:highlight w:val="none"/>
              </w:rPr>
              <w:t>司法部关于政府采购支持监狱企业发展有关问题的通知》（财库〔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68</w:t>
            </w:r>
            <w:r>
              <w:rPr>
                <w:rFonts w:hint="eastAsia" w:ascii="宋体" w:hAnsi="宋体"/>
                <w:color w:val="auto"/>
                <w:szCs w:val="21"/>
                <w:highlight w:val="none"/>
              </w:rPr>
              <w:t>号）规定，监狱企业视同小型、微型企业，需提供由省级以上监狱管理局、戒毒管理局（含新疆生产建设兵团）出具的属于监狱企业的证明文件，经评审满足要求后，可享受上述加分优惠，否则不得享受上述加分优惠。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规定，残疾人福利性单位视同小型、微型企业，需提供《残疾人福利性单位声明函》（格式详见第七章投标文件格式），经评审满足要求后，可享受上述加分优惠，否则不得享受上述加分优惠。监狱企业、残疾人福利性单位属于小型、微型企业的，不重复享受政策。</w:t>
            </w:r>
          </w:p>
        </w:tc>
      </w:tr>
      <w:tr w14:paraId="1749E247">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13C2">
            <w:pPr>
              <w:widowControl/>
              <w:spacing w:line="360" w:lineRule="auto"/>
              <w:jc w:val="center"/>
              <w:rPr>
                <w:rFonts w:ascii="宋体" w:hAnsi="宋体" w:cs="宋体"/>
                <w:color w:val="auto"/>
                <w:szCs w:val="21"/>
                <w:highlight w:val="none"/>
              </w:rPr>
            </w:pPr>
            <w:r>
              <w:rPr>
                <w:rFonts w:ascii="宋体" w:hAnsi="宋体" w:cs="宋体"/>
                <w:color w:val="auto"/>
                <w:kern w:val="1"/>
                <w:szCs w:val="21"/>
                <w:highlight w:val="none"/>
              </w:rPr>
              <w:t>10</w:t>
            </w:r>
          </w:p>
        </w:tc>
        <w:tc>
          <w:tcPr>
            <w:tcW w:w="2369" w:type="dxa"/>
            <w:tcBorders>
              <w:top w:val="single" w:color="000000" w:sz="4" w:space="0"/>
              <w:left w:val="single" w:color="000000" w:sz="4" w:space="0"/>
              <w:bottom w:val="single" w:color="000000" w:sz="4" w:space="0"/>
              <w:right w:val="single" w:color="auto" w:sz="4" w:space="0"/>
            </w:tcBorders>
            <w:shd w:val="clear" w:color="auto" w:fill="auto"/>
            <w:vAlign w:val="center"/>
          </w:tcPr>
          <w:p w14:paraId="3C305216">
            <w:pPr>
              <w:pStyle w:val="62"/>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kern w:val="1"/>
                <w:szCs w:val="21"/>
                <w:highlight w:val="none"/>
              </w:rPr>
              <w:t>电子招标投标</w:t>
            </w:r>
          </w:p>
        </w:tc>
        <w:tc>
          <w:tcPr>
            <w:tcW w:w="643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1E244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□否</w:t>
            </w:r>
          </w:p>
          <w:p w14:paraId="455D51BE">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是，具体要求：</w:t>
            </w:r>
          </w:p>
          <w:p w14:paraId="1318EC29">
            <w:pPr>
              <w:pStyle w:val="2"/>
              <w:numPr>
                <w:ilvl w:val="0"/>
                <w:numId w:val="2"/>
              </w:numPr>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对投标文件加盖电子印章。投标文件中需个人签字或盖章的，应在线下完成后扫描上传。具体操作详见广州公共资源交易中心网站最新发布的《建设工程全流程电子化项目操作指南》。</w:t>
            </w:r>
          </w:p>
          <w:p w14:paraId="129C5F2B">
            <w:pPr>
              <w:pStyle w:val="40"/>
              <w:rPr>
                <w:rFonts w:ascii="宋体" w:hAnsi="宋体" w:eastAsia="宋体" w:cs="宋体"/>
                <w:b/>
                <w:bCs/>
                <w:color w:val="auto"/>
                <w:kern w:val="1"/>
                <w:sz w:val="21"/>
                <w:szCs w:val="21"/>
                <w:highlight w:val="none"/>
              </w:rPr>
            </w:pPr>
            <w:r>
              <w:rPr>
                <w:rFonts w:hint="eastAsia" w:ascii="宋体" w:hAnsi="宋体" w:eastAsia="宋体" w:cs="宋体"/>
                <w:b/>
                <w:bCs/>
                <w:color w:val="auto"/>
                <w:kern w:val="1"/>
                <w:sz w:val="21"/>
                <w:szCs w:val="21"/>
                <w:highlight w:val="none"/>
              </w:rPr>
              <w:t>注释：投标文件电子文档需要投标人单位盖章的材料，投标人加盖电子印章即可，不得将投标人未对电子文档加盖实物印章作为否决投标的情形。</w:t>
            </w:r>
          </w:p>
          <w:p w14:paraId="7A4EB934">
            <w:pPr>
              <w:pStyle w:val="2"/>
              <w:spacing w:line="360" w:lineRule="auto"/>
              <w:rPr>
                <w:rFonts w:cs="宋体"/>
                <w:color w:val="auto"/>
                <w:kern w:val="1"/>
                <w:sz w:val="21"/>
                <w:szCs w:val="21"/>
                <w:highlight w:val="none"/>
                <w:lang w:val="en-US"/>
              </w:rPr>
            </w:pPr>
            <w:r>
              <w:rPr>
                <w:rFonts w:cs="宋体"/>
                <w:color w:val="auto"/>
                <w:kern w:val="1"/>
                <w:sz w:val="21"/>
                <w:szCs w:val="21"/>
                <w:highlight w:val="none"/>
                <w:lang w:val="en-US"/>
              </w:rPr>
              <w:t>2</w:t>
            </w:r>
            <w:r>
              <w:rPr>
                <w:rFonts w:hint="eastAsia" w:cs="宋体"/>
                <w:color w:val="auto"/>
                <w:kern w:val="1"/>
                <w:sz w:val="21"/>
                <w:szCs w:val="21"/>
                <w:highlight w:val="none"/>
                <w:lang w:val="en-US"/>
              </w:rPr>
              <w:t>、现场提交备用资料</w:t>
            </w:r>
          </w:p>
          <w:p w14:paraId="2C281922">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w:t>
            </w:r>
            <w:r>
              <w:rPr>
                <w:rFonts w:hint="eastAsia" w:cs="宋体"/>
                <w:color w:val="auto"/>
                <w:kern w:val="1"/>
                <w:sz w:val="21"/>
                <w:szCs w:val="21"/>
                <w:highlight w:val="none"/>
                <w:lang w:val="en-US"/>
              </w:rPr>
              <w:t>）投标人可制作非加密的电子投标文件，以光盘或</w:t>
            </w:r>
            <w:r>
              <w:rPr>
                <w:rFonts w:cs="宋体"/>
                <w:color w:val="auto"/>
                <w:kern w:val="1"/>
                <w:sz w:val="21"/>
                <w:szCs w:val="21"/>
                <w:highlight w:val="none"/>
                <w:lang w:val="en-US"/>
              </w:rPr>
              <w:t>U</w:t>
            </w:r>
            <w:r>
              <w:rPr>
                <w:rFonts w:hint="eastAsia" w:cs="宋体"/>
                <w:color w:val="auto"/>
                <w:kern w:val="1"/>
                <w:sz w:val="21"/>
                <w:szCs w:val="21"/>
                <w:highlight w:val="none"/>
                <w:lang w:val="en-US"/>
              </w:rPr>
              <w:t>盘为储存介质在投标须知前附表第</w:t>
            </w:r>
            <w:r>
              <w:rPr>
                <w:rFonts w:cs="宋体"/>
                <w:color w:val="auto"/>
                <w:kern w:val="1"/>
                <w:sz w:val="21"/>
                <w:szCs w:val="21"/>
                <w:highlight w:val="none"/>
                <w:lang w:val="en-US"/>
              </w:rPr>
              <w:t>5.1</w:t>
            </w:r>
            <w:r>
              <w:rPr>
                <w:rFonts w:hint="eastAsia" w:cs="宋体"/>
                <w:color w:val="auto"/>
                <w:kern w:val="1"/>
                <w:sz w:val="21"/>
                <w:szCs w:val="21"/>
                <w:highlight w:val="none"/>
                <w:lang w:val="en-US"/>
              </w:rPr>
              <w:t>项规定的时间、地点提交备用。</w:t>
            </w:r>
            <w:r>
              <w:rPr>
                <w:rFonts w:hint="eastAsia" w:cs="宋体"/>
                <w:b/>
                <w:color w:val="auto"/>
                <w:kern w:val="1"/>
                <w:sz w:val="21"/>
                <w:szCs w:val="21"/>
                <w:highlight w:val="none"/>
                <w:lang w:val="en-US"/>
              </w:rPr>
              <w:t>备用电子投标文件应密封在密封袋中，并在封口处加盖投标人单位公章。</w:t>
            </w:r>
            <w:r>
              <w:rPr>
                <w:rFonts w:hint="eastAsia" w:cs="宋体"/>
                <w:color w:val="auto"/>
                <w:kern w:val="1"/>
                <w:sz w:val="21"/>
                <w:szCs w:val="21"/>
                <w:highlight w:val="none"/>
                <w:lang w:val="en-US"/>
              </w:rPr>
              <w:t>密封袋上应写明的内容见投标人须知前附表要求</w:t>
            </w:r>
            <w:r>
              <w:rPr>
                <w:rFonts w:cs="宋体"/>
                <w:color w:val="auto"/>
                <w:kern w:val="1"/>
                <w:sz w:val="21"/>
                <w:szCs w:val="21"/>
                <w:highlight w:val="none"/>
                <w:lang w:val="en-US"/>
              </w:rPr>
              <w:t>4.1.2</w:t>
            </w:r>
            <w:r>
              <w:rPr>
                <w:rFonts w:hint="eastAsia" w:cs="宋体"/>
                <w:color w:val="auto"/>
                <w:kern w:val="1"/>
                <w:sz w:val="21"/>
                <w:szCs w:val="21"/>
                <w:highlight w:val="none"/>
                <w:lang w:val="en-US"/>
              </w:rPr>
              <w:t>。</w:t>
            </w:r>
          </w:p>
          <w:p w14:paraId="0AD943C8">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w:t>
            </w:r>
            <w:r>
              <w:rPr>
                <w:rFonts w:hint="eastAsia" w:cs="宋体"/>
                <w:color w:val="auto"/>
                <w:kern w:val="1"/>
                <w:sz w:val="21"/>
                <w:szCs w:val="21"/>
                <w:highlight w:val="none"/>
                <w:lang w:val="en-US"/>
              </w:rPr>
              <w:t>）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1D349E40">
            <w:pPr>
              <w:pStyle w:val="2"/>
              <w:spacing w:line="360" w:lineRule="auto"/>
              <w:rPr>
                <w:rFonts w:cs="宋体"/>
                <w:color w:val="auto"/>
                <w:kern w:val="1"/>
                <w:sz w:val="21"/>
                <w:szCs w:val="21"/>
                <w:highlight w:val="none"/>
                <w:lang w:val="en-US"/>
              </w:rPr>
            </w:pPr>
            <w:r>
              <w:rPr>
                <w:rFonts w:cs="宋体"/>
                <w:color w:val="auto"/>
                <w:kern w:val="1"/>
                <w:sz w:val="21"/>
                <w:szCs w:val="21"/>
                <w:highlight w:val="none"/>
                <w:lang w:val="en-US"/>
              </w:rPr>
              <w:t>3</w:t>
            </w:r>
            <w:r>
              <w:rPr>
                <w:rFonts w:hint="eastAsia" w:cs="宋体"/>
                <w:color w:val="auto"/>
                <w:kern w:val="1"/>
                <w:sz w:val="21"/>
                <w:szCs w:val="21"/>
                <w:highlight w:val="none"/>
                <w:lang w:val="en-US"/>
              </w:rPr>
              <w:t>、补救方案</w:t>
            </w:r>
          </w:p>
          <w:p w14:paraId="7054549F">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w:t>
            </w:r>
            <w:r>
              <w:rPr>
                <w:rFonts w:hint="eastAsia" w:cs="宋体"/>
                <w:color w:val="auto"/>
                <w:kern w:val="1"/>
                <w:sz w:val="21"/>
                <w:szCs w:val="21"/>
                <w:highlight w:val="none"/>
                <w:lang w:val="en-US"/>
              </w:rPr>
              <w:t>）投标文件解密失败的补救方案：</w:t>
            </w:r>
          </w:p>
          <w:p w14:paraId="67BB502F">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117F04B9">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w:t>
            </w:r>
            <w:r>
              <w:rPr>
                <w:rFonts w:hint="eastAsia" w:cs="宋体"/>
                <w:color w:val="auto"/>
                <w:kern w:val="1"/>
                <w:sz w:val="21"/>
                <w:szCs w:val="21"/>
                <w:highlight w:val="none"/>
                <w:lang w:val="en-US"/>
              </w:rPr>
              <w:t>）评标时突发情况的补救方案</w:t>
            </w:r>
          </w:p>
          <w:p w14:paraId="329327F8">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2F3A78DE">
            <w:pPr>
              <w:pStyle w:val="62"/>
              <w:tabs>
                <w:tab w:val="left" w:pos="0"/>
              </w:tabs>
              <w:spacing w:line="360" w:lineRule="auto"/>
              <w:ind w:firstLine="0" w:firstLineChars="0"/>
              <w:jc w:val="left"/>
              <w:rPr>
                <w:rFonts w:ascii="宋体" w:hAnsi="宋体" w:cs="宋体"/>
                <w:color w:val="auto"/>
                <w:szCs w:val="21"/>
                <w:highlight w:val="none"/>
              </w:rPr>
            </w:pPr>
            <w:r>
              <w:rPr>
                <w:rFonts w:hint="eastAsia" w:cs="宋体"/>
                <w:color w:val="auto"/>
                <w:kern w:val="1"/>
                <w:szCs w:val="21"/>
                <w:highlight w:val="none"/>
              </w:rPr>
              <w:t>（</w:t>
            </w:r>
            <w:r>
              <w:rPr>
                <w:rFonts w:cs="宋体"/>
                <w:color w:val="auto"/>
                <w:kern w:val="1"/>
                <w:szCs w:val="21"/>
                <w:highlight w:val="none"/>
              </w:rPr>
              <w:t>3</w:t>
            </w:r>
            <w:r>
              <w:rPr>
                <w:rFonts w:hint="eastAsia" w:cs="宋体"/>
                <w:color w:val="auto"/>
                <w:kern w:val="1"/>
                <w:szCs w:val="21"/>
                <w:highlight w:val="none"/>
              </w:rPr>
              <w:t>）除发生上述情况外，开标评标均以投标人通过交易平台网上递交的电子投标文件为准。</w:t>
            </w:r>
          </w:p>
        </w:tc>
      </w:tr>
      <w:tr w14:paraId="031987A5">
        <w:tblPrEx>
          <w:tblCellMar>
            <w:top w:w="0" w:type="dxa"/>
            <w:left w:w="108" w:type="dxa"/>
            <w:bottom w:w="0" w:type="dxa"/>
            <w:right w:w="108" w:type="dxa"/>
          </w:tblCellMar>
        </w:tblPrEx>
        <w:trPr>
          <w:trHeight w:val="20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A3C1">
            <w:pPr>
              <w:widowControl/>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w:t>
            </w:r>
          </w:p>
        </w:tc>
        <w:tc>
          <w:tcPr>
            <w:tcW w:w="2369" w:type="dxa"/>
            <w:tcBorders>
              <w:top w:val="single" w:color="000000" w:sz="4" w:space="0"/>
              <w:left w:val="single" w:color="000000" w:sz="4" w:space="0"/>
              <w:bottom w:val="single" w:color="000000" w:sz="4" w:space="0"/>
              <w:right w:val="single" w:color="auto" w:sz="4" w:space="0"/>
            </w:tcBorders>
            <w:shd w:val="clear" w:color="auto" w:fill="auto"/>
            <w:vAlign w:val="center"/>
          </w:tcPr>
          <w:p w14:paraId="5F0D0136">
            <w:pPr>
              <w:jc w:val="center"/>
              <w:rPr>
                <w:rFonts w:ascii="宋体" w:hAnsi="宋体"/>
                <w:color w:val="auto"/>
                <w:highlight w:val="none"/>
              </w:rPr>
            </w:pPr>
            <w:r>
              <w:rPr>
                <w:rFonts w:hint="eastAsia" w:ascii="宋体" w:hAnsi="宋体"/>
                <w:color w:val="auto"/>
                <w:highlight w:val="none"/>
              </w:rPr>
              <w:t>招标人对中标人参与“百千万工程”的具体要求</w:t>
            </w:r>
          </w:p>
        </w:tc>
        <w:tc>
          <w:tcPr>
            <w:tcW w:w="6432" w:type="dxa"/>
            <w:tcBorders>
              <w:top w:val="single" w:color="000000" w:sz="4" w:space="0"/>
              <w:left w:val="single" w:color="auto" w:sz="4" w:space="0"/>
              <w:bottom w:val="single" w:color="000000" w:sz="4" w:space="0"/>
              <w:right w:val="single" w:color="000000" w:sz="4" w:space="0"/>
            </w:tcBorders>
            <w:shd w:val="clear" w:color="auto" w:fill="auto"/>
            <w:vAlign w:val="center"/>
          </w:tcPr>
          <w:p w14:paraId="5587CB04">
            <w:pPr>
              <w:rPr>
                <w:rFonts w:ascii="宋体" w:hAnsi="宋体" w:cs="Courier New"/>
                <w:color w:val="auto"/>
                <w:szCs w:val="21"/>
                <w:highlight w:val="none"/>
              </w:rPr>
            </w:pPr>
            <w:r>
              <w:rPr>
                <w:rFonts w:ascii="宋体" w:hAnsi="宋体" w:cs="Courier New"/>
                <w:color w:val="auto"/>
                <w:szCs w:val="21"/>
                <w:highlight w:val="none"/>
              </w:rPr>
              <w:t>1.</w:t>
            </w:r>
            <w:r>
              <w:rPr>
                <w:rFonts w:hint="eastAsia" w:ascii="宋体" w:hAnsi="宋体" w:cs="Courier New"/>
                <w:color w:val="auto"/>
                <w:szCs w:val="21"/>
                <w:highlight w:val="none"/>
              </w:rPr>
              <w:t>施工中标单位应切实履行《招标公告》‘投标人声明’中‘第十条’承诺，结合自身实际，在《白云区“百千万工程”建筑业企业帮扶建设项目库》中自愿认领、帮扶公益性项目。</w:t>
            </w:r>
          </w:p>
          <w:p w14:paraId="06ED2173">
            <w:pPr>
              <w:rPr>
                <w:rFonts w:ascii="宋体" w:hAnsi="宋体" w:cs="Courier New"/>
                <w:color w:val="auto"/>
                <w:szCs w:val="21"/>
                <w:highlight w:val="none"/>
              </w:rPr>
            </w:pPr>
            <w:r>
              <w:rPr>
                <w:rFonts w:ascii="宋体" w:hAnsi="宋体" w:cs="Courier New"/>
                <w:color w:val="auto"/>
                <w:szCs w:val="21"/>
                <w:highlight w:val="none"/>
              </w:rPr>
              <w:t>2.</w:t>
            </w:r>
            <w:r>
              <w:rPr>
                <w:rFonts w:hint="eastAsia" w:ascii="宋体" w:hAnsi="宋体" w:cs="Courier New"/>
                <w:color w:val="auto"/>
                <w:szCs w:val="21"/>
                <w:highlight w:val="none"/>
              </w:rPr>
              <w:t>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64DFCBCD">
        <w:tblPrEx>
          <w:tblCellMar>
            <w:top w:w="0" w:type="dxa"/>
            <w:left w:w="108" w:type="dxa"/>
            <w:bottom w:w="0" w:type="dxa"/>
            <w:right w:w="108" w:type="dxa"/>
          </w:tblCellMar>
        </w:tblPrEx>
        <w:trPr>
          <w:trHeight w:val="105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B5B1">
            <w:pPr>
              <w:widowControl/>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12</w:t>
            </w:r>
          </w:p>
        </w:tc>
        <w:tc>
          <w:tcPr>
            <w:tcW w:w="2369" w:type="dxa"/>
            <w:tcBorders>
              <w:top w:val="single" w:color="000000" w:sz="4" w:space="0"/>
              <w:left w:val="single" w:color="000000" w:sz="4" w:space="0"/>
              <w:bottom w:val="single" w:color="000000" w:sz="4" w:space="0"/>
              <w:right w:val="single" w:color="auto" w:sz="4" w:space="0"/>
            </w:tcBorders>
            <w:shd w:val="clear" w:color="auto" w:fill="auto"/>
            <w:vAlign w:val="center"/>
          </w:tcPr>
          <w:p w14:paraId="2C28EE7C">
            <w:pPr>
              <w:jc w:val="center"/>
              <w:rPr>
                <w:rFonts w:ascii="宋体" w:hAnsi="宋体"/>
                <w:color w:val="auto"/>
                <w:highlight w:val="none"/>
              </w:rPr>
            </w:pPr>
            <w:r>
              <w:rPr>
                <w:rFonts w:hint="eastAsia" w:ascii="宋体" w:hAnsi="宋体"/>
                <w:color w:val="auto"/>
                <w:highlight w:val="none"/>
              </w:rPr>
              <w:t>氢燃料电池汽车的投入要求</w:t>
            </w:r>
          </w:p>
        </w:tc>
        <w:tc>
          <w:tcPr>
            <w:tcW w:w="6432" w:type="dxa"/>
            <w:tcBorders>
              <w:top w:val="single" w:color="000000" w:sz="4" w:space="0"/>
              <w:left w:val="single" w:color="auto" w:sz="4" w:space="0"/>
              <w:bottom w:val="single" w:color="000000" w:sz="4" w:space="0"/>
              <w:right w:val="single" w:color="000000" w:sz="4" w:space="0"/>
            </w:tcBorders>
            <w:shd w:val="clear" w:color="auto" w:fill="auto"/>
            <w:vAlign w:val="center"/>
          </w:tcPr>
          <w:p w14:paraId="19E0C3DE">
            <w:pPr>
              <w:rPr>
                <w:rFonts w:ascii="宋体" w:hAnsi="宋体" w:cs="Courier New"/>
                <w:color w:val="auto"/>
                <w:szCs w:val="21"/>
                <w:highlight w:val="none"/>
              </w:rPr>
            </w:pPr>
            <w:r>
              <w:rPr>
                <w:rFonts w:hint="eastAsia" w:ascii="宋体" w:hAnsi="宋体" w:cs="Courier New"/>
                <w:color w:val="auto"/>
                <w:szCs w:val="21"/>
                <w:highlight w:val="none"/>
              </w:rPr>
              <w:t>投标人应承诺氢燃料电池汽车作为混凝土搅拌车和建筑废弃物运输车在本项目的投入使用，投入比例需≥</w:t>
            </w:r>
            <w:r>
              <w:rPr>
                <w:rFonts w:ascii="宋体" w:hAnsi="宋体" w:cs="Courier New"/>
                <w:color w:val="auto"/>
                <w:szCs w:val="21"/>
                <w:highlight w:val="none"/>
              </w:rPr>
              <w:t>30%(</w:t>
            </w:r>
            <w:r>
              <w:rPr>
                <w:rFonts w:hint="eastAsia" w:ascii="宋体" w:hAnsi="宋体" w:cs="Courier New"/>
                <w:color w:val="auto"/>
                <w:szCs w:val="21"/>
                <w:highlight w:val="none"/>
              </w:rPr>
              <w:t>即</w:t>
            </w:r>
            <w:r>
              <w:rPr>
                <w:rFonts w:ascii="宋体" w:hAnsi="宋体" w:cs="Courier New"/>
                <w:color w:val="auto"/>
                <w:szCs w:val="21"/>
                <w:highlight w:val="none"/>
              </w:rPr>
              <w:t>:</w:t>
            </w:r>
            <w:r>
              <w:rPr>
                <w:rFonts w:hint="eastAsia" w:ascii="宋体" w:hAnsi="宋体" w:cs="Courier New"/>
                <w:color w:val="auto"/>
                <w:szCs w:val="21"/>
                <w:highlight w:val="none"/>
              </w:rPr>
              <w:t>投入的氢燃料电池汽车</w:t>
            </w:r>
            <w:r>
              <w:rPr>
                <w:rFonts w:ascii="宋体" w:hAnsi="宋体" w:cs="Courier New"/>
                <w:color w:val="auto"/>
                <w:szCs w:val="21"/>
                <w:highlight w:val="none"/>
              </w:rPr>
              <w:t>/</w:t>
            </w:r>
            <w:r>
              <w:rPr>
                <w:rFonts w:hint="eastAsia" w:ascii="宋体" w:hAnsi="宋体" w:cs="Courier New"/>
                <w:color w:val="auto"/>
                <w:szCs w:val="21"/>
                <w:highlight w:val="none"/>
              </w:rPr>
              <w:t>投入的总车辆数≥</w:t>
            </w:r>
            <w:r>
              <w:rPr>
                <w:rFonts w:ascii="宋体" w:hAnsi="宋体" w:cs="Courier New"/>
                <w:color w:val="auto"/>
                <w:szCs w:val="21"/>
                <w:highlight w:val="none"/>
              </w:rPr>
              <w:t>30%)(</w:t>
            </w:r>
            <w:r>
              <w:rPr>
                <w:rFonts w:hint="eastAsia" w:ascii="宋体" w:hAnsi="宋体" w:cs="Courier New"/>
                <w:color w:val="auto"/>
                <w:szCs w:val="21"/>
                <w:highlight w:val="none"/>
              </w:rPr>
              <w:t>具体要求详见合同条款</w:t>
            </w:r>
            <w:r>
              <w:rPr>
                <w:rFonts w:ascii="宋体" w:hAnsi="宋体" w:cs="Courier New"/>
                <w:color w:val="auto"/>
                <w:szCs w:val="21"/>
                <w:highlight w:val="none"/>
              </w:rPr>
              <w:t>)</w:t>
            </w:r>
          </w:p>
        </w:tc>
      </w:tr>
    </w:tbl>
    <w:p w14:paraId="523A88F0">
      <w:pPr>
        <w:pStyle w:val="4"/>
        <w:spacing w:line="360" w:lineRule="auto"/>
        <w:rPr>
          <w:rFonts w:ascii="宋体" w:hAnsi="宋体" w:eastAsia="宋体" w:cs="宋体"/>
          <w:color w:val="auto"/>
          <w:highlight w:val="none"/>
          <w:lang w:val="zh-CN"/>
        </w:rPr>
      </w:pPr>
      <w:bookmarkStart w:id="37" w:name="_Toc443505822"/>
      <w:bookmarkEnd w:id="37"/>
      <w:bookmarkStart w:id="38" w:name="_Toc247527553"/>
      <w:bookmarkEnd w:id="38"/>
      <w:bookmarkStart w:id="39" w:name="_Toc247513952"/>
      <w:bookmarkEnd w:id="39"/>
      <w:bookmarkStart w:id="40" w:name="_Toc152045529"/>
      <w:bookmarkEnd w:id="40"/>
      <w:bookmarkStart w:id="41" w:name="_Toc300834949"/>
      <w:bookmarkEnd w:id="41"/>
      <w:bookmarkStart w:id="42" w:name="_Toc144974497"/>
      <w:bookmarkEnd w:id="42"/>
      <w:bookmarkStart w:id="43" w:name="_Toc357089511"/>
      <w:bookmarkEnd w:id="43"/>
      <w:bookmarkStart w:id="44" w:name="_Toc152042305"/>
      <w:bookmarkEnd w:id="44"/>
      <w:bookmarkStart w:id="45" w:name="_Toc362816480"/>
      <w:bookmarkEnd w:id="45"/>
      <w:r>
        <w:rPr>
          <w:rFonts w:hint="eastAsia" w:ascii="宋体" w:hAnsi="宋体" w:eastAsia="宋体" w:cs="宋体"/>
          <w:color w:val="auto"/>
          <w:highlight w:val="none"/>
          <w:lang w:val="zh-CN"/>
        </w:rPr>
        <w:br w:type="page"/>
      </w:r>
      <w:bookmarkStart w:id="46" w:name="_Toc13193"/>
      <w:bookmarkEnd w:id="46"/>
      <w:bookmarkStart w:id="47" w:name="_Toc224"/>
      <w:bookmarkEnd w:id="47"/>
      <w:bookmarkStart w:id="48" w:name="_Toc15796"/>
      <w:bookmarkStart w:id="49" w:name="_Toc5620296"/>
      <w:bookmarkStart w:id="50" w:name="_Toc1585"/>
      <w:r>
        <w:rPr>
          <w:rFonts w:ascii="宋体" w:hAnsi="宋体" w:eastAsia="宋体" w:cs="宋体"/>
          <w:color w:val="auto"/>
          <w:highlight w:val="none"/>
          <w:lang w:val="zh-CN"/>
        </w:rPr>
        <w:t>1.</w:t>
      </w:r>
      <w:bookmarkEnd w:id="48"/>
      <w:bookmarkEnd w:id="49"/>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总则</w:t>
      </w:r>
      <w:bookmarkEnd w:id="50"/>
    </w:p>
    <w:p w14:paraId="1D42DA77">
      <w:pPr>
        <w:pStyle w:val="5"/>
        <w:spacing w:line="360" w:lineRule="auto"/>
        <w:ind w:firstLine="118"/>
        <w:rPr>
          <w:rFonts w:ascii="宋体" w:hAnsi="宋体" w:eastAsia="宋体"/>
          <w:b/>
          <w:color w:val="auto"/>
          <w:sz w:val="24"/>
          <w:szCs w:val="24"/>
          <w:highlight w:val="none"/>
        </w:rPr>
      </w:pPr>
      <w:bookmarkStart w:id="51" w:name="_Toc152042306"/>
      <w:bookmarkEnd w:id="51"/>
      <w:bookmarkStart w:id="52" w:name="_Toc247513953"/>
      <w:bookmarkEnd w:id="52"/>
      <w:bookmarkStart w:id="53" w:name="_Toc247527554"/>
      <w:bookmarkEnd w:id="53"/>
      <w:bookmarkStart w:id="54" w:name="_Toc300834950"/>
      <w:bookmarkEnd w:id="54"/>
      <w:bookmarkStart w:id="55" w:name="_Toc362816481"/>
      <w:bookmarkEnd w:id="55"/>
      <w:bookmarkStart w:id="56" w:name="_Toc152045530"/>
      <w:bookmarkEnd w:id="56"/>
      <w:bookmarkStart w:id="57" w:name="_Toc357089512"/>
      <w:bookmarkEnd w:id="57"/>
      <w:bookmarkStart w:id="58" w:name="_Toc356469178"/>
      <w:bookmarkEnd w:id="58"/>
      <w:bookmarkStart w:id="59" w:name="_Toc144974498"/>
      <w:bookmarkEnd w:id="59"/>
      <w:bookmarkStart w:id="60" w:name="_Toc10639"/>
      <w:r>
        <w:rPr>
          <w:rFonts w:ascii="宋体" w:hAnsi="宋体" w:eastAsia="宋体"/>
          <w:b/>
          <w:color w:val="auto"/>
          <w:sz w:val="24"/>
          <w:szCs w:val="24"/>
          <w:highlight w:val="none"/>
        </w:rPr>
        <w:t xml:space="preserve">1.1 </w:t>
      </w:r>
      <w:r>
        <w:rPr>
          <w:rFonts w:hint="eastAsia" w:ascii="宋体" w:hAnsi="宋体" w:eastAsia="宋体"/>
          <w:b/>
          <w:color w:val="auto"/>
          <w:sz w:val="24"/>
          <w:szCs w:val="24"/>
          <w:highlight w:val="none"/>
        </w:rPr>
        <w:t>项目概况</w:t>
      </w:r>
      <w:bookmarkEnd w:id="60"/>
    </w:p>
    <w:p w14:paraId="131DC455">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1.1.1 </w:t>
      </w:r>
      <w:r>
        <w:rPr>
          <w:rFonts w:hint="eastAsia" w:ascii="宋体" w:hAnsi="宋体" w:cs="宋体"/>
          <w:color w:val="auto"/>
          <w:kern w:val="1"/>
          <w:szCs w:val="21"/>
          <w:highlight w:val="none"/>
        </w:rPr>
        <w:t>根据《中华人民共和国招标投标法》等有关法律、法规和规章的规定，本招标项目已具备招标条件，现对该项目进行招标。</w:t>
      </w:r>
    </w:p>
    <w:p w14:paraId="0361C14B">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1.1.2 </w:t>
      </w:r>
      <w:r>
        <w:rPr>
          <w:rFonts w:hint="eastAsia" w:ascii="宋体" w:hAnsi="宋体" w:cs="宋体"/>
          <w:color w:val="auto"/>
          <w:kern w:val="1"/>
          <w:szCs w:val="21"/>
          <w:highlight w:val="none"/>
        </w:rPr>
        <w:t>招标人：见投标人须知前附表。</w:t>
      </w:r>
    </w:p>
    <w:p w14:paraId="3527B5DF">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1.1.3 </w:t>
      </w:r>
      <w:r>
        <w:rPr>
          <w:rFonts w:hint="eastAsia" w:ascii="宋体" w:hAnsi="宋体" w:cs="宋体"/>
          <w:color w:val="auto"/>
          <w:kern w:val="1"/>
          <w:szCs w:val="21"/>
          <w:highlight w:val="none"/>
        </w:rPr>
        <w:t>招标代理机构：见投标人须知前附表。</w:t>
      </w:r>
    </w:p>
    <w:p w14:paraId="4B80E820">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1.1.4 </w:t>
      </w:r>
      <w:r>
        <w:rPr>
          <w:rFonts w:hint="eastAsia" w:ascii="宋体" w:hAnsi="宋体" w:cs="宋体"/>
          <w:color w:val="auto"/>
          <w:kern w:val="1"/>
          <w:szCs w:val="21"/>
          <w:highlight w:val="none"/>
        </w:rPr>
        <w:t>招标项目名称：见投标人须知前附表。</w:t>
      </w:r>
    </w:p>
    <w:p w14:paraId="75A52DE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1.1.5 </w:t>
      </w:r>
      <w:r>
        <w:rPr>
          <w:rFonts w:hint="eastAsia" w:ascii="宋体" w:hAnsi="宋体" w:cs="宋体"/>
          <w:color w:val="auto"/>
          <w:kern w:val="1"/>
          <w:szCs w:val="21"/>
          <w:highlight w:val="none"/>
        </w:rPr>
        <w:t>项目建设地点：见投标人须知前附表。</w:t>
      </w:r>
    </w:p>
    <w:p w14:paraId="3D540C51">
      <w:pPr>
        <w:pStyle w:val="5"/>
        <w:spacing w:line="360" w:lineRule="auto"/>
        <w:ind w:firstLine="118"/>
        <w:rPr>
          <w:rFonts w:ascii="宋体" w:hAnsi="宋体" w:eastAsia="宋体"/>
          <w:b/>
          <w:color w:val="auto"/>
          <w:sz w:val="24"/>
          <w:szCs w:val="24"/>
          <w:highlight w:val="none"/>
        </w:rPr>
      </w:pPr>
      <w:bookmarkStart w:id="61" w:name="_Toc152042307"/>
      <w:bookmarkEnd w:id="61"/>
      <w:bookmarkStart w:id="62" w:name="_Toc247513954"/>
      <w:bookmarkEnd w:id="62"/>
      <w:bookmarkStart w:id="63" w:name="_Toc152045531"/>
      <w:bookmarkEnd w:id="63"/>
      <w:bookmarkStart w:id="64" w:name="_Toc356469179"/>
      <w:bookmarkEnd w:id="64"/>
      <w:bookmarkStart w:id="65" w:name="_Toc144974499"/>
      <w:bookmarkEnd w:id="65"/>
      <w:bookmarkStart w:id="66" w:name="_Toc247527555"/>
      <w:bookmarkEnd w:id="66"/>
      <w:bookmarkStart w:id="67" w:name="_Toc357089513"/>
      <w:bookmarkEnd w:id="67"/>
      <w:bookmarkStart w:id="68" w:name="_Toc362816482"/>
      <w:bookmarkEnd w:id="68"/>
      <w:bookmarkStart w:id="69" w:name="_Toc300834951"/>
      <w:bookmarkEnd w:id="69"/>
      <w:bookmarkStart w:id="70" w:name="_Toc14697"/>
      <w:r>
        <w:rPr>
          <w:rFonts w:ascii="宋体" w:hAnsi="宋体" w:eastAsia="宋体"/>
          <w:b/>
          <w:color w:val="auto"/>
          <w:sz w:val="24"/>
          <w:szCs w:val="24"/>
          <w:highlight w:val="none"/>
        </w:rPr>
        <w:t xml:space="preserve">1.2 </w:t>
      </w:r>
      <w:r>
        <w:rPr>
          <w:rFonts w:hint="eastAsia" w:ascii="宋体" w:hAnsi="宋体" w:eastAsia="宋体"/>
          <w:b/>
          <w:color w:val="auto"/>
          <w:sz w:val="24"/>
          <w:szCs w:val="24"/>
          <w:highlight w:val="none"/>
        </w:rPr>
        <w:t>项目的资金来源和落实情况</w:t>
      </w:r>
      <w:bookmarkEnd w:id="70"/>
    </w:p>
    <w:p w14:paraId="7E2D84A3">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1.2.1 </w:t>
      </w:r>
      <w:r>
        <w:rPr>
          <w:rFonts w:hint="eastAsia" w:ascii="宋体" w:hAnsi="宋体" w:cs="宋体"/>
          <w:color w:val="auto"/>
          <w:kern w:val="1"/>
          <w:highlight w:val="none"/>
        </w:rPr>
        <w:t>资金来源及比例：见投标人须知前附表。</w:t>
      </w:r>
    </w:p>
    <w:p w14:paraId="5043A7B2">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1.2.2 </w:t>
      </w:r>
      <w:r>
        <w:rPr>
          <w:rFonts w:hint="eastAsia" w:ascii="宋体" w:hAnsi="宋体" w:cs="宋体"/>
          <w:color w:val="auto"/>
          <w:kern w:val="1"/>
          <w:highlight w:val="none"/>
        </w:rPr>
        <w:t>资金落实情况：见投标人须知前附表。</w:t>
      </w:r>
    </w:p>
    <w:p w14:paraId="6B27B75A">
      <w:pPr>
        <w:pStyle w:val="5"/>
        <w:spacing w:line="360" w:lineRule="auto"/>
        <w:ind w:firstLine="118"/>
        <w:rPr>
          <w:rFonts w:ascii="宋体" w:hAnsi="宋体" w:eastAsia="宋体"/>
          <w:b/>
          <w:color w:val="auto"/>
          <w:sz w:val="24"/>
          <w:szCs w:val="24"/>
          <w:highlight w:val="none"/>
        </w:rPr>
      </w:pPr>
      <w:bookmarkStart w:id="71" w:name="_Toc300834952"/>
      <w:bookmarkEnd w:id="71"/>
      <w:bookmarkStart w:id="72" w:name="_Toc152042308"/>
      <w:bookmarkEnd w:id="72"/>
      <w:bookmarkStart w:id="73" w:name="_Toc144974500"/>
      <w:bookmarkEnd w:id="73"/>
      <w:bookmarkStart w:id="74" w:name="_Toc356469180"/>
      <w:bookmarkEnd w:id="74"/>
      <w:bookmarkStart w:id="75" w:name="_Toc362816483"/>
      <w:bookmarkEnd w:id="75"/>
      <w:bookmarkStart w:id="76" w:name="_Toc357089514"/>
      <w:bookmarkEnd w:id="76"/>
      <w:bookmarkStart w:id="77" w:name="_Toc247527556"/>
      <w:bookmarkEnd w:id="77"/>
      <w:bookmarkStart w:id="78" w:name="_Toc247513955"/>
      <w:bookmarkEnd w:id="78"/>
      <w:bookmarkStart w:id="79" w:name="_Toc152045532"/>
      <w:bookmarkEnd w:id="79"/>
      <w:bookmarkStart w:id="80" w:name="_Toc6252"/>
      <w:r>
        <w:rPr>
          <w:rFonts w:ascii="宋体" w:hAnsi="宋体" w:eastAsia="宋体"/>
          <w:b/>
          <w:color w:val="auto"/>
          <w:sz w:val="24"/>
          <w:szCs w:val="24"/>
          <w:highlight w:val="none"/>
        </w:rPr>
        <w:t xml:space="preserve">1.3 </w:t>
      </w:r>
      <w:r>
        <w:rPr>
          <w:rFonts w:hint="eastAsia" w:ascii="宋体" w:hAnsi="宋体" w:eastAsia="宋体"/>
          <w:b/>
          <w:color w:val="auto"/>
          <w:sz w:val="24"/>
          <w:szCs w:val="24"/>
          <w:highlight w:val="none"/>
        </w:rPr>
        <w:t>招标范围、计划工期和质量标准</w:t>
      </w:r>
      <w:bookmarkEnd w:id="80"/>
    </w:p>
    <w:p w14:paraId="6CD356FA">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1.3.1 </w:t>
      </w:r>
      <w:r>
        <w:rPr>
          <w:rFonts w:hint="eastAsia" w:ascii="宋体" w:hAnsi="宋体" w:cs="宋体"/>
          <w:color w:val="auto"/>
          <w:kern w:val="1"/>
          <w:highlight w:val="none"/>
        </w:rPr>
        <w:t>招标范围：见投标人须知前附表。</w:t>
      </w:r>
    </w:p>
    <w:p w14:paraId="4D4E1F5A">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1.3.2 </w:t>
      </w:r>
      <w:r>
        <w:rPr>
          <w:rFonts w:hint="eastAsia" w:ascii="宋体" w:hAnsi="宋体" w:cs="宋体"/>
          <w:color w:val="auto"/>
          <w:kern w:val="1"/>
          <w:highlight w:val="none"/>
        </w:rPr>
        <w:t>计划工期：见投标人须知前附表。</w:t>
      </w:r>
    </w:p>
    <w:p w14:paraId="23C95E0A">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1.3.3 </w:t>
      </w:r>
      <w:r>
        <w:rPr>
          <w:rFonts w:hint="eastAsia" w:ascii="宋体" w:hAnsi="宋体" w:cs="宋体"/>
          <w:color w:val="auto"/>
          <w:kern w:val="1"/>
          <w:highlight w:val="none"/>
        </w:rPr>
        <w:t>质量标准：见投标人须知前附表。</w:t>
      </w:r>
    </w:p>
    <w:p w14:paraId="742AF183">
      <w:pPr>
        <w:pStyle w:val="5"/>
        <w:spacing w:line="360" w:lineRule="auto"/>
        <w:ind w:firstLine="118"/>
        <w:rPr>
          <w:rFonts w:ascii="宋体" w:hAnsi="宋体" w:eastAsia="宋体"/>
          <w:b/>
          <w:color w:val="auto"/>
          <w:sz w:val="24"/>
          <w:szCs w:val="24"/>
          <w:highlight w:val="none"/>
        </w:rPr>
      </w:pPr>
      <w:bookmarkStart w:id="81" w:name="_Toc300834954"/>
      <w:bookmarkEnd w:id="81"/>
      <w:bookmarkStart w:id="82" w:name="_Toc247527558"/>
      <w:bookmarkEnd w:id="82"/>
      <w:bookmarkStart w:id="83" w:name="_Toc247513957"/>
      <w:bookmarkEnd w:id="83"/>
      <w:bookmarkStart w:id="84" w:name="_Toc152045534"/>
      <w:bookmarkEnd w:id="84"/>
      <w:bookmarkStart w:id="85" w:name="_Toc144974502"/>
      <w:bookmarkEnd w:id="85"/>
      <w:bookmarkStart w:id="86" w:name="_Toc152042310"/>
      <w:bookmarkEnd w:id="86"/>
      <w:bookmarkStart w:id="87" w:name="_Toc6748"/>
      <w:r>
        <w:rPr>
          <w:rFonts w:ascii="宋体" w:hAnsi="宋体" w:eastAsia="宋体"/>
          <w:b/>
          <w:color w:val="auto"/>
          <w:sz w:val="24"/>
          <w:szCs w:val="24"/>
          <w:highlight w:val="none"/>
        </w:rPr>
        <w:t>1.4</w:t>
      </w:r>
      <w:r>
        <w:rPr>
          <w:rFonts w:hint="eastAsia" w:ascii="宋体" w:hAnsi="宋体" w:eastAsia="宋体"/>
          <w:b/>
          <w:color w:val="auto"/>
          <w:sz w:val="24"/>
          <w:szCs w:val="24"/>
          <w:highlight w:val="none"/>
        </w:rPr>
        <w:t>投标人资格要求</w:t>
      </w:r>
      <w:bookmarkEnd w:id="87"/>
    </w:p>
    <w:p w14:paraId="38627786">
      <w:pPr>
        <w:spacing w:line="360" w:lineRule="auto"/>
        <w:ind w:firstLine="420"/>
        <w:rPr>
          <w:rFonts w:ascii="宋体" w:hAnsi="宋体" w:cs="宋体"/>
          <w:color w:val="auto"/>
          <w:kern w:val="1"/>
          <w:highlight w:val="none"/>
        </w:rPr>
      </w:pPr>
      <w:r>
        <w:rPr>
          <w:rFonts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31E0378B">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1.4.2 </w:t>
      </w:r>
      <w:r>
        <w:rPr>
          <w:rFonts w:hint="eastAsia" w:ascii="宋体" w:hAnsi="宋体" w:cs="宋体"/>
          <w:color w:val="auto"/>
          <w:kern w:val="1"/>
          <w:highlight w:val="none"/>
        </w:rPr>
        <w:t>投标人须知前附表规定接受联合体投标的，除应符合本章第</w:t>
      </w:r>
      <w:r>
        <w:rPr>
          <w:rFonts w:ascii="宋体" w:hAnsi="宋体" w:cs="宋体"/>
          <w:color w:val="auto"/>
          <w:kern w:val="1"/>
          <w:highlight w:val="none"/>
        </w:rPr>
        <w:t>1.4.1</w:t>
      </w:r>
      <w:r>
        <w:rPr>
          <w:rFonts w:hint="eastAsia" w:ascii="宋体" w:hAnsi="宋体" w:cs="宋体"/>
          <w:color w:val="auto"/>
          <w:kern w:val="1"/>
          <w:highlight w:val="none"/>
        </w:rPr>
        <w:t xml:space="preserve">项和投标人须知前附表的要求外，还应遵守以下规定： </w:t>
      </w:r>
    </w:p>
    <w:p w14:paraId="4EBA7AD6">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1</w:t>
      </w:r>
      <w:r>
        <w:rPr>
          <w:rFonts w:hint="eastAsia" w:ascii="宋体" w:hAnsi="宋体" w:cs="宋体"/>
          <w:color w:val="auto"/>
          <w:kern w:val="1"/>
          <w:highlight w:val="none"/>
        </w:rPr>
        <w:t>）联合体各方应按招标文件提供的格式签订联合体协议书，明确联合体牵头人和各方权利义务；</w:t>
      </w:r>
    </w:p>
    <w:p w14:paraId="4987541F">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2</w:t>
      </w:r>
      <w:r>
        <w:rPr>
          <w:rFonts w:hint="eastAsia" w:ascii="宋体" w:hAnsi="宋体" w:cs="宋体"/>
          <w:color w:val="auto"/>
          <w:kern w:val="1"/>
          <w:highlight w:val="none"/>
        </w:rPr>
        <w:t>）由同一专业的单位组成的联合体，按照资质等级较低的单位确定资质等级；</w:t>
      </w:r>
    </w:p>
    <w:p w14:paraId="4D16D2B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3</w:t>
      </w:r>
      <w:r>
        <w:rPr>
          <w:rFonts w:hint="eastAsia" w:ascii="宋体" w:hAnsi="宋体" w:cs="宋体"/>
          <w:color w:val="auto"/>
          <w:kern w:val="1"/>
          <w:highlight w:val="none"/>
        </w:rPr>
        <w:t>）联合体各方不得再以自己名义单独或参加其他联合体在本招标项目中投标。</w:t>
      </w:r>
    </w:p>
    <w:p w14:paraId="6B88703C">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1.4.3 </w:t>
      </w:r>
      <w:r>
        <w:rPr>
          <w:rFonts w:hint="eastAsia" w:ascii="宋体" w:hAnsi="宋体" w:cs="宋体"/>
          <w:color w:val="auto"/>
          <w:kern w:val="1"/>
          <w:highlight w:val="none"/>
        </w:rPr>
        <w:t>投标人不得存在下列情形之一：</w:t>
      </w:r>
    </w:p>
    <w:p w14:paraId="0BFB1B19">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（一）为招标人不具有独立法人资格的附属机构（单位）；</w:t>
      </w:r>
    </w:p>
    <w:p w14:paraId="7A922656">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（二）为本标段前期准备提供咨询服务或者与提供咨询服务的机构存在附属关系的（已公开项目建议书、可行性研究报告等前期成果文件的编制单位除外）；</w:t>
      </w:r>
    </w:p>
    <w:p w14:paraId="52731A3E">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（三）为本标段监理人或者与本标段监理人存在隶属关系或者其他利害关系；</w:t>
      </w:r>
    </w:p>
    <w:p w14:paraId="6F61844D">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（四）为本标段的代建人；</w:t>
      </w:r>
    </w:p>
    <w:p w14:paraId="7A907B63">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（五）为本标段提供招标代理服务的；</w:t>
      </w:r>
    </w:p>
    <w:p w14:paraId="0B03BC5D">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（六）与本标段的监理人或代建人或招标代理机构同为一个法定代表人的；</w:t>
      </w:r>
    </w:p>
    <w:p w14:paraId="321EFC97">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（七）与本标段的监理人或代建人或招标代理机构互相控股或参股的；</w:t>
      </w:r>
    </w:p>
    <w:p w14:paraId="68B04D0C">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（八）与本标段的监理人或代建人或招标代理机构相互任职或工作的；</w:t>
      </w:r>
    </w:p>
    <w:p w14:paraId="16FD992D">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（九）与本标段的检测机构有隶属关系或者其他利害关系；</w:t>
      </w:r>
    </w:p>
    <w:p w14:paraId="115604C8">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（十）与招标人存在利害关系且可能影响招标公正性； </w:t>
      </w:r>
    </w:p>
    <w:p w14:paraId="0F9F978F">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5B7E31E">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（十二）被责令停产停业、暂扣或者吊销许可证、暂扣或者吊销执照的（本项事实应当以根据《中华人民共和国行政处罚法》依法作出并已经生效的行政处罚决定为认定依据。）；</w:t>
      </w:r>
    </w:p>
    <w:p w14:paraId="068F8977">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（十三）进入清算程序，或被宣布破产，或其他丧失履约能力的情形；</w:t>
      </w:r>
    </w:p>
    <w:p w14:paraId="00F2AF39">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01E150F">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（十五）法律法规规定的其他情形。</w:t>
      </w:r>
    </w:p>
    <w:p w14:paraId="6411BC30">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1.4.4 </w:t>
      </w:r>
      <w:r>
        <w:rPr>
          <w:rFonts w:hint="eastAsia" w:ascii="宋体" w:hAnsi="宋体" w:cs="宋体"/>
          <w:color w:val="auto"/>
          <w:kern w:val="1"/>
          <w:highlight w:val="none"/>
        </w:rPr>
        <w:t>单位负责人为同一人或者存在控股、管理关系的不同单位，不得同时参加本招标项目投标。</w:t>
      </w:r>
    </w:p>
    <w:p w14:paraId="0F3096F8">
      <w:pPr>
        <w:pStyle w:val="5"/>
        <w:spacing w:line="360" w:lineRule="auto"/>
        <w:ind w:firstLine="118"/>
        <w:rPr>
          <w:rFonts w:ascii="宋体" w:hAnsi="宋体" w:eastAsia="宋体"/>
          <w:b/>
          <w:color w:val="auto"/>
          <w:sz w:val="24"/>
          <w:szCs w:val="24"/>
          <w:highlight w:val="none"/>
        </w:rPr>
      </w:pPr>
      <w:bookmarkStart w:id="88" w:name="_Toc247513958"/>
      <w:bookmarkEnd w:id="88"/>
      <w:bookmarkStart w:id="89" w:name="_Toc356469182"/>
      <w:bookmarkEnd w:id="89"/>
      <w:bookmarkStart w:id="90" w:name="_Toc144974503"/>
      <w:bookmarkEnd w:id="90"/>
      <w:bookmarkStart w:id="91" w:name="_Toc152045535"/>
      <w:bookmarkEnd w:id="91"/>
      <w:bookmarkStart w:id="92" w:name="_Toc152042311"/>
      <w:bookmarkEnd w:id="92"/>
      <w:bookmarkStart w:id="93" w:name="_Toc247527559"/>
      <w:bookmarkEnd w:id="93"/>
      <w:bookmarkStart w:id="94" w:name="_Toc362816485"/>
      <w:bookmarkEnd w:id="94"/>
      <w:bookmarkStart w:id="95" w:name="_Toc357089516"/>
      <w:bookmarkEnd w:id="95"/>
      <w:bookmarkStart w:id="96" w:name="_Toc300834955"/>
      <w:bookmarkEnd w:id="96"/>
      <w:bookmarkStart w:id="97" w:name="_Toc6039"/>
      <w:r>
        <w:rPr>
          <w:rFonts w:ascii="宋体" w:hAnsi="宋体" w:eastAsia="宋体"/>
          <w:b/>
          <w:color w:val="auto"/>
          <w:sz w:val="24"/>
          <w:szCs w:val="24"/>
          <w:highlight w:val="none"/>
        </w:rPr>
        <w:t xml:space="preserve">1.5 </w:t>
      </w:r>
      <w:r>
        <w:rPr>
          <w:rFonts w:hint="eastAsia" w:ascii="宋体" w:hAnsi="宋体" w:eastAsia="宋体"/>
          <w:b/>
          <w:color w:val="auto"/>
          <w:sz w:val="24"/>
          <w:szCs w:val="24"/>
          <w:highlight w:val="none"/>
        </w:rPr>
        <w:t>费用承担和设计成果补偿</w:t>
      </w:r>
      <w:bookmarkEnd w:id="97"/>
    </w:p>
    <w:p w14:paraId="618A5B03">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1.5.1 </w:t>
      </w:r>
      <w:r>
        <w:rPr>
          <w:rFonts w:hint="eastAsia" w:ascii="宋体" w:hAnsi="宋体" w:cs="宋体"/>
          <w:color w:val="auto"/>
          <w:kern w:val="1"/>
          <w:highlight w:val="none"/>
        </w:rPr>
        <w:t>投标人准备和参加投标活动发生的费用自理。</w:t>
      </w:r>
    </w:p>
    <w:p w14:paraId="2F98E513">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1.5.2 </w:t>
      </w:r>
      <w:r>
        <w:rPr>
          <w:rFonts w:hint="eastAsia" w:ascii="宋体" w:hAnsi="宋体" w:cs="宋体"/>
          <w:color w:val="auto"/>
          <w:kern w:val="1"/>
          <w:highlight w:val="none"/>
          <w:u w:val="single"/>
        </w:rPr>
        <w:t>招标人在征得未中标人的同意后有权免费使用未中标人设计成果。</w:t>
      </w:r>
    </w:p>
    <w:p w14:paraId="5FCC33FD">
      <w:pPr>
        <w:pStyle w:val="5"/>
        <w:spacing w:line="360" w:lineRule="auto"/>
        <w:ind w:firstLine="118"/>
        <w:rPr>
          <w:rFonts w:ascii="宋体" w:hAnsi="宋体" w:eastAsia="宋体"/>
          <w:b/>
          <w:color w:val="auto"/>
          <w:sz w:val="24"/>
          <w:szCs w:val="24"/>
          <w:highlight w:val="none"/>
        </w:rPr>
      </w:pPr>
      <w:bookmarkStart w:id="98" w:name="_Toc300834956"/>
      <w:bookmarkEnd w:id="98"/>
      <w:bookmarkStart w:id="99" w:name="_Toc152042312"/>
      <w:bookmarkEnd w:id="99"/>
      <w:bookmarkStart w:id="100" w:name="_Toc357089517"/>
      <w:bookmarkEnd w:id="100"/>
      <w:bookmarkStart w:id="101" w:name="_Toc356469183"/>
      <w:bookmarkEnd w:id="101"/>
      <w:bookmarkStart w:id="102" w:name="_Toc144974504"/>
      <w:bookmarkEnd w:id="102"/>
      <w:bookmarkStart w:id="103" w:name="_Toc247527560"/>
      <w:bookmarkEnd w:id="103"/>
      <w:bookmarkStart w:id="104" w:name="_Toc247513959"/>
      <w:bookmarkEnd w:id="104"/>
      <w:bookmarkStart w:id="105" w:name="_Toc362816486"/>
      <w:bookmarkEnd w:id="105"/>
      <w:bookmarkStart w:id="106" w:name="_Toc152045536"/>
      <w:bookmarkEnd w:id="106"/>
      <w:bookmarkStart w:id="107" w:name="_Toc14071"/>
      <w:r>
        <w:rPr>
          <w:rFonts w:ascii="宋体" w:hAnsi="宋体" w:eastAsia="宋体"/>
          <w:b/>
          <w:color w:val="auto"/>
          <w:sz w:val="24"/>
          <w:szCs w:val="24"/>
          <w:highlight w:val="none"/>
        </w:rPr>
        <w:t xml:space="preserve">1.6 </w:t>
      </w:r>
      <w:r>
        <w:rPr>
          <w:rFonts w:hint="eastAsia" w:ascii="宋体" w:hAnsi="宋体" w:eastAsia="宋体"/>
          <w:b/>
          <w:color w:val="auto"/>
          <w:sz w:val="24"/>
          <w:szCs w:val="24"/>
          <w:highlight w:val="none"/>
        </w:rPr>
        <w:t>保密</w:t>
      </w:r>
      <w:bookmarkEnd w:id="107"/>
    </w:p>
    <w:p w14:paraId="016C150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5928B02D">
      <w:pPr>
        <w:pStyle w:val="5"/>
        <w:spacing w:line="360" w:lineRule="auto"/>
        <w:ind w:firstLine="118"/>
        <w:rPr>
          <w:rFonts w:ascii="宋体" w:hAnsi="宋体" w:eastAsia="宋体"/>
          <w:b/>
          <w:color w:val="auto"/>
          <w:sz w:val="24"/>
          <w:szCs w:val="24"/>
          <w:highlight w:val="none"/>
        </w:rPr>
      </w:pPr>
      <w:bookmarkStart w:id="108" w:name="_Toc357089518"/>
      <w:bookmarkEnd w:id="108"/>
      <w:bookmarkStart w:id="109" w:name="_Toc152045537"/>
      <w:bookmarkEnd w:id="109"/>
      <w:bookmarkStart w:id="110" w:name="_Toc300834957"/>
      <w:bookmarkEnd w:id="110"/>
      <w:bookmarkStart w:id="111" w:name="_Toc247527561"/>
      <w:bookmarkEnd w:id="111"/>
      <w:bookmarkStart w:id="112" w:name="_Toc152042313"/>
      <w:bookmarkEnd w:id="112"/>
      <w:bookmarkStart w:id="113" w:name="_Toc144974505"/>
      <w:bookmarkEnd w:id="113"/>
      <w:bookmarkStart w:id="114" w:name="_Toc247513960"/>
      <w:bookmarkEnd w:id="114"/>
      <w:bookmarkStart w:id="115" w:name="_Toc362816487"/>
      <w:bookmarkEnd w:id="115"/>
      <w:bookmarkStart w:id="116" w:name="_Toc356469184"/>
      <w:bookmarkEnd w:id="116"/>
      <w:bookmarkStart w:id="117" w:name="_Toc29459"/>
      <w:r>
        <w:rPr>
          <w:rFonts w:ascii="宋体" w:hAnsi="宋体" w:eastAsia="宋体"/>
          <w:b/>
          <w:color w:val="auto"/>
          <w:sz w:val="24"/>
          <w:szCs w:val="24"/>
          <w:highlight w:val="none"/>
        </w:rPr>
        <w:t xml:space="preserve">1.7 </w:t>
      </w:r>
      <w:r>
        <w:rPr>
          <w:rFonts w:hint="eastAsia" w:ascii="宋体" w:hAnsi="宋体" w:eastAsia="宋体"/>
          <w:b/>
          <w:color w:val="auto"/>
          <w:sz w:val="24"/>
          <w:szCs w:val="24"/>
          <w:highlight w:val="none"/>
        </w:rPr>
        <w:t>语言文字</w:t>
      </w:r>
      <w:bookmarkEnd w:id="117"/>
    </w:p>
    <w:p w14:paraId="1F10525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31050F57">
      <w:pPr>
        <w:pStyle w:val="5"/>
        <w:spacing w:line="360" w:lineRule="auto"/>
        <w:ind w:firstLine="118"/>
        <w:rPr>
          <w:rFonts w:ascii="宋体" w:hAnsi="宋体" w:eastAsia="宋体"/>
          <w:b/>
          <w:color w:val="auto"/>
          <w:sz w:val="24"/>
          <w:szCs w:val="24"/>
          <w:highlight w:val="none"/>
        </w:rPr>
      </w:pPr>
      <w:bookmarkStart w:id="118" w:name="_Toc247527562"/>
      <w:bookmarkEnd w:id="118"/>
      <w:bookmarkStart w:id="119" w:name="_Toc357089519"/>
      <w:bookmarkEnd w:id="119"/>
      <w:bookmarkStart w:id="120" w:name="_Toc356469185"/>
      <w:bookmarkEnd w:id="120"/>
      <w:bookmarkStart w:id="121" w:name="_Toc362816488"/>
      <w:bookmarkEnd w:id="121"/>
      <w:bookmarkStart w:id="122" w:name="_Toc144974506"/>
      <w:bookmarkEnd w:id="122"/>
      <w:bookmarkStart w:id="123" w:name="_Toc247513961"/>
      <w:bookmarkEnd w:id="123"/>
      <w:bookmarkStart w:id="124" w:name="_Toc300834958"/>
      <w:bookmarkEnd w:id="124"/>
      <w:bookmarkStart w:id="125" w:name="_Toc152042314"/>
      <w:bookmarkEnd w:id="125"/>
      <w:bookmarkStart w:id="126" w:name="_Toc152045538"/>
      <w:bookmarkEnd w:id="126"/>
      <w:bookmarkStart w:id="127" w:name="_Toc4537"/>
      <w:r>
        <w:rPr>
          <w:rFonts w:ascii="宋体" w:hAnsi="宋体" w:eastAsia="宋体"/>
          <w:b/>
          <w:color w:val="auto"/>
          <w:sz w:val="24"/>
          <w:szCs w:val="24"/>
          <w:highlight w:val="none"/>
        </w:rPr>
        <w:t xml:space="preserve">1.8 </w:t>
      </w:r>
      <w:r>
        <w:rPr>
          <w:rFonts w:hint="eastAsia" w:ascii="宋体" w:hAnsi="宋体" w:eastAsia="宋体"/>
          <w:b/>
          <w:color w:val="auto"/>
          <w:sz w:val="24"/>
          <w:szCs w:val="24"/>
          <w:highlight w:val="none"/>
        </w:rPr>
        <w:t>计量单位</w:t>
      </w:r>
      <w:bookmarkEnd w:id="127"/>
    </w:p>
    <w:p w14:paraId="589B9676">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1.8.1 </w:t>
      </w:r>
      <w:r>
        <w:rPr>
          <w:rFonts w:hint="eastAsia" w:ascii="宋体" w:hAnsi="宋体" w:cs="宋体"/>
          <w:color w:val="auto"/>
          <w:kern w:val="1"/>
          <w:highlight w:val="none"/>
        </w:rPr>
        <w:t>所有计量均采用中华人民共和国法定计量单位。</w:t>
      </w:r>
    </w:p>
    <w:p w14:paraId="6F449630">
      <w:pPr>
        <w:spacing w:line="360" w:lineRule="auto"/>
        <w:ind w:firstLine="420"/>
        <w:rPr>
          <w:rFonts w:ascii="宋体" w:hAnsi="宋体" w:cs="宋体"/>
          <w:color w:val="auto"/>
          <w:kern w:val="1"/>
          <w:highlight w:val="none"/>
        </w:rPr>
      </w:pPr>
      <w:r>
        <w:rPr>
          <w:rFonts w:ascii="宋体" w:hAnsi="宋体" w:cs="宋体"/>
          <w:color w:val="auto"/>
          <w:kern w:val="1"/>
          <w:highlight w:val="none"/>
          <w:u w:val="single"/>
        </w:rPr>
        <w:t xml:space="preserve">1.8.2 </w:t>
      </w:r>
      <w:r>
        <w:rPr>
          <w:rFonts w:hint="eastAsia" w:ascii="宋体" w:hAnsi="宋体" w:cs="宋体"/>
          <w:color w:val="auto"/>
          <w:kern w:val="1"/>
          <w:highlight w:val="none"/>
          <w:u w:val="single"/>
        </w:rPr>
        <w:t>本工程投标报价采用的币种为人民币。</w:t>
      </w:r>
    </w:p>
    <w:p w14:paraId="27404F6D">
      <w:pPr>
        <w:pStyle w:val="5"/>
        <w:spacing w:line="360" w:lineRule="auto"/>
        <w:ind w:firstLine="118"/>
        <w:rPr>
          <w:rFonts w:ascii="宋体" w:hAnsi="宋体" w:eastAsia="宋体"/>
          <w:b/>
          <w:color w:val="auto"/>
          <w:sz w:val="24"/>
          <w:szCs w:val="24"/>
          <w:highlight w:val="none"/>
        </w:rPr>
      </w:pPr>
      <w:bookmarkStart w:id="128" w:name="_Toc144974507"/>
      <w:bookmarkEnd w:id="128"/>
      <w:bookmarkStart w:id="129" w:name="_Toc356469186"/>
      <w:bookmarkEnd w:id="129"/>
      <w:bookmarkStart w:id="130" w:name="_Toc247513962"/>
      <w:bookmarkEnd w:id="130"/>
      <w:bookmarkStart w:id="131" w:name="_Toc247527563"/>
      <w:bookmarkEnd w:id="131"/>
      <w:bookmarkStart w:id="132" w:name="_Toc362816489"/>
      <w:bookmarkEnd w:id="132"/>
      <w:bookmarkStart w:id="133" w:name="_Toc152045539"/>
      <w:bookmarkEnd w:id="133"/>
      <w:bookmarkStart w:id="134" w:name="_Toc152042315"/>
      <w:bookmarkEnd w:id="134"/>
      <w:bookmarkStart w:id="135" w:name="_Toc357089520"/>
      <w:bookmarkEnd w:id="135"/>
      <w:bookmarkStart w:id="136" w:name="_Toc300834959"/>
      <w:bookmarkEnd w:id="136"/>
      <w:bookmarkStart w:id="137" w:name="_Toc6090"/>
      <w:r>
        <w:rPr>
          <w:rFonts w:ascii="宋体" w:hAnsi="宋体" w:eastAsia="宋体"/>
          <w:b/>
          <w:color w:val="auto"/>
          <w:sz w:val="24"/>
          <w:szCs w:val="24"/>
          <w:highlight w:val="none"/>
        </w:rPr>
        <w:t xml:space="preserve">1.9 </w:t>
      </w:r>
      <w:r>
        <w:rPr>
          <w:rFonts w:hint="eastAsia" w:ascii="宋体" w:hAnsi="宋体" w:eastAsia="宋体"/>
          <w:b/>
          <w:color w:val="auto"/>
          <w:sz w:val="24"/>
          <w:szCs w:val="24"/>
          <w:highlight w:val="none"/>
        </w:rPr>
        <w:t>踏勘现场</w:t>
      </w:r>
      <w:bookmarkEnd w:id="137"/>
    </w:p>
    <w:p w14:paraId="7DFC3C34">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1.9.1 </w:t>
      </w:r>
      <w:r>
        <w:rPr>
          <w:rFonts w:hint="eastAsia" w:ascii="宋体" w:hAnsi="宋体" w:cs="宋体"/>
          <w:color w:val="auto"/>
          <w:kern w:val="1"/>
          <w:highlight w:val="none"/>
        </w:rPr>
        <w:t xml:space="preserve">投标人须知前附表规定组织踏勘现场的，招标人按投标人须知前附表规定的时间、地点组织投标人踏勘项目现场。 </w:t>
      </w:r>
    </w:p>
    <w:p w14:paraId="5BB4D6F7">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1.9.2 </w:t>
      </w:r>
      <w:r>
        <w:rPr>
          <w:rFonts w:hint="eastAsia" w:ascii="宋体" w:hAnsi="宋体" w:cs="宋体"/>
          <w:color w:val="auto"/>
          <w:kern w:val="1"/>
          <w:highlight w:val="none"/>
        </w:rPr>
        <w:t>投标人踏勘现场发生的费用自理。</w:t>
      </w:r>
    </w:p>
    <w:p w14:paraId="48D593B5">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1.9.3 </w:t>
      </w:r>
      <w:r>
        <w:rPr>
          <w:rFonts w:hint="eastAsia" w:ascii="宋体" w:hAnsi="宋体" w:cs="宋体"/>
          <w:color w:val="auto"/>
          <w:kern w:val="1"/>
          <w:highlight w:val="none"/>
        </w:rPr>
        <w:t>除招标人的原因外，投标人自行负责在踏勘现场中所发生的人员伤亡和财产损失。</w:t>
      </w:r>
    </w:p>
    <w:p w14:paraId="04B139FE">
      <w:pPr>
        <w:spacing w:line="360" w:lineRule="auto"/>
        <w:ind w:firstLine="420"/>
        <w:rPr>
          <w:rFonts w:ascii="宋体" w:hAnsi="宋体" w:cs="宋体"/>
          <w:color w:val="auto"/>
          <w:kern w:val="1"/>
          <w:highlight w:val="none"/>
        </w:rPr>
      </w:pPr>
      <w:r>
        <w:rPr>
          <w:rFonts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4CB597C8">
      <w:pPr>
        <w:pStyle w:val="5"/>
        <w:spacing w:line="360" w:lineRule="auto"/>
        <w:ind w:firstLine="118"/>
        <w:rPr>
          <w:rFonts w:ascii="宋体" w:hAnsi="宋体" w:eastAsia="宋体"/>
          <w:b/>
          <w:color w:val="auto"/>
          <w:sz w:val="24"/>
          <w:szCs w:val="24"/>
          <w:highlight w:val="none"/>
        </w:rPr>
      </w:pPr>
      <w:bookmarkStart w:id="138" w:name="_Toc152042316"/>
      <w:bookmarkEnd w:id="138"/>
      <w:bookmarkStart w:id="139" w:name="_Toc300834960"/>
      <w:bookmarkEnd w:id="139"/>
      <w:bookmarkStart w:id="140" w:name="_Toc144974508"/>
      <w:bookmarkEnd w:id="140"/>
      <w:bookmarkStart w:id="141" w:name="_Toc356469187"/>
      <w:bookmarkEnd w:id="141"/>
      <w:bookmarkStart w:id="142" w:name="_Toc247513963"/>
      <w:bookmarkEnd w:id="142"/>
      <w:bookmarkStart w:id="143" w:name="_Toc357089521"/>
      <w:bookmarkEnd w:id="143"/>
      <w:bookmarkStart w:id="144" w:name="_Toc362816490"/>
      <w:bookmarkEnd w:id="144"/>
      <w:bookmarkStart w:id="145" w:name="_Toc152045540"/>
      <w:bookmarkEnd w:id="145"/>
      <w:bookmarkStart w:id="146" w:name="_Toc247527564"/>
      <w:bookmarkEnd w:id="146"/>
      <w:bookmarkStart w:id="147" w:name="_Toc3776"/>
      <w:r>
        <w:rPr>
          <w:rFonts w:ascii="宋体" w:hAnsi="宋体" w:eastAsia="宋体"/>
          <w:b/>
          <w:color w:val="auto"/>
          <w:sz w:val="24"/>
          <w:szCs w:val="24"/>
          <w:highlight w:val="none"/>
        </w:rPr>
        <w:t xml:space="preserve">1.10 </w:t>
      </w:r>
      <w:r>
        <w:rPr>
          <w:rFonts w:hint="eastAsia" w:ascii="宋体" w:hAnsi="宋体" w:eastAsia="宋体"/>
          <w:b/>
          <w:color w:val="auto"/>
          <w:sz w:val="24"/>
          <w:szCs w:val="24"/>
          <w:highlight w:val="none"/>
        </w:rPr>
        <w:t>投标预备会</w:t>
      </w:r>
      <w:bookmarkEnd w:id="147"/>
    </w:p>
    <w:p w14:paraId="0117DBD6">
      <w:pPr>
        <w:spacing w:line="360" w:lineRule="auto"/>
        <w:ind w:firstLine="420"/>
        <w:rPr>
          <w:rFonts w:ascii="宋体" w:hAnsi="宋体" w:cs="宋体"/>
          <w:color w:val="auto"/>
          <w:kern w:val="1"/>
          <w:highlight w:val="none"/>
        </w:rPr>
      </w:pPr>
      <w:r>
        <w:rPr>
          <w:rFonts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w:t>
      </w:r>
      <w:r>
        <w:rPr>
          <w:rFonts w:ascii="宋体" w:hAnsi="宋体" w:cs="宋体"/>
          <w:color w:val="auto"/>
          <w:szCs w:val="21"/>
          <w:highlight w:val="none"/>
          <w:u w:val="single"/>
        </w:rPr>
        <w:t>1.10.2</w:t>
      </w:r>
      <w:r>
        <w:rPr>
          <w:rFonts w:hint="eastAsia" w:ascii="宋体" w:hAnsi="宋体" w:cs="宋体"/>
          <w:color w:val="auto"/>
          <w:szCs w:val="21"/>
          <w:highlight w:val="none"/>
          <w:u w:val="single"/>
        </w:rPr>
        <w:t>规定的时间内，通过登录广州公共资源交易中心网站交易系统将问题提交给招标人或招标代理人。</w:t>
      </w:r>
    </w:p>
    <w:p w14:paraId="1346B93A">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1.10.2 </w:t>
      </w:r>
      <w:r>
        <w:rPr>
          <w:rFonts w:hint="eastAsia" w:ascii="宋体" w:hAnsi="宋体" w:cs="宋体"/>
          <w:color w:val="auto"/>
          <w:kern w:val="1"/>
          <w:highlight w:val="none"/>
          <w:u w:val="single"/>
        </w:rPr>
        <w:t>招标答疑方式按投标人须知前附表规定。</w:t>
      </w:r>
    </w:p>
    <w:p w14:paraId="7FC21CF1">
      <w:pPr>
        <w:pStyle w:val="5"/>
        <w:spacing w:line="360" w:lineRule="auto"/>
        <w:ind w:firstLine="118"/>
        <w:rPr>
          <w:rFonts w:ascii="宋体" w:hAnsi="宋体" w:eastAsia="宋体"/>
          <w:b/>
          <w:color w:val="auto"/>
          <w:sz w:val="24"/>
          <w:szCs w:val="24"/>
          <w:highlight w:val="none"/>
        </w:rPr>
      </w:pPr>
      <w:bookmarkStart w:id="148" w:name="_Toc362816491"/>
      <w:bookmarkEnd w:id="148"/>
      <w:bookmarkStart w:id="149" w:name="_Toc152042317"/>
      <w:bookmarkEnd w:id="149"/>
      <w:bookmarkStart w:id="150" w:name="_Toc144974509"/>
      <w:bookmarkEnd w:id="150"/>
      <w:bookmarkStart w:id="151" w:name="_Toc356469188"/>
      <w:bookmarkEnd w:id="151"/>
      <w:bookmarkStart w:id="152" w:name="_Toc300834961"/>
      <w:bookmarkEnd w:id="152"/>
      <w:bookmarkStart w:id="153" w:name="_Toc247513964"/>
      <w:bookmarkEnd w:id="153"/>
      <w:bookmarkStart w:id="154" w:name="_Toc152045541"/>
      <w:bookmarkEnd w:id="154"/>
      <w:bookmarkStart w:id="155" w:name="_Toc247527565"/>
      <w:bookmarkEnd w:id="155"/>
      <w:bookmarkStart w:id="156" w:name="_Toc357089522"/>
      <w:bookmarkEnd w:id="156"/>
      <w:bookmarkStart w:id="157" w:name="_Toc16591"/>
      <w:r>
        <w:rPr>
          <w:rFonts w:ascii="宋体" w:hAnsi="宋体" w:eastAsia="宋体"/>
          <w:b/>
          <w:color w:val="auto"/>
          <w:sz w:val="24"/>
          <w:szCs w:val="24"/>
          <w:highlight w:val="none"/>
        </w:rPr>
        <w:t xml:space="preserve">1.11 </w:t>
      </w:r>
      <w:r>
        <w:rPr>
          <w:rFonts w:hint="eastAsia" w:ascii="宋体" w:hAnsi="宋体" w:eastAsia="宋体"/>
          <w:b/>
          <w:color w:val="auto"/>
          <w:sz w:val="24"/>
          <w:szCs w:val="24"/>
          <w:highlight w:val="none"/>
        </w:rPr>
        <w:t>分包</w:t>
      </w:r>
      <w:bookmarkEnd w:id="157"/>
    </w:p>
    <w:p w14:paraId="7A4AC940">
      <w:pPr>
        <w:spacing w:line="360" w:lineRule="auto"/>
        <w:ind w:firstLine="420" w:firstLineChars="200"/>
        <w:rPr>
          <w:rFonts w:ascii="宋体" w:hAnsi="宋体" w:cs="宋体"/>
          <w:color w:val="auto"/>
          <w:kern w:val="1"/>
          <w:highlight w:val="none"/>
        </w:rPr>
      </w:pPr>
      <w:r>
        <w:rPr>
          <w:rFonts w:ascii="宋体" w:hAnsi="宋体" w:cs="宋体"/>
          <w:color w:val="auto"/>
          <w:kern w:val="1"/>
          <w:highlight w:val="none"/>
        </w:rPr>
        <w:t xml:space="preserve">1.11.1 </w:t>
      </w:r>
      <w:r>
        <w:rPr>
          <w:rFonts w:hint="eastAsia" w:ascii="宋体" w:hAnsi="宋体" w:cs="宋体"/>
          <w:color w:val="auto"/>
          <w:kern w:val="1"/>
          <w:highlight w:val="none"/>
        </w:rPr>
        <w:t>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5B859DBE">
      <w:pPr>
        <w:spacing w:line="360" w:lineRule="auto"/>
        <w:ind w:firstLine="420" w:firstLineChars="200"/>
        <w:rPr>
          <w:rFonts w:ascii="宋体" w:hAnsi="宋体" w:cs="宋体"/>
          <w:color w:val="auto"/>
          <w:kern w:val="1"/>
          <w:highlight w:val="none"/>
        </w:rPr>
      </w:pPr>
      <w:r>
        <w:rPr>
          <w:rFonts w:ascii="宋体" w:hAnsi="宋体" w:cs="宋体"/>
          <w:color w:val="auto"/>
          <w:kern w:val="1"/>
          <w:highlight w:val="none"/>
        </w:rPr>
        <w:t xml:space="preserve">1.11.2 </w:t>
      </w:r>
      <w:r>
        <w:rPr>
          <w:rFonts w:hint="eastAsia" w:ascii="宋体" w:hAnsi="宋体" w:cs="宋体"/>
          <w:color w:val="auto"/>
          <w:kern w:val="1"/>
          <w:highlight w:val="none"/>
        </w:rPr>
        <w:t>招标人允许投标人在中标后将中标项目的部分非主体、非关键性工作进行分包的，应符合投标人须知前附表规定的分包内容、资质要求等限制性条件。</w:t>
      </w:r>
    </w:p>
    <w:p w14:paraId="70CF039E">
      <w:pPr>
        <w:pStyle w:val="5"/>
        <w:spacing w:line="360" w:lineRule="auto"/>
        <w:ind w:firstLine="118"/>
        <w:rPr>
          <w:rFonts w:ascii="宋体" w:hAnsi="宋体" w:eastAsia="宋体"/>
          <w:b/>
          <w:color w:val="auto"/>
          <w:sz w:val="24"/>
          <w:szCs w:val="24"/>
          <w:highlight w:val="none"/>
        </w:rPr>
      </w:pPr>
      <w:bookmarkStart w:id="158" w:name="_Toc356469189"/>
      <w:bookmarkEnd w:id="158"/>
      <w:bookmarkStart w:id="159" w:name="_Toc247527566"/>
      <w:bookmarkEnd w:id="159"/>
      <w:bookmarkStart w:id="160" w:name="_Toc247513965"/>
      <w:bookmarkEnd w:id="160"/>
      <w:bookmarkStart w:id="161" w:name="_Toc300834962"/>
      <w:bookmarkEnd w:id="161"/>
      <w:bookmarkStart w:id="162" w:name="_Toc357089523"/>
      <w:bookmarkEnd w:id="162"/>
      <w:bookmarkStart w:id="163" w:name="_Toc362816492"/>
      <w:bookmarkEnd w:id="163"/>
      <w:bookmarkStart w:id="164" w:name="_Toc3706"/>
      <w:r>
        <w:rPr>
          <w:rFonts w:ascii="宋体" w:hAnsi="宋体" w:eastAsia="宋体"/>
          <w:b/>
          <w:color w:val="auto"/>
          <w:sz w:val="24"/>
          <w:szCs w:val="24"/>
          <w:highlight w:val="none"/>
        </w:rPr>
        <w:t xml:space="preserve">1.12 </w:t>
      </w:r>
      <w:r>
        <w:rPr>
          <w:rFonts w:hint="eastAsia" w:ascii="宋体" w:hAnsi="宋体" w:eastAsia="宋体"/>
          <w:b/>
          <w:color w:val="auto"/>
          <w:sz w:val="24"/>
          <w:szCs w:val="24"/>
          <w:highlight w:val="none"/>
        </w:rPr>
        <w:t>偏离</w:t>
      </w:r>
      <w:bookmarkEnd w:id="164"/>
    </w:p>
    <w:p w14:paraId="0BAACDE2">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31A5FA31">
      <w:pPr>
        <w:pStyle w:val="4"/>
        <w:spacing w:line="360" w:lineRule="auto"/>
        <w:rPr>
          <w:rFonts w:ascii="宋体" w:hAnsi="宋体" w:eastAsia="宋体" w:cs="宋体"/>
          <w:color w:val="auto"/>
          <w:highlight w:val="none"/>
          <w:lang w:val="zh-CN"/>
        </w:rPr>
      </w:pPr>
      <w:bookmarkStart w:id="165" w:name="_Toc362816493"/>
      <w:bookmarkEnd w:id="165"/>
      <w:bookmarkStart w:id="166" w:name="_Toc357089524"/>
      <w:bookmarkEnd w:id="166"/>
      <w:bookmarkStart w:id="167" w:name="_Toc152045542"/>
      <w:bookmarkEnd w:id="167"/>
      <w:bookmarkStart w:id="168" w:name="_Toc152042318"/>
      <w:bookmarkEnd w:id="168"/>
      <w:bookmarkStart w:id="169" w:name="_Toc247513966"/>
      <w:bookmarkEnd w:id="169"/>
      <w:bookmarkStart w:id="170" w:name="_Toc144974510"/>
      <w:bookmarkEnd w:id="170"/>
      <w:bookmarkStart w:id="171" w:name="_Toc247527567"/>
      <w:bookmarkEnd w:id="171"/>
      <w:bookmarkStart w:id="172" w:name="_Toc300834963"/>
      <w:bookmarkEnd w:id="172"/>
      <w:bookmarkStart w:id="173" w:name="_Toc25799"/>
      <w:bookmarkEnd w:id="173"/>
      <w:bookmarkStart w:id="174" w:name="_Toc443505823"/>
      <w:bookmarkEnd w:id="174"/>
      <w:bookmarkStart w:id="175" w:name="_Toc23951"/>
      <w:bookmarkEnd w:id="175"/>
      <w:bookmarkStart w:id="176" w:name="_Toc15458"/>
      <w:bookmarkStart w:id="177" w:name="_Toc5620309"/>
      <w:bookmarkStart w:id="178" w:name="_Toc16351"/>
      <w:r>
        <w:rPr>
          <w:rFonts w:ascii="宋体" w:hAnsi="宋体" w:eastAsia="宋体" w:cs="宋体"/>
          <w:color w:val="auto"/>
          <w:highlight w:val="none"/>
          <w:lang w:val="zh-CN"/>
        </w:rPr>
        <w:t>2.</w:t>
      </w:r>
      <w:bookmarkEnd w:id="176"/>
      <w:bookmarkEnd w:id="177"/>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招标文件</w:t>
      </w:r>
      <w:bookmarkEnd w:id="178"/>
    </w:p>
    <w:p w14:paraId="069906DB">
      <w:pPr>
        <w:pStyle w:val="5"/>
        <w:spacing w:line="360" w:lineRule="auto"/>
        <w:ind w:firstLine="118"/>
        <w:rPr>
          <w:rFonts w:ascii="宋体" w:hAnsi="宋体" w:eastAsia="宋体"/>
          <w:b/>
          <w:color w:val="auto"/>
          <w:sz w:val="24"/>
          <w:szCs w:val="24"/>
          <w:highlight w:val="none"/>
        </w:rPr>
      </w:pPr>
      <w:bookmarkStart w:id="179" w:name="_Toc247513967"/>
      <w:bookmarkEnd w:id="179"/>
      <w:bookmarkStart w:id="180" w:name="_Toc144974511"/>
      <w:bookmarkEnd w:id="180"/>
      <w:bookmarkStart w:id="181" w:name="_Toc152045543"/>
      <w:bookmarkEnd w:id="181"/>
      <w:bookmarkStart w:id="182" w:name="_Toc300834964"/>
      <w:bookmarkEnd w:id="182"/>
      <w:bookmarkStart w:id="183" w:name="_Toc362816494"/>
      <w:bookmarkEnd w:id="183"/>
      <w:bookmarkStart w:id="184" w:name="_Toc357089525"/>
      <w:bookmarkEnd w:id="184"/>
      <w:bookmarkStart w:id="185" w:name="_Toc152042319"/>
      <w:bookmarkEnd w:id="185"/>
      <w:bookmarkStart w:id="186" w:name="_Toc247527568"/>
      <w:bookmarkEnd w:id="186"/>
      <w:bookmarkStart w:id="187" w:name="_Toc356469191"/>
      <w:bookmarkEnd w:id="187"/>
      <w:bookmarkStart w:id="188" w:name="_Toc19119"/>
      <w:r>
        <w:rPr>
          <w:rFonts w:ascii="宋体" w:hAnsi="宋体" w:eastAsia="宋体"/>
          <w:b/>
          <w:color w:val="auto"/>
          <w:sz w:val="24"/>
          <w:szCs w:val="24"/>
          <w:highlight w:val="none"/>
        </w:rPr>
        <w:t xml:space="preserve">2.1 </w:t>
      </w:r>
      <w:r>
        <w:rPr>
          <w:rFonts w:hint="eastAsia" w:ascii="宋体" w:hAnsi="宋体" w:eastAsia="宋体"/>
          <w:b/>
          <w:color w:val="auto"/>
          <w:sz w:val="24"/>
          <w:szCs w:val="24"/>
          <w:highlight w:val="none"/>
        </w:rPr>
        <w:t>招标文件的组成</w:t>
      </w:r>
      <w:bookmarkEnd w:id="188"/>
    </w:p>
    <w:p w14:paraId="35146F11">
      <w:pPr>
        <w:spacing w:line="360" w:lineRule="auto"/>
        <w:ind w:firstLine="359"/>
        <w:rPr>
          <w:rFonts w:ascii="宋体" w:hAnsi="宋体" w:cs="宋体"/>
          <w:color w:val="auto"/>
          <w:kern w:val="1"/>
          <w:highlight w:val="none"/>
        </w:rPr>
      </w:pPr>
      <w:r>
        <w:rPr>
          <w:rFonts w:ascii="宋体" w:hAnsi="宋体" w:cs="宋体"/>
          <w:color w:val="auto"/>
          <w:kern w:val="1"/>
          <w:highlight w:val="none"/>
        </w:rPr>
        <w:t>2.1.1</w:t>
      </w:r>
      <w:r>
        <w:rPr>
          <w:rFonts w:hint="eastAsia" w:ascii="宋体" w:hAnsi="宋体" w:cs="宋体"/>
          <w:color w:val="auto"/>
          <w:kern w:val="1"/>
          <w:highlight w:val="none"/>
        </w:rPr>
        <w:t>本招标文件包括：</w:t>
      </w:r>
    </w:p>
    <w:p w14:paraId="4107D571">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1</w:t>
      </w:r>
      <w:r>
        <w:rPr>
          <w:rFonts w:hint="eastAsia" w:ascii="宋体" w:hAnsi="宋体" w:cs="宋体"/>
          <w:color w:val="auto"/>
          <w:kern w:val="1"/>
          <w:highlight w:val="none"/>
        </w:rPr>
        <w:t>）招标公告；</w:t>
      </w:r>
    </w:p>
    <w:p w14:paraId="0D75C6A6">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2</w:t>
      </w:r>
      <w:r>
        <w:rPr>
          <w:rFonts w:hint="eastAsia" w:ascii="宋体" w:hAnsi="宋体" w:cs="宋体"/>
          <w:color w:val="auto"/>
          <w:kern w:val="1"/>
          <w:highlight w:val="none"/>
        </w:rPr>
        <w:t>）投标人须知；</w:t>
      </w:r>
    </w:p>
    <w:p w14:paraId="70FC7E7F">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3</w:t>
      </w:r>
      <w:r>
        <w:rPr>
          <w:rFonts w:hint="eastAsia" w:ascii="宋体" w:hAnsi="宋体" w:cs="宋体"/>
          <w:color w:val="auto"/>
          <w:kern w:val="1"/>
          <w:highlight w:val="none"/>
        </w:rPr>
        <w:t>）评标办法；</w:t>
      </w:r>
    </w:p>
    <w:p w14:paraId="356D42F2">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4</w:t>
      </w:r>
      <w:r>
        <w:rPr>
          <w:rFonts w:hint="eastAsia" w:ascii="宋体" w:hAnsi="宋体" w:cs="宋体"/>
          <w:color w:val="auto"/>
          <w:kern w:val="1"/>
          <w:highlight w:val="none"/>
        </w:rPr>
        <w:t>）合同条款及格式；</w:t>
      </w:r>
    </w:p>
    <w:p w14:paraId="4269A66E">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5</w:t>
      </w:r>
      <w:r>
        <w:rPr>
          <w:rFonts w:hint="eastAsia" w:ascii="宋体" w:hAnsi="宋体" w:cs="宋体"/>
          <w:color w:val="auto"/>
          <w:kern w:val="1"/>
          <w:highlight w:val="none"/>
        </w:rPr>
        <w:t>）</w:t>
      </w:r>
      <w:r>
        <w:rPr>
          <w:rFonts w:hint="eastAsia" w:ascii="宋体" w:hAnsi="宋体" w:cs="宋体"/>
          <w:color w:val="auto"/>
          <w:kern w:val="1"/>
          <w:highlight w:val="none"/>
          <w:u w:val="single"/>
        </w:rPr>
        <w:t>招标人要求</w:t>
      </w:r>
      <w:r>
        <w:rPr>
          <w:rFonts w:hint="eastAsia" w:ascii="宋体" w:hAnsi="宋体" w:cs="宋体"/>
          <w:color w:val="auto"/>
          <w:kern w:val="1"/>
          <w:highlight w:val="none"/>
        </w:rPr>
        <w:t>；</w:t>
      </w:r>
    </w:p>
    <w:p w14:paraId="40F5D90E">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6</w:t>
      </w:r>
      <w:r>
        <w:rPr>
          <w:rFonts w:hint="eastAsia" w:ascii="宋体" w:hAnsi="宋体" w:cs="宋体"/>
          <w:color w:val="auto"/>
          <w:kern w:val="1"/>
          <w:highlight w:val="none"/>
        </w:rPr>
        <w:t>）</w:t>
      </w:r>
      <w:r>
        <w:rPr>
          <w:rFonts w:hint="eastAsia" w:ascii="宋体" w:hAnsi="宋体" w:cs="宋体"/>
          <w:color w:val="auto"/>
          <w:kern w:val="1"/>
          <w:highlight w:val="none"/>
          <w:u w:val="single"/>
        </w:rPr>
        <w:t>招标人提供的资料</w:t>
      </w:r>
      <w:r>
        <w:rPr>
          <w:rFonts w:hint="eastAsia" w:ascii="宋体" w:hAnsi="宋体" w:cs="宋体"/>
          <w:color w:val="auto"/>
          <w:kern w:val="1"/>
          <w:highlight w:val="none"/>
        </w:rPr>
        <w:t>；</w:t>
      </w:r>
    </w:p>
    <w:p w14:paraId="154DA834">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7</w:t>
      </w:r>
      <w:r>
        <w:rPr>
          <w:rFonts w:hint="eastAsia" w:ascii="宋体" w:hAnsi="宋体" w:cs="宋体"/>
          <w:color w:val="auto"/>
          <w:kern w:val="1"/>
          <w:highlight w:val="none"/>
        </w:rPr>
        <w:t>）投标文件格式；</w:t>
      </w:r>
    </w:p>
    <w:p w14:paraId="7F1ED400">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w:t>
      </w:r>
      <w:r>
        <w:rPr>
          <w:rFonts w:ascii="宋体" w:hAnsi="宋体" w:cs="宋体"/>
          <w:color w:val="auto"/>
          <w:kern w:val="1"/>
          <w:highlight w:val="none"/>
        </w:rPr>
        <w:t>8</w:t>
      </w:r>
      <w:r>
        <w:rPr>
          <w:rFonts w:hint="eastAsia" w:ascii="宋体" w:hAnsi="宋体" w:cs="宋体"/>
          <w:color w:val="auto"/>
          <w:kern w:val="1"/>
          <w:highlight w:val="none"/>
        </w:rPr>
        <w:t>）</w:t>
      </w:r>
      <w:r>
        <w:rPr>
          <w:rFonts w:hint="eastAsia" w:ascii="宋体" w:hAnsi="宋体" w:cs="宋体"/>
          <w:color w:val="auto"/>
          <w:kern w:val="1"/>
          <w:highlight w:val="none"/>
          <w:u w:val="single"/>
        </w:rPr>
        <w:t>招标控制价细项汇总表</w:t>
      </w:r>
      <w:r>
        <w:rPr>
          <w:rFonts w:hint="eastAsia" w:ascii="宋体" w:hAnsi="宋体" w:cs="宋体"/>
          <w:color w:val="auto"/>
          <w:kern w:val="1"/>
          <w:highlight w:val="none"/>
        </w:rPr>
        <w:t>。</w:t>
      </w:r>
    </w:p>
    <w:p w14:paraId="455FC194">
      <w:pPr>
        <w:spacing w:line="360" w:lineRule="auto"/>
        <w:ind w:firstLine="359"/>
        <w:rPr>
          <w:rFonts w:ascii="宋体" w:hAnsi="宋体" w:cs="宋体"/>
          <w:color w:val="auto"/>
          <w:kern w:val="1"/>
          <w:highlight w:val="none"/>
        </w:rPr>
      </w:pPr>
      <w:r>
        <w:rPr>
          <w:rFonts w:ascii="宋体" w:hAnsi="宋体" w:cs="宋体"/>
          <w:color w:val="auto"/>
          <w:kern w:val="1"/>
          <w:highlight w:val="none"/>
        </w:rPr>
        <w:t>2.1.2</w:t>
      </w:r>
      <w:r>
        <w:rPr>
          <w:rFonts w:hint="eastAsia" w:ascii="宋体" w:hAnsi="宋体" w:cs="宋体"/>
          <w:color w:val="auto"/>
          <w:kern w:val="1"/>
          <w:highlight w:val="none"/>
        </w:rPr>
        <w:t>根据本章第</w:t>
      </w:r>
      <w:r>
        <w:rPr>
          <w:rFonts w:ascii="宋体" w:hAnsi="宋体" w:cs="宋体"/>
          <w:color w:val="auto"/>
          <w:kern w:val="1"/>
          <w:highlight w:val="none"/>
        </w:rPr>
        <w:t>1.10</w:t>
      </w:r>
      <w:r>
        <w:rPr>
          <w:rFonts w:hint="eastAsia" w:ascii="宋体" w:hAnsi="宋体" w:cs="宋体"/>
          <w:color w:val="auto"/>
          <w:kern w:val="1"/>
          <w:highlight w:val="none"/>
        </w:rPr>
        <w:t>款、第</w:t>
      </w:r>
      <w:r>
        <w:rPr>
          <w:rFonts w:ascii="宋体" w:hAnsi="宋体" w:cs="宋体"/>
          <w:color w:val="auto"/>
          <w:kern w:val="1"/>
          <w:highlight w:val="none"/>
        </w:rPr>
        <w:t>2.2</w:t>
      </w:r>
      <w:r>
        <w:rPr>
          <w:rFonts w:hint="eastAsia" w:ascii="宋体" w:hAnsi="宋体" w:cs="宋体"/>
          <w:color w:val="auto"/>
          <w:kern w:val="1"/>
          <w:highlight w:val="none"/>
        </w:rPr>
        <w:t>款和第</w:t>
      </w:r>
      <w:r>
        <w:rPr>
          <w:rFonts w:ascii="宋体" w:hAnsi="宋体" w:cs="宋体"/>
          <w:color w:val="auto"/>
          <w:kern w:val="1"/>
          <w:highlight w:val="none"/>
        </w:rPr>
        <w:t>2.3</w:t>
      </w:r>
      <w:r>
        <w:rPr>
          <w:rFonts w:hint="eastAsia" w:ascii="宋体" w:hAnsi="宋体" w:cs="宋体"/>
          <w:color w:val="auto"/>
          <w:kern w:val="1"/>
          <w:highlight w:val="none"/>
        </w:rPr>
        <w:t>款对招标文件所作的澄清、修改，构成招标文件的组成部分。</w:t>
      </w:r>
    </w:p>
    <w:p w14:paraId="574AAC1B">
      <w:pPr>
        <w:pStyle w:val="5"/>
        <w:spacing w:line="360" w:lineRule="auto"/>
        <w:ind w:firstLine="118"/>
        <w:rPr>
          <w:rFonts w:ascii="宋体" w:hAnsi="宋体" w:eastAsia="宋体"/>
          <w:b/>
          <w:color w:val="auto"/>
          <w:sz w:val="24"/>
          <w:szCs w:val="24"/>
          <w:highlight w:val="none"/>
        </w:rPr>
      </w:pPr>
      <w:bookmarkStart w:id="189" w:name="_Toc144974512"/>
      <w:bookmarkEnd w:id="189"/>
      <w:bookmarkStart w:id="190" w:name="_Toc247527569"/>
      <w:bookmarkEnd w:id="190"/>
      <w:bookmarkStart w:id="191" w:name="_Toc356469192"/>
      <w:bookmarkEnd w:id="191"/>
      <w:bookmarkStart w:id="192" w:name="_Toc357089526"/>
      <w:bookmarkEnd w:id="192"/>
      <w:bookmarkStart w:id="193" w:name="_Toc247513968"/>
      <w:bookmarkEnd w:id="193"/>
      <w:bookmarkStart w:id="194" w:name="_Toc300834965"/>
      <w:bookmarkEnd w:id="194"/>
      <w:bookmarkStart w:id="195" w:name="_Toc152042320"/>
      <w:bookmarkEnd w:id="195"/>
      <w:bookmarkStart w:id="196" w:name="_Toc362816495"/>
      <w:bookmarkEnd w:id="196"/>
      <w:bookmarkStart w:id="197" w:name="_Toc152045544"/>
      <w:bookmarkEnd w:id="197"/>
      <w:bookmarkStart w:id="198" w:name="_Toc17077"/>
      <w:r>
        <w:rPr>
          <w:rFonts w:ascii="宋体" w:hAnsi="宋体" w:eastAsia="宋体"/>
          <w:b/>
          <w:color w:val="auto"/>
          <w:sz w:val="24"/>
          <w:szCs w:val="24"/>
          <w:highlight w:val="none"/>
        </w:rPr>
        <w:t xml:space="preserve">2.2 </w:t>
      </w:r>
      <w:r>
        <w:rPr>
          <w:rFonts w:hint="eastAsia" w:ascii="宋体" w:hAnsi="宋体" w:eastAsia="宋体"/>
          <w:b/>
          <w:color w:val="auto"/>
          <w:sz w:val="24"/>
          <w:szCs w:val="24"/>
          <w:highlight w:val="none"/>
        </w:rPr>
        <w:t>招标文件的澄清</w:t>
      </w:r>
      <w:bookmarkEnd w:id="198"/>
    </w:p>
    <w:p w14:paraId="156DFA0A">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2.2.1 </w:t>
      </w:r>
      <w:r>
        <w:rPr>
          <w:rFonts w:hint="eastAsia" w:ascii="宋体" w:hAnsi="宋体" w:cs="宋体"/>
          <w:color w:val="auto"/>
          <w:kern w:val="1"/>
          <w:szCs w:val="21"/>
          <w:highlight w:val="none"/>
        </w:rPr>
        <w:t>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如有疑问，可在投标人须知前附表规定的时间内通过广州公共资源交易中心网站交易系统将问题提交给招标人或招标代理人。</w:t>
      </w:r>
    </w:p>
    <w:p w14:paraId="4C199A74">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网上答疑的操作指南为：登陆广州公共资源交易中心网站交易系统→进入“我的投标”专区→进入“招标答疑”选项→通过项目编号或名称找到所需的项目→在答疑时间内点击“答疑提问</w:t>
      </w:r>
      <w:r>
        <w:rPr>
          <w:rFonts w:ascii="宋体" w:hAnsi="宋体" w:cs="宋体"/>
          <w:color w:val="auto"/>
          <w:kern w:val="1"/>
          <w:szCs w:val="21"/>
          <w:highlight w:val="none"/>
          <w:u w:val="single"/>
        </w:rPr>
        <w:t>-</w:t>
      </w:r>
      <w:r>
        <w:rPr>
          <w:rFonts w:hint="eastAsia" w:ascii="宋体" w:hAnsi="宋体" w:cs="宋体"/>
          <w:color w:val="auto"/>
          <w:kern w:val="1"/>
          <w:szCs w:val="21"/>
          <w:highlight w:val="none"/>
          <w:u w:val="single"/>
        </w:rPr>
        <w:t>新增提问”→提出问题</w:t>
      </w:r>
      <w:r>
        <w:rPr>
          <w:rFonts w:ascii="宋体" w:hAnsi="宋体" w:cs="宋体"/>
          <w:color w:val="auto"/>
          <w:kern w:val="1"/>
          <w:szCs w:val="21"/>
          <w:highlight w:val="none"/>
          <w:u w:val="single"/>
        </w:rPr>
        <w:t>(</w:t>
      </w:r>
      <w:r>
        <w:rPr>
          <w:rFonts w:hint="eastAsia" w:ascii="宋体" w:hAnsi="宋体" w:cs="宋体"/>
          <w:color w:val="auto"/>
          <w:kern w:val="1"/>
          <w:szCs w:val="21"/>
          <w:highlight w:val="none"/>
          <w:u w:val="single"/>
        </w:rPr>
        <w:t>提问一律不得署名</w:t>
      </w:r>
      <w:r>
        <w:rPr>
          <w:rFonts w:ascii="宋体" w:hAnsi="宋体" w:cs="宋体"/>
          <w:color w:val="auto"/>
          <w:kern w:val="1"/>
          <w:szCs w:val="21"/>
          <w:highlight w:val="none"/>
          <w:u w:val="single"/>
        </w:rPr>
        <w:t>)</w:t>
      </w:r>
      <w:r>
        <w:rPr>
          <w:rFonts w:hint="eastAsia" w:ascii="宋体" w:hAnsi="宋体" w:cs="宋体"/>
          <w:color w:val="auto"/>
          <w:kern w:val="1"/>
          <w:szCs w:val="21"/>
          <w:highlight w:val="none"/>
          <w:u w:val="single"/>
        </w:rPr>
        <w:t>。</w:t>
      </w:r>
    </w:p>
    <w:p w14:paraId="674F2605">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w:t>
      </w:r>
      <w:r>
        <w:rPr>
          <w:rFonts w:ascii="宋体" w:hAnsi="宋体" w:cs="宋体"/>
          <w:color w:val="auto"/>
          <w:kern w:val="1"/>
          <w:szCs w:val="21"/>
          <w:highlight w:val="none"/>
          <w:u w:val="single"/>
        </w:rPr>
        <w:t>15</w:t>
      </w:r>
      <w:r>
        <w:rPr>
          <w:rFonts w:hint="eastAsia" w:ascii="宋体" w:hAnsi="宋体" w:cs="宋体"/>
          <w:color w:val="auto"/>
          <w:kern w:val="1"/>
          <w:szCs w:val="21"/>
          <w:highlight w:val="none"/>
          <w:u w:val="single"/>
        </w:rPr>
        <w:t>日前解答投标人对招标文件提出的疑问，形成答疑纪要，并在广州公共资源交易中心网站“项目查询（日程安排、答疑纪要）”专区发布，</w:t>
      </w:r>
      <w:r>
        <w:rPr>
          <w:rFonts w:hint="eastAsia" w:ascii="宋体" w:hAnsi="宋体" w:cs="宋体"/>
          <w:color w:val="auto"/>
          <w:kern w:val="1"/>
          <w:szCs w:val="21"/>
          <w:highlight w:val="none"/>
        </w:rPr>
        <w:t>但不指明问题的来源。澄清发出的时间距本章第</w:t>
      </w:r>
      <w:r>
        <w:rPr>
          <w:rFonts w:ascii="宋体" w:hAnsi="宋体" w:cs="宋体"/>
          <w:color w:val="auto"/>
          <w:kern w:val="1"/>
          <w:szCs w:val="21"/>
          <w:highlight w:val="none"/>
        </w:rPr>
        <w:t xml:space="preserve"> 4.2.1 </w:t>
      </w:r>
      <w:r>
        <w:rPr>
          <w:rFonts w:hint="eastAsia" w:ascii="宋体" w:hAnsi="宋体" w:cs="宋体"/>
          <w:color w:val="auto"/>
          <w:kern w:val="1"/>
          <w:szCs w:val="21"/>
          <w:highlight w:val="none"/>
        </w:rPr>
        <w:t>项规定的投标截止时间不足</w:t>
      </w:r>
      <w:r>
        <w:rPr>
          <w:rFonts w:ascii="宋体" w:hAnsi="宋体" w:cs="宋体"/>
          <w:color w:val="auto"/>
          <w:kern w:val="1"/>
          <w:szCs w:val="21"/>
          <w:highlight w:val="none"/>
        </w:rPr>
        <w:t xml:space="preserve"> 15 </w:t>
      </w:r>
      <w:r>
        <w:rPr>
          <w:rFonts w:hint="eastAsia" w:ascii="宋体" w:hAnsi="宋体" w:cs="宋体"/>
          <w:color w:val="auto"/>
          <w:kern w:val="1"/>
          <w:szCs w:val="21"/>
          <w:highlight w:val="none"/>
        </w:rPr>
        <w:t>日的，并且澄清内容可能影响投标文件编制的，将相应延长投标截止时间。</w:t>
      </w:r>
    </w:p>
    <w:p w14:paraId="3B86BD4D">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招标答疑纪要一经在广州公共资源交易中心网站发布，视作已发放给所有投标人。</w:t>
      </w:r>
    </w:p>
    <w:p w14:paraId="2FC45571">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2.2.4</w:t>
      </w:r>
      <w:r>
        <w:rPr>
          <w:rFonts w:hint="eastAsia" w:ascii="宋体" w:hAnsi="宋体" w:cs="宋体"/>
          <w:color w:val="auto"/>
          <w:kern w:val="1"/>
          <w:szCs w:val="21"/>
          <w:highlight w:val="none"/>
          <w:u w:val="single"/>
        </w:rPr>
        <w:t>招标答疑纪要为招标文件的一部分。投标人可在广州公共资源交易中心网站浏览、下载招标答疑纪要。</w:t>
      </w:r>
    </w:p>
    <w:p w14:paraId="26166E9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u w:val="single"/>
        </w:rPr>
        <w:t>2.2.5</w:t>
      </w:r>
      <w:r>
        <w:rPr>
          <w:rFonts w:hint="eastAsia" w:ascii="宋体" w:hAnsi="宋体" w:cs="宋体"/>
          <w:color w:val="auto"/>
          <w:kern w:val="1"/>
          <w:szCs w:val="21"/>
          <w:highlight w:val="none"/>
          <w:u w:val="single"/>
        </w:rPr>
        <w:t>若招标答疑纪要与招标文件有矛盾时，以广州公共资源交易中心网站最后发布的答疑纪要为准。</w:t>
      </w:r>
    </w:p>
    <w:p w14:paraId="5C00AAB4">
      <w:pPr>
        <w:pStyle w:val="5"/>
        <w:spacing w:line="360" w:lineRule="auto"/>
        <w:ind w:firstLine="118"/>
        <w:rPr>
          <w:rFonts w:ascii="宋体" w:hAnsi="宋体" w:eastAsia="宋体"/>
          <w:b/>
          <w:color w:val="auto"/>
          <w:sz w:val="24"/>
          <w:szCs w:val="24"/>
          <w:highlight w:val="none"/>
        </w:rPr>
      </w:pPr>
      <w:bookmarkStart w:id="199" w:name="_Toc152042321"/>
      <w:bookmarkEnd w:id="199"/>
      <w:bookmarkStart w:id="200" w:name="_Toc152045545"/>
      <w:bookmarkEnd w:id="200"/>
      <w:bookmarkStart w:id="201" w:name="_Toc247513969"/>
      <w:bookmarkEnd w:id="201"/>
      <w:bookmarkStart w:id="202" w:name="_Toc144974513"/>
      <w:bookmarkEnd w:id="202"/>
      <w:bookmarkStart w:id="203" w:name="_Toc300834966"/>
      <w:bookmarkEnd w:id="203"/>
      <w:bookmarkStart w:id="204" w:name="_Toc247527570"/>
      <w:bookmarkEnd w:id="204"/>
      <w:bookmarkStart w:id="205" w:name="_Toc362816496"/>
      <w:bookmarkEnd w:id="205"/>
      <w:bookmarkStart w:id="206" w:name="_Toc356469193"/>
      <w:bookmarkEnd w:id="206"/>
      <w:bookmarkStart w:id="207" w:name="_Toc357089527"/>
      <w:bookmarkEnd w:id="207"/>
      <w:bookmarkStart w:id="208" w:name="_Toc28918"/>
      <w:r>
        <w:rPr>
          <w:rFonts w:ascii="宋体" w:hAnsi="宋体" w:eastAsia="宋体"/>
          <w:b/>
          <w:color w:val="auto"/>
          <w:sz w:val="24"/>
          <w:szCs w:val="24"/>
          <w:highlight w:val="none"/>
        </w:rPr>
        <w:t xml:space="preserve">2.3 </w:t>
      </w:r>
      <w:r>
        <w:rPr>
          <w:rFonts w:hint="eastAsia" w:ascii="宋体" w:hAnsi="宋体" w:eastAsia="宋体"/>
          <w:b/>
          <w:color w:val="auto"/>
          <w:sz w:val="24"/>
          <w:szCs w:val="24"/>
          <w:highlight w:val="none"/>
        </w:rPr>
        <w:t>招标文件的修改</w:t>
      </w:r>
      <w:bookmarkEnd w:id="208"/>
    </w:p>
    <w:p w14:paraId="23307B9E">
      <w:pPr>
        <w:pStyle w:val="32"/>
        <w:spacing w:line="360" w:lineRule="auto"/>
        <w:rPr>
          <w:rFonts w:ascii="宋体" w:hAnsi="宋体" w:cs="宋体"/>
          <w:color w:val="auto"/>
          <w:szCs w:val="21"/>
          <w:highlight w:val="none"/>
        </w:rPr>
      </w:pPr>
      <w:r>
        <w:rPr>
          <w:rFonts w:ascii="宋体" w:hAnsi="宋体" w:cs="宋体"/>
          <w:color w:val="auto"/>
          <w:szCs w:val="21"/>
          <w:highlight w:val="none"/>
        </w:rPr>
        <w:t>2.3.1</w:t>
      </w:r>
      <w:r>
        <w:rPr>
          <w:rFonts w:hint="eastAsia" w:ascii="宋体" w:hAnsi="宋体" w:cs="宋体"/>
          <w:color w:val="auto"/>
          <w:szCs w:val="21"/>
          <w:highlight w:val="none"/>
          <w:u w:val="single"/>
        </w:rPr>
        <w:t>招标文件发出后</w:t>
      </w:r>
      <w:r>
        <w:rPr>
          <w:rFonts w:ascii="宋体" w:hAnsi="宋体" w:cs="宋体"/>
          <w:color w:val="auto"/>
          <w:szCs w:val="21"/>
          <w:highlight w:val="none"/>
          <w:u w:val="single"/>
        </w:rPr>
        <w:t>,</w:t>
      </w:r>
      <w:r>
        <w:rPr>
          <w:rFonts w:hint="eastAsia" w:ascii="宋体" w:hAnsi="宋体" w:cs="宋体"/>
          <w:color w:val="auto"/>
          <w:szCs w:val="21"/>
          <w:highlight w:val="none"/>
          <w:u w:val="single"/>
        </w:rPr>
        <w:t>在提交投标文件截止时间</w:t>
      </w:r>
      <w:r>
        <w:rPr>
          <w:rFonts w:ascii="宋体" w:hAnsi="宋体" w:cs="宋体"/>
          <w:color w:val="auto"/>
          <w:szCs w:val="21"/>
          <w:highlight w:val="none"/>
          <w:u w:val="single"/>
        </w:rPr>
        <w:t>15</w:t>
      </w:r>
      <w:r>
        <w:rPr>
          <w:rFonts w:hint="eastAsia" w:ascii="宋体" w:hAnsi="宋体" w:cs="宋体"/>
          <w:color w:val="auto"/>
          <w:szCs w:val="21"/>
          <w:highlight w:val="none"/>
          <w:u w:val="single"/>
        </w:rPr>
        <w:t>日前，招标人可对招标文件进行必要的澄清或修改。</w:t>
      </w:r>
    </w:p>
    <w:p w14:paraId="07F0AAB3">
      <w:pPr>
        <w:pStyle w:val="32"/>
        <w:spacing w:line="360" w:lineRule="auto"/>
        <w:ind w:left="-1"/>
        <w:rPr>
          <w:rFonts w:ascii="宋体" w:hAnsi="宋体" w:cs="宋体"/>
          <w:color w:val="auto"/>
          <w:szCs w:val="21"/>
          <w:highlight w:val="none"/>
        </w:rPr>
      </w:pPr>
      <w:r>
        <w:rPr>
          <w:rFonts w:ascii="宋体" w:hAnsi="宋体" w:cs="宋体"/>
          <w:color w:val="auto"/>
          <w:szCs w:val="21"/>
          <w:highlight w:val="none"/>
        </w:rPr>
        <w:t>2.3.2</w:t>
      </w:r>
      <w:r>
        <w:rPr>
          <w:rFonts w:hint="eastAsia" w:ascii="宋体" w:hAnsi="宋体" w:cs="宋体"/>
          <w:color w:val="auto"/>
          <w:szCs w:val="21"/>
          <w:highlight w:val="none"/>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0F771BD1">
      <w:pPr>
        <w:pStyle w:val="32"/>
        <w:spacing w:line="360" w:lineRule="auto"/>
        <w:rPr>
          <w:rFonts w:ascii="宋体" w:hAnsi="宋体" w:cs="宋体"/>
          <w:color w:val="auto"/>
          <w:szCs w:val="21"/>
          <w:highlight w:val="none"/>
          <w:u w:val="single"/>
        </w:rPr>
      </w:pPr>
      <w:r>
        <w:rPr>
          <w:rFonts w:ascii="宋体" w:hAnsi="宋体" w:cs="宋体"/>
          <w:color w:val="auto"/>
          <w:szCs w:val="21"/>
          <w:highlight w:val="none"/>
          <w:u w:val="single"/>
        </w:rPr>
        <w:t>2.3.3</w:t>
      </w:r>
      <w:r>
        <w:rPr>
          <w:rFonts w:hint="eastAsia" w:ascii="宋体" w:hAnsi="宋体" w:cs="宋体"/>
          <w:color w:val="auto"/>
          <w:szCs w:val="21"/>
          <w:highlight w:val="none"/>
          <w:u w:val="single"/>
        </w:rPr>
        <w:t>招标文件的澄清、修改均以广州公共资源交易中心网站发布的内容为准。当招标文件的澄清、修改在同一内容的表述不一致时，以广州公共资源交易中心网站最后发布的内容为准。</w:t>
      </w:r>
    </w:p>
    <w:p w14:paraId="378677F7">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u w:val="single"/>
        </w:rPr>
        <w:t>2.3.4</w:t>
      </w:r>
      <w:r>
        <w:rPr>
          <w:rFonts w:hint="eastAsia" w:ascii="宋体" w:hAnsi="宋体" w:cs="宋体"/>
          <w:color w:val="auto"/>
          <w:kern w:val="1"/>
          <w:szCs w:val="21"/>
          <w:highlight w:val="none"/>
          <w:u w:val="single"/>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0B9EDA4C">
      <w:pPr>
        <w:pStyle w:val="4"/>
        <w:spacing w:line="360" w:lineRule="auto"/>
        <w:rPr>
          <w:rFonts w:ascii="宋体" w:hAnsi="宋体" w:eastAsia="宋体" w:cs="宋体"/>
          <w:color w:val="auto"/>
          <w:highlight w:val="none"/>
          <w:lang w:val="zh-CN"/>
        </w:rPr>
      </w:pPr>
      <w:bookmarkStart w:id="209" w:name="_Toc6320"/>
      <w:bookmarkEnd w:id="209"/>
      <w:bookmarkStart w:id="210" w:name="_Toc362816497"/>
      <w:bookmarkEnd w:id="210"/>
      <w:bookmarkStart w:id="211" w:name="_Toc443505825"/>
      <w:bookmarkEnd w:id="211"/>
      <w:bookmarkStart w:id="212" w:name="_Toc375931087"/>
      <w:bookmarkEnd w:id="212"/>
      <w:bookmarkStart w:id="213" w:name="_Toc247527571"/>
      <w:bookmarkEnd w:id="213"/>
      <w:bookmarkStart w:id="214" w:name="_Toc410240234"/>
      <w:bookmarkEnd w:id="214"/>
      <w:bookmarkStart w:id="215" w:name="_Toc152045546"/>
      <w:bookmarkEnd w:id="215"/>
      <w:bookmarkStart w:id="216" w:name="_Toc357089528"/>
      <w:bookmarkEnd w:id="216"/>
      <w:bookmarkStart w:id="217" w:name="_Toc152042322"/>
      <w:bookmarkEnd w:id="217"/>
      <w:bookmarkStart w:id="218" w:name="_Toc27122"/>
      <w:bookmarkEnd w:id="218"/>
      <w:bookmarkStart w:id="219" w:name="_Toc300834967"/>
      <w:bookmarkEnd w:id="219"/>
      <w:bookmarkStart w:id="220" w:name="_Toc247513970"/>
      <w:bookmarkEnd w:id="220"/>
      <w:bookmarkStart w:id="221" w:name="_Toc144974514"/>
      <w:bookmarkEnd w:id="221"/>
      <w:bookmarkStart w:id="222" w:name="_Toc5620313"/>
      <w:bookmarkStart w:id="223" w:name="_Toc8206"/>
      <w:bookmarkStart w:id="224" w:name="_Toc17448"/>
      <w:r>
        <w:rPr>
          <w:rFonts w:ascii="宋体" w:hAnsi="宋体" w:eastAsia="宋体" w:cs="宋体"/>
          <w:color w:val="auto"/>
          <w:highlight w:val="none"/>
          <w:lang w:val="zh-CN"/>
        </w:rPr>
        <w:t>3.</w:t>
      </w:r>
      <w:bookmarkEnd w:id="222"/>
      <w:bookmarkEnd w:id="223"/>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投标文件</w:t>
      </w:r>
      <w:bookmarkEnd w:id="224"/>
    </w:p>
    <w:p w14:paraId="6D5AAF2B">
      <w:pPr>
        <w:pStyle w:val="5"/>
        <w:spacing w:line="360" w:lineRule="auto"/>
        <w:rPr>
          <w:rFonts w:ascii="宋体" w:hAnsi="宋体" w:eastAsia="宋体"/>
          <w:b/>
          <w:bCs/>
          <w:color w:val="auto"/>
          <w:sz w:val="24"/>
          <w:szCs w:val="24"/>
          <w:highlight w:val="none"/>
        </w:rPr>
      </w:pPr>
      <w:bookmarkStart w:id="225" w:name="_Toc357089529"/>
      <w:bookmarkEnd w:id="225"/>
      <w:bookmarkStart w:id="226" w:name="_Toc152042323"/>
      <w:bookmarkEnd w:id="226"/>
      <w:bookmarkStart w:id="227" w:name="_Toc362816498"/>
      <w:bookmarkEnd w:id="227"/>
      <w:bookmarkStart w:id="228" w:name="_Toc356469195"/>
      <w:bookmarkEnd w:id="228"/>
      <w:bookmarkStart w:id="229" w:name="_Toc247527572"/>
      <w:bookmarkEnd w:id="229"/>
      <w:bookmarkStart w:id="230" w:name="_Toc152045547"/>
      <w:bookmarkEnd w:id="230"/>
      <w:bookmarkStart w:id="231" w:name="_Toc300834968"/>
      <w:bookmarkEnd w:id="231"/>
      <w:bookmarkStart w:id="232" w:name="_Toc144974515"/>
      <w:bookmarkEnd w:id="232"/>
      <w:bookmarkStart w:id="233" w:name="_Toc247513971"/>
      <w:bookmarkEnd w:id="233"/>
      <w:bookmarkStart w:id="234" w:name="_Toc3552"/>
      <w:r>
        <w:rPr>
          <w:rFonts w:ascii="宋体" w:hAnsi="宋体" w:eastAsia="宋体"/>
          <w:b/>
          <w:bCs/>
          <w:color w:val="auto"/>
          <w:sz w:val="24"/>
          <w:szCs w:val="24"/>
          <w:highlight w:val="none"/>
        </w:rPr>
        <w:t xml:space="preserve">3.1 </w:t>
      </w:r>
      <w:r>
        <w:rPr>
          <w:rFonts w:hint="eastAsia" w:ascii="宋体" w:hAnsi="宋体" w:eastAsia="宋体"/>
          <w:b/>
          <w:bCs/>
          <w:color w:val="auto"/>
          <w:sz w:val="24"/>
          <w:szCs w:val="24"/>
          <w:highlight w:val="none"/>
        </w:rPr>
        <w:t>投标文件的组成</w:t>
      </w:r>
      <w:bookmarkEnd w:id="234"/>
    </w:p>
    <w:p w14:paraId="126E3041">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3.1.1</w:t>
      </w:r>
      <w:r>
        <w:rPr>
          <w:rFonts w:hint="eastAsia" w:ascii="宋体" w:hAnsi="宋体" w:cs="宋体"/>
          <w:color w:val="auto"/>
          <w:kern w:val="1"/>
          <w:szCs w:val="21"/>
          <w:highlight w:val="none"/>
        </w:rPr>
        <w:t>投标文件由资格审查文件、勘察设计方案投标文件、工程总承包实施方案技术投标文件、工程总承包实施方案经济投标文件四部分组成。</w:t>
      </w:r>
    </w:p>
    <w:p w14:paraId="54F797DD">
      <w:pPr>
        <w:spacing w:before="120" w:line="360" w:lineRule="auto"/>
        <w:ind w:firstLine="420"/>
        <w:rPr>
          <w:rFonts w:ascii="宋体" w:hAnsi="宋体" w:cs="宋体"/>
          <w:b/>
          <w:bCs/>
          <w:color w:val="auto"/>
          <w:kern w:val="1"/>
          <w:szCs w:val="21"/>
          <w:highlight w:val="none"/>
        </w:rPr>
      </w:pPr>
      <w:r>
        <w:rPr>
          <w:rFonts w:ascii="宋体" w:hAnsi="宋体" w:cs="宋体"/>
          <w:b/>
          <w:bCs/>
          <w:color w:val="auto"/>
          <w:kern w:val="1"/>
          <w:szCs w:val="21"/>
          <w:highlight w:val="none"/>
        </w:rPr>
        <w:t>3.1.2</w:t>
      </w:r>
      <w:r>
        <w:rPr>
          <w:rFonts w:hint="eastAsia" w:ascii="宋体" w:hAnsi="宋体" w:cs="宋体"/>
          <w:b/>
          <w:bCs/>
          <w:color w:val="auto"/>
          <w:kern w:val="1"/>
          <w:szCs w:val="21"/>
          <w:highlight w:val="none"/>
        </w:rPr>
        <w:t>资格审查文件</w:t>
      </w:r>
    </w:p>
    <w:p w14:paraId="3430A6B8">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主要包括下列内容：</w:t>
      </w:r>
    </w:p>
    <w:p w14:paraId="79341CB1">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）封面：写明项目名称、资格审查文件、投标人单位及年月日；加盖投标人电子印章（联合体投标的，“投标人”一栏需书写所有联合体成员的单位全称，由牵头方签署、盖章）；</w:t>
      </w:r>
    </w:p>
    <w:p w14:paraId="33B233CC">
      <w:pPr>
        <w:pStyle w:val="32"/>
        <w:spacing w:line="360" w:lineRule="auto"/>
        <w:ind w:left="-1"/>
        <w:rPr>
          <w:rFonts w:ascii="宋体" w:hAnsi="宋体" w:cs="宋体"/>
          <w:color w:val="auto"/>
          <w:szCs w:val="21"/>
          <w:highlight w:val="none"/>
        </w:rPr>
      </w:pPr>
      <w:bookmarkStart w:id="235" w:name="_Toc266093552"/>
      <w:bookmarkStart w:id="236" w:name="_Toc266881404"/>
      <w:bookmarkStart w:id="237" w:name="_Toc253143223"/>
      <w:bookmarkStart w:id="238" w:name="_Toc249846231"/>
      <w:bookmarkStart w:id="239" w:name="_Toc249845976"/>
      <w:bookmarkStart w:id="240" w:name="_Toc439245992"/>
      <w:bookmarkStart w:id="241" w:name="_Toc245024004"/>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）按照招标公告附件一：</w:t>
      </w:r>
      <w:bookmarkEnd w:id="235"/>
      <w:bookmarkEnd w:id="236"/>
      <w:bookmarkEnd w:id="237"/>
      <w:bookmarkEnd w:id="238"/>
      <w:bookmarkEnd w:id="239"/>
      <w:bookmarkEnd w:id="240"/>
      <w:bookmarkEnd w:id="241"/>
      <w:r>
        <w:rPr>
          <w:rFonts w:hint="eastAsia" w:ascii="宋体" w:hAnsi="宋体" w:cs="宋体"/>
          <w:color w:val="auto"/>
          <w:szCs w:val="21"/>
          <w:highlight w:val="none"/>
        </w:rPr>
        <w:t>《资格审查资料及其他取自广州市住建行业信用管理平台登记的信息一览表》进行编制的所有资料。</w:t>
      </w:r>
    </w:p>
    <w:p w14:paraId="792294C0">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）满足招标公告中投标人合格条件的其他资料。</w:t>
      </w:r>
    </w:p>
    <w:p w14:paraId="714EEC4E">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合格条件第</w:t>
      </w:r>
      <w:r>
        <w:rPr>
          <w:rFonts w:ascii="宋体" w:hAnsi="宋体" w:cs="宋体"/>
          <w:color w:val="auto"/>
          <w:szCs w:val="21"/>
          <w:highlight w:val="none"/>
        </w:rPr>
        <w:t>3.4</w:t>
      </w:r>
      <w:r>
        <w:rPr>
          <w:rFonts w:hint="eastAsia" w:ascii="宋体" w:hAnsi="宋体" w:cs="宋体"/>
          <w:color w:val="auto"/>
          <w:szCs w:val="21"/>
          <w:highlight w:val="none"/>
        </w:rPr>
        <w:t>项的信用档案取自平台内的信息）。若招标人延长递交投标文件截止时间的，以上资料的评审时点也相应延长。投标人应及时维护其在广州市住建行业信用管理平台登记的信息及上传件，确保各项信息及上传件在有效期内。</w:t>
      </w:r>
    </w:p>
    <w:p w14:paraId="60ED8D26">
      <w:pPr>
        <w:pStyle w:val="32"/>
        <w:spacing w:line="360" w:lineRule="auto"/>
        <w:ind w:left="-1"/>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）未在招标公告第</w:t>
      </w:r>
      <w:r>
        <w:rPr>
          <w:rFonts w:ascii="宋体" w:hAnsi="宋体" w:cs="宋体"/>
          <w:color w:val="auto"/>
          <w:szCs w:val="21"/>
          <w:highlight w:val="none"/>
        </w:rPr>
        <w:t>3</w:t>
      </w:r>
      <w:r>
        <w:rPr>
          <w:rFonts w:hint="eastAsia" w:ascii="宋体" w:hAnsi="宋体" w:cs="宋体"/>
          <w:color w:val="auto"/>
          <w:szCs w:val="21"/>
          <w:highlight w:val="none"/>
        </w:rPr>
        <w:t>条单列的资审合格条件，不作为资审不合格的依据。</w:t>
      </w:r>
    </w:p>
    <w:p w14:paraId="2865932A">
      <w:pPr>
        <w:spacing w:before="120" w:line="360" w:lineRule="auto"/>
        <w:ind w:firstLine="420"/>
        <w:rPr>
          <w:rFonts w:ascii="宋体" w:hAnsi="宋体" w:cs="宋体"/>
          <w:b/>
          <w:bCs/>
          <w:color w:val="auto"/>
          <w:kern w:val="1"/>
          <w:szCs w:val="21"/>
          <w:highlight w:val="none"/>
        </w:rPr>
      </w:pPr>
      <w:bookmarkStart w:id="242" w:name="_Toc5620315"/>
      <w:r>
        <w:rPr>
          <w:rFonts w:ascii="宋体" w:hAnsi="宋体" w:cs="宋体"/>
          <w:b/>
          <w:bCs/>
          <w:color w:val="auto"/>
          <w:kern w:val="1"/>
          <w:szCs w:val="21"/>
          <w:highlight w:val="none"/>
        </w:rPr>
        <w:t>3.1.3</w:t>
      </w:r>
      <w:r>
        <w:rPr>
          <w:rFonts w:hint="eastAsia" w:ascii="宋体" w:hAnsi="宋体" w:cs="宋体"/>
          <w:b/>
          <w:bCs/>
          <w:color w:val="auto"/>
          <w:kern w:val="1"/>
          <w:szCs w:val="21"/>
          <w:highlight w:val="none"/>
        </w:rPr>
        <w:t>勘察设计方案投标文件</w:t>
      </w:r>
    </w:p>
    <w:p w14:paraId="284D7E32">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勘察设计方案中不得出现可以辨认投标人及专业技术人员身份的名称、印章、商标、图形等记认符号，也不得通过明标、暗标中包含的相同内容（如报价等）互相印证、辨认投标人身份。内容包括：</w:t>
      </w:r>
    </w:p>
    <w:p w14:paraId="2EAA843D">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）封面：标明项目名称、“投标文件（勘察设计方案）”字样、编制时间</w:t>
      </w:r>
    </w:p>
    <w:p w14:paraId="36EBE8E3">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）目录（须编制页码）</w:t>
      </w:r>
    </w:p>
    <w:p w14:paraId="78F5CCD8">
      <w:pPr>
        <w:spacing w:before="120"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）勘察设计方案。</w:t>
      </w:r>
    </w:p>
    <w:p w14:paraId="1B781D17">
      <w:pPr>
        <w:spacing w:before="120" w:line="360" w:lineRule="auto"/>
        <w:ind w:firstLine="420"/>
        <w:rPr>
          <w:rFonts w:ascii="宋体" w:hAnsi="宋体" w:cs="宋体"/>
          <w:b/>
          <w:color w:val="auto"/>
          <w:kern w:val="1"/>
          <w:szCs w:val="21"/>
          <w:highlight w:val="none"/>
        </w:rPr>
      </w:pPr>
      <w:r>
        <w:rPr>
          <w:rFonts w:ascii="宋体" w:hAnsi="宋体" w:cs="宋体"/>
          <w:b/>
          <w:bCs/>
          <w:color w:val="auto"/>
          <w:kern w:val="1"/>
          <w:szCs w:val="21"/>
          <w:highlight w:val="none"/>
        </w:rPr>
        <w:t>3.1.4</w:t>
      </w:r>
      <w:r>
        <w:rPr>
          <w:rFonts w:hint="eastAsia" w:ascii="宋体" w:hAnsi="宋体" w:cs="宋体"/>
          <w:b/>
          <w:color w:val="auto"/>
          <w:kern w:val="1"/>
          <w:szCs w:val="21"/>
          <w:highlight w:val="none"/>
        </w:rPr>
        <w:t>工程总承包实施方案技术投标文件</w:t>
      </w:r>
    </w:p>
    <w:p w14:paraId="4DF13CAC">
      <w:pPr>
        <w:spacing w:line="360" w:lineRule="auto"/>
        <w:ind w:left="426"/>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3D37EDE1">
      <w:pPr>
        <w:spacing w:line="360" w:lineRule="auto"/>
        <w:ind w:firstLine="420"/>
        <w:rPr>
          <w:rFonts w:ascii="宋体" w:hAnsi="宋体" w:cs="宋体"/>
          <w:color w:val="auto"/>
          <w:kern w:val="1"/>
          <w:szCs w:val="21"/>
          <w:highlight w:val="none"/>
        </w:rPr>
      </w:pPr>
      <w:bookmarkStart w:id="243" w:name="_Hlk56347369"/>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）封面：写明项目名称、工程总承包实施方案技术投标文件、投标人单位及年月日；</w:t>
      </w:r>
      <w:bookmarkEnd w:id="243"/>
      <w:r>
        <w:rPr>
          <w:rFonts w:hint="eastAsia" w:ascii="宋体" w:hAnsi="宋体" w:cs="宋体"/>
          <w:color w:val="auto"/>
          <w:kern w:val="1"/>
          <w:szCs w:val="21"/>
          <w:highlight w:val="none"/>
        </w:rPr>
        <w:t>加盖投标人电子印章（联合体投标的，“投标人”一栏需书写所有联合体成员的单位全称，由牵头方签署、盖章）；</w:t>
      </w:r>
    </w:p>
    <w:p w14:paraId="72A3326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4CB70EE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ascii="宋体" w:hAnsi="宋体" w:cs="宋体"/>
          <w:color w:val="auto"/>
          <w:kern w:val="1"/>
          <w:szCs w:val="21"/>
          <w:highlight w:val="none"/>
        </w:rPr>
        <w:t>(</w:t>
      </w:r>
      <w:r>
        <w:rPr>
          <w:rFonts w:hint="eastAsia" w:ascii="宋体" w:hAnsi="宋体" w:cs="宋体"/>
          <w:color w:val="auto"/>
          <w:kern w:val="1"/>
          <w:szCs w:val="21"/>
          <w:highlight w:val="none"/>
        </w:rPr>
        <w:t>按招标文件的要求填写</w:t>
      </w:r>
      <w:r>
        <w:rPr>
          <w:rFonts w:ascii="宋体" w:hAnsi="宋体" w:cs="宋体"/>
          <w:color w:val="auto"/>
          <w:kern w:val="1"/>
          <w:szCs w:val="21"/>
          <w:highlight w:val="none"/>
        </w:rPr>
        <w:t>)</w:t>
      </w:r>
      <w:r>
        <w:rPr>
          <w:rFonts w:hint="eastAsia" w:ascii="宋体" w:hAnsi="宋体" w:cs="宋体"/>
          <w:color w:val="auto"/>
          <w:kern w:val="1"/>
          <w:szCs w:val="21"/>
          <w:highlight w:val="none"/>
        </w:rPr>
        <w:t>；</w:t>
      </w:r>
    </w:p>
    <w:p w14:paraId="689C88F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）《勘察设计投标书》；</w:t>
      </w:r>
      <w:r>
        <w:rPr>
          <w:rFonts w:ascii="宋体" w:hAnsi="宋体" w:cs="宋体"/>
          <w:color w:val="auto"/>
          <w:kern w:val="1"/>
          <w:szCs w:val="21"/>
          <w:highlight w:val="none"/>
        </w:rPr>
        <w:t>(</w:t>
      </w:r>
      <w:r>
        <w:rPr>
          <w:rFonts w:hint="eastAsia" w:ascii="宋体" w:hAnsi="宋体" w:cs="宋体"/>
          <w:color w:val="auto"/>
          <w:kern w:val="1"/>
          <w:szCs w:val="21"/>
          <w:highlight w:val="none"/>
        </w:rPr>
        <w:t>按招标文件的要求填写</w:t>
      </w:r>
      <w:r>
        <w:rPr>
          <w:rFonts w:ascii="宋体" w:hAnsi="宋体" w:cs="宋体"/>
          <w:color w:val="auto"/>
          <w:kern w:val="1"/>
          <w:szCs w:val="21"/>
          <w:highlight w:val="none"/>
        </w:rPr>
        <w:t xml:space="preserve">) </w:t>
      </w:r>
    </w:p>
    <w:p w14:paraId="7D68A23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5</w:t>
      </w:r>
      <w:r>
        <w:rPr>
          <w:rFonts w:hint="eastAsia" w:ascii="宋体" w:hAnsi="宋体" w:cs="宋体"/>
          <w:color w:val="auto"/>
          <w:kern w:val="1"/>
          <w:szCs w:val="21"/>
          <w:highlight w:val="none"/>
        </w:rPr>
        <w:t>）《技术投标书》；（按招标文件的要求填写）</w:t>
      </w:r>
    </w:p>
    <w:p w14:paraId="016E7FE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w:t>
      </w:r>
      <w:r>
        <w:rPr>
          <w:rFonts w:ascii="宋体" w:hAnsi="宋体" w:cs="宋体"/>
          <w:color w:val="auto"/>
          <w:kern w:val="1"/>
          <w:szCs w:val="21"/>
          <w:highlight w:val="none"/>
        </w:rPr>
        <w:t>(</w:t>
      </w:r>
      <w:r>
        <w:rPr>
          <w:rFonts w:hint="eastAsia" w:ascii="宋体" w:hAnsi="宋体" w:cs="宋体"/>
          <w:color w:val="auto"/>
          <w:kern w:val="1"/>
          <w:szCs w:val="21"/>
          <w:highlight w:val="none"/>
        </w:rPr>
        <w:t>按招标文件的要求填写</w:t>
      </w:r>
      <w:r>
        <w:rPr>
          <w:rFonts w:ascii="宋体" w:hAnsi="宋体" w:cs="宋体"/>
          <w:color w:val="auto"/>
          <w:kern w:val="1"/>
          <w:szCs w:val="21"/>
          <w:highlight w:val="none"/>
        </w:rPr>
        <w:t>)</w:t>
      </w:r>
    </w:p>
    <w:p w14:paraId="058614F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p>
    <w:p w14:paraId="4EEED05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8</w:t>
      </w:r>
      <w:r>
        <w:rPr>
          <w:rFonts w:hint="eastAsia" w:ascii="宋体" w:hAnsi="宋体" w:cs="宋体"/>
          <w:color w:val="auto"/>
          <w:kern w:val="1"/>
          <w:szCs w:val="21"/>
          <w:highlight w:val="none"/>
        </w:rPr>
        <w:t>）《设计主要负责人配备表》；</w:t>
      </w:r>
    </w:p>
    <w:p w14:paraId="50E5F89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9</w:t>
      </w:r>
      <w:r>
        <w:rPr>
          <w:rFonts w:hint="eastAsia" w:ascii="宋体" w:hAnsi="宋体" w:cs="宋体"/>
          <w:color w:val="auto"/>
          <w:kern w:val="1"/>
          <w:szCs w:val="21"/>
          <w:highlight w:val="none"/>
        </w:rPr>
        <w:t>）《拟投入本项目施工主要负责人员简历表》；</w:t>
      </w:r>
    </w:p>
    <w:p w14:paraId="4CF097A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10</w:t>
      </w:r>
      <w:r>
        <w:rPr>
          <w:rFonts w:hint="eastAsia" w:ascii="宋体" w:hAnsi="宋体" w:cs="宋体"/>
          <w:color w:val="auto"/>
          <w:kern w:val="1"/>
          <w:szCs w:val="21"/>
          <w:highlight w:val="none"/>
        </w:rPr>
        <w:t>）《拟投入本项目施工人员一览表》；</w:t>
      </w:r>
    </w:p>
    <w:p w14:paraId="6703E86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11</w:t>
      </w:r>
      <w:r>
        <w:rPr>
          <w:rFonts w:hint="eastAsia" w:ascii="宋体" w:hAnsi="宋体" w:cs="宋体"/>
          <w:color w:val="auto"/>
          <w:kern w:val="1"/>
          <w:szCs w:val="21"/>
          <w:highlight w:val="none"/>
        </w:rPr>
        <w:t>）</w:t>
      </w:r>
      <w:r>
        <w:rPr>
          <w:rFonts w:hint="eastAsia" w:cs="宋体"/>
          <w:color w:val="auto"/>
          <w:kern w:val="1"/>
          <w:szCs w:val="21"/>
          <w:highlight w:val="none"/>
        </w:rPr>
        <w:t>《设计工程业绩表》、《投标人设计工程业绩获奖情况表》；</w:t>
      </w:r>
    </w:p>
    <w:p w14:paraId="6A587D2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12</w:t>
      </w:r>
      <w:r>
        <w:rPr>
          <w:rFonts w:hint="eastAsia" w:ascii="宋体" w:hAnsi="宋体" w:cs="宋体"/>
          <w:color w:val="auto"/>
          <w:kern w:val="1"/>
          <w:szCs w:val="21"/>
          <w:highlight w:val="none"/>
        </w:rPr>
        <w:t>）《施工工程业绩表》、《投标人施工工程业绩获奖情况表》；</w:t>
      </w:r>
    </w:p>
    <w:p w14:paraId="263F06B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13</w:t>
      </w:r>
      <w:r>
        <w:rPr>
          <w:rFonts w:hint="eastAsia" w:ascii="宋体" w:hAnsi="宋体" w:cs="宋体"/>
          <w:color w:val="auto"/>
          <w:kern w:val="1"/>
          <w:szCs w:val="21"/>
          <w:highlight w:val="none"/>
        </w:rPr>
        <w:t>）施工组织设计方案；（投标人在编制施工组织设计方案时应按照招标人提出的施工现场建筑垃圾源头减量的具体要求以及建筑垃圾综合利用产品的使用要求提供相应措施。）</w:t>
      </w:r>
    </w:p>
    <w:p w14:paraId="3811052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14</w:t>
      </w:r>
      <w:r>
        <w:rPr>
          <w:rFonts w:hint="eastAsia" w:ascii="宋体" w:hAnsi="宋体" w:cs="宋体"/>
          <w:color w:val="auto"/>
          <w:kern w:val="1"/>
          <w:szCs w:val="21"/>
          <w:highlight w:val="none"/>
        </w:rPr>
        <w:t>）《参与编制工程总承包实施方案技术投标文件人员名单》；（按照招标文件要求填写）</w:t>
      </w:r>
    </w:p>
    <w:p w14:paraId="5E79858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15</w:t>
      </w:r>
      <w:r>
        <w:rPr>
          <w:rFonts w:hint="eastAsia" w:ascii="宋体" w:hAnsi="宋体" w:cs="宋体"/>
          <w:color w:val="auto"/>
          <w:kern w:val="1"/>
          <w:szCs w:val="21"/>
          <w:highlight w:val="none"/>
        </w:rPr>
        <w:t>）</w:t>
      </w:r>
      <w:r>
        <w:rPr>
          <w:rFonts w:hint="eastAsia" w:ascii="宋体" w:hAnsi="宋体" w:cs="宋体"/>
          <w:strike/>
          <w:color w:val="auto"/>
          <w:kern w:val="1"/>
          <w:szCs w:val="21"/>
          <w:highlight w:val="none"/>
        </w:rPr>
        <w:t>投标保证金</w:t>
      </w:r>
      <w:r>
        <w:rPr>
          <w:rFonts w:hint="eastAsia" w:ascii="宋体" w:hAnsi="宋体" w:cs="宋体"/>
          <w:color w:val="auto"/>
          <w:kern w:val="1"/>
          <w:szCs w:val="21"/>
          <w:highlight w:val="none"/>
        </w:rPr>
        <w:t>；</w:t>
      </w:r>
    </w:p>
    <w:p w14:paraId="6A6AEAC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16</w:t>
      </w:r>
      <w:r>
        <w:rPr>
          <w:rFonts w:hint="eastAsia" w:ascii="宋体" w:hAnsi="宋体" w:cs="宋体"/>
          <w:color w:val="auto"/>
          <w:kern w:val="1"/>
          <w:szCs w:val="21"/>
          <w:highlight w:val="none"/>
        </w:rPr>
        <w:t>）投标人认为应该提供的其他资料；</w:t>
      </w:r>
    </w:p>
    <w:p w14:paraId="0AE4AB94">
      <w:pPr>
        <w:spacing w:before="120" w:line="360" w:lineRule="auto"/>
        <w:ind w:firstLine="422"/>
        <w:rPr>
          <w:rFonts w:ascii="宋体" w:hAnsi="宋体" w:cs="宋体"/>
          <w:b/>
          <w:color w:val="auto"/>
          <w:kern w:val="1"/>
          <w:szCs w:val="21"/>
          <w:highlight w:val="none"/>
        </w:rPr>
      </w:pPr>
      <w:r>
        <w:rPr>
          <w:rFonts w:ascii="宋体" w:hAnsi="宋体" w:cs="宋体"/>
          <w:b/>
          <w:color w:val="auto"/>
          <w:kern w:val="1"/>
          <w:szCs w:val="21"/>
          <w:highlight w:val="none"/>
        </w:rPr>
        <w:t xml:space="preserve">3.1.5 </w:t>
      </w:r>
      <w:r>
        <w:rPr>
          <w:rFonts w:hint="eastAsia" w:ascii="宋体" w:hAnsi="宋体" w:cs="宋体"/>
          <w:b/>
          <w:color w:val="auto"/>
          <w:kern w:val="1"/>
          <w:szCs w:val="21"/>
          <w:highlight w:val="none"/>
        </w:rPr>
        <w:t>工程总承包实施方案经济投标文件</w:t>
      </w:r>
    </w:p>
    <w:p w14:paraId="5E07B2B1">
      <w:pPr>
        <w:tabs>
          <w:tab w:val="left" w:pos="1125"/>
        </w:tabs>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主要包括下列内容：</w:t>
      </w:r>
    </w:p>
    <w:p w14:paraId="3436145C">
      <w:pPr>
        <w:numPr>
          <w:ilvl w:val="0"/>
          <w:numId w:val="3"/>
        </w:numPr>
        <w:spacing w:line="360" w:lineRule="auto"/>
        <w:ind w:left="0" w:firstLine="420"/>
        <w:rPr>
          <w:rFonts w:ascii="宋体" w:hAnsi="宋体" w:cs="宋体"/>
          <w:color w:val="auto"/>
          <w:kern w:val="1"/>
          <w:szCs w:val="21"/>
          <w:highlight w:val="none"/>
        </w:rPr>
      </w:pPr>
      <w:r>
        <w:rPr>
          <w:rFonts w:hint="eastAsia" w:ascii="宋体" w:hAnsi="宋体" w:cs="宋体"/>
          <w:color w:val="auto"/>
          <w:kern w:val="1"/>
          <w:szCs w:val="21"/>
          <w:highlight w:val="none"/>
        </w:rPr>
        <w:t>封面：写明项目名称、工程总承包实施方案经济投标文件、投标人单位及年月日；加盖投标人电子印章（联合体投标的，“投标人”一栏需书写所有联合体成员的单位全称，由牵头方签署、盖章）；</w:t>
      </w:r>
    </w:p>
    <w:p w14:paraId="78298D2D">
      <w:pPr>
        <w:numPr>
          <w:ilvl w:val="0"/>
          <w:numId w:val="3"/>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《经济标投标书》（按招标文件的要求填写）；</w:t>
      </w:r>
    </w:p>
    <w:p w14:paraId="74E25AED">
      <w:pPr>
        <w:numPr>
          <w:ilvl w:val="0"/>
          <w:numId w:val="3"/>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勘察费用明细表（按招标文件的要求填写）；</w:t>
      </w:r>
    </w:p>
    <w:p w14:paraId="50192D66">
      <w:pPr>
        <w:numPr>
          <w:ilvl w:val="0"/>
          <w:numId w:val="3"/>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设计费用明细表（按招标文件的要求填写）；</w:t>
      </w:r>
    </w:p>
    <w:p w14:paraId="6047CBEB">
      <w:pPr>
        <w:numPr>
          <w:ilvl w:val="0"/>
          <w:numId w:val="3"/>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《参与编制工程总承包实施方案经济投标文件人员名单》（按招标文件的要求填写）；</w:t>
      </w:r>
    </w:p>
    <w:p w14:paraId="66D99AE6">
      <w:pPr>
        <w:numPr>
          <w:ilvl w:val="0"/>
          <w:numId w:val="3"/>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投标人认为应该提供的其他资料；</w:t>
      </w:r>
    </w:p>
    <w:bookmarkEnd w:id="242"/>
    <w:p w14:paraId="33B8237A">
      <w:pPr>
        <w:pStyle w:val="5"/>
        <w:spacing w:line="360" w:lineRule="auto"/>
        <w:rPr>
          <w:rFonts w:ascii="宋体" w:hAnsi="宋体" w:eastAsia="宋体"/>
          <w:b/>
          <w:bCs/>
          <w:color w:val="auto"/>
          <w:sz w:val="24"/>
          <w:szCs w:val="24"/>
          <w:highlight w:val="none"/>
        </w:rPr>
      </w:pPr>
      <w:bookmarkStart w:id="244" w:name="_Toc3898"/>
      <w:r>
        <w:rPr>
          <w:rFonts w:ascii="宋体" w:hAnsi="宋体" w:eastAsia="宋体"/>
          <w:b/>
          <w:bCs/>
          <w:color w:val="auto"/>
          <w:sz w:val="24"/>
          <w:szCs w:val="24"/>
          <w:highlight w:val="none"/>
        </w:rPr>
        <w:t xml:space="preserve">3.2 </w:t>
      </w:r>
      <w:r>
        <w:rPr>
          <w:rFonts w:hint="eastAsia" w:ascii="宋体" w:hAnsi="宋体" w:eastAsia="宋体"/>
          <w:b/>
          <w:bCs/>
          <w:color w:val="auto"/>
          <w:sz w:val="24"/>
          <w:szCs w:val="24"/>
          <w:highlight w:val="none"/>
        </w:rPr>
        <w:t>投标报价</w:t>
      </w:r>
      <w:bookmarkEnd w:id="244"/>
    </w:p>
    <w:p w14:paraId="1D49975F">
      <w:pPr>
        <w:spacing w:line="360" w:lineRule="auto"/>
        <w:ind w:firstLine="420"/>
        <w:rPr>
          <w:rFonts w:ascii="宋体" w:hAnsi="宋体" w:cs="宋体"/>
          <w:color w:val="auto"/>
          <w:kern w:val="1"/>
          <w:highlight w:val="none"/>
        </w:rPr>
      </w:pPr>
      <w:r>
        <w:rPr>
          <w:rFonts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0BD67A4D">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3.2.2 </w:t>
      </w:r>
      <w:r>
        <w:rPr>
          <w:rFonts w:hint="eastAsia" w:ascii="宋体" w:hAnsi="宋体" w:cs="宋体"/>
          <w:color w:val="auto"/>
          <w:kern w:val="1"/>
          <w:szCs w:val="21"/>
          <w:highlight w:val="none"/>
        </w:rPr>
        <w:t>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4B68D5D6">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3.2.3 </w:t>
      </w:r>
      <w:r>
        <w:rPr>
          <w:rFonts w:hint="eastAsia" w:ascii="宋体" w:hAnsi="宋体" w:cs="宋体"/>
          <w:color w:val="auto"/>
          <w:kern w:val="1"/>
          <w:highlight w:val="none"/>
        </w:rPr>
        <w:t>投标人在投标截止时间前修改投标函中的投标报价总额，应同时修改投标文件中的相应报价，投标报价总额为各分项金额之和。此修改须符合本章第</w:t>
      </w:r>
      <w:r>
        <w:rPr>
          <w:rFonts w:ascii="宋体" w:hAnsi="宋体" w:cs="宋体"/>
          <w:color w:val="auto"/>
          <w:kern w:val="1"/>
          <w:highlight w:val="none"/>
        </w:rPr>
        <w:t>4.3</w:t>
      </w:r>
      <w:r>
        <w:rPr>
          <w:rFonts w:hint="eastAsia" w:ascii="宋体" w:hAnsi="宋体" w:cs="宋体"/>
          <w:color w:val="auto"/>
          <w:kern w:val="1"/>
          <w:highlight w:val="none"/>
        </w:rPr>
        <w:t>款的有关要求。</w:t>
      </w:r>
    </w:p>
    <w:p w14:paraId="1788BCDD">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3.2.4 </w:t>
      </w:r>
      <w:r>
        <w:rPr>
          <w:rFonts w:hint="eastAsia" w:ascii="宋体" w:hAnsi="宋体" w:cs="宋体"/>
          <w:color w:val="auto"/>
          <w:kern w:val="1"/>
          <w:highlight w:val="none"/>
        </w:rPr>
        <w:t>招标人设有最高投标限价的，投标人的投标报价不得超过最高投标限价，最高投标限价在投标人须知前附表中载明。</w:t>
      </w:r>
    </w:p>
    <w:p w14:paraId="58A7AB54">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3.2.4.1</w:t>
      </w:r>
      <w:r>
        <w:rPr>
          <w:rFonts w:hint="eastAsia" w:ascii="宋体" w:hAnsi="宋体" w:cs="宋体"/>
          <w:color w:val="auto"/>
          <w:kern w:val="1"/>
          <w:szCs w:val="21"/>
          <w:highlight w:val="none"/>
          <w:u w:val="single"/>
        </w:rPr>
        <w:t>招标人按照招标需求制定最高投标限价（招标控制价），有两个含义，①最高投标限价总价，②勘察费最高投标限价（含子项单价）、设计费最高投标限价、建安工程费最高投标限价等三个分项价。投标人按照招标人提供的招标清单中列出的费用项目予以报价，其中。勘察费、设计费、建安工程费所报金额不得超出招标人规定的相应的最高投标限价。</w:t>
      </w:r>
    </w:p>
    <w:p w14:paraId="0C4818AC">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3.2.4.1.1</w:t>
      </w:r>
      <w:r>
        <w:rPr>
          <w:rFonts w:hint="eastAsia" w:ascii="宋体" w:hAnsi="宋体" w:cs="宋体"/>
          <w:color w:val="auto"/>
          <w:kern w:val="1"/>
          <w:szCs w:val="21"/>
          <w:highlight w:val="none"/>
          <w:u w:val="single"/>
        </w:rPr>
        <w:t>投标报价每一项费用只允许有一个报价，任何有选择的报价或未填报单价的投标文件将不予接受。</w:t>
      </w:r>
    </w:p>
    <w:p w14:paraId="427D72AB">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u w:val="single"/>
        </w:rPr>
        <w:t>3.2.4.1.2</w:t>
      </w:r>
      <w:r>
        <w:rPr>
          <w:rFonts w:hint="eastAsia" w:ascii="宋体" w:hAnsi="宋体" w:cs="宋体"/>
          <w:color w:val="auto"/>
          <w:kern w:val="1"/>
          <w:szCs w:val="21"/>
          <w:highlight w:val="none"/>
          <w:u w:val="single"/>
        </w:rPr>
        <w:t>投标人的投标总报价，包括勘察费、设计费和建安工程费。投标人应按照投标须知前附表第</w:t>
      </w:r>
      <w:r>
        <w:rPr>
          <w:rFonts w:ascii="宋体" w:hAnsi="宋体" w:cs="宋体"/>
          <w:color w:val="auto"/>
          <w:kern w:val="1"/>
          <w:szCs w:val="21"/>
          <w:highlight w:val="none"/>
          <w:u w:val="single"/>
        </w:rPr>
        <w:t xml:space="preserve">1.3.2 </w:t>
      </w:r>
      <w:r>
        <w:rPr>
          <w:rFonts w:hint="eastAsia" w:ascii="宋体" w:hAnsi="宋体" w:cs="宋体"/>
          <w:color w:val="auto"/>
          <w:kern w:val="1"/>
          <w:szCs w:val="21"/>
          <w:highlight w:val="none"/>
          <w:u w:val="single"/>
        </w:rPr>
        <w:t>项的工期要求，在投标须知前附表第</w:t>
      </w:r>
      <w:r>
        <w:rPr>
          <w:rFonts w:ascii="宋体" w:hAnsi="宋体" w:cs="宋体"/>
          <w:color w:val="auto"/>
          <w:kern w:val="1"/>
          <w:szCs w:val="21"/>
          <w:highlight w:val="none"/>
          <w:u w:val="single"/>
        </w:rPr>
        <w:t xml:space="preserve"> 1.1.5 </w:t>
      </w:r>
      <w:r>
        <w:rPr>
          <w:rFonts w:hint="eastAsia" w:ascii="宋体" w:hAnsi="宋体" w:cs="宋体"/>
          <w:color w:val="auto"/>
          <w:kern w:val="1"/>
          <w:szCs w:val="21"/>
          <w:highlight w:val="none"/>
          <w:u w:val="single"/>
        </w:rPr>
        <w:t>项的建设地点，完成投标须知前附表第</w:t>
      </w:r>
      <w:r>
        <w:rPr>
          <w:rFonts w:ascii="宋体" w:hAnsi="宋体" w:cs="宋体"/>
          <w:color w:val="auto"/>
          <w:kern w:val="1"/>
          <w:szCs w:val="21"/>
          <w:highlight w:val="none"/>
          <w:u w:val="single"/>
        </w:rPr>
        <w:t>1.3.1</w:t>
      </w:r>
      <w:r>
        <w:rPr>
          <w:rFonts w:hint="eastAsia" w:ascii="宋体" w:hAnsi="宋体" w:cs="宋体"/>
          <w:color w:val="auto"/>
          <w:kern w:val="1"/>
          <w:szCs w:val="21"/>
          <w:highlight w:val="none"/>
          <w:u w:val="single"/>
        </w:rPr>
        <w:t>项的招标范围内列明工作的全部费用，包括但不限于完成全部勘察、设计、建安工程工作的成本、利润、税金、技术措施费、大型机械进出场费、风险费以及政策性文件规定费用等，不得以任何理由予以重复计算。</w:t>
      </w:r>
    </w:p>
    <w:p w14:paraId="6837C216">
      <w:pPr>
        <w:spacing w:line="360" w:lineRule="auto"/>
        <w:ind w:firstLine="420"/>
        <w:rPr>
          <w:rFonts w:ascii="宋体" w:hAnsi="宋体" w:cs="宋体"/>
          <w:color w:val="auto"/>
          <w:kern w:val="1"/>
          <w:highlight w:val="none"/>
        </w:rPr>
      </w:pPr>
      <w:r>
        <w:rPr>
          <w:rFonts w:ascii="宋体" w:hAnsi="宋体" w:cs="宋体"/>
          <w:color w:val="auto"/>
          <w:kern w:val="1"/>
          <w:szCs w:val="21"/>
          <w:highlight w:val="none"/>
        </w:rPr>
        <w:t>3.2.5</w:t>
      </w:r>
      <w:r>
        <w:rPr>
          <w:rFonts w:hint="eastAsia" w:ascii="宋体" w:hAnsi="宋体" w:cs="宋体"/>
          <w:color w:val="auto"/>
          <w:kern w:val="1"/>
          <w:highlight w:val="none"/>
        </w:rPr>
        <w:t>投标报价的其他要求见投标人须知前附表。</w:t>
      </w:r>
    </w:p>
    <w:p w14:paraId="4D8FBBAD">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3.2.6</w:t>
      </w:r>
      <w:r>
        <w:rPr>
          <w:rFonts w:hint="eastAsia" w:ascii="宋体" w:hAnsi="宋体" w:cs="宋体"/>
          <w:color w:val="auto"/>
          <w:kern w:val="1"/>
          <w:highlight w:val="none"/>
          <w:u w:val="single"/>
        </w:rPr>
        <w:t>本项目投标报价采用的币种为人民币。</w:t>
      </w:r>
    </w:p>
    <w:p w14:paraId="5000C1BC">
      <w:pPr>
        <w:pStyle w:val="5"/>
        <w:spacing w:before="240" w:beforeLines="100" w:after="240" w:afterLines="100" w:line="360" w:lineRule="auto"/>
        <w:ind w:firstLine="351"/>
        <w:rPr>
          <w:rFonts w:ascii="宋体" w:hAnsi="宋体" w:eastAsia="宋体"/>
          <w:b/>
          <w:color w:val="auto"/>
          <w:sz w:val="24"/>
          <w:szCs w:val="24"/>
          <w:highlight w:val="none"/>
        </w:rPr>
      </w:pPr>
      <w:bookmarkStart w:id="245" w:name="_Toc13911"/>
      <w:r>
        <w:rPr>
          <w:rFonts w:ascii="宋体" w:hAnsi="宋体" w:eastAsia="宋体"/>
          <w:b/>
          <w:color w:val="auto"/>
          <w:sz w:val="24"/>
          <w:szCs w:val="24"/>
          <w:highlight w:val="none"/>
        </w:rPr>
        <w:t xml:space="preserve">3.3 </w:t>
      </w:r>
      <w:r>
        <w:rPr>
          <w:rFonts w:hint="eastAsia" w:ascii="宋体" w:hAnsi="宋体" w:eastAsia="宋体"/>
          <w:b/>
          <w:color w:val="auto"/>
          <w:sz w:val="24"/>
          <w:szCs w:val="24"/>
          <w:highlight w:val="none"/>
        </w:rPr>
        <w:t>投标有效期</w:t>
      </w:r>
      <w:bookmarkEnd w:id="245"/>
    </w:p>
    <w:p w14:paraId="080E9476">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3.3.1 </w:t>
      </w:r>
      <w:r>
        <w:rPr>
          <w:rFonts w:hint="eastAsia" w:ascii="宋体" w:hAnsi="宋体" w:cs="宋体"/>
          <w:color w:val="auto"/>
          <w:kern w:val="1"/>
          <w:highlight w:val="none"/>
        </w:rPr>
        <w:t>投标有效期按须知前附表的规定。</w:t>
      </w:r>
    </w:p>
    <w:p w14:paraId="7BE68720">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3.3.2 </w:t>
      </w:r>
      <w:r>
        <w:rPr>
          <w:rFonts w:hint="eastAsia" w:ascii="宋体" w:hAnsi="宋体" w:cs="宋体"/>
          <w:color w:val="auto"/>
          <w:kern w:val="1"/>
          <w:szCs w:val="21"/>
          <w:highlight w:val="none"/>
        </w:rPr>
        <w:t>在投标有效期内，投标人撤销或修改其投标文件的，应承担招标文件和法律规定的责任。</w:t>
      </w:r>
    </w:p>
    <w:p w14:paraId="34A160F5">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3.3.3 </w:t>
      </w:r>
      <w:r>
        <w:rPr>
          <w:rFonts w:hint="eastAsia" w:ascii="宋体" w:hAnsi="宋体" w:cs="宋体"/>
          <w:color w:val="auto"/>
          <w:kern w:val="1"/>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5A36C12">
      <w:pPr>
        <w:pStyle w:val="5"/>
        <w:spacing w:before="240" w:beforeLines="100" w:after="240" w:afterLines="100" w:line="360" w:lineRule="auto"/>
        <w:ind w:firstLine="363"/>
        <w:rPr>
          <w:rFonts w:ascii="宋体" w:hAnsi="宋体" w:eastAsia="宋体"/>
          <w:b/>
          <w:strike/>
          <w:color w:val="auto"/>
          <w:sz w:val="24"/>
          <w:szCs w:val="24"/>
          <w:highlight w:val="none"/>
        </w:rPr>
      </w:pPr>
      <w:bookmarkStart w:id="246" w:name="_Toc11123"/>
      <w:r>
        <w:rPr>
          <w:rFonts w:ascii="宋体" w:hAnsi="宋体" w:eastAsia="宋体"/>
          <w:b/>
          <w:strike/>
          <w:color w:val="auto"/>
          <w:sz w:val="24"/>
          <w:szCs w:val="24"/>
          <w:highlight w:val="none"/>
        </w:rPr>
        <w:t xml:space="preserve">3.4 </w:t>
      </w:r>
      <w:r>
        <w:rPr>
          <w:rFonts w:hint="eastAsia" w:ascii="宋体" w:hAnsi="宋体" w:eastAsia="宋体"/>
          <w:b/>
          <w:strike/>
          <w:color w:val="auto"/>
          <w:sz w:val="24"/>
          <w:szCs w:val="24"/>
          <w:highlight w:val="none"/>
        </w:rPr>
        <w:t>投标保证金</w:t>
      </w:r>
      <w:bookmarkEnd w:id="246"/>
    </w:p>
    <w:p w14:paraId="7EA25CE2">
      <w:pPr>
        <w:spacing w:line="360" w:lineRule="auto"/>
        <w:ind w:firstLine="420" w:firstLineChars="200"/>
        <w:rPr>
          <w:rFonts w:ascii="宋体" w:hAnsi="宋体"/>
          <w:strike/>
          <w:color w:val="auto"/>
          <w:highlight w:val="none"/>
        </w:rPr>
      </w:pPr>
      <w:r>
        <w:rPr>
          <w:rFonts w:ascii="宋体" w:hAnsi="宋体"/>
          <w:strike/>
          <w:color w:val="auto"/>
          <w:highlight w:val="none"/>
        </w:rPr>
        <w:t>3.4.1</w:t>
      </w:r>
      <w:r>
        <w:rPr>
          <w:rFonts w:hint="eastAsia" w:ascii="宋体" w:hAnsi="宋体"/>
          <w:strike/>
          <w:color w:val="auto"/>
          <w:highlight w:val="none"/>
          <w:u w:val="single"/>
        </w:rPr>
        <w:t>投标人在开标开始时间前（含开标开始时间），应按投标人须知前附表规定的金额、担保形式递交投标保证金</w:t>
      </w:r>
      <w:r>
        <w:rPr>
          <w:rFonts w:hint="eastAsia" w:ascii="宋体" w:hAnsi="宋体"/>
          <w:strike/>
          <w:color w:val="auto"/>
          <w:highlight w:val="none"/>
        </w:rPr>
        <w:t>，并作为其投标文件的组成部分。</w:t>
      </w:r>
    </w:p>
    <w:p w14:paraId="6B35FA29">
      <w:pPr>
        <w:spacing w:line="360" w:lineRule="auto"/>
        <w:ind w:firstLine="420" w:firstLineChars="200"/>
        <w:rPr>
          <w:rFonts w:ascii="宋体" w:hAnsi="宋体"/>
          <w:strike/>
          <w:color w:val="auto"/>
          <w:highlight w:val="none"/>
        </w:rPr>
      </w:pPr>
      <w:r>
        <w:rPr>
          <w:rFonts w:ascii="宋体" w:hAnsi="宋体"/>
          <w:strike/>
          <w:color w:val="auto"/>
          <w:highlight w:val="none"/>
        </w:rPr>
        <w:t xml:space="preserve">3.4.2 </w:t>
      </w:r>
      <w:r>
        <w:rPr>
          <w:rFonts w:hint="eastAsia" w:ascii="宋体" w:hAnsi="宋体"/>
          <w:strike/>
          <w:color w:val="auto"/>
          <w:highlight w:val="none"/>
        </w:rPr>
        <w:t>投标人不按本章第</w:t>
      </w:r>
      <w:r>
        <w:rPr>
          <w:rFonts w:ascii="宋体" w:hAnsi="宋体"/>
          <w:strike/>
          <w:color w:val="auto"/>
          <w:highlight w:val="none"/>
        </w:rPr>
        <w:t>3.4.1</w:t>
      </w:r>
      <w:r>
        <w:rPr>
          <w:rFonts w:hint="eastAsia" w:ascii="宋体" w:hAnsi="宋体"/>
          <w:strike/>
          <w:color w:val="auto"/>
          <w:highlight w:val="none"/>
        </w:rPr>
        <w:t>项要求提交投标保证金的，评标委员会将否决其投标。</w:t>
      </w:r>
    </w:p>
    <w:p w14:paraId="255FCC17">
      <w:pPr>
        <w:spacing w:line="360" w:lineRule="auto"/>
        <w:ind w:firstLine="420" w:firstLineChars="200"/>
        <w:rPr>
          <w:rFonts w:ascii="宋体" w:hAnsi="宋体"/>
          <w:strike/>
          <w:color w:val="auto"/>
          <w:highlight w:val="none"/>
        </w:rPr>
      </w:pPr>
      <w:r>
        <w:rPr>
          <w:rFonts w:ascii="宋体" w:hAnsi="宋体"/>
          <w:strike/>
          <w:color w:val="auto"/>
          <w:highlight w:val="none"/>
        </w:rPr>
        <w:t>3.4.3</w:t>
      </w:r>
      <w:r>
        <w:rPr>
          <w:rFonts w:hint="eastAsia"/>
          <w:strike/>
          <w:color w:val="auto"/>
          <w:highlight w:val="none"/>
          <w:u w:val="single"/>
        </w:rPr>
        <w:t>未中标的投标保证金将尽快退还，最迟不超过招标人与中标人签订合同后的</w:t>
      </w:r>
      <w:r>
        <w:rPr>
          <w:strike/>
          <w:color w:val="auto"/>
          <w:highlight w:val="none"/>
          <w:u w:val="single"/>
        </w:rPr>
        <w:t>5</w:t>
      </w:r>
      <w:r>
        <w:rPr>
          <w:rFonts w:hint="eastAsia"/>
          <w:strike/>
          <w:color w:val="auto"/>
          <w:highlight w:val="none"/>
          <w:u w:val="single"/>
        </w:rPr>
        <w:t>个工作日。中标人的投标保证金，在签署合同并按要求提供了履约担保后予以退还。</w:t>
      </w:r>
    </w:p>
    <w:p w14:paraId="7EA59DD9">
      <w:pPr>
        <w:spacing w:line="360" w:lineRule="auto"/>
        <w:ind w:firstLine="420" w:firstLineChars="200"/>
        <w:rPr>
          <w:rFonts w:ascii="宋体" w:hAnsi="宋体"/>
          <w:strike/>
          <w:color w:val="auto"/>
          <w:highlight w:val="none"/>
        </w:rPr>
      </w:pPr>
      <w:r>
        <w:rPr>
          <w:rFonts w:ascii="宋体" w:hAnsi="宋体"/>
          <w:strike/>
          <w:color w:val="auto"/>
          <w:highlight w:val="none"/>
        </w:rPr>
        <w:t>3.4.4</w:t>
      </w:r>
      <w:r>
        <w:rPr>
          <w:rFonts w:hint="eastAsia" w:ascii="宋体" w:hAnsi="宋体"/>
          <w:strike/>
          <w:color w:val="auto"/>
          <w:highlight w:val="none"/>
        </w:rPr>
        <w:t>投标人有下列情形的，将自愿接受：通报批评，记录不良行为，列入黑名单，并暂停企业参加建设单位项目招投标活动一年，不予退还投标保证金。</w:t>
      </w:r>
    </w:p>
    <w:p w14:paraId="11BB5EEE">
      <w:pPr>
        <w:spacing w:line="360" w:lineRule="auto"/>
        <w:ind w:firstLine="315" w:firstLineChars="150"/>
        <w:rPr>
          <w:rFonts w:ascii="宋体" w:hAnsi="宋体"/>
          <w:strike/>
          <w:color w:val="auto"/>
          <w:highlight w:val="none"/>
        </w:rPr>
      </w:pPr>
      <w:r>
        <w:rPr>
          <w:rFonts w:hint="eastAsia" w:ascii="宋体" w:hAnsi="宋体"/>
          <w:strike/>
          <w:color w:val="auto"/>
          <w:highlight w:val="none"/>
        </w:rPr>
        <w:t>（</w:t>
      </w:r>
      <w:r>
        <w:rPr>
          <w:rFonts w:ascii="宋体" w:hAnsi="宋体"/>
          <w:strike/>
          <w:color w:val="auto"/>
          <w:highlight w:val="none"/>
        </w:rPr>
        <w:t>1</w:t>
      </w:r>
      <w:r>
        <w:rPr>
          <w:rFonts w:hint="eastAsia" w:ascii="宋体" w:hAnsi="宋体"/>
          <w:strike/>
          <w:color w:val="auto"/>
          <w:highlight w:val="none"/>
        </w:rPr>
        <w:t>）投标人在规定的投标有效期内撤销或修改其投标文件；</w:t>
      </w:r>
    </w:p>
    <w:p w14:paraId="343FD5E8">
      <w:pPr>
        <w:tabs>
          <w:tab w:val="left" w:pos="7711"/>
        </w:tabs>
        <w:spacing w:line="360" w:lineRule="auto"/>
        <w:ind w:firstLine="315" w:firstLineChars="150"/>
        <w:rPr>
          <w:rFonts w:ascii="宋体" w:hAnsi="宋体"/>
          <w:strike/>
          <w:color w:val="auto"/>
          <w:highlight w:val="none"/>
          <w:u w:val="single"/>
        </w:rPr>
      </w:pPr>
      <w:r>
        <w:rPr>
          <w:rFonts w:hint="eastAsia" w:ascii="宋体" w:hAnsi="宋体"/>
          <w:strike/>
          <w:color w:val="auto"/>
          <w:highlight w:val="none"/>
          <w:u w:val="single"/>
        </w:rPr>
        <w:t>（</w:t>
      </w:r>
      <w:r>
        <w:rPr>
          <w:rFonts w:ascii="宋体" w:hAnsi="宋体"/>
          <w:strike/>
          <w:color w:val="auto"/>
          <w:highlight w:val="none"/>
          <w:u w:val="single"/>
        </w:rPr>
        <w:t>2</w:t>
      </w:r>
      <w:r>
        <w:rPr>
          <w:rFonts w:hint="eastAsia" w:ascii="宋体" w:hAnsi="宋体"/>
          <w:strike/>
          <w:color w:val="auto"/>
          <w:highlight w:val="none"/>
          <w:u w:val="single"/>
        </w:rPr>
        <w:t>）投标人提供了虚假的证明材料；</w:t>
      </w:r>
    </w:p>
    <w:p w14:paraId="70AABF77">
      <w:pPr>
        <w:spacing w:line="360" w:lineRule="auto"/>
        <w:ind w:firstLine="315" w:firstLineChars="150"/>
        <w:rPr>
          <w:rFonts w:ascii="宋体" w:hAnsi="宋体"/>
          <w:strike/>
          <w:color w:val="auto"/>
          <w:highlight w:val="none"/>
          <w:u w:val="single"/>
        </w:rPr>
      </w:pPr>
      <w:r>
        <w:rPr>
          <w:rFonts w:hint="eastAsia" w:ascii="宋体" w:hAnsi="宋体"/>
          <w:strike/>
          <w:color w:val="auto"/>
          <w:highlight w:val="none"/>
          <w:u w:val="single"/>
        </w:rPr>
        <w:t>（</w:t>
      </w:r>
      <w:r>
        <w:rPr>
          <w:rFonts w:ascii="宋体" w:hAnsi="宋体"/>
          <w:strike/>
          <w:color w:val="auto"/>
          <w:highlight w:val="none"/>
          <w:u w:val="single"/>
        </w:rPr>
        <w:t>3</w:t>
      </w:r>
      <w:r>
        <w:rPr>
          <w:rFonts w:hint="eastAsia" w:ascii="宋体" w:hAnsi="宋体"/>
          <w:strike/>
          <w:color w:val="auto"/>
          <w:highlight w:val="none"/>
          <w:u w:val="single"/>
        </w:rPr>
        <w:t>）中标候选人放弃中标；</w:t>
      </w:r>
    </w:p>
    <w:p w14:paraId="2CED3050">
      <w:pPr>
        <w:spacing w:line="360" w:lineRule="auto"/>
        <w:ind w:firstLine="315"/>
        <w:rPr>
          <w:rFonts w:ascii="宋体" w:hAnsi="宋体" w:cs="宋体"/>
          <w:strike/>
          <w:color w:val="auto"/>
          <w:kern w:val="1"/>
          <w:szCs w:val="21"/>
          <w:highlight w:val="none"/>
        </w:rPr>
      </w:pPr>
      <w:r>
        <w:rPr>
          <w:rFonts w:hint="eastAsia" w:ascii="宋体" w:hAnsi="宋体"/>
          <w:strike/>
          <w:color w:val="auto"/>
          <w:highlight w:val="none"/>
          <w:u w:val="single"/>
        </w:rPr>
        <w:t>（</w:t>
      </w:r>
      <w:r>
        <w:rPr>
          <w:rFonts w:ascii="宋体" w:hAnsi="宋体"/>
          <w:strike/>
          <w:color w:val="auto"/>
          <w:highlight w:val="none"/>
          <w:u w:val="single"/>
        </w:rPr>
        <w:t>4</w:t>
      </w:r>
      <w:r>
        <w:rPr>
          <w:rFonts w:hint="eastAsia" w:ascii="宋体" w:hAnsi="宋体"/>
          <w:strike/>
          <w:color w:val="auto"/>
          <w:highlight w:val="none"/>
          <w:u w:val="single"/>
        </w:rPr>
        <w:t>）中标人在收到中标通知书后，无正当理由拒签合同或未按招标文件规定提交履约担保。</w:t>
      </w:r>
    </w:p>
    <w:p w14:paraId="74DB92D3">
      <w:pPr>
        <w:pStyle w:val="5"/>
        <w:spacing w:before="240" w:beforeLines="100" w:after="240" w:afterLines="100" w:line="360" w:lineRule="auto"/>
        <w:ind w:firstLine="0"/>
        <w:rPr>
          <w:rFonts w:ascii="宋体" w:hAnsi="宋体" w:eastAsia="宋体"/>
          <w:b/>
          <w:color w:val="auto"/>
          <w:sz w:val="24"/>
          <w:szCs w:val="24"/>
          <w:highlight w:val="none"/>
        </w:rPr>
      </w:pPr>
      <w:bookmarkStart w:id="247" w:name="_Toc2299"/>
      <w:r>
        <w:rPr>
          <w:rFonts w:ascii="宋体" w:hAnsi="宋体" w:eastAsia="宋体"/>
          <w:b/>
          <w:color w:val="auto"/>
          <w:sz w:val="24"/>
          <w:szCs w:val="24"/>
          <w:highlight w:val="none"/>
        </w:rPr>
        <w:t xml:space="preserve">3.5 </w:t>
      </w:r>
      <w:r>
        <w:rPr>
          <w:rFonts w:hint="eastAsia" w:ascii="宋体" w:hAnsi="宋体" w:eastAsia="宋体"/>
          <w:b/>
          <w:color w:val="auto"/>
          <w:sz w:val="24"/>
          <w:szCs w:val="24"/>
          <w:highlight w:val="none"/>
        </w:rPr>
        <w:t>资格审查</w:t>
      </w:r>
      <w:bookmarkEnd w:id="247"/>
    </w:p>
    <w:p w14:paraId="1460AEB2">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002C439F">
      <w:pPr>
        <w:spacing w:line="360" w:lineRule="auto"/>
        <w:ind w:firstLine="42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17253D45">
      <w:pPr>
        <w:pStyle w:val="2"/>
        <w:spacing w:line="360" w:lineRule="auto"/>
        <w:rPr>
          <w:color w:val="auto"/>
          <w:highlight w:val="none"/>
          <w:lang w:val="en-US"/>
        </w:rPr>
      </w:pPr>
    </w:p>
    <w:p w14:paraId="315F2565">
      <w:pPr>
        <w:pStyle w:val="5"/>
        <w:spacing w:before="240" w:beforeLines="100" w:after="240" w:afterLines="100" w:line="360" w:lineRule="auto"/>
        <w:ind w:firstLine="0"/>
        <w:rPr>
          <w:rFonts w:ascii="宋体" w:hAnsi="宋体" w:eastAsia="宋体"/>
          <w:b/>
          <w:color w:val="auto"/>
          <w:sz w:val="24"/>
          <w:szCs w:val="24"/>
          <w:highlight w:val="none"/>
        </w:rPr>
      </w:pPr>
      <w:bookmarkStart w:id="248" w:name="_Toc1342"/>
      <w:r>
        <w:rPr>
          <w:rFonts w:ascii="宋体" w:hAnsi="宋体" w:eastAsia="宋体"/>
          <w:b/>
          <w:color w:val="auto"/>
          <w:sz w:val="24"/>
          <w:szCs w:val="24"/>
          <w:highlight w:val="none"/>
        </w:rPr>
        <w:t xml:space="preserve">3.6 </w:t>
      </w:r>
      <w:r>
        <w:rPr>
          <w:rFonts w:hint="eastAsia" w:ascii="宋体" w:hAnsi="宋体" w:eastAsia="宋体"/>
          <w:b/>
          <w:color w:val="auto"/>
          <w:sz w:val="24"/>
          <w:szCs w:val="24"/>
          <w:highlight w:val="none"/>
        </w:rPr>
        <w:t>备选投标方案</w:t>
      </w:r>
      <w:bookmarkEnd w:id="248"/>
    </w:p>
    <w:p w14:paraId="174B777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5A1C7AA5">
      <w:pPr>
        <w:pStyle w:val="5"/>
        <w:spacing w:before="240" w:beforeLines="100" w:after="240" w:afterLines="100" w:line="360" w:lineRule="auto"/>
        <w:ind w:firstLine="0"/>
        <w:rPr>
          <w:rFonts w:ascii="宋体" w:hAnsi="宋体" w:eastAsia="宋体"/>
          <w:b/>
          <w:color w:val="auto"/>
          <w:sz w:val="24"/>
          <w:szCs w:val="24"/>
          <w:highlight w:val="none"/>
        </w:rPr>
      </w:pPr>
      <w:bookmarkStart w:id="249" w:name="_Toc12178"/>
      <w:r>
        <w:rPr>
          <w:rFonts w:ascii="宋体" w:hAnsi="宋体" w:eastAsia="宋体"/>
          <w:b/>
          <w:color w:val="auto"/>
          <w:sz w:val="24"/>
          <w:szCs w:val="24"/>
          <w:highlight w:val="none"/>
        </w:rPr>
        <w:t xml:space="preserve">3.7 </w:t>
      </w:r>
      <w:r>
        <w:rPr>
          <w:rFonts w:hint="eastAsia" w:ascii="宋体" w:hAnsi="宋体" w:eastAsia="宋体"/>
          <w:b/>
          <w:color w:val="auto"/>
          <w:sz w:val="24"/>
          <w:szCs w:val="24"/>
          <w:highlight w:val="none"/>
        </w:rPr>
        <w:t>投标文件的编制</w:t>
      </w:r>
      <w:bookmarkEnd w:id="249"/>
    </w:p>
    <w:p w14:paraId="38B6ACF3">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3.7.1 </w:t>
      </w:r>
      <w:r>
        <w:rPr>
          <w:rFonts w:hint="eastAsia" w:ascii="宋体" w:hAnsi="宋体" w:cs="宋体"/>
          <w:color w:val="auto"/>
          <w:kern w:val="1"/>
          <w:szCs w:val="21"/>
          <w:highlight w:val="none"/>
        </w:rPr>
        <w:t>投标文件应按第七章“投标文件格式”进行编写，如有必要，可以增加附页，作为投标文件的组成部分。</w:t>
      </w:r>
    </w:p>
    <w:p w14:paraId="11C80B3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3.7.2 </w:t>
      </w:r>
      <w:r>
        <w:rPr>
          <w:rFonts w:hint="eastAsia" w:ascii="宋体" w:hAnsi="宋体" w:cs="宋体"/>
          <w:color w:val="auto"/>
          <w:kern w:val="1"/>
          <w:szCs w:val="21"/>
          <w:highlight w:val="none"/>
        </w:rPr>
        <w:t>投标文件应当对招标文件有关招标范围、投标有效期、工期、质量标准、招标人要求等实质性内容作出响应。</w:t>
      </w:r>
    </w:p>
    <w:p w14:paraId="3FDC26E2">
      <w:pPr>
        <w:spacing w:line="360" w:lineRule="auto"/>
        <w:ind w:firstLine="420"/>
        <w:rPr>
          <w:rFonts w:ascii="宋体" w:hAnsi="宋体" w:cs="宋体"/>
          <w:color w:val="auto"/>
          <w:kern w:val="1"/>
          <w:highlight w:val="none"/>
        </w:rPr>
      </w:pPr>
      <w:r>
        <w:rPr>
          <w:rFonts w:ascii="宋体" w:hAnsi="宋体" w:cs="宋体"/>
          <w:color w:val="auto"/>
          <w:kern w:val="1"/>
          <w:highlight w:val="none"/>
        </w:rPr>
        <w:t>3.7.3</w:t>
      </w:r>
      <w:r>
        <w:rPr>
          <w:rFonts w:hint="eastAsia" w:ascii="宋体" w:hAnsi="宋体" w:cs="宋体"/>
          <w:color w:val="auto"/>
          <w:kern w:val="1"/>
          <w:szCs w:val="21"/>
          <w:highlight w:val="none"/>
          <w:u w:val="single"/>
        </w:rPr>
        <w:t>勘察</w:t>
      </w:r>
      <w:r>
        <w:rPr>
          <w:rFonts w:hint="eastAsia" w:ascii="宋体" w:hAnsi="宋体" w:cs="宋体"/>
          <w:color w:val="auto"/>
          <w:kern w:val="1"/>
          <w:highlight w:val="none"/>
          <w:u w:val="single"/>
        </w:rPr>
        <w:t>设计方案投标文件按本须知第</w:t>
      </w:r>
      <w:r>
        <w:rPr>
          <w:rFonts w:ascii="宋体" w:hAnsi="宋体" w:cs="宋体"/>
          <w:color w:val="auto"/>
          <w:kern w:val="1"/>
          <w:highlight w:val="none"/>
          <w:u w:val="single"/>
        </w:rPr>
        <w:t>3.1.3</w:t>
      </w:r>
      <w:r>
        <w:rPr>
          <w:rFonts w:hint="eastAsia" w:ascii="宋体" w:hAnsi="宋体" w:cs="宋体"/>
          <w:color w:val="auto"/>
          <w:kern w:val="1"/>
          <w:highlight w:val="none"/>
          <w:u w:val="single"/>
        </w:rPr>
        <w:t>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对投标文件加盖电子印章。投标文件中需个人签字或盖章的，应在线下完成后扫描上传。其余可不加盖电子印章或签名。具体操作方法详见《建设工程全流程电子化项目操作指南》</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联合体投标的，除《联合体共同投标协议书》必须联合体各方分别按要求进行签字、盖章外，投标文件封面及其他内容落款中的“投标人”应填写联合体各方的单位全称【格式为：</w:t>
      </w:r>
      <w:r>
        <w:rPr>
          <w:rFonts w:ascii="宋体" w:hAnsi="宋体" w:cs="宋体"/>
          <w:b/>
          <w:bCs/>
          <w:color w:val="auto"/>
          <w:szCs w:val="21"/>
          <w:highlight w:val="none"/>
          <w:u w:val="single"/>
        </w:rPr>
        <w:t>(</w:t>
      </w:r>
      <w:r>
        <w:rPr>
          <w:rFonts w:hint="eastAsia" w:ascii="宋体" w:hAnsi="宋体" w:cs="宋体"/>
          <w:b/>
          <w:bCs/>
          <w:color w:val="auto"/>
          <w:szCs w:val="21"/>
          <w:highlight w:val="none"/>
          <w:u w:val="single"/>
        </w:rPr>
        <w:t>主</w:t>
      </w:r>
      <w:r>
        <w:rPr>
          <w:rFonts w:ascii="宋体" w:hAnsi="宋体" w:cs="宋体"/>
          <w:b/>
          <w:bCs/>
          <w:color w:val="auto"/>
          <w:szCs w:val="21"/>
          <w:highlight w:val="none"/>
          <w:u w:val="single"/>
        </w:rPr>
        <w:t>)XXXX</w:t>
      </w:r>
      <w:r>
        <w:rPr>
          <w:rFonts w:hint="eastAsia" w:ascii="宋体" w:hAnsi="宋体" w:cs="宋体"/>
          <w:b/>
          <w:bCs/>
          <w:color w:val="auto"/>
          <w:szCs w:val="21"/>
          <w:highlight w:val="none"/>
          <w:u w:val="single"/>
        </w:rPr>
        <w:t>公司</w:t>
      </w:r>
      <w:r>
        <w:rPr>
          <w:rFonts w:ascii="宋体" w:hAnsi="宋体" w:cs="宋体"/>
          <w:b/>
          <w:bCs/>
          <w:color w:val="auto"/>
          <w:szCs w:val="21"/>
          <w:highlight w:val="none"/>
          <w:u w:val="single"/>
        </w:rPr>
        <w:t>(</w:t>
      </w:r>
      <w:r>
        <w:rPr>
          <w:rFonts w:hint="eastAsia" w:ascii="宋体" w:hAnsi="宋体" w:cs="宋体"/>
          <w:b/>
          <w:bCs/>
          <w:color w:val="auto"/>
          <w:szCs w:val="21"/>
          <w:highlight w:val="none"/>
          <w:u w:val="single"/>
        </w:rPr>
        <w:t>成</w:t>
      </w:r>
      <w:r>
        <w:rPr>
          <w:rFonts w:ascii="宋体" w:hAnsi="宋体" w:cs="宋体"/>
          <w:b/>
          <w:bCs/>
          <w:color w:val="auto"/>
          <w:szCs w:val="21"/>
          <w:highlight w:val="none"/>
          <w:u w:val="single"/>
        </w:rPr>
        <w:t>)XXXX</w:t>
      </w:r>
      <w:r>
        <w:rPr>
          <w:rFonts w:hint="eastAsia" w:ascii="宋体" w:hAnsi="宋体" w:cs="宋体"/>
          <w:b/>
          <w:bCs/>
          <w:color w:val="auto"/>
          <w:szCs w:val="21"/>
          <w:highlight w:val="none"/>
          <w:u w:val="single"/>
        </w:rPr>
        <w:t>公司</w:t>
      </w:r>
      <w:r>
        <w:rPr>
          <w:rFonts w:ascii="宋体" w:hAnsi="宋体" w:cs="宋体"/>
          <w:b/>
          <w:bCs/>
          <w:color w:val="auto"/>
          <w:szCs w:val="21"/>
          <w:highlight w:val="none"/>
          <w:u w:val="single"/>
        </w:rPr>
        <w:t>(</w:t>
      </w:r>
      <w:r>
        <w:rPr>
          <w:rFonts w:hint="eastAsia" w:ascii="宋体" w:hAnsi="宋体" w:cs="宋体"/>
          <w:b/>
          <w:bCs/>
          <w:color w:val="auto"/>
          <w:szCs w:val="21"/>
          <w:highlight w:val="none"/>
          <w:u w:val="single"/>
        </w:rPr>
        <w:t>成</w:t>
      </w:r>
      <w:r>
        <w:rPr>
          <w:rFonts w:ascii="宋体" w:hAnsi="宋体" w:cs="宋体"/>
          <w:b/>
          <w:bCs/>
          <w:color w:val="auto"/>
          <w:szCs w:val="21"/>
          <w:highlight w:val="none"/>
          <w:u w:val="single"/>
        </w:rPr>
        <w:t>)</w:t>
      </w:r>
      <w:r>
        <w:rPr>
          <w:rFonts w:hint="eastAsia" w:ascii="宋体" w:hAnsi="宋体" w:cs="宋体"/>
          <w:b/>
          <w:bCs/>
          <w:color w:val="auto"/>
          <w:szCs w:val="21"/>
          <w:highlight w:val="none"/>
          <w:u w:val="single"/>
        </w:rPr>
        <w:t>……】，由联合体牵头方签字、盖章即可。</w:t>
      </w:r>
    </w:p>
    <w:p w14:paraId="365F68AC">
      <w:pPr>
        <w:pStyle w:val="4"/>
        <w:spacing w:before="240" w:beforeLines="100" w:after="240" w:afterLines="100" w:line="360" w:lineRule="auto"/>
        <w:rPr>
          <w:rFonts w:ascii="宋体" w:hAnsi="宋体" w:eastAsia="宋体" w:cs="宋体"/>
          <w:color w:val="auto"/>
          <w:highlight w:val="none"/>
          <w:lang w:val="zh-CN"/>
        </w:rPr>
      </w:pPr>
      <w:bookmarkStart w:id="250" w:name="_Toc443505826"/>
      <w:bookmarkEnd w:id="250"/>
      <w:bookmarkStart w:id="251" w:name="_Toc3979"/>
      <w:bookmarkEnd w:id="251"/>
      <w:bookmarkStart w:id="252" w:name="_Toc8024"/>
      <w:bookmarkEnd w:id="252"/>
      <w:bookmarkStart w:id="253" w:name="_Toc5620321"/>
      <w:bookmarkStart w:id="254" w:name="_Toc8504"/>
      <w:bookmarkStart w:id="255" w:name="_Toc31278"/>
      <w:r>
        <w:rPr>
          <w:rFonts w:ascii="宋体" w:hAnsi="宋体" w:eastAsia="宋体" w:cs="宋体"/>
          <w:color w:val="auto"/>
          <w:highlight w:val="none"/>
          <w:lang w:val="zh-CN"/>
        </w:rPr>
        <w:t>4.</w:t>
      </w:r>
      <w:bookmarkEnd w:id="253"/>
      <w:bookmarkEnd w:id="254"/>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投标</w:t>
      </w:r>
      <w:bookmarkEnd w:id="255"/>
    </w:p>
    <w:p w14:paraId="4EF95A1B">
      <w:pPr>
        <w:pStyle w:val="5"/>
        <w:spacing w:line="360" w:lineRule="auto"/>
        <w:ind w:firstLine="118"/>
        <w:rPr>
          <w:rFonts w:ascii="宋体" w:hAnsi="宋体" w:eastAsia="宋体"/>
          <w:b/>
          <w:bCs/>
          <w:color w:val="auto"/>
          <w:sz w:val="24"/>
          <w:szCs w:val="24"/>
          <w:highlight w:val="none"/>
        </w:rPr>
      </w:pPr>
      <w:bookmarkStart w:id="256" w:name="_Toc357089537"/>
      <w:bookmarkEnd w:id="256"/>
      <w:bookmarkStart w:id="257" w:name="_Toc362816506"/>
      <w:bookmarkEnd w:id="257"/>
      <w:bookmarkStart w:id="258" w:name="_Toc2241"/>
      <w:r>
        <w:rPr>
          <w:rFonts w:ascii="宋体" w:hAnsi="宋体" w:eastAsia="宋体"/>
          <w:b/>
          <w:bCs/>
          <w:color w:val="auto"/>
          <w:sz w:val="24"/>
          <w:szCs w:val="24"/>
          <w:highlight w:val="none"/>
        </w:rPr>
        <w:t xml:space="preserve">4.1 </w:t>
      </w:r>
      <w:r>
        <w:rPr>
          <w:rFonts w:hint="eastAsia" w:ascii="宋体" w:hAnsi="宋体" w:eastAsia="宋体"/>
          <w:b/>
          <w:bCs/>
          <w:color w:val="auto"/>
          <w:sz w:val="24"/>
          <w:szCs w:val="24"/>
          <w:highlight w:val="none"/>
        </w:rPr>
        <w:t>投标文件的密封和标记</w:t>
      </w:r>
      <w:bookmarkEnd w:id="258"/>
    </w:p>
    <w:p w14:paraId="67C135F1">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49162FBB">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73AE61F1">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4.1.3</w:t>
      </w:r>
      <w:r>
        <w:rPr>
          <w:rFonts w:hint="eastAsia" w:ascii="宋体" w:hAnsi="宋体" w:cs="宋体"/>
          <w:color w:val="auto"/>
          <w:kern w:val="1"/>
          <w:highlight w:val="none"/>
          <w:u w:val="single"/>
        </w:rPr>
        <w:t>投标人在投标截止期后逾期或未在指定地点递交备用电子投标文件的，或投标人递交的备用电子投标文件未按招标文件要求密封或未在密封处盖章的，或投标人代表未凭法定代表人证明书原件、授权委托书原件（仅限于非法定代表人）、本人身份证原件按要求递交备用电子投标文件的，招标人将予以拒收。</w:t>
      </w:r>
    </w:p>
    <w:p w14:paraId="3C0AFEE3">
      <w:pPr>
        <w:pStyle w:val="5"/>
        <w:spacing w:line="360" w:lineRule="auto"/>
        <w:ind w:firstLine="118"/>
        <w:rPr>
          <w:rFonts w:ascii="宋体" w:hAnsi="宋体" w:eastAsia="宋体"/>
          <w:b/>
          <w:bCs/>
          <w:color w:val="auto"/>
          <w:sz w:val="24"/>
          <w:szCs w:val="24"/>
          <w:highlight w:val="none"/>
        </w:rPr>
      </w:pPr>
      <w:bookmarkStart w:id="259" w:name="_Toc28745"/>
      <w:r>
        <w:rPr>
          <w:rFonts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259"/>
    </w:p>
    <w:p w14:paraId="2BB2174E">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4BD6E0C1">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4.2.2</w:t>
      </w:r>
      <w:r>
        <w:rPr>
          <w:rFonts w:hint="eastAsia" w:ascii="宋体" w:hAnsi="宋体" w:cs="宋体"/>
          <w:color w:val="auto"/>
          <w:kern w:val="1"/>
          <w:highlight w:val="none"/>
          <w:u w:val="single"/>
        </w:rPr>
        <w:t>投标人通过下载招标文件的</w:t>
      </w:r>
      <w:r>
        <w:rPr>
          <w:rFonts w:hint="eastAsia" w:ascii="宋体" w:hAnsi="宋体" w:cs="宋体"/>
          <w:b/>
          <w:color w:val="auto"/>
          <w:kern w:val="1"/>
          <w:highlight w:val="none"/>
          <w:u w:val="single"/>
        </w:rPr>
        <w:t>广州公共资源交易中心</w:t>
      </w:r>
      <w:r>
        <w:rPr>
          <w:rFonts w:hint="eastAsia" w:ascii="宋体" w:hAnsi="宋体" w:cs="宋体"/>
          <w:color w:val="auto"/>
          <w:kern w:val="1"/>
          <w:highlight w:val="none"/>
          <w:u w:val="single"/>
        </w:rPr>
        <w:t>电子招标投标交易平台递交电子投标文件。</w:t>
      </w:r>
    </w:p>
    <w:p w14:paraId="3FF80864">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4.2.3</w:t>
      </w:r>
      <w:r>
        <w:rPr>
          <w:rFonts w:hint="eastAsia" w:ascii="宋体" w:hAnsi="宋体" w:cs="宋体"/>
          <w:color w:val="auto"/>
          <w:kern w:val="1"/>
          <w:highlight w:val="none"/>
          <w:u w:val="single"/>
        </w:rPr>
        <w:t>投标人完成电子投标文件上传后，电子招标投标交易平台即时向投标人发出递交回执通知。递交时间以递交回执通知载明的传输完成时间为准。</w:t>
      </w:r>
    </w:p>
    <w:p w14:paraId="23EC9273">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w:t>
      </w:r>
      <w:r>
        <w:rPr>
          <w:rFonts w:hint="eastAsia" w:ascii="宋体" w:hAnsi="宋体" w:cs="宋体"/>
          <w:color w:val="auto"/>
          <w:kern w:val="1"/>
          <w:highlight w:val="none"/>
          <w:u w:val="single"/>
        </w:rPr>
        <w:t>家的，本项目招标失败，将依法重新招标。</w:t>
      </w:r>
    </w:p>
    <w:p w14:paraId="691A0A11">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4.2.5 </w:t>
      </w:r>
      <w:r>
        <w:rPr>
          <w:rFonts w:hint="eastAsia" w:ascii="宋体" w:hAnsi="宋体" w:cs="宋体"/>
          <w:color w:val="auto"/>
          <w:kern w:val="1"/>
          <w:highlight w:val="none"/>
          <w:u w:val="single"/>
        </w:rPr>
        <w:t>逾期送达的投标文件，电子招标投标交易平台将予以拒收。</w:t>
      </w:r>
    </w:p>
    <w:p w14:paraId="52615C8A">
      <w:pPr>
        <w:pStyle w:val="5"/>
        <w:spacing w:line="360" w:lineRule="auto"/>
        <w:ind w:firstLine="118"/>
        <w:rPr>
          <w:rFonts w:ascii="宋体" w:hAnsi="宋体" w:eastAsia="宋体"/>
          <w:b/>
          <w:bCs/>
          <w:color w:val="auto"/>
          <w:sz w:val="24"/>
          <w:szCs w:val="24"/>
          <w:highlight w:val="none"/>
        </w:rPr>
      </w:pPr>
      <w:bookmarkStart w:id="260" w:name="_Toc357089539"/>
      <w:bookmarkEnd w:id="260"/>
      <w:bookmarkStart w:id="261" w:name="_Toc362816508"/>
      <w:bookmarkEnd w:id="261"/>
      <w:bookmarkStart w:id="262" w:name="_Toc9373"/>
      <w:r>
        <w:rPr>
          <w:rFonts w:ascii="宋体" w:hAnsi="宋体" w:eastAsia="宋体"/>
          <w:b/>
          <w:bCs/>
          <w:color w:val="auto"/>
          <w:sz w:val="24"/>
          <w:szCs w:val="24"/>
          <w:highlight w:val="none"/>
        </w:rPr>
        <w:t xml:space="preserve">4.3 </w:t>
      </w:r>
      <w:r>
        <w:rPr>
          <w:rFonts w:hint="eastAsia" w:ascii="宋体" w:hAnsi="宋体" w:eastAsia="宋体"/>
          <w:b/>
          <w:bCs/>
          <w:color w:val="auto"/>
          <w:sz w:val="24"/>
          <w:szCs w:val="24"/>
          <w:highlight w:val="none"/>
        </w:rPr>
        <w:t>投标文件的修改与撤回</w:t>
      </w:r>
      <w:bookmarkEnd w:id="262"/>
    </w:p>
    <w:p w14:paraId="49B6E96A">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4.3.1 </w:t>
      </w:r>
      <w:r>
        <w:rPr>
          <w:rFonts w:hint="eastAsia" w:ascii="宋体" w:hAnsi="宋体" w:cs="宋体"/>
          <w:color w:val="auto"/>
          <w:kern w:val="1"/>
          <w:highlight w:val="none"/>
          <w:u w:val="single"/>
        </w:rPr>
        <w:t>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4070D747">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4.3.2 </w:t>
      </w:r>
      <w:r>
        <w:rPr>
          <w:rFonts w:hint="eastAsia" w:ascii="宋体" w:hAnsi="宋体" w:cs="宋体"/>
          <w:color w:val="auto"/>
          <w:kern w:val="1"/>
          <w:highlight w:val="none"/>
          <w:u w:val="single"/>
        </w:rPr>
        <w:t>投标人修改或撤回已递交投标文件的通知，应按照本章第</w:t>
      </w:r>
      <w:r>
        <w:rPr>
          <w:rFonts w:ascii="宋体" w:hAnsi="宋体" w:cs="宋体"/>
          <w:color w:val="auto"/>
          <w:kern w:val="1"/>
          <w:highlight w:val="none"/>
          <w:u w:val="single"/>
        </w:rPr>
        <w:t xml:space="preserve"> 3.7.3</w:t>
      </w:r>
      <w:r>
        <w:rPr>
          <w:rFonts w:hint="eastAsia" w:ascii="宋体" w:hAnsi="宋体" w:cs="宋体"/>
          <w:color w:val="auto"/>
          <w:kern w:val="1"/>
          <w:highlight w:val="none"/>
          <w:u w:val="single"/>
        </w:rPr>
        <w:t>项的要求加盖电子印章。电子招标投标交易平台收到通知后，即时向投标人发出确认回执通知。</w:t>
      </w:r>
    </w:p>
    <w:p w14:paraId="486E5ACC">
      <w:pPr>
        <w:spacing w:line="360" w:lineRule="auto"/>
        <w:ind w:firstLine="420"/>
        <w:rPr>
          <w:rFonts w:ascii="宋体" w:hAnsi="宋体" w:cs="宋体"/>
          <w:strike/>
          <w:color w:val="auto"/>
          <w:kern w:val="1"/>
          <w:highlight w:val="none"/>
          <w:u w:val="single"/>
        </w:rPr>
      </w:pPr>
      <w:r>
        <w:rPr>
          <w:rFonts w:ascii="宋体" w:hAnsi="宋体" w:cs="宋体"/>
          <w:strike/>
          <w:color w:val="auto"/>
          <w:kern w:val="1"/>
          <w:highlight w:val="none"/>
          <w:u w:val="single"/>
        </w:rPr>
        <w:t xml:space="preserve">4.3.3 </w:t>
      </w:r>
      <w:r>
        <w:rPr>
          <w:rFonts w:hint="eastAsia" w:ascii="宋体" w:hAnsi="宋体"/>
          <w:strike/>
          <w:color w:val="auto"/>
          <w:szCs w:val="21"/>
          <w:highlight w:val="none"/>
          <w:u w:val="single"/>
        </w:rPr>
        <w:t>投标人撤回投标文件的，招标人自收到投标人撤回通知之日起</w:t>
      </w:r>
      <w:r>
        <w:rPr>
          <w:rFonts w:ascii="宋体" w:hAnsi="宋体"/>
          <w:strike/>
          <w:color w:val="auto"/>
          <w:szCs w:val="21"/>
          <w:highlight w:val="none"/>
          <w:u w:val="single"/>
        </w:rPr>
        <w:t xml:space="preserve"> 5 </w:t>
      </w:r>
      <w:r>
        <w:rPr>
          <w:rFonts w:hint="eastAsia" w:ascii="宋体" w:hAnsi="宋体"/>
          <w:strike/>
          <w:color w:val="auto"/>
          <w:szCs w:val="21"/>
          <w:highlight w:val="none"/>
          <w:u w:val="single"/>
        </w:rPr>
        <w:t>日内退还已收取的投标保证金。</w:t>
      </w:r>
    </w:p>
    <w:p w14:paraId="45F1EBA6">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4.3.4 </w:t>
      </w:r>
      <w:r>
        <w:rPr>
          <w:rFonts w:hint="eastAsia" w:ascii="宋体" w:hAnsi="宋体"/>
          <w:color w:val="auto"/>
          <w:szCs w:val="21"/>
          <w:highlight w:val="none"/>
          <w:u w:val="single"/>
        </w:rPr>
        <w:t>修改的内容为投标文件的组成部分修改的投标文件应按照本章第</w:t>
      </w:r>
      <w:r>
        <w:rPr>
          <w:rFonts w:ascii="宋体" w:hAnsi="宋体"/>
          <w:color w:val="auto"/>
          <w:szCs w:val="21"/>
          <w:highlight w:val="none"/>
          <w:u w:val="single"/>
        </w:rPr>
        <w:t xml:space="preserve"> 3 </w:t>
      </w:r>
      <w:r>
        <w:rPr>
          <w:rFonts w:hint="eastAsia" w:ascii="宋体" w:hAnsi="宋体"/>
          <w:color w:val="auto"/>
          <w:szCs w:val="21"/>
          <w:highlight w:val="none"/>
          <w:u w:val="single"/>
        </w:rPr>
        <w:t>条、第</w:t>
      </w:r>
      <w:r>
        <w:rPr>
          <w:rFonts w:ascii="宋体" w:hAnsi="宋体"/>
          <w:color w:val="auto"/>
          <w:szCs w:val="21"/>
          <w:highlight w:val="none"/>
          <w:u w:val="single"/>
        </w:rPr>
        <w:t xml:space="preserve"> 4 </w:t>
      </w:r>
      <w:r>
        <w:rPr>
          <w:rFonts w:hint="eastAsia" w:ascii="宋体" w:hAnsi="宋体"/>
          <w:color w:val="auto"/>
          <w:szCs w:val="21"/>
          <w:highlight w:val="none"/>
          <w:u w:val="single"/>
        </w:rPr>
        <w:t>条的规定进行编制和递交。</w:t>
      </w:r>
    </w:p>
    <w:p w14:paraId="63AA496A">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4.3.5 </w:t>
      </w:r>
      <w:r>
        <w:rPr>
          <w:rFonts w:hint="eastAsia" w:ascii="宋体" w:hAnsi="宋体" w:cs="宋体"/>
          <w:color w:val="auto"/>
          <w:kern w:val="1"/>
          <w:highlight w:val="none"/>
          <w:u w:val="single"/>
        </w:rPr>
        <w:t>在投标截止时间之后，投标人不得补充、修改和更换投标文件。</w:t>
      </w:r>
    </w:p>
    <w:p w14:paraId="1DB3F65F">
      <w:pPr>
        <w:spacing w:line="360" w:lineRule="auto"/>
        <w:ind w:firstLine="420"/>
        <w:rPr>
          <w:rFonts w:ascii="宋体" w:hAnsi="宋体" w:cs="宋体"/>
          <w:color w:val="auto"/>
          <w:kern w:val="1"/>
          <w:highlight w:val="none"/>
        </w:rPr>
      </w:pPr>
      <w:r>
        <w:rPr>
          <w:rFonts w:ascii="宋体" w:hAnsi="宋体" w:cs="宋体"/>
          <w:color w:val="auto"/>
          <w:kern w:val="1"/>
          <w:highlight w:val="none"/>
          <w:u w:val="single"/>
        </w:rPr>
        <w:t xml:space="preserve">4.3.6 </w:t>
      </w:r>
      <w:r>
        <w:rPr>
          <w:rFonts w:hint="eastAsia" w:ascii="宋体" w:hAnsi="宋体" w:cs="宋体"/>
          <w:color w:val="auto"/>
          <w:kern w:val="1"/>
          <w:highlight w:val="none"/>
          <w:u w:val="single"/>
        </w:rPr>
        <w:t>在投标截止后，投标人在投标文件格式中规定的有效期终止日前，投标人不能撤回投标文件，否则招标人有权就其撤回行为报告政府主管部门载入不良信用记录。</w:t>
      </w:r>
    </w:p>
    <w:p w14:paraId="5E1CFA86">
      <w:pPr>
        <w:pStyle w:val="4"/>
        <w:spacing w:before="240" w:beforeLines="100" w:after="240" w:afterLines="100" w:line="360" w:lineRule="auto"/>
        <w:rPr>
          <w:rFonts w:ascii="宋体" w:hAnsi="宋体" w:eastAsia="宋体" w:cs="宋体"/>
          <w:color w:val="auto"/>
          <w:highlight w:val="none"/>
          <w:lang w:val="zh-CN"/>
        </w:rPr>
      </w:pPr>
      <w:bookmarkStart w:id="263" w:name="_Toc443505828"/>
      <w:bookmarkEnd w:id="263"/>
      <w:bookmarkStart w:id="264" w:name="_Toc16809"/>
      <w:bookmarkEnd w:id="264"/>
      <w:bookmarkStart w:id="265" w:name="_Toc7909"/>
      <w:bookmarkEnd w:id="265"/>
      <w:bookmarkStart w:id="266" w:name="_Toc3600"/>
      <w:bookmarkStart w:id="267" w:name="_Toc6350"/>
      <w:r>
        <w:rPr>
          <w:rFonts w:ascii="宋体" w:hAnsi="宋体" w:eastAsia="宋体" w:cs="宋体"/>
          <w:color w:val="auto"/>
          <w:highlight w:val="none"/>
          <w:lang w:val="zh-CN"/>
        </w:rPr>
        <w:t>5.</w:t>
      </w:r>
      <w:bookmarkEnd w:id="266"/>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开标</w:t>
      </w:r>
      <w:bookmarkEnd w:id="267"/>
    </w:p>
    <w:p w14:paraId="40210534">
      <w:pPr>
        <w:pStyle w:val="5"/>
        <w:spacing w:line="360" w:lineRule="auto"/>
        <w:ind w:firstLine="118"/>
        <w:rPr>
          <w:rFonts w:ascii="宋体" w:hAnsi="宋体" w:eastAsia="宋体"/>
          <w:b/>
          <w:bCs/>
          <w:color w:val="auto"/>
          <w:sz w:val="24"/>
          <w:szCs w:val="24"/>
          <w:highlight w:val="none"/>
        </w:rPr>
      </w:pPr>
      <w:bookmarkStart w:id="268" w:name="_Toc21220"/>
      <w:r>
        <w:rPr>
          <w:rFonts w:ascii="宋体" w:hAnsi="宋体" w:eastAsia="宋体"/>
          <w:b/>
          <w:bCs/>
          <w:color w:val="auto"/>
          <w:sz w:val="24"/>
          <w:szCs w:val="24"/>
          <w:highlight w:val="none"/>
        </w:rPr>
        <w:t xml:space="preserve">5.1 </w:t>
      </w:r>
      <w:r>
        <w:rPr>
          <w:rFonts w:hint="eastAsia" w:ascii="宋体" w:hAnsi="宋体" w:eastAsia="宋体"/>
          <w:b/>
          <w:bCs/>
          <w:color w:val="auto"/>
          <w:sz w:val="24"/>
          <w:szCs w:val="24"/>
          <w:highlight w:val="none"/>
        </w:rPr>
        <w:t>开标时间和地点</w:t>
      </w:r>
      <w:bookmarkEnd w:id="268"/>
    </w:p>
    <w:p w14:paraId="4E5CB387">
      <w:pPr>
        <w:spacing w:line="360" w:lineRule="auto"/>
        <w:ind w:firstLine="420"/>
        <w:rPr>
          <w:rFonts w:ascii="宋体" w:hAnsi="宋体" w:cs="宋体"/>
          <w:color w:val="auto"/>
          <w:kern w:val="1"/>
          <w:highlight w:val="none"/>
          <w:u w:val="single"/>
        </w:rPr>
      </w:pPr>
      <w:r>
        <w:rPr>
          <w:rFonts w:hint="eastAsia" w:ascii="宋体" w:hAnsi="宋体"/>
          <w:color w:val="auto"/>
          <w:szCs w:val="21"/>
          <w:highlight w:val="none"/>
          <w:u w:val="single"/>
        </w:rPr>
        <w:t>招标人在本章第</w:t>
      </w:r>
      <w:r>
        <w:rPr>
          <w:rFonts w:ascii="宋体" w:hAnsi="宋体"/>
          <w:color w:val="auto"/>
          <w:szCs w:val="21"/>
          <w:highlight w:val="none"/>
          <w:u w:val="single"/>
        </w:rPr>
        <w:t xml:space="preserve"> 4.2.1 </w:t>
      </w:r>
      <w:r>
        <w:rPr>
          <w:rFonts w:hint="eastAsia" w:ascii="宋体" w:hAnsi="宋体"/>
          <w:color w:val="auto"/>
          <w:szCs w:val="21"/>
          <w:highlight w:val="none"/>
          <w:u w:val="single"/>
        </w:rPr>
        <w:t>项规定的投标截止时间（开标时间）</w:t>
      </w:r>
      <w:r>
        <w:rPr>
          <w:rFonts w:ascii="宋体" w:hAnsi="宋体"/>
          <w:color w:val="auto"/>
          <w:szCs w:val="21"/>
          <w:highlight w:val="none"/>
          <w:u w:val="single"/>
        </w:rPr>
        <w:t>,</w:t>
      </w:r>
      <w:r>
        <w:rPr>
          <w:rFonts w:hint="eastAsia" w:ascii="宋体" w:hAnsi="宋体"/>
          <w:color w:val="auto"/>
          <w:szCs w:val="21"/>
          <w:highlight w:val="none"/>
          <w:u w:val="single"/>
        </w:rPr>
        <w:t>通过电子招标投标交易平台公</w:t>
      </w:r>
      <w:r>
        <w:rPr>
          <w:rFonts w:ascii="宋体" w:hAnsi="宋体"/>
          <w:color w:val="auto"/>
          <w:szCs w:val="21"/>
          <w:highlight w:val="none"/>
          <w:u w:val="single"/>
        </w:rPr>
        <w:t xml:space="preserve"> </w:t>
      </w:r>
      <w:r>
        <w:rPr>
          <w:rFonts w:hint="eastAsia" w:ascii="宋体" w:hAnsi="宋体"/>
          <w:color w:val="auto"/>
          <w:szCs w:val="21"/>
          <w:highlight w:val="none"/>
          <w:u w:val="single"/>
        </w:rPr>
        <w:t>开开标。</w:t>
      </w:r>
    </w:p>
    <w:p w14:paraId="36E80013">
      <w:pPr>
        <w:pStyle w:val="5"/>
        <w:spacing w:line="360" w:lineRule="auto"/>
        <w:ind w:firstLine="118"/>
        <w:rPr>
          <w:rFonts w:ascii="宋体" w:hAnsi="宋体" w:eastAsia="宋体"/>
          <w:b/>
          <w:bCs/>
          <w:color w:val="auto"/>
          <w:sz w:val="24"/>
          <w:szCs w:val="24"/>
          <w:highlight w:val="none"/>
        </w:rPr>
      </w:pPr>
      <w:bookmarkStart w:id="269" w:name="_Toc16916"/>
      <w:r>
        <w:rPr>
          <w:rFonts w:ascii="宋体" w:hAnsi="宋体" w:eastAsia="宋体"/>
          <w:b/>
          <w:bCs/>
          <w:color w:val="auto"/>
          <w:sz w:val="24"/>
          <w:szCs w:val="24"/>
          <w:highlight w:val="none"/>
        </w:rPr>
        <w:t xml:space="preserve">5.2 </w:t>
      </w:r>
      <w:r>
        <w:rPr>
          <w:rFonts w:hint="eastAsia" w:ascii="宋体" w:hAnsi="宋体" w:eastAsia="宋体"/>
          <w:b/>
          <w:bCs/>
          <w:color w:val="auto"/>
          <w:sz w:val="24"/>
          <w:szCs w:val="24"/>
          <w:highlight w:val="none"/>
        </w:rPr>
        <w:t>开标程序</w:t>
      </w:r>
      <w:bookmarkEnd w:id="269"/>
    </w:p>
    <w:p w14:paraId="292DDC02">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4A64DE22">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5.2.2</w:t>
      </w:r>
      <w:r>
        <w:rPr>
          <w:rFonts w:hint="eastAsia" w:ascii="宋体" w:hAnsi="宋体" w:cs="宋体"/>
          <w:color w:val="auto"/>
          <w:kern w:val="1"/>
          <w:szCs w:val="21"/>
          <w:highlight w:val="none"/>
          <w:u w:val="single"/>
        </w:rPr>
        <w:t>开标由招标人或委托招标代理单位主持。</w:t>
      </w:r>
    </w:p>
    <w:p w14:paraId="244A8659">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5.2.3</w:t>
      </w:r>
      <w:r>
        <w:rPr>
          <w:rFonts w:hint="eastAsia" w:ascii="宋体" w:hAnsi="宋体" w:cs="宋体"/>
          <w:color w:val="auto"/>
          <w:kern w:val="1"/>
          <w:szCs w:val="21"/>
          <w:highlight w:val="none"/>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一个小时内解密的，视为撤销其投标文件。</w:t>
      </w:r>
    </w:p>
    <w:p w14:paraId="0F881F19">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5.2.4</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p w14:paraId="3DFBA8A2">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5.2.5</w:t>
      </w:r>
      <w:r>
        <w:rPr>
          <w:rFonts w:hint="eastAsia" w:ascii="宋体" w:hAnsi="宋体" w:cs="宋体"/>
          <w:color w:val="auto"/>
          <w:kern w:val="1"/>
          <w:szCs w:val="21"/>
          <w:highlight w:val="none"/>
          <w:u w:val="single"/>
        </w:rPr>
        <w:t>开标细则</w:t>
      </w:r>
    </w:p>
    <w:p w14:paraId="52DBF7F5">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）资格审查文件、工程总承包实施方案技术投标文件、工程总承包实施方案经济投标文件同时公开开标；</w:t>
      </w:r>
    </w:p>
    <w:p w14:paraId="2E69C004">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）开标时宣读下列内容，并予以记录，记录提交评标委员会评审：</w:t>
      </w:r>
    </w:p>
    <w:p w14:paraId="1145ECF4">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开标时，宣读</w:t>
      </w:r>
      <w:r>
        <w:rPr>
          <w:rFonts w:ascii="宋体" w:hAnsi="宋体" w:cs="宋体"/>
          <w:color w:val="auto"/>
          <w:kern w:val="1"/>
          <w:szCs w:val="21"/>
          <w:highlight w:val="none"/>
          <w:u w:val="single"/>
        </w:rPr>
        <w:t>a</w:t>
      </w:r>
      <w:r>
        <w:rPr>
          <w:rFonts w:hint="eastAsia" w:ascii="宋体" w:hAnsi="宋体" w:cs="宋体"/>
          <w:color w:val="auto"/>
          <w:kern w:val="1"/>
          <w:szCs w:val="21"/>
          <w:highlight w:val="none"/>
          <w:u w:val="single"/>
        </w:rPr>
        <w:t>、投标人名称；</w:t>
      </w:r>
      <w:r>
        <w:rPr>
          <w:rFonts w:ascii="宋体" w:hAnsi="宋体" w:cs="宋体"/>
          <w:color w:val="auto"/>
          <w:kern w:val="1"/>
          <w:szCs w:val="21"/>
          <w:highlight w:val="none"/>
          <w:u w:val="single"/>
        </w:rPr>
        <w:t>b</w:t>
      </w:r>
      <w:r>
        <w:rPr>
          <w:rFonts w:hint="eastAsia" w:ascii="宋体" w:hAnsi="宋体" w:cs="宋体"/>
          <w:color w:val="auto"/>
          <w:kern w:val="1"/>
          <w:szCs w:val="21"/>
          <w:highlight w:val="none"/>
          <w:u w:val="single"/>
        </w:rPr>
        <w:t>、有无法定代表人证明书及授权委托证明书；</w:t>
      </w:r>
      <w:r>
        <w:rPr>
          <w:rFonts w:ascii="宋体" w:hAnsi="宋体" w:cs="宋体"/>
          <w:color w:val="auto"/>
          <w:kern w:val="1"/>
          <w:szCs w:val="21"/>
          <w:highlight w:val="none"/>
          <w:u w:val="single"/>
        </w:rPr>
        <w:t>c</w:t>
      </w:r>
      <w:r>
        <w:rPr>
          <w:rFonts w:hint="eastAsia" w:ascii="宋体" w:hAnsi="宋体" w:cs="宋体"/>
          <w:color w:val="auto"/>
          <w:kern w:val="1"/>
          <w:szCs w:val="21"/>
          <w:highlight w:val="none"/>
          <w:u w:val="single"/>
        </w:rPr>
        <w:t>、总工期；</w:t>
      </w:r>
      <w:r>
        <w:rPr>
          <w:rFonts w:ascii="宋体" w:hAnsi="宋体" w:cs="宋体"/>
          <w:color w:val="auto"/>
          <w:kern w:val="1"/>
          <w:szCs w:val="21"/>
          <w:highlight w:val="none"/>
          <w:u w:val="single"/>
        </w:rPr>
        <w:t>d</w:t>
      </w:r>
      <w:r>
        <w:rPr>
          <w:rFonts w:hint="eastAsia" w:ascii="宋体" w:hAnsi="宋体" w:cs="宋体"/>
          <w:color w:val="auto"/>
          <w:kern w:val="1"/>
          <w:szCs w:val="21"/>
          <w:highlight w:val="none"/>
          <w:u w:val="single"/>
        </w:rPr>
        <w:t>、质量标准；</w:t>
      </w:r>
      <w:r>
        <w:rPr>
          <w:rFonts w:ascii="宋体" w:hAnsi="宋体" w:cs="宋体"/>
          <w:color w:val="auto"/>
          <w:kern w:val="1"/>
          <w:szCs w:val="21"/>
          <w:highlight w:val="none"/>
          <w:u w:val="single"/>
        </w:rPr>
        <w:t>e</w:t>
      </w:r>
      <w:r>
        <w:rPr>
          <w:rFonts w:hint="eastAsia" w:ascii="宋体" w:hAnsi="宋体" w:cs="宋体"/>
          <w:color w:val="auto"/>
          <w:kern w:val="1"/>
          <w:szCs w:val="21"/>
          <w:highlight w:val="none"/>
          <w:u w:val="single"/>
        </w:rPr>
        <w:t>、项目负责人姓名；</w:t>
      </w:r>
      <w:r>
        <w:rPr>
          <w:rFonts w:ascii="宋体" w:hAnsi="宋体" w:cs="宋体"/>
          <w:color w:val="auto"/>
          <w:kern w:val="1"/>
          <w:szCs w:val="21"/>
          <w:highlight w:val="none"/>
          <w:u w:val="single"/>
        </w:rPr>
        <w:t>f</w:t>
      </w:r>
      <w:r>
        <w:rPr>
          <w:rFonts w:hint="eastAsia" w:ascii="宋体" w:hAnsi="宋体" w:cs="宋体"/>
          <w:color w:val="auto"/>
          <w:kern w:val="1"/>
          <w:szCs w:val="21"/>
          <w:highlight w:val="none"/>
          <w:u w:val="single"/>
        </w:rPr>
        <w:t>、设计负责人姓名；</w:t>
      </w:r>
      <w:r>
        <w:rPr>
          <w:rFonts w:ascii="宋体" w:hAnsi="宋体" w:cs="宋体"/>
          <w:color w:val="auto"/>
          <w:kern w:val="1"/>
          <w:szCs w:val="21"/>
          <w:highlight w:val="none"/>
          <w:u w:val="single"/>
        </w:rPr>
        <w:t>g</w:t>
      </w:r>
      <w:r>
        <w:rPr>
          <w:rFonts w:hint="eastAsia" w:ascii="宋体" w:hAnsi="宋体" w:cs="宋体"/>
          <w:color w:val="auto"/>
          <w:kern w:val="1"/>
          <w:szCs w:val="21"/>
          <w:highlight w:val="none"/>
          <w:u w:val="single"/>
        </w:rPr>
        <w:t>、投标总报价；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6F2624A4">
      <w:pPr>
        <w:pStyle w:val="5"/>
        <w:spacing w:line="360" w:lineRule="auto"/>
        <w:ind w:firstLine="118"/>
        <w:rPr>
          <w:rFonts w:ascii="宋体" w:hAnsi="宋体" w:eastAsia="宋体"/>
          <w:b/>
          <w:bCs/>
          <w:color w:val="auto"/>
          <w:sz w:val="24"/>
          <w:szCs w:val="24"/>
          <w:highlight w:val="none"/>
        </w:rPr>
      </w:pPr>
      <w:bookmarkStart w:id="270" w:name="_Toc14300"/>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270"/>
    </w:p>
    <w:p w14:paraId="59F5DA8B">
      <w:pPr>
        <w:spacing w:line="360" w:lineRule="auto"/>
        <w:ind w:firstLine="359"/>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D9974FC">
      <w:pPr>
        <w:pStyle w:val="4"/>
        <w:spacing w:before="240" w:beforeLines="100" w:after="240" w:afterLines="100" w:line="360" w:lineRule="auto"/>
        <w:rPr>
          <w:rFonts w:ascii="宋体" w:hAnsi="宋体" w:eastAsia="宋体" w:cs="宋体"/>
          <w:color w:val="auto"/>
          <w:highlight w:val="none"/>
          <w:lang w:val="zh-CN"/>
        </w:rPr>
      </w:pPr>
      <w:bookmarkStart w:id="271" w:name="_Toc20998"/>
      <w:bookmarkEnd w:id="271"/>
      <w:bookmarkStart w:id="272" w:name="_Toc23707"/>
      <w:bookmarkEnd w:id="272"/>
      <w:bookmarkStart w:id="273" w:name="_Toc5620328"/>
      <w:bookmarkStart w:id="274" w:name="_Toc6507"/>
      <w:bookmarkStart w:id="275" w:name="_Toc31089"/>
      <w:r>
        <w:rPr>
          <w:rFonts w:ascii="宋体" w:hAnsi="宋体" w:eastAsia="宋体" w:cs="宋体"/>
          <w:color w:val="auto"/>
          <w:highlight w:val="none"/>
          <w:lang w:val="zh-CN"/>
        </w:rPr>
        <w:t>6.</w:t>
      </w:r>
      <w:bookmarkEnd w:id="273"/>
      <w:bookmarkEnd w:id="274"/>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评标</w:t>
      </w:r>
      <w:bookmarkEnd w:id="275"/>
    </w:p>
    <w:p w14:paraId="705E14D2">
      <w:pPr>
        <w:pStyle w:val="5"/>
        <w:spacing w:before="0" w:after="0" w:line="360" w:lineRule="auto"/>
        <w:ind w:firstLine="0"/>
        <w:rPr>
          <w:rFonts w:ascii="宋体" w:hAnsi="宋体" w:eastAsia="宋体"/>
          <w:color w:val="auto"/>
          <w:sz w:val="21"/>
          <w:szCs w:val="21"/>
          <w:highlight w:val="none"/>
        </w:rPr>
      </w:pPr>
      <w:bookmarkStart w:id="276" w:name="_Toc17692"/>
      <w:r>
        <w:rPr>
          <w:rFonts w:ascii="宋体" w:hAnsi="宋体" w:eastAsia="宋体"/>
          <w:color w:val="auto"/>
          <w:sz w:val="21"/>
          <w:szCs w:val="21"/>
          <w:highlight w:val="none"/>
        </w:rPr>
        <w:t xml:space="preserve">6.1 </w:t>
      </w:r>
      <w:r>
        <w:rPr>
          <w:rFonts w:hint="eastAsia" w:ascii="宋体" w:hAnsi="宋体" w:eastAsia="宋体"/>
          <w:color w:val="auto"/>
          <w:sz w:val="21"/>
          <w:szCs w:val="21"/>
          <w:highlight w:val="none"/>
        </w:rPr>
        <w:t>评标委员会</w:t>
      </w:r>
      <w:bookmarkEnd w:id="276"/>
    </w:p>
    <w:p w14:paraId="79C64BE8">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评标由招标人依法组建的评标委员会负责，分勘察设计评审组、综合评审组，资格评审由综合评审组负责评审。</w:t>
      </w:r>
    </w:p>
    <w:p w14:paraId="00CA7F3F">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6.1.2 </w:t>
      </w:r>
      <w:r>
        <w:rPr>
          <w:rFonts w:hint="eastAsia" w:ascii="宋体" w:hAnsi="宋体" w:cs="宋体"/>
          <w:color w:val="auto"/>
          <w:kern w:val="1"/>
          <w:szCs w:val="21"/>
          <w:highlight w:val="none"/>
        </w:rPr>
        <w:t>评标委员会成员有下列情形之一的，应当回避：</w:t>
      </w:r>
    </w:p>
    <w:p w14:paraId="5DF8591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）投标人或投标人主要负责人的近亲属；</w:t>
      </w:r>
    </w:p>
    <w:p w14:paraId="469F608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）项目主管部门或者行政监督部门的人员；</w:t>
      </w:r>
    </w:p>
    <w:p w14:paraId="294C874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）与投标人有经济利益关系，可能影响对投标公正评审的；</w:t>
      </w:r>
    </w:p>
    <w:p w14:paraId="2973378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）曾因在招标、评标以及其他与招标投标有关活动中从事违法行为而受过行政处罚或刑事处罚的；</w:t>
      </w:r>
    </w:p>
    <w:p w14:paraId="73D3367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5</w:t>
      </w:r>
      <w:r>
        <w:rPr>
          <w:rFonts w:hint="eastAsia" w:ascii="宋体" w:hAnsi="宋体" w:cs="宋体"/>
          <w:color w:val="auto"/>
          <w:kern w:val="1"/>
          <w:szCs w:val="21"/>
          <w:highlight w:val="none"/>
        </w:rPr>
        <w:t>）与投标人有其他利害关系。</w:t>
      </w:r>
    </w:p>
    <w:p w14:paraId="37C7B730">
      <w:pPr>
        <w:pStyle w:val="5"/>
        <w:spacing w:before="0" w:after="0" w:line="360" w:lineRule="auto"/>
        <w:ind w:firstLine="0"/>
        <w:rPr>
          <w:rFonts w:ascii="宋体" w:hAnsi="宋体" w:eastAsia="宋体"/>
          <w:color w:val="auto"/>
          <w:sz w:val="21"/>
          <w:szCs w:val="21"/>
          <w:highlight w:val="none"/>
        </w:rPr>
      </w:pPr>
      <w:bookmarkStart w:id="277" w:name="_Toc443505829"/>
      <w:bookmarkEnd w:id="277"/>
      <w:bookmarkStart w:id="278" w:name="_Toc1355"/>
      <w:r>
        <w:rPr>
          <w:rFonts w:ascii="宋体" w:hAnsi="宋体" w:eastAsia="宋体"/>
          <w:color w:val="auto"/>
          <w:sz w:val="21"/>
          <w:szCs w:val="21"/>
          <w:highlight w:val="none"/>
        </w:rPr>
        <w:t xml:space="preserve">6.2 </w:t>
      </w:r>
      <w:r>
        <w:rPr>
          <w:rFonts w:hint="eastAsia" w:ascii="宋体" w:hAnsi="宋体" w:eastAsia="宋体"/>
          <w:color w:val="auto"/>
          <w:sz w:val="21"/>
          <w:szCs w:val="21"/>
          <w:highlight w:val="none"/>
        </w:rPr>
        <w:t>评标原则</w:t>
      </w:r>
      <w:bookmarkEnd w:id="278"/>
      <w:r>
        <w:rPr>
          <w:rFonts w:ascii="宋体" w:hAnsi="宋体" w:eastAsia="宋体"/>
          <w:color w:val="auto"/>
          <w:sz w:val="21"/>
          <w:szCs w:val="21"/>
          <w:highlight w:val="none"/>
        </w:rPr>
        <w:tab/>
      </w:r>
    </w:p>
    <w:p w14:paraId="0A8F220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评标活动遵循公平、公正、科学和择优的原则。</w:t>
      </w:r>
    </w:p>
    <w:p w14:paraId="5170B34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评标委员会在开始评标前，应了解评标专家的职责及守则，认真阅读附件二《评标委员会成员声明》的内容并签名，签字后方可进行评标。</w:t>
      </w:r>
    </w:p>
    <w:p w14:paraId="35924BE1">
      <w:pPr>
        <w:pStyle w:val="5"/>
        <w:spacing w:before="0" w:after="0" w:line="360" w:lineRule="auto"/>
        <w:ind w:firstLine="0"/>
        <w:rPr>
          <w:rFonts w:ascii="宋体" w:hAnsi="宋体" w:eastAsia="宋体"/>
          <w:color w:val="auto"/>
          <w:sz w:val="21"/>
          <w:szCs w:val="21"/>
          <w:highlight w:val="none"/>
        </w:rPr>
      </w:pPr>
      <w:bookmarkStart w:id="279" w:name="_Toc7644"/>
      <w:r>
        <w:rPr>
          <w:rFonts w:ascii="宋体" w:hAnsi="宋体" w:eastAsia="宋体"/>
          <w:color w:val="auto"/>
          <w:sz w:val="21"/>
          <w:szCs w:val="21"/>
          <w:highlight w:val="none"/>
        </w:rPr>
        <w:t xml:space="preserve">6.3 </w:t>
      </w:r>
      <w:r>
        <w:rPr>
          <w:rFonts w:hint="eastAsia" w:ascii="宋体" w:hAnsi="宋体" w:eastAsia="宋体"/>
          <w:color w:val="auto"/>
          <w:sz w:val="21"/>
          <w:szCs w:val="21"/>
          <w:highlight w:val="none"/>
        </w:rPr>
        <w:t>评标</w:t>
      </w:r>
      <w:bookmarkEnd w:id="279"/>
    </w:p>
    <w:p w14:paraId="4C9E8EA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2A0AE25C">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1CC44358">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773FDA02">
      <w:pPr>
        <w:pStyle w:val="2"/>
        <w:spacing w:line="360" w:lineRule="auto"/>
        <w:ind w:firstLine="442"/>
        <w:rPr>
          <w:rFonts w:cs="宋体"/>
          <w:color w:val="auto"/>
          <w:kern w:val="1"/>
          <w:sz w:val="21"/>
          <w:szCs w:val="21"/>
          <w:highlight w:val="none"/>
          <w:u w:val="single"/>
          <w:lang w:val="en-US"/>
        </w:rPr>
      </w:pPr>
      <w:r>
        <w:rPr>
          <w:rFonts w:hint="eastAsia" w:cs="宋体"/>
          <w:color w:val="auto"/>
          <w:kern w:val="1"/>
          <w:sz w:val="21"/>
          <w:szCs w:val="21"/>
          <w:highlight w:val="none"/>
          <w:u w:val="single"/>
          <w:lang w:val="en-US"/>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4821979">
      <w:pPr>
        <w:spacing w:line="360" w:lineRule="auto"/>
        <w:ind w:firstLine="420" w:firstLineChars="200"/>
        <w:rPr>
          <w:color w:val="auto"/>
          <w:highlight w:val="none"/>
        </w:rPr>
      </w:pPr>
      <w:r>
        <w:rPr>
          <w:rFonts w:hint="eastAsia" w:ascii="宋体" w:hAnsi="宋体" w:cs="宋体"/>
          <w:color w:val="auto"/>
          <w:kern w:val="1"/>
          <w:szCs w:val="21"/>
          <w:highlight w:val="none"/>
          <w:u w:val="single"/>
        </w:rPr>
        <w:t>评标结束后，评标委员会递交评标报告并依法推荐中标候选人。</w:t>
      </w:r>
    </w:p>
    <w:p w14:paraId="04E0CD5E">
      <w:pPr>
        <w:pStyle w:val="5"/>
        <w:spacing w:before="0" w:after="0" w:line="360" w:lineRule="auto"/>
        <w:ind w:firstLine="0"/>
        <w:rPr>
          <w:rFonts w:ascii="宋体" w:hAnsi="宋体" w:eastAsia="宋体"/>
          <w:color w:val="auto"/>
          <w:sz w:val="21"/>
          <w:szCs w:val="21"/>
          <w:highlight w:val="none"/>
          <w:u w:val="single"/>
        </w:rPr>
      </w:pPr>
      <w:bookmarkStart w:id="280" w:name="_Toc16577"/>
      <w:r>
        <w:rPr>
          <w:rFonts w:ascii="宋体" w:hAnsi="宋体" w:eastAsia="宋体"/>
          <w:color w:val="auto"/>
          <w:sz w:val="21"/>
          <w:szCs w:val="21"/>
          <w:highlight w:val="none"/>
          <w:u w:val="single"/>
        </w:rPr>
        <w:t>6.4</w:t>
      </w:r>
      <w:r>
        <w:rPr>
          <w:rFonts w:hint="eastAsia" w:ascii="宋体" w:hAnsi="宋体" w:eastAsia="宋体"/>
          <w:color w:val="auto"/>
          <w:sz w:val="21"/>
          <w:szCs w:val="21"/>
          <w:highlight w:val="none"/>
          <w:u w:val="single"/>
        </w:rPr>
        <w:t>评标过程的保密</w:t>
      </w:r>
      <w:bookmarkEnd w:id="280"/>
    </w:p>
    <w:p w14:paraId="661E8E53">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6.4.1 </w:t>
      </w:r>
      <w:r>
        <w:rPr>
          <w:rFonts w:hint="eastAsia" w:ascii="宋体" w:hAnsi="宋体" w:cs="宋体"/>
          <w:color w:val="auto"/>
          <w:kern w:val="1"/>
          <w:szCs w:val="21"/>
          <w:highlight w:val="none"/>
          <w:u w:val="single"/>
        </w:rPr>
        <w:t>开标后，直至授予中标人合同为止，凡属于对资格审查文件和投标文件的审查、澄清、评价和比较有关的资料以及中标候选人的推荐情况，与评标有关的其他任何情况均严格保密。</w:t>
      </w:r>
    </w:p>
    <w:p w14:paraId="5F724E1A">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6.4.2 </w:t>
      </w:r>
      <w:r>
        <w:rPr>
          <w:rFonts w:hint="eastAsia" w:ascii="宋体" w:hAnsi="宋体" w:cs="宋体"/>
          <w:color w:val="auto"/>
          <w:kern w:val="1"/>
          <w:szCs w:val="21"/>
          <w:highlight w:val="none"/>
          <w:u w:val="single"/>
        </w:rPr>
        <w:t>在资格审查文件和投标文件的评审和比较、中标候选人推荐以及授予合同的过程中，投标人向招标人和评标委员会施加影响的任何行为，都将会导致其投标被拒绝。</w:t>
      </w:r>
    </w:p>
    <w:p w14:paraId="406795EB">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u w:val="single"/>
        </w:rPr>
        <w:t xml:space="preserve">6.4.3 </w:t>
      </w:r>
      <w:r>
        <w:rPr>
          <w:rFonts w:hint="eastAsia" w:ascii="宋体" w:hAnsi="宋体" w:cs="宋体"/>
          <w:color w:val="auto"/>
          <w:kern w:val="1"/>
          <w:szCs w:val="21"/>
          <w:highlight w:val="none"/>
          <w:u w:val="single"/>
        </w:rPr>
        <w:t>中标人确定后，招标人不对未中标人就评标过程以及未能中标原因作出任何解释。未中标人不得向评标委员会组成人员或其他有关人员索问评标过程的情况和材料。</w:t>
      </w:r>
    </w:p>
    <w:p w14:paraId="4E9A7CF8">
      <w:pPr>
        <w:pStyle w:val="4"/>
        <w:spacing w:before="240" w:beforeLines="100" w:after="240" w:afterLines="100" w:line="360" w:lineRule="auto"/>
        <w:rPr>
          <w:rFonts w:ascii="宋体" w:hAnsi="宋体" w:eastAsia="宋体" w:cs="宋体"/>
          <w:color w:val="auto"/>
          <w:highlight w:val="none"/>
          <w:lang w:val="zh-CN"/>
        </w:rPr>
      </w:pPr>
      <w:bookmarkStart w:id="281" w:name="_Toc27077"/>
      <w:bookmarkEnd w:id="281"/>
      <w:bookmarkStart w:id="282" w:name="_Toc7746"/>
      <w:bookmarkEnd w:id="282"/>
      <w:bookmarkStart w:id="283" w:name="_Toc13256"/>
      <w:bookmarkStart w:id="284" w:name="_Toc5620333"/>
      <w:bookmarkStart w:id="285" w:name="_Toc27255"/>
      <w:r>
        <w:rPr>
          <w:rFonts w:ascii="宋体" w:hAnsi="宋体" w:eastAsia="宋体" w:cs="宋体"/>
          <w:color w:val="auto"/>
          <w:highlight w:val="none"/>
          <w:lang w:val="zh-CN"/>
        </w:rPr>
        <w:t>7.</w:t>
      </w:r>
      <w:bookmarkEnd w:id="283"/>
      <w:bookmarkEnd w:id="284"/>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合同授予</w:t>
      </w:r>
      <w:bookmarkEnd w:id="285"/>
    </w:p>
    <w:p w14:paraId="43EDE745">
      <w:pPr>
        <w:pStyle w:val="5"/>
        <w:spacing w:before="0" w:after="0" w:line="360" w:lineRule="auto"/>
        <w:ind w:firstLine="0"/>
        <w:rPr>
          <w:rFonts w:ascii="宋体" w:hAnsi="宋体" w:eastAsia="宋体"/>
          <w:color w:val="auto"/>
          <w:sz w:val="21"/>
          <w:szCs w:val="21"/>
          <w:highlight w:val="none"/>
        </w:rPr>
      </w:pPr>
      <w:bookmarkStart w:id="286" w:name="_Toc28049"/>
      <w:r>
        <w:rPr>
          <w:rFonts w:ascii="宋体" w:hAnsi="宋体" w:eastAsia="宋体"/>
          <w:color w:val="auto"/>
          <w:sz w:val="21"/>
          <w:szCs w:val="21"/>
          <w:highlight w:val="none"/>
        </w:rPr>
        <w:t xml:space="preserve">7.1 </w:t>
      </w:r>
      <w:r>
        <w:rPr>
          <w:rFonts w:hint="eastAsia" w:ascii="宋体" w:hAnsi="宋体" w:eastAsia="宋体"/>
          <w:color w:val="auto"/>
          <w:sz w:val="21"/>
          <w:szCs w:val="21"/>
          <w:highlight w:val="none"/>
        </w:rPr>
        <w:t>定标方式</w:t>
      </w:r>
      <w:bookmarkEnd w:id="286"/>
    </w:p>
    <w:p w14:paraId="446652EA">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7.1.1</w:t>
      </w:r>
      <w:r>
        <w:rPr>
          <w:rFonts w:hint="eastAsia" w:ascii="宋体" w:hAnsi="宋体" w:cs="宋体"/>
          <w:color w:val="auto"/>
          <w:kern w:val="1"/>
          <w:szCs w:val="21"/>
          <w:highlight w:val="none"/>
          <w:u w:val="single"/>
        </w:rPr>
        <w:t>除投标人须知前附表规定评标委员会直接确定中标人外，招标人依据评标委员会推荐的中标候选人确定中标人，评标委员会推荐中标候选人的人数见投标人须知前附表。</w:t>
      </w:r>
    </w:p>
    <w:p w14:paraId="70DB8D4B">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7.1.2 </w:t>
      </w:r>
      <w:r>
        <w:rPr>
          <w:rFonts w:hint="eastAsia" w:ascii="宋体" w:hAnsi="宋体" w:cs="宋体"/>
          <w:color w:val="auto"/>
          <w:kern w:val="1"/>
          <w:szCs w:val="21"/>
          <w:highlight w:val="none"/>
          <w:u w:val="single"/>
        </w:rPr>
        <w:t>依法必须进行公开招标的项目，招标人应当确定排名第一的中标候选人为中标人。</w:t>
      </w:r>
    </w:p>
    <w:p w14:paraId="49FF991A">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u w:val="single"/>
        </w:rPr>
        <w:t>7.1.3</w:t>
      </w:r>
      <w:r>
        <w:rPr>
          <w:rFonts w:hint="eastAsia" w:ascii="宋体" w:hAnsi="宋体" w:cs="宋体"/>
          <w:color w:val="auto"/>
          <w:kern w:val="1"/>
          <w:szCs w:val="21"/>
          <w:highlight w:val="none"/>
          <w:u w:val="single"/>
        </w:rPr>
        <w:t>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67B68A82">
      <w:pPr>
        <w:pStyle w:val="5"/>
        <w:spacing w:before="0" w:after="0" w:line="360" w:lineRule="auto"/>
        <w:ind w:firstLine="0"/>
        <w:rPr>
          <w:rFonts w:ascii="宋体" w:hAnsi="宋体" w:eastAsia="宋体"/>
          <w:color w:val="auto"/>
          <w:sz w:val="21"/>
          <w:szCs w:val="21"/>
          <w:highlight w:val="none"/>
        </w:rPr>
      </w:pPr>
      <w:bookmarkStart w:id="287" w:name="_Toc32067"/>
      <w:r>
        <w:rPr>
          <w:rFonts w:ascii="宋体" w:hAnsi="宋体" w:eastAsia="宋体"/>
          <w:color w:val="auto"/>
          <w:sz w:val="21"/>
          <w:szCs w:val="21"/>
          <w:highlight w:val="none"/>
        </w:rPr>
        <w:t xml:space="preserve">7.2 </w:t>
      </w:r>
      <w:r>
        <w:rPr>
          <w:rFonts w:hint="eastAsia" w:ascii="宋体" w:hAnsi="宋体" w:eastAsia="宋体"/>
          <w:color w:val="auto"/>
          <w:sz w:val="21"/>
          <w:szCs w:val="21"/>
          <w:highlight w:val="none"/>
        </w:rPr>
        <w:t>中标候选人公示</w:t>
      </w:r>
      <w:bookmarkEnd w:id="287"/>
    </w:p>
    <w:p w14:paraId="27587E8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6D5E2CC2">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7.2.2</w:t>
      </w:r>
      <w:r>
        <w:rPr>
          <w:rFonts w:hint="eastAsia" w:ascii="宋体" w:hAnsi="宋体" w:cs="宋体"/>
          <w:color w:val="auto"/>
          <w:kern w:val="1"/>
          <w:szCs w:val="21"/>
          <w:highlight w:val="none"/>
          <w:u w:val="single"/>
        </w:rPr>
        <w:t>在产生中标候选人后，招标人将中标候选人的投标文件商务部分文件的电子文件（包括人员、业绩、奖项等资料）在广州公共资源交易中心和广东省招标投标监管网公开。</w:t>
      </w:r>
    </w:p>
    <w:p w14:paraId="57D89105">
      <w:pPr>
        <w:pStyle w:val="5"/>
        <w:spacing w:before="0" w:after="0" w:line="360" w:lineRule="auto"/>
        <w:ind w:firstLine="0"/>
        <w:rPr>
          <w:rFonts w:ascii="宋体" w:hAnsi="宋体" w:eastAsia="宋体"/>
          <w:color w:val="auto"/>
          <w:sz w:val="21"/>
          <w:szCs w:val="21"/>
          <w:highlight w:val="none"/>
        </w:rPr>
      </w:pPr>
      <w:bookmarkStart w:id="288" w:name="_Toc30236"/>
      <w:r>
        <w:rPr>
          <w:rFonts w:ascii="宋体" w:hAnsi="宋体" w:eastAsia="宋体"/>
          <w:color w:val="auto"/>
          <w:sz w:val="21"/>
          <w:szCs w:val="21"/>
          <w:highlight w:val="none"/>
        </w:rPr>
        <w:t xml:space="preserve">7.3 </w:t>
      </w:r>
      <w:r>
        <w:rPr>
          <w:rFonts w:hint="eastAsia" w:ascii="宋体" w:hAnsi="宋体" w:eastAsia="宋体"/>
          <w:color w:val="auto"/>
          <w:sz w:val="21"/>
          <w:szCs w:val="21"/>
          <w:highlight w:val="none"/>
        </w:rPr>
        <w:t>中标通知</w:t>
      </w:r>
      <w:bookmarkEnd w:id="288"/>
    </w:p>
    <w:p w14:paraId="42D27E88">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rPr>
        <w:t>7.3.1</w:t>
      </w:r>
      <w:r>
        <w:rPr>
          <w:rFonts w:hint="eastAsia" w:ascii="宋体" w:hAnsi="宋体" w:cs="宋体"/>
          <w:color w:val="auto"/>
          <w:kern w:val="1"/>
          <w:szCs w:val="21"/>
          <w:highlight w:val="none"/>
        </w:rPr>
        <w:t>在本章第</w:t>
      </w:r>
      <w:r>
        <w:rPr>
          <w:rFonts w:ascii="宋体" w:hAnsi="宋体" w:cs="宋体"/>
          <w:color w:val="auto"/>
          <w:kern w:val="1"/>
          <w:szCs w:val="21"/>
          <w:highlight w:val="none"/>
        </w:rPr>
        <w:t xml:space="preserve">3.3 </w:t>
      </w:r>
      <w:r>
        <w:rPr>
          <w:rFonts w:hint="eastAsia" w:ascii="宋体" w:hAnsi="宋体" w:cs="宋体"/>
          <w:color w:val="auto"/>
          <w:kern w:val="1"/>
          <w:szCs w:val="21"/>
          <w:highlight w:val="none"/>
        </w:rPr>
        <w:t>款规定的投标有效期内，</w:t>
      </w:r>
      <w:r>
        <w:rPr>
          <w:rFonts w:hint="eastAsia" w:ascii="宋体" w:hAnsi="宋体" w:cs="宋体"/>
          <w:color w:val="auto"/>
          <w:kern w:val="1"/>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6C2D3A6F">
      <w:pPr>
        <w:spacing w:line="360" w:lineRule="auto"/>
        <w:ind w:firstLine="420"/>
        <w:rPr>
          <w:rFonts w:ascii="宋体" w:hAnsi="宋体" w:cs="宋体"/>
          <w:color w:val="auto"/>
          <w:kern w:val="1"/>
          <w:highlight w:val="none"/>
        </w:rPr>
      </w:pPr>
      <w:r>
        <w:rPr>
          <w:rFonts w:ascii="宋体" w:hAnsi="宋体" w:cs="宋体"/>
          <w:color w:val="auto"/>
          <w:kern w:val="1"/>
          <w:highlight w:val="none"/>
          <w:u w:val="single"/>
        </w:rPr>
        <w:t xml:space="preserve">7.3.2 </w:t>
      </w:r>
      <w:r>
        <w:rPr>
          <w:rFonts w:hint="eastAsia" w:ascii="宋体" w:hAnsi="宋体" w:cs="宋体"/>
          <w:color w:val="auto"/>
          <w:kern w:val="1"/>
          <w:highlight w:val="none"/>
          <w:u w:val="single"/>
        </w:rPr>
        <w:t>招标人应当自确定中标人后，向招投标监管机构提交招标投标情况的书面报告；经招投标监管机构备案后，方可发出中标通知书。中标通知书由招标人（或招标代理机构）颁发，并经广州公共资源交易中心确认。</w:t>
      </w:r>
    </w:p>
    <w:p w14:paraId="1AB99903">
      <w:pPr>
        <w:pStyle w:val="5"/>
        <w:spacing w:before="0" w:after="0" w:line="360" w:lineRule="auto"/>
        <w:ind w:firstLine="0"/>
        <w:rPr>
          <w:rFonts w:ascii="宋体" w:hAnsi="宋体" w:eastAsia="宋体"/>
          <w:color w:val="auto"/>
          <w:sz w:val="21"/>
          <w:szCs w:val="21"/>
          <w:highlight w:val="none"/>
        </w:rPr>
      </w:pPr>
      <w:bookmarkStart w:id="289" w:name="_Toc31473"/>
      <w:r>
        <w:rPr>
          <w:rFonts w:ascii="宋体" w:hAnsi="宋体" w:eastAsia="宋体"/>
          <w:color w:val="auto"/>
          <w:sz w:val="21"/>
          <w:szCs w:val="21"/>
          <w:highlight w:val="none"/>
        </w:rPr>
        <w:t xml:space="preserve">7.4 </w:t>
      </w:r>
      <w:r>
        <w:rPr>
          <w:rFonts w:hint="eastAsia" w:ascii="宋体" w:hAnsi="宋体" w:eastAsia="宋体"/>
          <w:color w:val="auto"/>
          <w:sz w:val="21"/>
          <w:szCs w:val="21"/>
          <w:highlight w:val="none"/>
        </w:rPr>
        <w:t>履约担保</w:t>
      </w:r>
      <w:bookmarkEnd w:id="289"/>
    </w:p>
    <w:p w14:paraId="252C78C4">
      <w:pPr>
        <w:spacing w:line="360" w:lineRule="auto"/>
        <w:ind w:firstLine="420"/>
        <w:rPr>
          <w:rFonts w:ascii="宋体" w:hAnsi="宋体" w:cs="宋体"/>
          <w:color w:val="auto"/>
          <w:kern w:val="1"/>
          <w:highlight w:val="none"/>
        </w:rPr>
      </w:pPr>
      <w:r>
        <w:rPr>
          <w:rFonts w:ascii="宋体" w:hAnsi="宋体" w:cs="宋体"/>
          <w:color w:val="auto"/>
          <w:kern w:val="1"/>
          <w:szCs w:val="21"/>
          <w:highlight w:val="none"/>
        </w:rPr>
        <w:t xml:space="preserve">7.4.1 </w:t>
      </w:r>
      <w:r>
        <w:rPr>
          <w:rFonts w:hint="eastAsia" w:ascii="宋体" w:hAnsi="宋体" w:cs="宋体"/>
          <w:color w:val="auto"/>
          <w:kern w:val="1"/>
          <w:szCs w:val="21"/>
          <w:highlight w:val="none"/>
        </w:rPr>
        <w:t>中标人应按投标人须知前附表规定的担保形式向招标人提交履约担保。除投标人须知前附表另有规定外，履约担保金额为</w:t>
      </w:r>
      <w:r>
        <w:rPr>
          <w:rFonts w:hint="eastAsia" w:ascii="宋体" w:hAnsi="宋体" w:cs="宋体"/>
          <w:color w:val="auto"/>
          <w:szCs w:val="21"/>
          <w:highlight w:val="none"/>
        </w:rPr>
        <w:t>中标价的</w:t>
      </w:r>
      <w:r>
        <w:rPr>
          <w:rFonts w:ascii="宋体" w:hAnsi="宋体" w:cs="宋体"/>
          <w:color w:val="auto"/>
          <w:szCs w:val="21"/>
          <w:highlight w:val="none"/>
        </w:rPr>
        <w:t>10%</w:t>
      </w:r>
      <w:r>
        <w:rPr>
          <w:rFonts w:hint="eastAsia" w:ascii="宋体" w:hAnsi="宋体" w:cs="宋体"/>
          <w:color w:val="auto"/>
          <w:szCs w:val="21"/>
          <w:highlight w:val="none"/>
        </w:rPr>
        <w:t>，具体以合同约定为准</w:t>
      </w:r>
      <w:r>
        <w:rPr>
          <w:rFonts w:hint="eastAsia" w:ascii="宋体" w:hAnsi="宋体" w:cs="宋体"/>
          <w:color w:val="auto"/>
          <w:kern w:val="1"/>
          <w:szCs w:val="21"/>
          <w:highlight w:val="none"/>
        </w:rPr>
        <w:t>。联合体中标的，其履约担保由联合体各方或者联合体中牵头人的名义提交。</w:t>
      </w:r>
      <w:r>
        <w:rPr>
          <w:rFonts w:hint="eastAsia" w:ascii="宋体" w:hAnsi="宋体" w:cs="宋体"/>
          <w:color w:val="auto"/>
          <w:kern w:val="1"/>
          <w:szCs w:val="21"/>
          <w:highlight w:val="none"/>
          <w:u w:val="single"/>
        </w:rPr>
        <w:t>履约保函的担保期限为履约担保之日起至合同工程经结算审定部门结算审定完成并移交工程档案后止。</w:t>
      </w:r>
    </w:p>
    <w:p w14:paraId="1C75443C">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7.4.2 </w:t>
      </w:r>
      <w:r>
        <w:rPr>
          <w:rFonts w:hint="eastAsia" w:ascii="宋体" w:hAnsi="宋体" w:cs="宋体"/>
          <w:color w:val="auto"/>
          <w:kern w:val="1"/>
          <w:szCs w:val="21"/>
          <w:highlight w:val="none"/>
        </w:rPr>
        <w:t>中标人不能按本章第</w:t>
      </w:r>
      <w:r>
        <w:rPr>
          <w:rFonts w:ascii="宋体" w:hAnsi="宋体" w:cs="宋体"/>
          <w:color w:val="auto"/>
          <w:kern w:val="1"/>
          <w:szCs w:val="21"/>
          <w:highlight w:val="none"/>
        </w:rPr>
        <w:t>7.4.1</w:t>
      </w:r>
      <w:r>
        <w:rPr>
          <w:rFonts w:hint="eastAsia" w:ascii="宋体" w:hAnsi="宋体" w:cs="宋体"/>
          <w:color w:val="auto"/>
          <w:kern w:val="1"/>
          <w:szCs w:val="21"/>
          <w:highlight w:val="none"/>
        </w:rPr>
        <w:t>项要求提交履约担保的，视为放弃中标，</w:t>
      </w:r>
      <w:r>
        <w:rPr>
          <w:rFonts w:hint="eastAsia" w:ascii="宋体" w:hAnsi="宋体" w:cs="宋体"/>
          <w:color w:val="auto"/>
          <w:kern w:val="1"/>
          <w:szCs w:val="21"/>
          <w:highlight w:val="none"/>
          <w:u w:val="single"/>
        </w:rPr>
        <w:t>给招标人造成损失的，中标人还应当予以赔偿。</w:t>
      </w:r>
    </w:p>
    <w:p w14:paraId="73C2C152">
      <w:pPr>
        <w:pStyle w:val="5"/>
        <w:spacing w:before="0" w:after="0" w:line="360" w:lineRule="auto"/>
        <w:ind w:firstLine="0"/>
        <w:rPr>
          <w:rFonts w:ascii="宋体" w:hAnsi="宋体" w:eastAsia="宋体"/>
          <w:color w:val="auto"/>
          <w:sz w:val="21"/>
          <w:szCs w:val="21"/>
          <w:highlight w:val="none"/>
        </w:rPr>
      </w:pPr>
      <w:bookmarkStart w:id="290" w:name="_Toc10437"/>
      <w:r>
        <w:rPr>
          <w:rFonts w:ascii="宋体" w:hAnsi="宋体" w:eastAsia="宋体"/>
          <w:color w:val="auto"/>
          <w:sz w:val="21"/>
          <w:szCs w:val="21"/>
          <w:highlight w:val="none"/>
        </w:rPr>
        <w:t xml:space="preserve">7.5 </w:t>
      </w:r>
      <w:r>
        <w:rPr>
          <w:rFonts w:hint="eastAsia" w:ascii="宋体" w:hAnsi="宋体" w:eastAsia="宋体"/>
          <w:color w:val="auto"/>
          <w:sz w:val="21"/>
          <w:szCs w:val="21"/>
          <w:highlight w:val="none"/>
        </w:rPr>
        <w:t>签订合同</w:t>
      </w:r>
      <w:bookmarkEnd w:id="290"/>
    </w:p>
    <w:p w14:paraId="2ABDFEE8">
      <w:pPr>
        <w:spacing w:line="360" w:lineRule="auto"/>
        <w:ind w:firstLine="420"/>
        <w:rPr>
          <w:rFonts w:ascii="宋体" w:hAnsi="宋体" w:cs="宋体"/>
          <w:b/>
          <w:color w:val="auto"/>
          <w:kern w:val="1"/>
          <w:szCs w:val="24"/>
          <w:highlight w:val="none"/>
        </w:rPr>
      </w:pPr>
      <w:r>
        <w:rPr>
          <w:rFonts w:ascii="宋体" w:hAnsi="宋体" w:cs="宋体"/>
          <w:color w:val="auto"/>
          <w:kern w:val="1"/>
          <w:highlight w:val="none"/>
        </w:rPr>
        <w:t xml:space="preserve">7.5.1 </w:t>
      </w:r>
      <w:r>
        <w:rPr>
          <w:rFonts w:hint="eastAsia" w:ascii="宋体" w:hAnsi="宋体" w:cs="宋体"/>
          <w:color w:val="auto"/>
          <w:kern w:val="1"/>
          <w:highlight w:val="none"/>
        </w:rPr>
        <w:t>招标人和中标人应当自中标通知书发出之日起</w:t>
      </w:r>
      <w:r>
        <w:rPr>
          <w:rFonts w:ascii="宋体" w:hAnsi="宋体" w:cs="宋体"/>
          <w:color w:val="auto"/>
          <w:kern w:val="1"/>
          <w:highlight w:val="none"/>
        </w:rPr>
        <w:t>30</w:t>
      </w:r>
      <w:r>
        <w:rPr>
          <w:rFonts w:hint="eastAsia" w:ascii="宋体" w:hAnsi="宋体" w:cs="宋体"/>
          <w:color w:val="auto"/>
          <w:kern w:val="1"/>
          <w:highlight w:val="none"/>
        </w:rPr>
        <w:t>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给招标人造成损失的，中标人还应当予以赔偿。</w:t>
      </w:r>
      <w:r>
        <w:rPr>
          <w:rFonts w:hint="eastAsia" w:ascii="宋体" w:hAnsi="宋体" w:cs="宋体"/>
          <w:color w:val="auto"/>
          <w:kern w:val="1"/>
          <w:highlight w:val="none"/>
        </w:rPr>
        <w:t xml:space="preserve"> </w:t>
      </w:r>
      <w:bookmarkStart w:id="291" w:name="_Toc443505830"/>
      <w:bookmarkEnd w:id="291"/>
      <w:bookmarkStart w:id="292" w:name="_Toc11555"/>
      <w:bookmarkEnd w:id="292"/>
      <w:bookmarkStart w:id="293" w:name="_Toc15670"/>
      <w:bookmarkEnd w:id="293"/>
    </w:p>
    <w:p w14:paraId="2A983E57">
      <w:pPr>
        <w:spacing w:line="360" w:lineRule="auto"/>
        <w:ind w:firstLine="420"/>
        <w:rPr>
          <w:rFonts w:ascii="宋体" w:hAnsi="宋体" w:cs="宋体"/>
          <w:color w:val="auto"/>
          <w:kern w:val="1"/>
          <w:highlight w:val="none"/>
        </w:rPr>
      </w:pPr>
      <w:r>
        <w:rPr>
          <w:rFonts w:ascii="宋体" w:hAnsi="宋体" w:cs="宋体"/>
          <w:color w:val="auto"/>
          <w:kern w:val="1"/>
          <w:highlight w:val="none"/>
        </w:rPr>
        <w:t xml:space="preserve">7.5.2 </w:t>
      </w:r>
      <w:r>
        <w:rPr>
          <w:rFonts w:hint="eastAsia" w:ascii="宋体" w:hAnsi="宋体" w:cs="宋体"/>
          <w:color w:val="auto"/>
          <w:kern w:val="1"/>
          <w:highlight w:val="none"/>
        </w:rPr>
        <w:t>发出中标通知书后，招标人无正当理由拒签合同</w:t>
      </w:r>
      <w:r>
        <w:rPr>
          <w:rFonts w:hint="eastAsia"/>
          <w:color w:val="auto"/>
          <w:highlight w:val="none"/>
        </w:rPr>
        <w:t>的，</w:t>
      </w:r>
      <w:r>
        <w:rPr>
          <w:rFonts w:hint="eastAsia" w:ascii="宋体" w:hAnsi="宋体" w:cs="宋体"/>
          <w:color w:val="auto"/>
          <w:kern w:val="1"/>
          <w:highlight w:val="none"/>
        </w:rPr>
        <w:t>给中标人造成损失的，还应当赔偿损失。</w:t>
      </w:r>
    </w:p>
    <w:p w14:paraId="554846E1">
      <w:pPr>
        <w:pStyle w:val="4"/>
        <w:spacing w:before="240" w:beforeLines="100" w:after="240" w:afterLines="100" w:line="360" w:lineRule="auto"/>
        <w:rPr>
          <w:rFonts w:ascii="宋体" w:hAnsi="宋体" w:eastAsia="宋体" w:cs="宋体"/>
          <w:color w:val="auto"/>
          <w:highlight w:val="none"/>
          <w:lang w:val="zh-CN"/>
        </w:rPr>
      </w:pPr>
      <w:bookmarkStart w:id="294" w:name="_Toc30835"/>
      <w:bookmarkEnd w:id="294"/>
      <w:bookmarkStart w:id="295" w:name="_Toc21320"/>
      <w:bookmarkEnd w:id="295"/>
      <w:bookmarkStart w:id="296" w:name="_Toc443505831"/>
      <w:bookmarkEnd w:id="296"/>
      <w:bookmarkStart w:id="297" w:name="_Toc5620339"/>
      <w:bookmarkStart w:id="298" w:name="_Toc9984"/>
      <w:bookmarkStart w:id="299" w:name="_Toc2823"/>
      <w:r>
        <w:rPr>
          <w:rFonts w:ascii="宋体" w:hAnsi="宋体" w:eastAsia="宋体" w:cs="宋体"/>
          <w:color w:val="auto"/>
          <w:highlight w:val="none"/>
          <w:lang w:val="zh-CN"/>
        </w:rPr>
        <w:t>8.</w:t>
      </w:r>
      <w:bookmarkEnd w:id="297"/>
      <w:bookmarkEnd w:id="298"/>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纪律和监督</w:t>
      </w:r>
      <w:bookmarkEnd w:id="299"/>
    </w:p>
    <w:p w14:paraId="527A0C1E">
      <w:pPr>
        <w:spacing w:line="360" w:lineRule="auto"/>
        <w:rPr>
          <w:rFonts w:ascii="宋体" w:hAnsi="宋体" w:cs="宋体"/>
          <w:color w:val="auto"/>
          <w:kern w:val="1"/>
          <w:szCs w:val="21"/>
          <w:highlight w:val="none"/>
          <w:lang w:val="zh-CN"/>
        </w:rPr>
      </w:pPr>
      <w:bookmarkStart w:id="300" w:name="_Toc443505832"/>
      <w:bookmarkEnd w:id="300"/>
      <w:bookmarkStart w:id="301" w:name="_Toc7252"/>
      <w:bookmarkEnd w:id="301"/>
      <w:bookmarkStart w:id="302" w:name="_Toc30367"/>
      <w:bookmarkEnd w:id="302"/>
      <w:r>
        <w:rPr>
          <w:rFonts w:ascii="宋体" w:hAnsi="宋体" w:cs="宋体"/>
          <w:color w:val="auto"/>
          <w:kern w:val="1"/>
          <w:szCs w:val="21"/>
          <w:highlight w:val="none"/>
          <w:lang w:val="zh-CN"/>
        </w:rPr>
        <w:t xml:space="preserve">8.1 </w:t>
      </w:r>
      <w:r>
        <w:rPr>
          <w:rFonts w:hint="eastAsia" w:ascii="宋体" w:hAnsi="宋体" w:cs="宋体"/>
          <w:color w:val="auto"/>
          <w:kern w:val="1"/>
          <w:szCs w:val="21"/>
          <w:highlight w:val="none"/>
          <w:lang w:val="zh-CN"/>
        </w:rPr>
        <w:t>对招标人的纪律要求</w:t>
      </w:r>
    </w:p>
    <w:p w14:paraId="39A583F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236C790C">
      <w:pPr>
        <w:spacing w:line="360" w:lineRule="auto"/>
        <w:rPr>
          <w:rFonts w:ascii="宋体" w:hAnsi="宋体" w:cs="宋体"/>
          <w:color w:val="auto"/>
          <w:kern w:val="1"/>
          <w:highlight w:val="none"/>
        </w:rPr>
      </w:pPr>
      <w:r>
        <w:rPr>
          <w:rFonts w:ascii="宋体" w:hAnsi="宋体" w:cs="宋体"/>
          <w:color w:val="auto"/>
          <w:kern w:val="1"/>
          <w:szCs w:val="21"/>
          <w:highlight w:val="none"/>
        </w:rPr>
        <w:t xml:space="preserve">8.2 </w:t>
      </w:r>
      <w:r>
        <w:rPr>
          <w:rFonts w:hint="eastAsia" w:ascii="宋体" w:hAnsi="宋体" w:cs="宋体"/>
          <w:color w:val="auto"/>
          <w:kern w:val="1"/>
          <w:szCs w:val="21"/>
          <w:highlight w:val="none"/>
        </w:rPr>
        <w:t>对投标人的纪律要求</w:t>
      </w:r>
    </w:p>
    <w:p w14:paraId="0227A1B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C04B56">
      <w:pPr>
        <w:spacing w:line="360" w:lineRule="auto"/>
        <w:rPr>
          <w:rFonts w:ascii="宋体" w:hAnsi="宋体" w:cs="宋体"/>
          <w:color w:val="auto"/>
          <w:kern w:val="1"/>
          <w:highlight w:val="none"/>
        </w:rPr>
      </w:pPr>
      <w:r>
        <w:rPr>
          <w:rFonts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4175F7E5">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0A1C5F5">
      <w:pPr>
        <w:spacing w:line="360" w:lineRule="auto"/>
        <w:rPr>
          <w:rFonts w:ascii="宋体" w:hAnsi="宋体" w:cs="宋体"/>
          <w:color w:val="auto"/>
          <w:kern w:val="1"/>
          <w:highlight w:val="none"/>
        </w:rPr>
      </w:pPr>
      <w:r>
        <w:rPr>
          <w:rFonts w:ascii="宋体" w:hAnsi="宋体" w:cs="宋体"/>
          <w:color w:val="auto"/>
          <w:kern w:val="1"/>
          <w:szCs w:val="21"/>
          <w:highlight w:val="none"/>
        </w:rPr>
        <w:t xml:space="preserve">8.4 </w:t>
      </w:r>
      <w:r>
        <w:rPr>
          <w:rFonts w:hint="eastAsia" w:ascii="宋体" w:hAnsi="宋体" w:cs="宋体"/>
          <w:color w:val="auto"/>
          <w:kern w:val="1"/>
          <w:szCs w:val="21"/>
          <w:highlight w:val="none"/>
        </w:rPr>
        <w:t>对与评标活动有关的工作人员的纪律要求</w:t>
      </w:r>
    </w:p>
    <w:p w14:paraId="225E396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40289E6">
      <w:pPr>
        <w:spacing w:line="360" w:lineRule="auto"/>
        <w:rPr>
          <w:rFonts w:ascii="宋体" w:hAnsi="宋体" w:cs="宋体"/>
          <w:color w:val="auto"/>
          <w:kern w:val="1"/>
          <w:highlight w:val="none"/>
        </w:rPr>
      </w:pPr>
      <w:r>
        <w:rPr>
          <w:rFonts w:ascii="宋体" w:hAnsi="宋体" w:cs="宋体"/>
          <w:bCs/>
          <w:color w:val="auto"/>
          <w:kern w:val="1"/>
          <w:szCs w:val="21"/>
          <w:highlight w:val="none"/>
        </w:rPr>
        <w:t xml:space="preserve">8.5 </w:t>
      </w:r>
      <w:r>
        <w:rPr>
          <w:rFonts w:hint="eastAsia" w:ascii="宋体" w:hAnsi="宋体" w:cs="宋体"/>
          <w:bCs/>
          <w:color w:val="auto"/>
          <w:kern w:val="1"/>
          <w:szCs w:val="21"/>
          <w:highlight w:val="none"/>
        </w:rPr>
        <w:t>投诉</w:t>
      </w:r>
    </w:p>
    <w:p w14:paraId="6988B99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0003A986">
      <w:pPr>
        <w:pStyle w:val="4"/>
        <w:spacing w:line="360" w:lineRule="auto"/>
        <w:rPr>
          <w:rFonts w:ascii="宋体" w:hAnsi="宋体" w:eastAsia="宋体" w:cs="宋体"/>
          <w:color w:val="auto"/>
          <w:highlight w:val="none"/>
          <w:lang w:val="zh-CN"/>
        </w:rPr>
      </w:pPr>
      <w:bookmarkStart w:id="303" w:name="_Toc443505833"/>
      <w:bookmarkEnd w:id="303"/>
      <w:bookmarkStart w:id="304" w:name="_Toc17396"/>
      <w:bookmarkEnd w:id="304"/>
      <w:bookmarkStart w:id="305" w:name="_Toc10775"/>
      <w:bookmarkEnd w:id="305"/>
      <w:bookmarkStart w:id="306" w:name="_Toc11223"/>
      <w:bookmarkStart w:id="307" w:name="_Toc5620341"/>
      <w:bookmarkStart w:id="308" w:name="_Toc32499"/>
      <w:r>
        <w:rPr>
          <w:rFonts w:ascii="宋体" w:hAnsi="宋体" w:eastAsia="宋体" w:cs="宋体"/>
          <w:color w:val="auto"/>
          <w:highlight w:val="none"/>
          <w:lang w:val="zh-CN"/>
        </w:rPr>
        <w:t>9.</w:t>
      </w:r>
      <w:bookmarkEnd w:id="306"/>
      <w:bookmarkEnd w:id="307"/>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需要补充的其他内容</w:t>
      </w:r>
      <w:bookmarkEnd w:id="308"/>
    </w:p>
    <w:p w14:paraId="5AA7F9B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04D4DDB2">
      <w:pPr>
        <w:pStyle w:val="4"/>
        <w:spacing w:line="360" w:lineRule="auto"/>
        <w:rPr>
          <w:rFonts w:ascii="宋体" w:hAnsi="宋体" w:eastAsia="宋体" w:cs="宋体"/>
          <w:color w:val="auto"/>
          <w:highlight w:val="none"/>
          <w:lang w:val="zh-CN"/>
        </w:rPr>
      </w:pPr>
      <w:bookmarkStart w:id="309" w:name="_Toc26121"/>
      <w:bookmarkEnd w:id="309"/>
      <w:bookmarkStart w:id="310" w:name="_Toc443505834"/>
      <w:bookmarkEnd w:id="310"/>
      <w:bookmarkStart w:id="311" w:name="_Toc3028"/>
      <w:bookmarkEnd w:id="311"/>
      <w:bookmarkStart w:id="312" w:name="_Toc5620342"/>
      <w:bookmarkStart w:id="313" w:name="_Toc10563"/>
      <w:bookmarkStart w:id="314" w:name="_Toc31044"/>
      <w:r>
        <w:rPr>
          <w:rFonts w:ascii="宋体" w:hAnsi="宋体" w:eastAsia="宋体" w:cs="宋体"/>
          <w:color w:val="auto"/>
          <w:highlight w:val="none"/>
          <w:lang w:val="zh-CN"/>
        </w:rPr>
        <w:t>10.</w:t>
      </w:r>
      <w:bookmarkEnd w:id="312"/>
      <w:bookmarkEnd w:id="313"/>
      <w:r>
        <w:rPr>
          <w:rFonts w:ascii="宋体" w:hAnsi="宋体" w:eastAsia="宋体" w:cs="宋体"/>
          <w:color w:val="auto"/>
          <w:highlight w:val="none"/>
          <w:lang w:val="zh-CN"/>
        </w:rPr>
        <w:t xml:space="preserve"> </w:t>
      </w:r>
      <w:r>
        <w:rPr>
          <w:rFonts w:hint="eastAsia" w:ascii="宋体" w:hAnsi="宋体" w:eastAsia="宋体" w:cs="宋体"/>
          <w:color w:val="auto"/>
          <w:highlight w:val="none"/>
          <w:lang w:val="zh-CN"/>
        </w:rPr>
        <w:t>电子招标投标</w:t>
      </w:r>
      <w:bookmarkEnd w:id="314"/>
    </w:p>
    <w:p w14:paraId="393E5F22">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1D6F908E">
      <w:pPr>
        <w:pStyle w:val="4"/>
        <w:spacing w:line="360" w:lineRule="auto"/>
        <w:rPr>
          <w:rFonts w:ascii="宋体" w:hAnsi="宋体" w:eastAsia="宋体" w:cs="宋体"/>
          <w:color w:val="auto"/>
          <w:highlight w:val="none"/>
          <w:u w:val="single"/>
          <w:lang w:val="zh-CN"/>
        </w:rPr>
      </w:pPr>
      <w:bookmarkStart w:id="315" w:name="_Toc25267"/>
      <w:bookmarkEnd w:id="315"/>
      <w:bookmarkStart w:id="316" w:name="_Toc20042"/>
      <w:bookmarkEnd w:id="316"/>
      <w:bookmarkStart w:id="317" w:name="_Toc5620343"/>
      <w:bookmarkStart w:id="318" w:name="_Toc32213"/>
      <w:bookmarkStart w:id="319" w:name="_Toc21891"/>
      <w:r>
        <w:rPr>
          <w:rFonts w:ascii="宋体" w:hAnsi="宋体" w:eastAsia="宋体" w:cs="宋体"/>
          <w:color w:val="auto"/>
          <w:highlight w:val="none"/>
          <w:u w:val="single"/>
          <w:lang w:val="zh-CN"/>
        </w:rPr>
        <w:t>11.</w:t>
      </w:r>
      <w:bookmarkEnd w:id="317"/>
      <w:bookmarkEnd w:id="318"/>
      <w:r>
        <w:rPr>
          <w:rFonts w:hint="eastAsia" w:ascii="宋体" w:hAnsi="宋体" w:eastAsia="宋体" w:cs="宋体"/>
          <w:color w:val="auto"/>
          <w:highlight w:val="none"/>
          <w:u w:val="single"/>
          <w:lang w:val="zh-CN"/>
        </w:rPr>
        <w:t>其他</w:t>
      </w:r>
      <w:bookmarkEnd w:id="319"/>
    </w:p>
    <w:p w14:paraId="1E488B23">
      <w:pPr>
        <w:spacing w:line="360" w:lineRule="auto"/>
        <w:rPr>
          <w:rFonts w:ascii="宋体" w:hAnsi="宋体" w:cs="宋体"/>
          <w:color w:val="auto"/>
          <w:kern w:val="1"/>
          <w:highlight w:val="none"/>
          <w:u w:val="single"/>
        </w:rPr>
      </w:pPr>
      <w:r>
        <w:rPr>
          <w:rFonts w:ascii="宋体" w:hAnsi="宋体" w:cs="宋体"/>
          <w:color w:val="auto"/>
          <w:kern w:val="1"/>
          <w:highlight w:val="none"/>
          <w:u w:val="single"/>
        </w:rPr>
        <w:t xml:space="preserve">11.1 </w:t>
      </w:r>
      <w:r>
        <w:rPr>
          <w:rFonts w:hint="eastAsia" w:ascii="宋体" w:hAnsi="宋体" w:cs="宋体"/>
          <w:color w:val="auto"/>
          <w:kern w:val="1"/>
          <w:highlight w:val="none"/>
          <w:u w:val="single"/>
        </w:rPr>
        <w:t>投标人按招标文件要求递交的所有资料</w:t>
      </w:r>
      <w:r>
        <w:rPr>
          <w:rFonts w:ascii="宋体" w:hAnsi="宋体" w:cs="宋体"/>
          <w:color w:val="auto"/>
          <w:kern w:val="1"/>
          <w:highlight w:val="none"/>
          <w:u w:val="single"/>
        </w:rPr>
        <w:t>,</w:t>
      </w:r>
      <w:r>
        <w:rPr>
          <w:rFonts w:hint="eastAsia" w:ascii="宋体" w:hAnsi="宋体" w:cs="宋体"/>
          <w:color w:val="auto"/>
          <w:kern w:val="1"/>
          <w:highlight w:val="none"/>
          <w:u w:val="single"/>
        </w:rPr>
        <w:t>若存在虚假材料，一经发现或被投诉，经确认证实后，招标人将取消其投标资格，并上报给相关主管部门予以通报。</w:t>
      </w:r>
    </w:p>
    <w:p w14:paraId="3943FCCE">
      <w:pPr>
        <w:spacing w:line="360" w:lineRule="auto"/>
        <w:rPr>
          <w:rFonts w:ascii="宋体" w:hAnsi="宋体" w:cs="宋体"/>
          <w:color w:val="auto"/>
          <w:kern w:val="1"/>
          <w:highlight w:val="none"/>
        </w:rPr>
      </w:pPr>
      <w:r>
        <w:rPr>
          <w:rFonts w:ascii="宋体" w:hAnsi="宋体" w:cs="宋体"/>
          <w:color w:val="auto"/>
          <w:kern w:val="1"/>
          <w:highlight w:val="none"/>
          <w:u w:val="single"/>
        </w:rPr>
        <w:t>11.2</w:t>
      </w:r>
      <w:r>
        <w:rPr>
          <w:rFonts w:hint="eastAsia" w:ascii="宋体" w:hAnsi="宋体" w:cs="宋体"/>
          <w:color w:val="auto"/>
          <w:kern w:val="1"/>
          <w:highlight w:val="none"/>
          <w:u w:val="single"/>
        </w:rPr>
        <w:t>投标人如在本项目中存在串通投标、弄虚作假、行贿情形的，中标无效，该投标人将被招标人列入黑名单并限制其投标。行政监督部门将对其违法行为进行政处罚并通报。</w:t>
      </w:r>
    </w:p>
    <w:p w14:paraId="19430744">
      <w:pPr>
        <w:spacing w:line="360" w:lineRule="auto"/>
        <w:rPr>
          <w:rFonts w:ascii="宋体" w:hAnsi="宋体" w:cs="宋体"/>
          <w:color w:val="auto"/>
          <w:kern w:val="1"/>
          <w:highlight w:val="none"/>
        </w:rPr>
        <w:sectPr>
          <w:footerReference r:id="rId6" w:type="default"/>
          <w:pgSz w:w="11906" w:h="16838"/>
          <w:pgMar w:top="1440" w:right="1269" w:bottom="1440" w:left="1597" w:header="851" w:footer="992" w:gutter="0"/>
          <w:pgNumType w:start="1"/>
          <w:cols w:space="720" w:num="1"/>
        </w:sectPr>
      </w:pPr>
    </w:p>
    <w:p w14:paraId="751C85CA">
      <w:pPr>
        <w:keepNext/>
        <w:keepLines/>
        <w:spacing w:before="120" w:after="120" w:line="360" w:lineRule="auto"/>
        <w:ind w:firstLine="136"/>
        <w:rPr>
          <w:rFonts w:ascii="宋体" w:hAnsi="宋体"/>
          <w:color w:val="auto"/>
          <w:highlight w:val="none"/>
        </w:rPr>
      </w:pPr>
      <w:bookmarkStart w:id="320" w:name="_Toc5620345"/>
      <w:r>
        <w:rPr>
          <w:rFonts w:hint="eastAsia" w:ascii="宋体" w:hAnsi="宋体"/>
          <w:color w:val="auto"/>
          <w:highlight w:val="none"/>
        </w:rPr>
        <w:t>附件一：</w:t>
      </w:r>
      <w:bookmarkEnd w:id="320"/>
      <w:r>
        <w:rPr>
          <w:rFonts w:hint="eastAsia" w:ascii="宋体" w:hAnsi="宋体"/>
          <w:color w:val="auto"/>
          <w:highlight w:val="none"/>
        </w:rPr>
        <w:t>开标记录表</w:t>
      </w:r>
    </w:p>
    <w:p w14:paraId="0544AC2C">
      <w:pP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55773E29">
      <w:pPr>
        <w:spacing w:line="360" w:lineRule="auto"/>
        <w:ind w:right="420"/>
        <w:jc w:val="center"/>
        <w:rPr>
          <w:rFonts w:ascii="宋体" w:hAnsi="宋体" w:cs="宋体"/>
          <w:color w:val="auto"/>
          <w:kern w:val="1"/>
          <w:highlight w:val="none"/>
        </w:rPr>
      </w:pPr>
      <w:r>
        <w:rPr>
          <w:rFonts w:ascii="宋体" w:hAnsi="宋体" w:cs="宋体"/>
          <w:color w:val="auto"/>
          <w:kern w:val="1"/>
          <w:highlight w:val="none"/>
        </w:rPr>
        <w:t xml:space="preserve">                                                                                                        </w:t>
      </w:r>
      <w:r>
        <w:rPr>
          <w:rFonts w:hint="eastAsia" w:ascii="宋体" w:hAnsi="宋体" w:cs="宋体"/>
          <w:color w:val="auto"/>
          <w:kern w:val="1"/>
          <w:highlight w:val="none"/>
        </w:rPr>
        <w:t>开标时间：</w:t>
      </w:r>
      <w:r>
        <w:rPr>
          <w:rFonts w:ascii="宋体" w:hAnsi="宋体" w:cs="宋体"/>
          <w:color w:val="auto"/>
          <w:kern w:val="1"/>
          <w:highlight w:val="none"/>
        </w:rPr>
        <w:t xml:space="preserve"> </w:t>
      </w:r>
      <w:r>
        <w:rPr>
          <w:rFonts w:hint="eastAsia" w:ascii="宋体" w:hAnsi="宋体" w:cs="宋体"/>
          <w:color w:val="auto"/>
          <w:kern w:val="1"/>
          <w:highlight w:val="none"/>
        </w:rPr>
        <w:t>年</w:t>
      </w:r>
      <w:r>
        <w:rPr>
          <w:rFonts w:ascii="宋体" w:hAnsi="宋体" w:cs="宋体"/>
          <w:color w:val="auto"/>
          <w:kern w:val="1"/>
          <w:highlight w:val="none"/>
        </w:rPr>
        <w:t xml:space="preserve"> </w:t>
      </w:r>
      <w:r>
        <w:rPr>
          <w:rFonts w:hint="eastAsia" w:ascii="宋体" w:hAnsi="宋体" w:cs="宋体"/>
          <w:color w:val="auto"/>
          <w:kern w:val="1"/>
          <w:highlight w:val="none"/>
        </w:rPr>
        <w:t>月</w:t>
      </w:r>
      <w:r>
        <w:rPr>
          <w:rFonts w:ascii="宋体" w:hAnsi="宋体" w:cs="宋体"/>
          <w:color w:val="auto"/>
          <w:kern w:val="1"/>
          <w:highlight w:val="none"/>
        </w:rPr>
        <w:t xml:space="preserve"> </w:t>
      </w:r>
      <w:r>
        <w:rPr>
          <w:rFonts w:hint="eastAsia" w:ascii="宋体" w:hAnsi="宋体" w:cs="宋体"/>
          <w:color w:val="auto"/>
          <w:kern w:val="1"/>
          <w:highlight w:val="none"/>
        </w:rPr>
        <w:t>日</w:t>
      </w:r>
      <w:r>
        <w:rPr>
          <w:rFonts w:ascii="宋体" w:hAnsi="宋体" w:cs="宋体"/>
          <w:color w:val="auto"/>
          <w:kern w:val="1"/>
          <w:highlight w:val="none"/>
        </w:rPr>
        <w:t xml:space="preserve"> </w:t>
      </w:r>
      <w:r>
        <w:rPr>
          <w:rFonts w:hint="eastAsia" w:ascii="宋体" w:hAnsi="宋体" w:cs="宋体"/>
          <w:color w:val="auto"/>
          <w:kern w:val="1"/>
          <w:highlight w:val="none"/>
        </w:rPr>
        <w:t>时</w:t>
      </w:r>
      <w:r>
        <w:rPr>
          <w:rFonts w:ascii="宋体" w:hAnsi="宋体" w:cs="宋体"/>
          <w:color w:val="auto"/>
          <w:kern w:val="1"/>
          <w:highlight w:val="none"/>
        </w:rPr>
        <w:t xml:space="preserve"> </w:t>
      </w:r>
      <w:r>
        <w:rPr>
          <w:rFonts w:hint="eastAsia" w:ascii="宋体" w:hAnsi="宋体" w:cs="宋体"/>
          <w:color w:val="auto"/>
          <w:kern w:val="1"/>
          <w:highlight w:val="none"/>
        </w:rPr>
        <w:t>分</w:t>
      </w:r>
    </w:p>
    <w:tbl>
      <w:tblPr>
        <w:tblStyle w:val="34"/>
        <w:tblW w:w="0" w:type="auto"/>
        <w:tblInd w:w="0" w:type="dxa"/>
        <w:tblLayout w:type="fixed"/>
        <w:tblCellMar>
          <w:top w:w="0" w:type="dxa"/>
          <w:left w:w="108" w:type="dxa"/>
          <w:bottom w:w="0" w:type="dxa"/>
          <w:right w:w="108" w:type="dxa"/>
        </w:tblCellMar>
      </w:tblPr>
      <w:tblGrid>
        <w:gridCol w:w="457"/>
        <w:gridCol w:w="1537"/>
        <w:gridCol w:w="639"/>
        <w:gridCol w:w="885"/>
        <w:gridCol w:w="665"/>
        <w:gridCol w:w="594"/>
        <w:gridCol w:w="824"/>
        <w:gridCol w:w="909"/>
        <w:gridCol w:w="727"/>
        <w:gridCol w:w="1093"/>
        <w:gridCol w:w="757"/>
        <w:gridCol w:w="758"/>
        <w:gridCol w:w="750"/>
        <w:gridCol w:w="478"/>
        <w:gridCol w:w="463"/>
        <w:gridCol w:w="512"/>
        <w:gridCol w:w="819"/>
        <w:gridCol w:w="654"/>
      </w:tblGrid>
      <w:tr w14:paraId="01364EA5">
        <w:tblPrEx>
          <w:tblCellMar>
            <w:top w:w="0" w:type="dxa"/>
            <w:left w:w="108" w:type="dxa"/>
            <w:bottom w:w="0" w:type="dxa"/>
            <w:right w:w="108" w:type="dxa"/>
          </w:tblCellMar>
        </w:tblPrEx>
        <w:trPr>
          <w:trHeight w:val="707"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1CED4302">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46B79DF5">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14:paraId="4541B847">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投标文件递交情况</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16FCDBB8">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17ABC483">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投标总工期</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08188E41">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质量标准</w:t>
            </w:r>
          </w:p>
        </w:tc>
        <w:tc>
          <w:tcPr>
            <w:tcW w:w="824" w:type="dxa"/>
            <w:vMerge w:val="restart"/>
            <w:tcBorders>
              <w:top w:val="single" w:color="000000" w:sz="4" w:space="0"/>
              <w:left w:val="single" w:color="000000" w:sz="4" w:space="0"/>
              <w:right w:val="single" w:color="auto" w:sz="4" w:space="0"/>
            </w:tcBorders>
            <w:vAlign w:val="center"/>
          </w:tcPr>
          <w:p w14:paraId="0CE626C1">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909" w:type="dxa"/>
            <w:vMerge w:val="restart"/>
            <w:tcBorders>
              <w:top w:val="single" w:color="000000" w:sz="4" w:space="0"/>
              <w:left w:val="single" w:color="auto" w:sz="4" w:space="0"/>
              <w:right w:val="single" w:color="000000" w:sz="4" w:space="0"/>
            </w:tcBorders>
            <w:vAlign w:val="center"/>
          </w:tcPr>
          <w:p w14:paraId="263D0CAA">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设计负责人</w:t>
            </w:r>
          </w:p>
        </w:tc>
        <w:tc>
          <w:tcPr>
            <w:tcW w:w="727" w:type="dxa"/>
            <w:vMerge w:val="restart"/>
            <w:tcBorders>
              <w:top w:val="single" w:color="000000" w:sz="4" w:space="0"/>
              <w:left w:val="single" w:color="000000" w:sz="4" w:space="0"/>
              <w:right w:val="single" w:color="000000" w:sz="4" w:space="0"/>
            </w:tcBorders>
            <w:vAlign w:val="center"/>
          </w:tcPr>
          <w:p w14:paraId="0368F673">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专职安全员</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14:paraId="63693B29">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投标总报价（人民币：元）</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14:paraId="37FDE1EF">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投标报价</w:t>
            </w:r>
          </w:p>
          <w:p w14:paraId="6AF31059">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（人民币：元）</w:t>
            </w:r>
          </w:p>
        </w:tc>
        <w:tc>
          <w:tcPr>
            <w:tcW w:w="1453" w:type="dxa"/>
            <w:gridSpan w:val="3"/>
            <w:tcBorders>
              <w:top w:val="single" w:color="000000" w:sz="4" w:space="0"/>
              <w:left w:val="single" w:color="000000" w:sz="4" w:space="0"/>
              <w:bottom w:val="single" w:color="000000" w:sz="4" w:space="0"/>
              <w:right w:val="single" w:color="000000" w:sz="4" w:space="0"/>
            </w:tcBorders>
            <w:vAlign w:val="center"/>
          </w:tcPr>
          <w:p w14:paraId="24B53F9E">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投标下浮率（</w:t>
            </w:r>
            <w:r>
              <w:rPr>
                <w:rFonts w:ascii="宋体" w:hAnsi="宋体" w:cs="宋体"/>
                <w:color w:val="auto"/>
                <w:kern w:val="1"/>
                <w:sz w:val="18"/>
                <w:szCs w:val="18"/>
                <w:highlight w:val="none"/>
              </w:rPr>
              <w:t>%</w:t>
            </w:r>
            <w:r>
              <w:rPr>
                <w:rFonts w:hint="eastAsia" w:ascii="宋体" w:hAnsi="宋体" w:cs="宋体"/>
                <w:color w:val="auto"/>
                <w:kern w:val="1"/>
                <w:sz w:val="18"/>
                <w:szCs w:val="18"/>
                <w:highlight w:val="none"/>
              </w:rPr>
              <w:t>）</w:t>
            </w:r>
          </w:p>
        </w:tc>
        <w:tc>
          <w:tcPr>
            <w:tcW w:w="819" w:type="dxa"/>
            <w:vMerge w:val="restart"/>
            <w:tcBorders>
              <w:top w:val="single" w:color="000000" w:sz="4" w:space="0"/>
              <w:left w:val="single" w:color="auto" w:sz="4" w:space="0"/>
              <w:bottom w:val="single" w:color="000000" w:sz="4" w:space="0"/>
              <w:right w:val="single" w:color="000000" w:sz="4" w:space="0"/>
            </w:tcBorders>
            <w:vAlign w:val="center"/>
          </w:tcPr>
          <w:p w14:paraId="65866075">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1760DF1B">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17079D79">
        <w:tblPrEx>
          <w:tblCellMar>
            <w:top w:w="0" w:type="dxa"/>
            <w:left w:w="108" w:type="dxa"/>
            <w:bottom w:w="0" w:type="dxa"/>
            <w:right w:w="108" w:type="dxa"/>
          </w:tblCellMar>
        </w:tblPrEx>
        <w:trPr>
          <w:trHeight w:val="117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28F3A2FB">
            <w:pPr>
              <w:spacing w:line="360" w:lineRule="auto"/>
              <w:jc w:val="left"/>
              <w:rPr>
                <w:rFonts w:ascii="宋体" w:hAnsi="宋体" w:cs="宋体"/>
                <w:color w:val="auto"/>
                <w:kern w:val="1"/>
                <w:sz w:val="18"/>
                <w:szCs w:val="18"/>
                <w:highlight w:val="none"/>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011B06DF">
            <w:pPr>
              <w:spacing w:line="360" w:lineRule="auto"/>
              <w:jc w:val="left"/>
              <w:rPr>
                <w:rFonts w:ascii="宋体" w:hAnsi="宋体" w:cs="宋体"/>
                <w:color w:val="auto"/>
                <w:kern w:val="1"/>
                <w:sz w:val="18"/>
                <w:szCs w:val="18"/>
                <w:highlight w:val="none"/>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14:paraId="66882DBA">
            <w:pPr>
              <w:spacing w:line="360" w:lineRule="auto"/>
              <w:jc w:val="left"/>
              <w:rPr>
                <w:rFonts w:ascii="宋体" w:hAnsi="宋体" w:cs="宋体"/>
                <w:color w:val="auto"/>
                <w:kern w:val="1"/>
                <w:sz w:val="18"/>
                <w:szCs w:val="18"/>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14FC9CAE">
            <w:pPr>
              <w:spacing w:line="360" w:lineRule="auto"/>
              <w:jc w:val="left"/>
              <w:rPr>
                <w:rFonts w:ascii="宋体" w:hAnsi="宋体" w:cs="宋体"/>
                <w:color w:val="auto"/>
                <w:kern w:val="1"/>
                <w:sz w:val="18"/>
                <w:szCs w:val="18"/>
                <w:highlight w:val="none"/>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22DDF0B9">
            <w:pPr>
              <w:spacing w:line="360" w:lineRule="auto"/>
              <w:jc w:val="left"/>
              <w:rPr>
                <w:rFonts w:ascii="宋体" w:hAnsi="宋体" w:cs="宋体"/>
                <w:color w:val="auto"/>
                <w:kern w:val="1"/>
                <w:sz w:val="18"/>
                <w:szCs w:val="18"/>
                <w:highlight w:val="none"/>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2B56B436">
            <w:pPr>
              <w:spacing w:line="360" w:lineRule="auto"/>
              <w:jc w:val="left"/>
              <w:rPr>
                <w:rFonts w:ascii="宋体" w:hAnsi="宋体" w:cs="宋体"/>
                <w:color w:val="auto"/>
                <w:kern w:val="1"/>
                <w:sz w:val="18"/>
                <w:szCs w:val="18"/>
                <w:highlight w:val="none"/>
              </w:rPr>
            </w:pPr>
          </w:p>
        </w:tc>
        <w:tc>
          <w:tcPr>
            <w:tcW w:w="824" w:type="dxa"/>
            <w:vMerge w:val="continue"/>
            <w:tcBorders>
              <w:left w:val="single" w:color="000000" w:sz="4" w:space="0"/>
              <w:bottom w:val="single" w:color="000000" w:sz="4" w:space="0"/>
              <w:right w:val="single" w:color="000000" w:sz="4" w:space="0"/>
            </w:tcBorders>
            <w:vAlign w:val="center"/>
          </w:tcPr>
          <w:p w14:paraId="0817913F">
            <w:pPr>
              <w:spacing w:line="360" w:lineRule="auto"/>
              <w:jc w:val="center"/>
              <w:rPr>
                <w:rFonts w:ascii="宋体" w:hAnsi="宋体" w:cs="宋体"/>
                <w:color w:val="auto"/>
                <w:kern w:val="1"/>
                <w:sz w:val="18"/>
                <w:szCs w:val="18"/>
                <w:highlight w:val="none"/>
              </w:rPr>
            </w:pPr>
          </w:p>
        </w:tc>
        <w:tc>
          <w:tcPr>
            <w:tcW w:w="909" w:type="dxa"/>
            <w:vMerge w:val="continue"/>
            <w:tcBorders>
              <w:left w:val="single" w:color="auto" w:sz="4" w:space="0"/>
              <w:bottom w:val="single" w:color="000000" w:sz="4" w:space="0"/>
              <w:right w:val="single" w:color="000000" w:sz="4" w:space="0"/>
            </w:tcBorders>
            <w:vAlign w:val="center"/>
          </w:tcPr>
          <w:p w14:paraId="73E872F4">
            <w:pPr>
              <w:spacing w:line="360" w:lineRule="auto"/>
              <w:jc w:val="center"/>
              <w:rPr>
                <w:rFonts w:ascii="宋体" w:hAnsi="宋体" w:cs="宋体"/>
                <w:color w:val="auto"/>
                <w:kern w:val="1"/>
                <w:sz w:val="18"/>
                <w:szCs w:val="18"/>
                <w:highlight w:val="none"/>
              </w:rPr>
            </w:pPr>
          </w:p>
        </w:tc>
        <w:tc>
          <w:tcPr>
            <w:tcW w:w="727" w:type="dxa"/>
            <w:vMerge w:val="continue"/>
            <w:tcBorders>
              <w:left w:val="single" w:color="000000" w:sz="4" w:space="0"/>
              <w:bottom w:val="single" w:color="000000" w:sz="4" w:space="0"/>
              <w:right w:val="single" w:color="000000" w:sz="4" w:space="0"/>
            </w:tcBorders>
            <w:vAlign w:val="center"/>
          </w:tcPr>
          <w:p w14:paraId="2FEA27C3">
            <w:pPr>
              <w:spacing w:line="360" w:lineRule="auto"/>
              <w:jc w:val="center"/>
              <w:rPr>
                <w:rFonts w:ascii="宋体" w:hAnsi="宋体" w:cs="宋体"/>
                <w:color w:val="auto"/>
                <w:kern w:val="1"/>
                <w:sz w:val="18"/>
                <w:szCs w:val="18"/>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7DE508B4">
            <w:pPr>
              <w:spacing w:line="360" w:lineRule="auto"/>
              <w:jc w:val="left"/>
              <w:rPr>
                <w:rFonts w:ascii="宋体" w:hAnsi="宋体" w:cs="宋体"/>
                <w:color w:val="auto"/>
                <w:kern w:val="1"/>
                <w:sz w:val="18"/>
                <w:szCs w:val="18"/>
                <w:highlight w:val="none"/>
              </w:rPr>
            </w:pPr>
          </w:p>
        </w:tc>
        <w:tc>
          <w:tcPr>
            <w:tcW w:w="757" w:type="dxa"/>
            <w:tcBorders>
              <w:top w:val="single" w:color="000000" w:sz="4" w:space="0"/>
              <w:left w:val="single" w:color="000000" w:sz="4" w:space="0"/>
              <w:bottom w:val="single" w:color="000000" w:sz="4" w:space="0"/>
              <w:right w:val="single" w:color="auto" w:sz="4" w:space="0"/>
            </w:tcBorders>
            <w:vAlign w:val="center"/>
          </w:tcPr>
          <w:p w14:paraId="04479DDA">
            <w:pPr>
              <w:spacing w:line="360" w:lineRule="auto"/>
              <w:jc w:val="center"/>
              <w:rPr>
                <w:rFonts w:ascii="宋体" w:hAnsi="宋体" w:cs="宋体"/>
                <w:color w:val="auto"/>
                <w:kern w:val="1"/>
                <w:highlight w:val="none"/>
              </w:rPr>
            </w:pPr>
            <w:r>
              <w:rPr>
                <w:rFonts w:hint="eastAsia" w:ascii="宋体" w:hAnsi="宋体" w:cs="宋体"/>
                <w:color w:val="auto"/>
                <w:kern w:val="1"/>
                <w:sz w:val="18"/>
                <w:szCs w:val="18"/>
                <w:highlight w:val="none"/>
              </w:rPr>
              <w:t>勘察费</w:t>
            </w:r>
          </w:p>
        </w:tc>
        <w:tc>
          <w:tcPr>
            <w:tcW w:w="758" w:type="dxa"/>
            <w:tcBorders>
              <w:top w:val="single" w:color="000000" w:sz="4" w:space="0"/>
              <w:left w:val="single" w:color="auto" w:sz="4" w:space="0"/>
              <w:bottom w:val="single" w:color="000000" w:sz="4" w:space="0"/>
              <w:right w:val="single" w:color="000000" w:sz="4" w:space="0"/>
            </w:tcBorders>
            <w:vAlign w:val="center"/>
          </w:tcPr>
          <w:p w14:paraId="6016D869">
            <w:pPr>
              <w:spacing w:line="360" w:lineRule="auto"/>
              <w:jc w:val="center"/>
              <w:rPr>
                <w:rFonts w:ascii="宋体" w:hAnsi="宋体" w:cs="宋体"/>
                <w:color w:val="auto"/>
                <w:kern w:val="1"/>
                <w:highlight w:val="none"/>
              </w:rPr>
            </w:pPr>
            <w:r>
              <w:rPr>
                <w:rFonts w:hint="eastAsia" w:ascii="宋体" w:hAnsi="宋体" w:cs="宋体"/>
                <w:color w:val="auto"/>
                <w:kern w:val="1"/>
                <w:sz w:val="18"/>
                <w:szCs w:val="18"/>
                <w:highlight w:val="none"/>
              </w:rPr>
              <w:t>设计费</w:t>
            </w:r>
          </w:p>
        </w:tc>
        <w:tc>
          <w:tcPr>
            <w:tcW w:w="750" w:type="dxa"/>
            <w:tcBorders>
              <w:top w:val="single" w:color="000000" w:sz="4" w:space="0"/>
              <w:left w:val="single" w:color="000000" w:sz="4" w:space="0"/>
              <w:bottom w:val="single" w:color="000000" w:sz="4" w:space="0"/>
              <w:right w:val="single" w:color="000000" w:sz="4" w:space="0"/>
            </w:tcBorders>
            <w:vAlign w:val="center"/>
          </w:tcPr>
          <w:p w14:paraId="4F1BFB6C">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建安工程费</w:t>
            </w:r>
          </w:p>
        </w:tc>
        <w:tc>
          <w:tcPr>
            <w:tcW w:w="478" w:type="dxa"/>
            <w:tcBorders>
              <w:top w:val="single" w:color="000000" w:sz="4" w:space="0"/>
              <w:left w:val="single" w:color="000000" w:sz="4" w:space="0"/>
              <w:bottom w:val="single" w:color="000000" w:sz="4" w:space="0"/>
              <w:right w:val="single" w:color="auto" w:sz="4" w:space="0"/>
            </w:tcBorders>
            <w:vAlign w:val="center"/>
          </w:tcPr>
          <w:p w14:paraId="4731833B">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勘察费</w:t>
            </w:r>
          </w:p>
        </w:tc>
        <w:tc>
          <w:tcPr>
            <w:tcW w:w="463" w:type="dxa"/>
            <w:tcBorders>
              <w:top w:val="single" w:color="000000" w:sz="4" w:space="0"/>
              <w:left w:val="single" w:color="auto" w:sz="4" w:space="0"/>
              <w:bottom w:val="single" w:color="000000" w:sz="4" w:space="0"/>
              <w:right w:val="single" w:color="000000" w:sz="4" w:space="0"/>
            </w:tcBorders>
            <w:vAlign w:val="center"/>
          </w:tcPr>
          <w:p w14:paraId="083BD6AC">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设计费</w:t>
            </w:r>
          </w:p>
        </w:tc>
        <w:tc>
          <w:tcPr>
            <w:tcW w:w="512" w:type="dxa"/>
            <w:tcBorders>
              <w:top w:val="single" w:color="000000" w:sz="4" w:space="0"/>
              <w:left w:val="single" w:color="000000" w:sz="4" w:space="0"/>
              <w:bottom w:val="single" w:color="000000" w:sz="4" w:space="0"/>
              <w:right w:val="single" w:color="000000" w:sz="4" w:space="0"/>
            </w:tcBorders>
            <w:vAlign w:val="center"/>
          </w:tcPr>
          <w:p w14:paraId="212B2D4E">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建安工程费</w:t>
            </w:r>
          </w:p>
        </w:tc>
        <w:tc>
          <w:tcPr>
            <w:tcW w:w="819" w:type="dxa"/>
            <w:vMerge w:val="continue"/>
            <w:tcBorders>
              <w:top w:val="single" w:color="000000" w:sz="4" w:space="0"/>
              <w:left w:val="single" w:color="auto" w:sz="4" w:space="0"/>
              <w:bottom w:val="single" w:color="000000" w:sz="4" w:space="0"/>
              <w:right w:val="single" w:color="000000" w:sz="4" w:space="0"/>
            </w:tcBorders>
          </w:tcPr>
          <w:p w14:paraId="7A97ABA4">
            <w:pPr>
              <w:spacing w:line="360" w:lineRule="auto"/>
              <w:jc w:val="left"/>
              <w:rPr>
                <w:rFonts w:ascii="宋体" w:hAnsi="宋体" w:cs="宋体"/>
                <w:color w:val="auto"/>
                <w:kern w:val="1"/>
                <w:sz w:val="18"/>
                <w:szCs w:val="18"/>
                <w:highlight w:val="none"/>
              </w:rPr>
            </w:pPr>
          </w:p>
        </w:tc>
        <w:tc>
          <w:tcPr>
            <w:tcW w:w="654" w:type="dxa"/>
            <w:vMerge w:val="continue"/>
            <w:tcBorders>
              <w:top w:val="single" w:color="000000" w:sz="4" w:space="0"/>
              <w:left w:val="single" w:color="000000" w:sz="4" w:space="0"/>
              <w:bottom w:val="single" w:color="000000" w:sz="4" w:space="0"/>
              <w:right w:val="single" w:color="000000" w:sz="4" w:space="0"/>
            </w:tcBorders>
          </w:tcPr>
          <w:p w14:paraId="657A79A1">
            <w:pPr>
              <w:spacing w:line="360" w:lineRule="auto"/>
              <w:jc w:val="left"/>
              <w:rPr>
                <w:rFonts w:ascii="宋体" w:hAnsi="宋体" w:cs="宋体"/>
                <w:color w:val="auto"/>
                <w:kern w:val="1"/>
                <w:sz w:val="18"/>
                <w:szCs w:val="18"/>
                <w:highlight w:val="none"/>
              </w:rPr>
            </w:pPr>
          </w:p>
        </w:tc>
      </w:tr>
      <w:tr w14:paraId="57AB854B">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0B5FB0C3">
            <w:pP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4DCF421">
            <w:pP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6D27BFA">
            <w:pP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1E989FD">
            <w:pP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6F4891B">
            <w:pP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1D1AE377">
            <w:pP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2D9EBB5E">
            <w:pP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1F6710BA">
            <w:pP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A1CCE37">
            <w:pPr>
              <w:spacing w:line="360" w:lineRule="auto"/>
              <w:jc w:val="center"/>
              <w:rPr>
                <w:rFonts w:ascii="宋体" w:hAnsi="宋体" w:cs="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57BC6187">
            <w:pPr>
              <w:spacing w:line="360" w:lineRule="auto"/>
              <w:jc w:val="center"/>
              <w:rPr>
                <w:rFonts w:ascii="宋体" w:hAnsi="宋体" w:cs="宋体"/>
                <w:color w:val="auto"/>
                <w:kern w:val="1"/>
                <w:szCs w:val="21"/>
                <w:highlight w:val="none"/>
              </w:rPr>
            </w:pPr>
          </w:p>
        </w:tc>
        <w:tc>
          <w:tcPr>
            <w:tcW w:w="757" w:type="dxa"/>
            <w:tcBorders>
              <w:top w:val="single" w:color="000000" w:sz="4" w:space="0"/>
              <w:left w:val="single" w:color="000000" w:sz="4" w:space="0"/>
              <w:bottom w:val="single" w:color="000000" w:sz="4" w:space="0"/>
              <w:right w:val="single" w:color="auto" w:sz="4" w:space="0"/>
            </w:tcBorders>
          </w:tcPr>
          <w:p w14:paraId="1375EB4A">
            <w:pP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auto" w:sz="4" w:space="0"/>
              <w:bottom w:val="single" w:color="000000" w:sz="4" w:space="0"/>
              <w:right w:val="single" w:color="000000" w:sz="4" w:space="0"/>
            </w:tcBorders>
          </w:tcPr>
          <w:p w14:paraId="5A0B14D9">
            <w:pPr>
              <w:spacing w:line="360" w:lineRule="auto"/>
              <w:jc w:val="center"/>
              <w:rPr>
                <w:rFonts w:ascii="宋体" w:hAnsi="宋体" w:cs="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tcPr>
          <w:p w14:paraId="4D5A48E0">
            <w:pPr>
              <w:spacing w:line="360" w:lineRule="auto"/>
              <w:jc w:val="center"/>
              <w:rPr>
                <w:rFonts w:ascii="宋体" w:hAnsi="宋体" w:cs="宋体"/>
                <w:color w:val="auto"/>
                <w:kern w:val="1"/>
                <w:szCs w:val="21"/>
                <w:highlight w:val="none"/>
              </w:rPr>
            </w:pPr>
          </w:p>
        </w:tc>
        <w:tc>
          <w:tcPr>
            <w:tcW w:w="478" w:type="dxa"/>
            <w:tcBorders>
              <w:top w:val="single" w:color="000000" w:sz="4" w:space="0"/>
              <w:left w:val="single" w:color="000000" w:sz="4" w:space="0"/>
              <w:bottom w:val="single" w:color="000000" w:sz="4" w:space="0"/>
              <w:right w:val="single" w:color="auto" w:sz="4" w:space="0"/>
            </w:tcBorders>
          </w:tcPr>
          <w:p w14:paraId="229332C9">
            <w:pPr>
              <w:spacing w:line="360" w:lineRule="auto"/>
              <w:jc w:val="center"/>
              <w:rPr>
                <w:rFonts w:ascii="宋体" w:hAnsi="宋体" w:cs="宋体"/>
                <w:color w:val="auto"/>
                <w:kern w:val="1"/>
                <w:szCs w:val="21"/>
                <w:highlight w:val="none"/>
              </w:rPr>
            </w:pPr>
          </w:p>
        </w:tc>
        <w:tc>
          <w:tcPr>
            <w:tcW w:w="463" w:type="dxa"/>
            <w:tcBorders>
              <w:top w:val="single" w:color="000000" w:sz="4" w:space="0"/>
              <w:left w:val="single" w:color="auto" w:sz="4" w:space="0"/>
              <w:bottom w:val="single" w:color="000000" w:sz="4" w:space="0"/>
              <w:right w:val="single" w:color="000000" w:sz="4" w:space="0"/>
            </w:tcBorders>
          </w:tcPr>
          <w:p w14:paraId="2816887F">
            <w:pPr>
              <w:spacing w:line="360" w:lineRule="auto"/>
              <w:jc w:val="center"/>
              <w:rPr>
                <w:rFonts w:ascii="宋体" w:hAnsi="宋体" w:cs="宋体"/>
                <w:color w:val="auto"/>
                <w:kern w:val="1"/>
                <w:szCs w:val="21"/>
                <w:highlight w:val="none"/>
              </w:rPr>
            </w:pPr>
          </w:p>
        </w:tc>
        <w:tc>
          <w:tcPr>
            <w:tcW w:w="512" w:type="dxa"/>
            <w:tcBorders>
              <w:top w:val="single" w:color="000000" w:sz="4" w:space="0"/>
              <w:left w:val="single" w:color="000000" w:sz="4" w:space="0"/>
              <w:bottom w:val="single" w:color="000000" w:sz="4" w:space="0"/>
              <w:right w:val="single" w:color="000000" w:sz="4" w:space="0"/>
            </w:tcBorders>
          </w:tcPr>
          <w:p w14:paraId="7F1A3D49">
            <w:pP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760D790A">
            <w:pP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7834B1F5">
            <w:pPr>
              <w:spacing w:line="360" w:lineRule="auto"/>
              <w:jc w:val="center"/>
              <w:rPr>
                <w:rFonts w:ascii="宋体" w:hAnsi="宋体" w:cs="宋体"/>
                <w:color w:val="auto"/>
                <w:kern w:val="1"/>
                <w:szCs w:val="21"/>
                <w:highlight w:val="none"/>
              </w:rPr>
            </w:pPr>
          </w:p>
        </w:tc>
      </w:tr>
      <w:tr w14:paraId="47E84B25">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9DC2C6F">
            <w:pP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127A647">
            <w:pP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77A6BE9E">
            <w:pP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7955D6A0">
            <w:pP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ECB343E">
            <w:pP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026D8639">
            <w:pP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44897906">
            <w:pP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37550DF5">
            <w:pP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7444384">
            <w:pPr>
              <w:spacing w:line="360" w:lineRule="auto"/>
              <w:jc w:val="center"/>
              <w:rPr>
                <w:rFonts w:ascii="宋体" w:hAnsi="宋体" w:cs="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75116F7A">
            <w:pPr>
              <w:spacing w:line="360" w:lineRule="auto"/>
              <w:jc w:val="center"/>
              <w:rPr>
                <w:rFonts w:ascii="宋体" w:hAnsi="宋体" w:cs="宋体"/>
                <w:color w:val="auto"/>
                <w:kern w:val="1"/>
                <w:szCs w:val="21"/>
                <w:highlight w:val="none"/>
              </w:rPr>
            </w:pPr>
          </w:p>
        </w:tc>
        <w:tc>
          <w:tcPr>
            <w:tcW w:w="757" w:type="dxa"/>
            <w:tcBorders>
              <w:top w:val="single" w:color="000000" w:sz="4" w:space="0"/>
              <w:left w:val="single" w:color="000000" w:sz="4" w:space="0"/>
              <w:bottom w:val="single" w:color="000000" w:sz="4" w:space="0"/>
              <w:right w:val="single" w:color="auto" w:sz="4" w:space="0"/>
            </w:tcBorders>
          </w:tcPr>
          <w:p w14:paraId="5C751D01">
            <w:pP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auto" w:sz="4" w:space="0"/>
              <w:bottom w:val="single" w:color="000000" w:sz="4" w:space="0"/>
              <w:right w:val="single" w:color="000000" w:sz="4" w:space="0"/>
            </w:tcBorders>
          </w:tcPr>
          <w:p w14:paraId="3F45E056">
            <w:pPr>
              <w:spacing w:line="360" w:lineRule="auto"/>
              <w:jc w:val="center"/>
              <w:rPr>
                <w:rFonts w:ascii="宋体" w:hAnsi="宋体" w:cs="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tcPr>
          <w:p w14:paraId="1043F58C">
            <w:pPr>
              <w:spacing w:line="360" w:lineRule="auto"/>
              <w:jc w:val="center"/>
              <w:rPr>
                <w:rFonts w:ascii="宋体" w:hAnsi="宋体" w:cs="宋体"/>
                <w:color w:val="auto"/>
                <w:kern w:val="1"/>
                <w:szCs w:val="21"/>
                <w:highlight w:val="none"/>
              </w:rPr>
            </w:pPr>
          </w:p>
        </w:tc>
        <w:tc>
          <w:tcPr>
            <w:tcW w:w="478" w:type="dxa"/>
            <w:tcBorders>
              <w:top w:val="single" w:color="000000" w:sz="4" w:space="0"/>
              <w:left w:val="single" w:color="000000" w:sz="4" w:space="0"/>
              <w:bottom w:val="single" w:color="000000" w:sz="4" w:space="0"/>
              <w:right w:val="single" w:color="auto" w:sz="4" w:space="0"/>
            </w:tcBorders>
          </w:tcPr>
          <w:p w14:paraId="5A0B3948">
            <w:pPr>
              <w:spacing w:line="360" w:lineRule="auto"/>
              <w:jc w:val="center"/>
              <w:rPr>
                <w:rFonts w:ascii="宋体" w:hAnsi="宋体" w:cs="宋体"/>
                <w:color w:val="auto"/>
                <w:kern w:val="1"/>
                <w:szCs w:val="21"/>
                <w:highlight w:val="none"/>
              </w:rPr>
            </w:pPr>
          </w:p>
        </w:tc>
        <w:tc>
          <w:tcPr>
            <w:tcW w:w="463" w:type="dxa"/>
            <w:tcBorders>
              <w:top w:val="single" w:color="000000" w:sz="4" w:space="0"/>
              <w:left w:val="single" w:color="auto" w:sz="4" w:space="0"/>
              <w:bottom w:val="single" w:color="000000" w:sz="4" w:space="0"/>
              <w:right w:val="single" w:color="000000" w:sz="4" w:space="0"/>
            </w:tcBorders>
          </w:tcPr>
          <w:p w14:paraId="2DA0D11C">
            <w:pPr>
              <w:spacing w:line="360" w:lineRule="auto"/>
              <w:jc w:val="center"/>
              <w:rPr>
                <w:rFonts w:ascii="宋体" w:hAnsi="宋体" w:cs="宋体"/>
                <w:color w:val="auto"/>
                <w:kern w:val="1"/>
                <w:szCs w:val="21"/>
                <w:highlight w:val="none"/>
              </w:rPr>
            </w:pPr>
          </w:p>
        </w:tc>
        <w:tc>
          <w:tcPr>
            <w:tcW w:w="512" w:type="dxa"/>
            <w:tcBorders>
              <w:top w:val="single" w:color="000000" w:sz="4" w:space="0"/>
              <w:left w:val="single" w:color="000000" w:sz="4" w:space="0"/>
              <w:bottom w:val="single" w:color="000000" w:sz="4" w:space="0"/>
              <w:right w:val="single" w:color="000000" w:sz="4" w:space="0"/>
            </w:tcBorders>
          </w:tcPr>
          <w:p w14:paraId="1D80B503">
            <w:pP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47A3A7E0">
            <w:pP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11F3C6AF">
            <w:pPr>
              <w:spacing w:line="360" w:lineRule="auto"/>
              <w:jc w:val="center"/>
              <w:rPr>
                <w:rFonts w:ascii="宋体" w:hAnsi="宋体" w:cs="宋体"/>
                <w:color w:val="auto"/>
                <w:kern w:val="1"/>
                <w:szCs w:val="21"/>
                <w:highlight w:val="none"/>
              </w:rPr>
            </w:pPr>
          </w:p>
        </w:tc>
      </w:tr>
      <w:tr w14:paraId="78A28C8B">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62C27EE">
            <w:pP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651A0D5">
            <w:pP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4290B5B8">
            <w:pP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0105613C">
            <w:pP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005B196">
            <w:pP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0DF31B16">
            <w:pP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2D1FEFD9">
            <w:pP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660ACB35">
            <w:pP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01C35C8">
            <w:pPr>
              <w:spacing w:line="360" w:lineRule="auto"/>
              <w:jc w:val="center"/>
              <w:rPr>
                <w:rFonts w:ascii="宋体" w:hAnsi="宋体" w:cs="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0E4B748F">
            <w:pPr>
              <w:spacing w:line="360" w:lineRule="auto"/>
              <w:jc w:val="center"/>
              <w:rPr>
                <w:rFonts w:ascii="宋体" w:hAnsi="宋体" w:cs="宋体"/>
                <w:color w:val="auto"/>
                <w:kern w:val="1"/>
                <w:szCs w:val="21"/>
                <w:highlight w:val="none"/>
              </w:rPr>
            </w:pPr>
          </w:p>
        </w:tc>
        <w:tc>
          <w:tcPr>
            <w:tcW w:w="757" w:type="dxa"/>
            <w:tcBorders>
              <w:top w:val="single" w:color="000000" w:sz="4" w:space="0"/>
              <w:left w:val="single" w:color="000000" w:sz="4" w:space="0"/>
              <w:bottom w:val="single" w:color="000000" w:sz="4" w:space="0"/>
              <w:right w:val="single" w:color="auto" w:sz="4" w:space="0"/>
            </w:tcBorders>
          </w:tcPr>
          <w:p w14:paraId="79A24F30">
            <w:pP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auto" w:sz="4" w:space="0"/>
              <w:bottom w:val="single" w:color="000000" w:sz="4" w:space="0"/>
              <w:right w:val="single" w:color="000000" w:sz="4" w:space="0"/>
            </w:tcBorders>
          </w:tcPr>
          <w:p w14:paraId="27DB0045">
            <w:pPr>
              <w:spacing w:line="360" w:lineRule="auto"/>
              <w:jc w:val="center"/>
              <w:rPr>
                <w:rFonts w:ascii="宋体" w:hAnsi="宋体" w:cs="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tcPr>
          <w:p w14:paraId="7CD52D98">
            <w:pPr>
              <w:spacing w:line="360" w:lineRule="auto"/>
              <w:jc w:val="center"/>
              <w:rPr>
                <w:rFonts w:ascii="宋体" w:hAnsi="宋体" w:cs="宋体"/>
                <w:color w:val="auto"/>
                <w:kern w:val="1"/>
                <w:szCs w:val="21"/>
                <w:highlight w:val="none"/>
              </w:rPr>
            </w:pPr>
          </w:p>
        </w:tc>
        <w:tc>
          <w:tcPr>
            <w:tcW w:w="478" w:type="dxa"/>
            <w:tcBorders>
              <w:top w:val="single" w:color="000000" w:sz="4" w:space="0"/>
              <w:left w:val="single" w:color="000000" w:sz="4" w:space="0"/>
              <w:bottom w:val="single" w:color="000000" w:sz="4" w:space="0"/>
              <w:right w:val="single" w:color="auto" w:sz="4" w:space="0"/>
            </w:tcBorders>
          </w:tcPr>
          <w:p w14:paraId="6ADDDA65">
            <w:pPr>
              <w:spacing w:line="360" w:lineRule="auto"/>
              <w:jc w:val="center"/>
              <w:rPr>
                <w:rFonts w:ascii="宋体" w:hAnsi="宋体" w:cs="宋体"/>
                <w:color w:val="auto"/>
                <w:kern w:val="1"/>
                <w:szCs w:val="21"/>
                <w:highlight w:val="none"/>
              </w:rPr>
            </w:pPr>
          </w:p>
        </w:tc>
        <w:tc>
          <w:tcPr>
            <w:tcW w:w="463" w:type="dxa"/>
            <w:tcBorders>
              <w:top w:val="single" w:color="000000" w:sz="4" w:space="0"/>
              <w:left w:val="single" w:color="auto" w:sz="4" w:space="0"/>
              <w:bottom w:val="single" w:color="000000" w:sz="4" w:space="0"/>
              <w:right w:val="single" w:color="000000" w:sz="4" w:space="0"/>
            </w:tcBorders>
          </w:tcPr>
          <w:p w14:paraId="4B27F1E4">
            <w:pPr>
              <w:spacing w:line="360" w:lineRule="auto"/>
              <w:jc w:val="center"/>
              <w:rPr>
                <w:rFonts w:ascii="宋体" w:hAnsi="宋体" w:cs="宋体"/>
                <w:color w:val="auto"/>
                <w:kern w:val="1"/>
                <w:szCs w:val="21"/>
                <w:highlight w:val="none"/>
              </w:rPr>
            </w:pPr>
          </w:p>
        </w:tc>
        <w:tc>
          <w:tcPr>
            <w:tcW w:w="512" w:type="dxa"/>
            <w:tcBorders>
              <w:top w:val="single" w:color="000000" w:sz="4" w:space="0"/>
              <w:left w:val="single" w:color="000000" w:sz="4" w:space="0"/>
              <w:bottom w:val="single" w:color="000000" w:sz="4" w:space="0"/>
              <w:right w:val="single" w:color="000000" w:sz="4" w:space="0"/>
            </w:tcBorders>
          </w:tcPr>
          <w:p w14:paraId="5189EF3E">
            <w:pP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6FC643C1">
            <w:pP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502E76E3">
            <w:pPr>
              <w:spacing w:line="360" w:lineRule="auto"/>
              <w:jc w:val="center"/>
              <w:rPr>
                <w:rFonts w:ascii="宋体" w:hAnsi="宋体" w:cs="宋体"/>
                <w:color w:val="auto"/>
                <w:kern w:val="1"/>
                <w:szCs w:val="21"/>
                <w:highlight w:val="none"/>
              </w:rPr>
            </w:pPr>
          </w:p>
        </w:tc>
      </w:tr>
      <w:tr w14:paraId="4A4026CB">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7F317AD7">
            <w:pP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156B489">
            <w:pP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0D7C275">
            <w:pP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5A61906">
            <w:pP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62EDDFF5">
            <w:pP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41DD845D">
            <w:pP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0689CBD8">
            <w:pP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154CB905">
            <w:pP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D676413">
            <w:pPr>
              <w:spacing w:line="360" w:lineRule="auto"/>
              <w:jc w:val="center"/>
              <w:rPr>
                <w:rFonts w:ascii="宋体" w:hAnsi="宋体" w:cs="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44FACDBA">
            <w:pPr>
              <w:spacing w:line="360" w:lineRule="auto"/>
              <w:jc w:val="center"/>
              <w:rPr>
                <w:rFonts w:ascii="宋体" w:hAnsi="宋体" w:cs="宋体"/>
                <w:color w:val="auto"/>
                <w:kern w:val="1"/>
                <w:szCs w:val="21"/>
                <w:highlight w:val="none"/>
              </w:rPr>
            </w:pPr>
          </w:p>
        </w:tc>
        <w:tc>
          <w:tcPr>
            <w:tcW w:w="757" w:type="dxa"/>
            <w:tcBorders>
              <w:top w:val="single" w:color="000000" w:sz="4" w:space="0"/>
              <w:left w:val="single" w:color="000000" w:sz="4" w:space="0"/>
              <w:bottom w:val="single" w:color="000000" w:sz="4" w:space="0"/>
              <w:right w:val="single" w:color="auto" w:sz="4" w:space="0"/>
            </w:tcBorders>
          </w:tcPr>
          <w:p w14:paraId="4A617DDC">
            <w:pP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auto" w:sz="4" w:space="0"/>
              <w:bottom w:val="single" w:color="000000" w:sz="4" w:space="0"/>
              <w:right w:val="single" w:color="000000" w:sz="4" w:space="0"/>
            </w:tcBorders>
          </w:tcPr>
          <w:p w14:paraId="0ABB35DC">
            <w:pPr>
              <w:spacing w:line="360" w:lineRule="auto"/>
              <w:jc w:val="center"/>
              <w:rPr>
                <w:rFonts w:ascii="宋体" w:hAnsi="宋体" w:cs="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tcPr>
          <w:p w14:paraId="46FCA1D3">
            <w:pPr>
              <w:spacing w:line="360" w:lineRule="auto"/>
              <w:jc w:val="center"/>
              <w:rPr>
                <w:rFonts w:ascii="宋体" w:hAnsi="宋体" w:cs="宋体"/>
                <w:color w:val="auto"/>
                <w:kern w:val="1"/>
                <w:szCs w:val="21"/>
                <w:highlight w:val="none"/>
              </w:rPr>
            </w:pPr>
          </w:p>
        </w:tc>
        <w:tc>
          <w:tcPr>
            <w:tcW w:w="478" w:type="dxa"/>
            <w:tcBorders>
              <w:top w:val="single" w:color="000000" w:sz="4" w:space="0"/>
              <w:left w:val="single" w:color="000000" w:sz="4" w:space="0"/>
              <w:bottom w:val="single" w:color="000000" w:sz="4" w:space="0"/>
              <w:right w:val="single" w:color="auto" w:sz="4" w:space="0"/>
            </w:tcBorders>
          </w:tcPr>
          <w:p w14:paraId="55627BDD">
            <w:pPr>
              <w:spacing w:line="360" w:lineRule="auto"/>
              <w:jc w:val="center"/>
              <w:rPr>
                <w:rFonts w:ascii="宋体" w:hAnsi="宋体" w:cs="宋体"/>
                <w:color w:val="auto"/>
                <w:kern w:val="1"/>
                <w:szCs w:val="21"/>
                <w:highlight w:val="none"/>
              </w:rPr>
            </w:pPr>
          </w:p>
        </w:tc>
        <w:tc>
          <w:tcPr>
            <w:tcW w:w="463" w:type="dxa"/>
            <w:tcBorders>
              <w:top w:val="single" w:color="000000" w:sz="4" w:space="0"/>
              <w:left w:val="single" w:color="auto" w:sz="4" w:space="0"/>
              <w:bottom w:val="single" w:color="000000" w:sz="4" w:space="0"/>
              <w:right w:val="single" w:color="000000" w:sz="4" w:space="0"/>
            </w:tcBorders>
          </w:tcPr>
          <w:p w14:paraId="50EC23CC">
            <w:pPr>
              <w:spacing w:line="360" w:lineRule="auto"/>
              <w:jc w:val="center"/>
              <w:rPr>
                <w:rFonts w:ascii="宋体" w:hAnsi="宋体" w:cs="宋体"/>
                <w:color w:val="auto"/>
                <w:kern w:val="1"/>
                <w:szCs w:val="21"/>
                <w:highlight w:val="none"/>
              </w:rPr>
            </w:pPr>
          </w:p>
        </w:tc>
        <w:tc>
          <w:tcPr>
            <w:tcW w:w="512" w:type="dxa"/>
            <w:tcBorders>
              <w:top w:val="single" w:color="000000" w:sz="4" w:space="0"/>
              <w:left w:val="single" w:color="000000" w:sz="4" w:space="0"/>
              <w:bottom w:val="single" w:color="000000" w:sz="4" w:space="0"/>
              <w:right w:val="single" w:color="000000" w:sz="4" w:space="0"/>
            </w:tcBorders>
          </w:tcPr>
          <w:p w14:paraId="49D0500F">
            <w:pP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1D891411">
            <w:pP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68B37929">
            <w:pPr>
              <w:spacing w:line="360" w:lineRule="auto"/>
              <w:jc w:val="center"/>
              <w:rPr>
                <w:rFonts w:ascii="宋体" w:hAnsi="宋体" w:cs="宋体"/>
                <w:color w:val="auto"/>
                <w:kern w:val="1"/>
                <w:szCs w:val="21"/>
                <w:highlight w:val="none"/>
              </w:rPr>
            </w:pPr>
          </w:p>
        </w:tc>
      </w:tr>
    </w:tbl>
    <w:p w14:paraId="30E94B6A">
      <w:pP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招标代理：</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招标人代表：</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交易中心见证人：</w:t>
      </w:r>
    </w:p>
    <w:p w14:paraId="06579E7C">
      <w:pPr>
        <w:spacing w:line="360" w:lineRule="auto"/>
        <w:rPr>
          <w:rFonts w:ascii="宋体" w:hAnsi="宋体" w:cs="宋体"/>
          <w:color w:val="auto"/>
          <w:kern w:val="1"/>
          <w:szCs w:val="21"/>
          <w:highlight w:val="none"/>
          <w:u w:val="single"/>
        </w:rPr>
        <w:sectPr>
          <w:headerReference r:id="rId7" w:type="default"/>
          <w:footerReference r:id="rId8" w:type="default"/>
          <w:pgSz w:w="16838" w:h="11906" w:orient="landscape"/>
          <w:pgMar w:top="1361" w:right="1304" w:bottom="1304" w:left="1304" w:header="851" w:footer="992" w:gutter="0"/>
          <w:cols w:space="720" w:num="1"/>
        </w:sectPr>
      </w:pPr>
      <w:r>
        <w:rPr>
          <w:rFonts w:hint="eastAsia" w:ascii="宋体" w:hAnsi="宋体" w:cs="宋体"/>
          <w:color w:val="auto"/>
          <w:kern w:val="1"/>
          <w:szCs w:val="21"/>
          <w:highlight w:val="none"/>
          <w:u w:val="single"/>
        </w:rPr>
        <w:t>本表仅供参考，具体以开标时广州公共资源交易中心系统的开标记录表为准。</w:t>
      </w:r>
    </w:p>
    <w:p w14:paraId="077B5D21">
      <w:pPr>
        <w:jc w:val="left"/>
        <w:rPr>
          <w:rFonts w:ascii="黑体" w:hAnsi="黑体" w:eastAsia="黑体"/>
          <w:color w:val="auto"/>
          <w:sz w:val="32"/>
          <w:szCs w:val="32"/>
          <w:highlight w:val="none"/>
        </w:rPr>
      </w:pPr>
      <w:bookmarkStart w:id="321" w:name="_Toc31642"/>
      <w:bookmarkEnd w:id="321"/>
      <w:bookmarkStart w:id="322" w:name="_Toc5620346"/>
      <w:r>
        <w:rPr>
          <w:rFonts w:hint="eastAsia" w:ascii="黑体" w:hAnsi="黑体" w:eastAsia="黑体"/>
          <w:color w:val="auto"/>
          <w:sz w:val="32"/>
          <w:szCs w:val="32"/>
          <w:highlight w:val="none"/>
        </w:rPr>
        <w:t>附件二：</w:t>
      </w:r>
    </w:p>
    <w:p w14:paraId="44147EFA">
      <w:pPr>
        <w:ind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评标委员会成员声明</w:t>
      </w:r>
    </w:p>
    <w:p w14:paraId="01243CC4">
      <w:pPr>
        <w:spacing w:line="360" w:lineRule="auto"/>
        <w:rPr>
          <w:rFonts w:ascii="宋体" w:hAnsi="宋体" w:cs="宋体"/>
          <w:color w:val="auto"/>
          <w:szCs w:val="21"/>
          <w:highlight w:val="none"/>
          <w:u w:val="single"/>
        </w:rPr>
      </w:pPr>
    </w:p>
    <w:p w14:paraId="34578203">
      <w:pPr>
        <w:spacing w:line="360" w:lineRule="auto"/>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本项目招标人</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D2392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本人就参与</w:t>
      </w:r>
      <w:r>
        <w:rPr>
          <w:rFonts w:ascii="宋体" w:hAnsi="宋体" w:cs="宋体"/>
          <w:color w:val="auto"/>
          <w:szCs w:val="21"/>
          <w:highlight w:val="none"/>
          <w:u w:val="single"/>
        </w:rPr>
        <w:t xml:space="preserve">               </w:t>
      </w:r>
      <w:r>
        <w:rPr>
          <w:rFonts w:hint="eastAsia" w:ascii="宋体" w:hAnsi="宋体" w:cs="宋体"/>
          <w:color w:val="auto"/>
          <w:szCs w:val="21"/>
          <w:highlight w:val="none"/>
        </w:rPr>
        <w:t>项目的评标工作，作出郑重声明：</w:t>
      </w:r>
    </w:p>
    <w:p w14:paraId="257727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7D276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925FF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17EAA8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BA123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F6034F2">
      <w:pPr>
        <w:spacing w:line="360" w:lineRule="auto"/>
        <w:ind w:left="3079" w:leftChars="266" w:hanging="2520" w:hangingChars="1200"/>
        <w:rPr>
          <w:rFonts w:ascii="宋体" w:hAnsi="宋体" w:cs="宋体"/>
          <w:color w:val="auto"/>
          <w:szCs w:val="21"/>
          <w:highlight w:val="none"/>
        </w:rPr>
      </w:pPr>
      <w:r>
        <w:rPr>
          <w:rFonts w:hint="eastAsia" w:ascii="宋体" w:hAnsi="宋体" w:cs="宋体"/>
          <w:color w:val="auto"/>
          <w:szCs w:val="21"/>
          <w:highlight w:val="none"/>
        </w:rPr>
        <w:t xml:space="preserve">如果本人违反上述声明内容，造成的后果由本人自行承担。                             </w:t>
      </w:r>
    </w:p>
    <w:p w14:paraId="0DD91600">
      <w:pPr>
        <w:spacing w:line="360" w:lineRule="auto"/>
        <w:ind w:left="3079" w:leftChars="266" w:hanging="2520" w:hangingChars="1200"/>
        <w:jc w:val="right"/>
        <w:rPr>
          <w:rFonts w:ascii="宋体" w:hAnsi="宋体" w:cs="宋体"/>
          <w:color w:val="auto"/>
          <w:szCs w:val="21"/>
          <w:highlight w:val="none"/>
        </w:rPr>
      </w:pPr>
    </w:p>
    <w:p w14:paraId="52153274">
      <w:pPr>
        <w:spacing w:line="360" w:lineRule="auto"/>
        <w:ind w:left="3079" w:leftChars="266" w:hanging="2520" w:hangingChars="1200"/>
        <w:jc w:val="right"/>
        <w:rPr>
          <w:rFonts w:ascii="宋体" w:hAnsi="宋体" w:cs="宋体"/>
          <w:color w:val="auto"/>
          <w:kern w:val="1"/>
          <w:sz w:val="28"/>
          <w:szCs w:val="28"/>
          <w:highlight w:val="none"/>
        </w:rPr>
      </w:pPr>
      <w:r>
        <w:rPr>
          <w:rFonts w:hint="eastAsia" w:ascii="宋体" w:hAnsi="宋体" w:cs="宋体"/>
          <w:color w:val="auto"/>
          <w:szCs w:val="21"/>
          <w:highlight w:val="none"/>
        </w:rPr>
        <w:t>声明人：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（签名） </w:t>
      </w:r>
      <w:r>
        <w:rPr>
          <w:rFonts w:hint="eastAsia" w:ascii="宋体" w:hAnsi="宋体" w:cs="宋体"/>
          <w:color w:val="auto"/>
          <w:sz w:val="28"/>
          <w:szCs w:val="28"/>
          <w:highlight w:val="none"/>
        </w:rPr>
        <w:t xml:space="preserve">  </w:t>
      </w:r>
    </w:p>
    <w:p w14:paraId="4FEFC864">
      <w:pPr>
        <w:rPr>
          <w:rFonts w:ascii="宋体" w:hAnsi="宋体" w:cs="宋体"/>
          <w:color w:val="auto"/>
          <w:kern w:val="1"/>
          <w:highlight w:val="none"/>
        </w:rPr>
      </w:pPr>
      <w:r>
        <w:rPr>
          <w:rFonts w:hint="eastAsia" w:ascii="宋体" w:hAnsi="宋体" w:cs="宋体"/>
          <w:color w:val="auto"/>
          <w:kern w:val="1"/>
          <w:highlight w:val="none"/>
        </w:rPr>
        <w:br w:type="page"/>
      </w:r>
    </w:p>
    <w:bookmarkEnd w:id="322"/>
    <w:p w14:paraId="68A1F505">
      <w:pPr>
        <w:pStyle w:val="3"/>
        <w:spacing w:line="360" w:lineRule="auto"/>
        <w:jc w:val="center"/>
        <w:rPr>
          <w:rFonts w:ascii="宋体" w:hAnsi="宋体" w:cs="宋体"/>
          <w:color w:val="auto"/>
          <w:kern w:val="1"/>
          <w:highlight w:val="none"/>
        </w:rPr>
      </w:pPr>
      <w:bookmarkStart w:id="323" w:name="_Toc14047"/>
      <w:r>
        <w:rPr>
          <w:rFonts w:hint="eastAsia" w:ascii="宋体" w:hAnsi="宋体" w:cs="宋体"/>
          <w:color w:val="auto"/>
          <w:kern w:val="1"/>
          <w:highlight w:val="none"/>
        </w:rPr>
        <w:t>第三章</w:t>
      </w:r>
      <w:r>
        <w:rPr>
          <w:rFonts w:ascii="宋体" w:hAnsi="宋体" w:cs="宋体"/>
          <w:color w:val="auto"/>
          <w:kern w:val="1"/>
          <w:highlight w:val="none"/>
        </w:rPr>
        <w:t xml:space="preserve"> </w:t>
      </w:r>
      <w:r>
        <w:rPr>
          <w:rFonts w:hint="eastAsia" w:ascii="宋体" w:hAnsi="宋体" w:cs="宋体"/>
          <w:color w:val="auto"/>
          <w:kern w:val="1"/>
          <w:highlight w:val="none"/>
        </w:rPr>
        <w:t>评标办法（综合评估法）</w:t>
      </w:r>
      <w:bookmarkEnd w:id="323"/>
    </w:p>
    <w:p w14:paraId="1BF569C5">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4"/>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6AA3ABAB">
        <w:tblPrEx>
          <w:tblCellMar>
            <w:top w:w="0" w:type="dxa"/>
            <w:left w:w="108" w:type="dxa"/>
            <w:bottom w:w="0" w:type="dxa"/>
            <w:right w:w="108" w:type="dxa"/>
          </w:tblCellMar>
        </w:tblPrEx>
        <w:trPr>
          <w:trHeight w:val="314" w:hRule="atLeast"/>
          <w:tblHeader/>
        </w:trPr>
        <w:tc>
          <w:tcPr>
            <w:tcW w:w="2625" w:type="dxa"/>
            <w:gridSpan w:val="3"/>
            <w:tcBorders>
              <w:top w:val="single" w:color="000000" w:sz="4" w:space="0"/>
              <w:left w:val="single" w:color="000000" w:sz="4" w:space="0"/>
              <w:bottom w:val="single" w:color="000000" w:sz="6" w:space="0"/>
              <w:right w:val="single" w:color="000000" w:sz="6" w:space="0"/>
            </w:tcBorders>
            <w:vAlign w:val="center"/>
          </w:tcPr>
          <w:p w14:paraId="5CB154A3">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4" w:space="0"/>
              <w:left w:val="single" w:color="000000" w:sz="6" w:space="0"/>
              <w:bottom w:val="single" w:color="000000" w:sz="6" w:space="0"/>
              <w:right w:val="single" w:color="000000" w:sz="6" w:space="0"/>
            </w:tcBorders>
            <w:vAlign w:val="center"/>
          </w:tcPr>
          <w:p w14:paraId="7DF10E31">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055A5D3C">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32C768D3">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51DC233D">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341A2FFD">
            <w:pPr>
              <w:spacing w:line="300" w:lineRule="exact"/>
              <w:jc w:val="center"/>
              <w:rPr>
                <w:rFonts w:ascii="宋体" w:hAnsi="宋体" w:cs="宋体"/>
                <w:color w:val="auto"/>
                <w:kern w:val="1"/>
                <w:szCs w:val="21"/>
                <w:highlight w:val="none"/>
              </w:rPr>
            </w:pPr>
            <w:r>
              <w:rPr>
                <w:rFonts w:hint="eastAsia" w:ascii="宋体" w:hAnsi="宋体" w:cs="宋体"/>
                <w:b/>
                <w:color w:val="auto"/>
                <w:szCs w:val="21"/>
                <w:highlight w:val="none"/>
              </w:rPr>
              <w:t>评标方法</w:t>
            </w:r>
          </w:p>
        </w:tc>
        <w:tc>
          <w:tcPr>
            <w:tcW w:w="1373" w:type="dxa"/>
            <w:tcBorders>
              <w:top w:val="single" w:color="000000" w:sz="6" w:space="0"/>
              <w:left w:val="single" w:color="000000" w:sz="6" w:space="0"/>
              <w:bottom w:val="single" w:color="000000" w:sz="6" w:space="0"/>
              <w:right w:val="single" w:color="auto" w:sz="4" w:space="0"/>
            </w:tcBorders>
            <w:vAlign w:val="center"/>
          </w:tcPr>
          <w:p w14:paraId="5DFE1288">
            <w:pPr>
              <w:jc w:val="center"/>
              <w:rPr>
                <w:color w:val="auto"/>
                <w:highlight w:val="none"/>
              </w:rPr>
            </w:pPr>
            <w:r>
              <w:rPr>
                <w:rFonts w:hint="eastAsia" w:ascii="宋体" w:hAnsi="宋体" w:cs="宋体"/>
                <w:b/>
                <w:color w:val="auto"/>
                <w:szCs w:val="21"/>
                <w:highlight w:val="none"/>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7ED522E9">
            <w:pPr>
              <w:rPr>
                <w:b/>
                <w:color w:val="auto"/>
                <w:highlight w:val="none"/>
              </w:rPr>
            </w:pPr>
            <w:r>
              <w:rPr>
                <w:rFonts w:hint="eastAsia"/>
                <w:b/>
                <w:color w:val="auto"/>
                <w:highlight w:val="none"/>
              </w:rPr>
              <w:t>本次评标采用综合评估法。评标委员会对满足招标文件实质性要求的投标文件，按照本章第</w:t>
            </w:r>
            <w:r>
              <w:rPr>
                <w:b/>
                <w:color w:val="auto"/>
                <w:highlight w:val="none"/>
              </w:rPr>
              <w:t>2.2</w:t>
            </w:r>
            <w:r>
              <w:rPr>
                <w:rFonts w:hint="eastAsia"/>
                <w:b/>
                <w:color w:val="auto"/>
                <w:highlight w:val="none"/>
              </w:rPr>
              <w:t>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3DC4B57D">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5E2AD604">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2.1.1</w:t>
            </w:r>
          </w:p>
        </w:tc>
        <w:tc>
          <w:tcPr>
            <w:tcW w:w="1785" w:type="dxa"/>
            <w:gridSpan w:val="2"/>
            <w:vMerge w:val="restart"/>
            <w:tcBorders>
              <w:top w:val="single" w:color="auto" w:sz="4" w:space="0"/>
              <w:left w:val="single" w:color="000000" w:sz="6" w:space="0"/>
              <w:right w:val="single" w:color="000000" w:sz="6" w:space="0"/>
            </w:tcBorders>
            <w:vAlign w:val="center"/>
          </w:tcPr>
          <w:p w14:paraId="6D868B52">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形式评审标准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01C1FA64">
            <w:pPr>
              <w:rPr>
                <w:color w:val="auto"/>
                <w:highlight w:val="none"/>
              </w:rPr>
            </w:pPr>
            <w:r>
              <w:rPr>
                <w:rFonts w:hint="eastAsia"/>
                <w:color w:val="auto"/>
                <w:highlight w:val="none"/>
              </w:rPr>
              <w:t>投标人名称、项目负责人、安全员</w:t>
            </w:r>
          </w:p>
        </w:tc>
        <w:tc>
          <w:tcPr>
            <w:tcW w:w="5242" w:type="dxa"/>
            <w:tcBorders>
              <w:top w:val="single" w:color="000000" w:sz="6" w:space="0"/>
              <w:left w:val="single" w:color="auto" w:sz="4" w:space="0"/>
              <w:bottom w:val="single" w:color="000000" w:sz="6" w:space="0"/>
              <w:right w:val="single" w:color="000000" w:sz="4" w:space="0"/>
            </w:tcBorders>
            <w:vAlign w:val="center"/>
          </w:tcPr>
          <w:p w14:paraId="00B1E1A7">
            <w:pPr>
              <w:rPr>
                <w:color w:val="auto"/>
                <w:highlight w:val="none"/>
              </w:rPr>
            </w:pPr>
            <w:r>
              <w:rPr>
                <w:rFonts w:hint="eastAsia"/>
                <w:color w:val="auto"/>
                <w:highlight w:val="none"/>
              </w:rPr>
              <w:t>投标人名称与营业执照、资质证书一致，投标人名称、项目负责人、安全员与投标登记时一致</w:t>
            </w:r>
          </w:p>
        </w:tc>
      </w:tr>
      <w:tr w14:paraId="5BF1CEB9">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24A7BD30">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000000" w:sz="6" w:space="0"/>
              <w:left w:val="single" w:color="000000" w:sz="6" w:space="0"/>
              <w:right w:val="single" w:color="000000" w:sz="6" w:space="0"/>
            </w:tcBorders>
            <w:vAlign w:val="center"/>
          </w:tcPr>
          <w:p w14:paraId="7454BDC4">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5B5BD16">
            <w:pPr>
              <w:rPr>
                <w:color w:val="auto"/>
                <w:highlight w:val="none"/>
              </w:rPr>
            </w:pPr>
            <w:r>
              <w:rPr>
                <w:rFonts w:hint="eastAsia"/>
                <w:color w:val="auto"/>
                <w:highlight w:val="none"/>
              </w:rPr>
              <w:t>法定代表人证明书、法定代表人授权委托书</w:t>
            </w:r>
          </w:p>
        </w:tc>
        <w:tc>
          <w:tcPr>
            <w:tcW w:w="5242" w:type="dxa"/>
            <w:tcBorders>
              <w:top w:val="single" w:color="000000" w:sz="6" w:space="0"/>
              <w:left w:val="single" w:color="auto" w:sz="4" w:space="0"/>
              <w:bottom w:val="single" w:color="000000" w:sz="6" w:space="0"/>
              <w:right w:val="single" w:color="000000" w:sz="4" w:space="0"/>
            </w:tcBorders>
            <w:vAlign w:val="center"/>
          </w:tcPr>
          <w:p w14:paraId="1B5FE608">
            <w:pPr>
              <w:rPr>
                <w:color w:val="auto"/>
                <w:highlight w:val="none"/>
              </w:rPr>
            </w:pPr>
            <w:r>
              <w:rPr>
                <w:rFonts w:hint="eastAsia"/>
                <w:color w:val="auto"/>
                <w:highlight w:val="none"/>
              </w:rPr>
              <w:t>投标文件具有有效的法定代表人证明书，由委托代理人签署或盖章的投标文件中有法定代表人授权委托书</w:t>
            </w:r>
          </w:p>
        </w:tc>
      </w:tr>
      <w:tr w14:paraId="7E9218F9">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722694D1">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67F61ACC">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BCF23D0">
            <w:pPr>
              <w:rPr>
                <w:color w:val="auto"/>
                <w:highlight w:val="none"/>
              </w:rPr>
            </w:pPr>
            <w:r>
              <w:rPr>
                <w:rFonts w:hint="eastAsia"/>
                <w:color w:val="auto"/>
                <w:highlight w:val="none"/>
              </w:rPr>
              <w:t>《勘察设计投标书》、《技术投标书》、《投标函》</w:t>
            </w:r>
          </w:p>
        </w:tc>
        <w:tc>
          <w:tcPr>
            <w:tcW w:w="5242" w:type="dxa"/>
            <w:tcBorders>
              <w:top w:val="single" w:color="000000" w:sz="6" w:space="0"/>
              <w:left w:val="single" w:color="auto" w:sz="4" w:space="0"/>
              <w:bottom w:val="single" w:color="000000" w:sz="6" w:space="0"/>
              <w:right w:val="single" w:color="000000" w:sz="4" w:space="0"/>
            </w:tcBorders>
            <w:vAlign w:val="center"/>
          </w:tcPr>
          <w:p w14:paraId="4C29F904">
            <w:pPr>
              <w:rPr>
                <w:color w:val="auto"/>
                <w:highlight w:val="none"/>
              </w:rPr>
            </w:pPr>
            <w:r>
              <w:rPr>
                <w:rFonts w:hint="eastAsia"/>
                <w:color w:val="auto"/>
                <w:highlight w:val="none"/>
              </w:rPr>
              <w:t>按招标文件规定的格式填写，没有出现内容不全，或者关键字迹模糊无法辨认的；有法定代表人或其委托代理人签字或盖章并加盖单位章</w:t>
            </w:r>
          </w:p>
        </w:tc>
      </w:tr>
      <w:tr w14:paraId="7D6CF9DF">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2A229088">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3693324E">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C01724F">
            <w:pPr>
              <w:rPr>
                <w:color w:val="auto"/>
                <w:highlight w:val="none"/>
              </w:rPr>
            </w:pPr>
            <w:r>
              <w:rPr>
                <w:rFonts w:hint="eastAsia"/>
                <w:color w:val="auto"/>
                <w:highlight w:val="none"/>
              </w:rPr>
              <w:t>投标文件格式</w:t>
            </w:r>
          </w:p>
        </w:tc>
        <w:tc>
          <w:tcPr>
            <w:tcW w:w="5242" w:type="dxa"/>
            <w:tcBorders>
              <w:top w:val="single" w:color="000000" w:sz="6" w:space="0"/>
              <w:left w:val="single" w:color="auto" w:sz="4" w:space="0"/>
              <w:bottom w:val="single" w:color="000000" w:sz="6" w:space="0"/>
              <w:right w:val="single" w:color="000000" w:sz="4" w:space="0"/>
            </w:tcBorders>
            <w:vAlign w:val="center"/>
          </w:tcPr>
          <w:p w14:paraId="3FA22070">
            <w:pPr>
              <w:rPr>
                <w:color w:val="auto"/>
                <w:highlight w:val="none"/>
              </w:rPr>
            </w:pPr>
            <w:r>
              <w:rPr>
                <w:rFonts w:hint="eastAsia"/>
                <w:color w:val="auto"/>
                <w:highlight w:val="none"/>
              </w:rPr>
              <w:t>工程总承包实施方案技术投标文件按规定的格式（第七章“工程总承包实施方案技术投标文件格式”</w:t>
            </w:r>
            <w:r>
              <w:rPr>
                <w:color w:val="auto"/>
                <w:highlight w:val="none"/>
              </w:rPr>
              <w:t xml:space="preserve"> </w:t>
            </w:r>
            <w:r>
              <w:rPr>
                <w:rFonts w:hint="eastAsia"/>
                <w:color w:val="auto"/>
                <w:highlight w:val="none"/>
              </w:rPr>
              <w:t>格式</w:t>
            </w:r>
            <w:r>
              <w:rPr>
                <w:color w:val="auto"/>
                <w:highlight w:val="none"/>
              </w:rPr>
              <w:t>1</w:t>
            </w:r>
            <w:r>
              <w:rPr>
                <w:rFonts w:hint="eastAsia"/>
                <w:color w:val="auto"/>
                <w:highlight w:val="none"/>
              </w:rPr>
              <w:t>、格式</w:t>
            </w:r>
            <w:r>
              <w:rPr>
                <w:color w:val="auto"/>
                <w:highlight w:val="none"/>
              </w:rPr>
              <w:t>2</w:t>
            </w:r>
            <w:r>
              <w:rPr>
                <w:rFonts w:hint="eastAsia"/>
                <w:color w:val="auto"/>
                <w:highlight w:val="none"/>
              </w:rPr>
              <w:t>、格式</w:t>
            </w:r>
            <w:r>
              <w:rPr>
                <w:color w:val="auto"/>
                <w:highlight w:val="none"/>
              </w:rPr>
              <w:t>3</w:t>
            </w:r>
            <w:r>
              <w:rPr>
                <w:rFonts w:hint="eastAsia"/>
                <w:color w:val="auto"/>
                <w:highlight w:val="none"/>
              </w:rPr>
              <w:t>、格式</w:t>
            </w:r>
            <w:r>
              <w:rPr>
                <w:color w:val="auto"/>
                <w:highlight w:val="none"/>
              </w:rPr>
              <w:t>4</w:t>
            </w:r>
            <w:r>
              <w:rPr>
                <w:rFonts w:hint="eastAsia"/>
                <w:color w:val="auto"/>
                <w:highlight w:val="none"/>
              </w:rPr>
              <w:t>、格式</w:t>
            </w:r>
            <w:r>
              <w:rPr>
                <w:color w:val="auto"/>
                <w:highlight w:val="none"/>
              </w:rPr>
              <w:t>12</w:t>
            </w:r>
            <w:r>
              <w:rPr>
                <w:rFonts w:hint="eastAsia"/>
                <w:color w:val="auto"/>
                <w:highlight w:val="none"/>
              </w:rPr>
              <w:t>）要求填写，按规定盖章签署，没有主要内容不全，或关键字迹模糊、无法辨认的情形；</w:t>
            </w:r>
          </w:p>
          <w:p w14:paraId="0CEF2F7A">
            <w:pPr>
              <w:rPr>
                <w:color w:val="auto"/>
                <w:highlight w:val="none"/>
              </w:rPr>
            </w:pPr>
            <w:r>
              <w:rPr>
                <w:rFonts w:hint="eastAsia"/>
                <w:color w:val="auto"/>
                <w:highlight w:val="none"/>
              </w:rPr>
              <w:t>工程总承包实施方案经济投标文件按规定的格式（第七章“工程总承包实施方案经济投标文件格式”</w:t>
            </w:r>
            <w:r>
              <w:rPr>
                <w:color w:val="auto"/>
                <w:highlight w:val="none"/>
              </w:rPr>
              <w:t xml:space="preserve"> </w:t>
            </w:r>
            <w:r>
              <w:rPr>
                <w:rFonts w:hint="eastAsia"/>
                <w:color w:val="auto"/>
                <w:highlight w:val="none"/>
              </w:rPr>
              <w:t>格式</w:t>
            </w:r>
            <w:r>
              <w:rPr>
                <w:color w:val="auto"/>
                <w:highlight w:val="none"/>
              </w:rPr>
              <w:t>1</w:t>
            </w:r>
            <w:r>
              <w:rPr>
                <w:rFonts w:hint="eastAsia"/>
                <w:color w:val="auto"/>
                <w:highlight w:val="none"/>
              </w:rPr>
              <w:t>、格式</w:t>
            </w:r>
            <w:r>
              <w:rPr>
                <w:color w:val="auto"/>
                <w:highlight w:val="none"/>
              </w:rPr>
              <w:t>2</w:t>
            </w:r>
            <w:r>
              <w:rPr>
                <w:rFonts w:hint="eastAsia"/>
                <w:color w:val="auto"/>
                <w:highlight w:val="none"/>
              </w:rPr>
              <w:t>、格式</w:t>
            </w:r>
            <w:r>
              <w:rPr>
                <w:color w:val="auto"/>
                <w:highlight w:val="none"/>
              </w:rPr>
              <w:t>3</w:t>
            </w:r>
            <w:r>
              <w:rPr>
                <w:rFonts w:hint="eastAsia"/>
                <w:color w:val="auto"/>
                <w:highlight w:val="none"/>
              </w:rPr>
              <w:t>、格式</w:t>
            </w:r>
            <w:r>
              <w:rPr>
                <w:color w:val="auto"/>
                <w:highlight w:val="none"/>
              </w:rPr>
              <w:t>4</w:t>
            </w:r>
            <w:r>
              <w:rPr>
                <w:rFonts w:hint="eastAsia"/>
                <w:color w:val="auto"/>
                <w:highlight w:val="none"/>
              </w:rPr>
              <w:t>）要求填写，按规定盖章签署，没有主要内容不全，或关键字迹模糊、无法辨认的情形；</w:t>
            </w:r>
          </w:p>
        </w:tc>
      </w:tr>
      <w:tr w14:paraId="28B4BB16">
        <w:tblPrEx>
          <w:tblCellMar>
            <w:top w:w="0" w:type="dxa"/>
            <w:left w:w="108" w:type="dxa"/>
            <w:bottom w:w="0" w:type="dxa"/>
            <w:right w:w="108" w:type="dxa"/>
          </w:tblCellMar>
        </w:tblPrEx>
        <w:trPr>
          <w:trHeight w:val="544" w:hRule="atLeast"/>
        </w:trPr>
        <w:tc>
          <w:tcPr>
            <w:tcW w:w="840" w:type="dxa"/>
            <w:vMerge w:val="continue"/>
            <w:tcBorders>
              <w:left w:val="single" w:color="000000" w:sz="4" w:space="0"/>
              <w:right w:val="single" w:color="000000" w:sz="6" w:space="0"/>
            </w:tcBorders>
            <w:vAlign w:val="center"/>
          </w:tcPr>
          <w:p w14:paraId="32F09C13">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10B28263">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5363B9DC">
            <w:pPr>
              <w:rPr>
                <w:color w:val="auto"/>
                <w:highlight w:val="none"/>
              </w:rPr>
            </w:pPr>
            <w:r>
              <w:rPr>
                <w:rFonts w:hint="eastAsia"/>
                <w:color w:val="auto"/>
                <w:highlight w:val="none"/>
              </w:rPr>
              <w:t>报价唯一</w:t>
            </w:r>
          </w:p>
        </w:tc>
        <w:tc>
          <w:tcPr>
            <w:tcW w:w="5242" w:type="dxa"/>
            <w:tcBorders>
              <w:top w:val="single" w:color="000000" w:sz="6" w:space="0"/>
              <w:left w:val="single" w:color="auto" w:sz="4" w:space="0"/>
              <w:bottom w:val="single" w:color="000000" w:sz="6" w:space="0"/>
              <w:right w:val="single" w:color="000000" w:sz="4" w:space="0"/>
            </w:tcBorders>
            <w:vAlign w:val="center"/>
          </w:tcPr>
          <w:p w14:paraId="0572D681">
            <w:pPr>
              <w:rPr>
                <w:color w:val="auto"/>
                <w:highlight w:val="none"/>
              </w:rPr>
            </w:pPr>
            <w:r>
              <w:rPr>
                <w:rFonts w:hint="eastAsia"/>
                <w:color w:val="auto"/>
                <w:highlight w:val="none"/>
              </w:rPr>
              <w:t>只能有一个有效投标总报价</w:t>
            </w:r>
          </w:p>
        </w:tc>
      </w:tr>
      <w:tr w14:paraId="2786F219">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1979C14A">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3E719232">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C771794">
            <w:pPr>
              <w:rPr>
                <w:color w:val="auto"/>
                <w:highlight w:val="none"/>
              </w:rPr>
            </w:pPr>
            <w:r>
              <w:rPr>
                <w:rFonts w:hint="eastAsia"/>
                <w:color w:val="auto"/>
                <w:highlight w:val="none"/>
              </w:rPr>
              <w:t>投标保证金递交情况</w:t>
            </w:r>
          </w:p>
        </w:tc>
        <w:tc>
          <w:tcPr>
            <w:tcW w:w="5242" w:type="dxa"/>
            <w:tcBorders>
              <w:top w:val="single" w:color="000000" w:sz="6" w:space="0"/>
              <w:left w:val="single" w:color="auto" w:sz="4" w:space="0"/>
              <w:bottom w:val="single" w:color="000000" w:sz="6" w:space="0"/>
              <w:right w:val="single" w:color="000000" w:sz="4" w:space="0"/>
            </w:tcBorders>
            <w:vAlign w:val="center"/>
          </w:tcPr>
          <w:p w14:paraId="5496930A">
            <w:pPr>
              <w:rPr>
                <w:color w:val="auto"/>
                <w:highlight w:val="none"/>
              </w:rPr>
            </w:pPr>
            <w:r>
              <w:rPr>
                <w:rFonts w:hint="eastAsia"/>
                <w:color w:val="auto"/>
                <w:highlight w:val="none"/>
              </w:rPr>
              <w:t>本项目不适用</w:t>
            </w:r>
          </w:p>
        </w:tc>
      </w:tr>
      <w:tr w14:paraId="48A8FAB5">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6A31D27A">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4AC7044F">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0F1BBC0">
            <w:pPr>
              <w:rPr>
                <w:color w:val="auto"/>
                <w:highlight w:val="none"/>
              </w:rPr>
            </w:pPr>
            <w:r>
              <w:rPr>
                <w:rFonts w:hint="eastAsia"/>
                <w:color w:val="auto"/>
                <w:highlight w:val="none"/>
              </w:rPr>
              <w:t>参与编制投标文件人员名单</w:t>
            </w:r>
          </w:p>
        </w:tc>
        <w:tc>
          <w:tcPr>
            <w:tcW w:w="5242" w:type="dxa"/>
            <w:tcBorders>
              <w:top w:val="single" w:color="000000" w:sz="6" w:space="0"/>
              <w:left w:val="single" w:color="auto" w:sz="4" w:space="0"/>
              <w:bottom w:val="single" w:color="000000" w:sz="6" w:space="0"/>
              <w:right w:val="single" w:color="000000" w:sz="4" w:space="0"/>
            </w:tcBorders>
            <w:vAlign w:val="center"/>
          </w:tcPr>
          <w:p w14:paraId="3FD0751C">
            <w:pPr>
              <w:rPr>
                <w:color w:val="auto"/>
                <w:highlight w:val="none"/>
              </w:rPr>
            </w:pPr>
            <w:r>
              <w:rPr>
                <w:rFonts w:hint="eastAsia"/>
                <w:color w:val="auto"/>
                <w:highlight w:val="none"/>
              </w:rPr>
              <w:t>有《参与编制工程总承包实施方案技术投标文件人员名单》和《参与编制工程总承包实施方案经济投标文件人员名单》</w:t>
            </w:r>
          </w:p>
        </w:tc>
      </w:tr>
      <w:tr w14:paraId="3B739CC7">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1CAE48ED">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18885E63">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0BA21BC2">
            <w:pPr>
              <w:rPr>
                <w:color w:val="auto"/>
                <w:highlight w:val="none"/>
              </w:rPr>
            </w:pPr>
            <w:r>
              <w:rPr>
                <w:rFonts w:hint="eastAsia"/>
                <w:color w:val="auto"/>
                <w:highlight w:val="none"/>
              </w:rPr>
              <w:t>投标文件电脑机器特征码</w:t>
            </w:r>
          </w:p>
        </w:tc>
        <w:tc>
          <w:tcPr>
            <w:tcW w:w="5242" w:type="dxa"/>
            <w:tcBorders>
              <w:top w:val="single" w:color="000000" w:sz="6" w:space="0"/>
              <w:left w:val="single" w:color="auto" w:sz="4" w:space="0"/>
              <w:bottom w:val="single" w:color="000000" w:sz="6" w:space="0"/>
              <w:right w:val="single" w:color="000000" w:sz="4" w:space="0"/>
            </w:tcBorders>
            <w:vAlign w:val="center"/>
          </w:tcPr>
          <w:p w14:paraId="5AD23710">
            <w:pPr>
              <w:rPr>
                <w:color w:val="auto"/>
                <w:highlight w:val="none"/>
              </w:rPr>
            </w:pPr>
            <w:r>
              <w:rPr>
                <w:rFonts w:hint="eastAsia"/>
                <w:color w:val="auto"/>
                <w:highlight w:val="none"/>
              </w:rPr>
              <w:t>投标人与</w:t>
            </w:r>
            <w:r>
              <w:rPr>
                <w:rFonts w:hint="eastAsia"/>
                <w:color w:val="auto"/>
                <w:highlight w:val="none"/>
                <w:u w:val="single"/>
              </w:rPr>
              <w:t>本项目</w:t>
            </w:r>
            <w:r>
              <w:rPr>
                <w:rFonts w:hint="eastAsia"/>
                <w:color w:val="auto"/>
                <w:highlight w:val="none"/>
              </w:rPr>
              <w:t>其他投标人加密打包投标文件电脑机器特征码一致的</w:t>
            </w:r>
            <w:r>
              <w:rPr>
                <w:color w:val="auto"/>
                <w:highlight w:val="none"/>
              </w:rPr>
              <w:t>(</w:t>
            </w:r>
            <w:r>
              <w:rPr>
                <w:rFonts w:hint="eastAsia"/>
                <w:color w:val="auto"/>
                <w:highlight w:val="none"/>
              </w:rPr>
              <w:t>以广州公共资源交易中心交易平台评标系统的检索信息为准</w:t>
            </w:r>
            <w:r>
              <w:rPr>
                <w:color w:val="auto"/>
                <w:highlight w:val="none"/>
              </w:rPr>
              <w:t>)</w:t>
            </w:r>
            <w:r>
              <w:rPr>
                <w:rFonts w:hint="eastAsia"/>
                <w:color w:val="auto"/>
                <w:highlight w:val="none"/>
              </w:rPr>
              <w:t>将被否决</w:t>
            </w:r>
          </w:p>
        </w:tc>
      </w:tr>
      <w:tr w14:paraId="0E14A148">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1B2C99BC">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bottom w:val="single" w:color="000000" w:sz="6" w:space="0"/>
              <w:right w:val="single" w:color="000000" w:sz="6" w:space="0"/>
            </w:tcBorders>
            <w:vAlign w:val="center"/>
          </w:tcPr>
          <w:p w14:paraId="1F4B5946">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46D8368">
            <w:pPr>
              <w:rPr>
                <w:color w:val="auto"/>
                <w:highlight w:val="none"/>
              </w:rPr>
            </w:pPr>
            <w:r>
              <w:rPr>
                <w:rFonts w:hint="eastAsia"/>
                <w:color w:val="auto"/>
                <w:highlight w:val="none"/>
              </w:rPr>
              <w:t>串通投标情形</w:t>
            </w:r>
          </w:p>
        </w:tc>
        <w:tc>
          <w:tcPr>
            <w:tcW w:w="5242" w:type="dxa"/>
            <w:tcBorders>
              <w:top w:val="single" w:color="000000" w:sz="6" w:space="0"/>
              <w:left w:val="single" w:color="auto" w:sz="4" w:space="0"/>
              <w:bottom w:val="single" w:color="000000" w:sz="6" w:space="0"/>
              <w:right w:val="single" w:color="000000" w:sz="4" w:space="0"/>
            </w:tcBorders>
            <w:vAlign w:val="center"/>
          </w:tcPr>
          <w:p w14:paraId="346575E9">
            <w:pPr>
              <w:rPr>
                <w:color w:val="auto"/>
                <w:highlight w:val="none"/>
              </w:rPr>
            </w:pPr>
            <w:r>
              <w:rPr>
                <w:rFonts w:hint="eastAsia"/>
                <w:color w:val="auto"/>
                <w:highlight w:val="none"/>
              </w:rPr>
              <w:t>不存在串通投标情形（串通投标情形以《中华人民共和国招标投标法实施条例》的规定为准）；</w:t>
            </w:r>
          </w:p>
        </w:tc>
      </w:tr>
      <w:tr w14:paraId="413F6E96">
        <w:tblPrEx>
          <w:tblCellMar>
            <w:top w:w="0" w:type="dxa"/>
            <w:left w:w="108" w:type="dxa"/>
            <w:bottom w:w="0" w:type="dxa"/>
            <w:right w:w="108" w:type="dxa"/>
          </w:tblCellMar>
        </w:tblPrEx>
        <w:trPr>
          <w:trHeight w:val="695" w:hRule="atLeast"/>
        </w:trPr>
        <w:tc>
          <w:tcPr>
            <w:tcW w:w="840" w:type="dxa"/>
            <w:tcBorders>
              <w:top w:val="single" w:color="000000" w:sz="6" w:space="0"/>
              <w:left w:val="single" w:color="000000" w:sz="4" w:space="0"/>
              <w:right w:val="single" w:color="000000" w:sz="6" w:space="0"/>
            </w:tcBorders>
            <w:vAlign w:val="center"/>
          </w:tcPr>
          <w:p w14:paraId="2CA875EB">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2.1.2</w:t>
            </w:r>
          </w:p>
        </w:tc>
        <w:tc>
          <w:tcPr>
            <w:tcW w:w="1785" w:type="dxa"/>
            <w:gridSpan w:val="2"/>
            <w:tcBorders>
              <w:top w:val="single" w:color="000000" w:sz="6" w:space="0"/>
              <w:left w:val="single" w:color="000000" w:sz="6" w:space="0"/>
              <w:right w:val="single" w:color="000000" w:sz="6" w:space="0"/>
            </w:tcBorders>
            <w:vAlign w:val="center"/>
          </w:tcPr>
          <w:p w14:paraId="51C77E36">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1373" w:type="dxa"/>
            <w:tcBorders>
              <w:top w:val="single" w:color="000000" w:sz="6" w:space="0"/>
              <w:left w:val="single" w:color="000000" w:sz="6" w:space="0"/>
              <w:right w:val="single" w:color="auto" w:sz="4" w:space="0"/>
            </w:tcBorders>
            <w:vAlign w:val="center"/>
          </w:tcPr>
          <w:p w14:paraId="0B73D115">
            <w:pPr>
              <w:rPr>
                <w:color w:val="auto"/>
                <w:highlight w:val="none"/>
              </w:rPr>
            </w:pPr>
            <w:r>
              <w:rPr>
                <w:rFonts w:hint="eastAsia"/>
                <w:color w:val="auto"/>
                <w:highlight w:val="none"/>
              </w:rPr>
              <w:t>详见附表</w:t>
            </w:r>
            <w:r>
              <w:rPr>
                <w:color w:val="auto"/>
                <w:highlight w:val="none"/>
              </w:rPr>
              <w:t>1</w:t>
            </w:r>
          </w:p>
        </w:tc>
        <w:tc>
          <w:tcPr>
            <w:tcW w:w="5242" w:type="dxa"/>
            <w:tcBorders>
              <w:top w:val="single" w:color="000000" w:sz="6" w:space="0"/>
              <w:left w:val="single" w:color="auto" w:sz="4" w:space="0"/>
              <w:right w:val="single" w:color="000000" w:sz="4" w:space="0"/>
            </w:tcBorders>
            <w:vAlign w:val="center"/>
          </w:tcPr>
          <w:p w14:paraId="55124308">
            <w:pPr>
              <w:rPr>
                <w:color w:val="auto"/>
                <w:highlight w:val="none"/>
              </w:rPr>
            </w:pPr>
            <w:r>
              <w:rPr>
                <w:rFonts w:hint="eastAsia"/>
                <w:color w:val="auto"/>
                <w:highlight w:val="none"/>
              </w:rPr>
              <w:t>详见附表</w:t>
            </w:r>
            <w:r>
              <w:rPr>
                <w:color w:val="auto"/>
                <w:highlight w:val="none"/>
              </w:rPr>
              <w:t>1</w:t>
            </w:r>
          </w:p>
        </w:tc>
      </w:tr>
      <w:tr w14:paraId="73E58B8D">
        <w:tblPrEx>
          <w:tblCellMar>
            <w:top w:w="0" w:type="dxa"/>
            <w:left w:w="108" w:type="dxa"/>
            <w:bottom w:w="0" w:type="dxa"/>
            <w:right w:w="108" w:type="dxa"/>
          </w:tblCellMar>
        </w:tblPrEx>
        <w:trPr>
          <w:trHeight w:val="491" w:hRule="atLeast"/>
        </w:trPr>
        <w:tc>
          <w:tcPr>
            <w:tcW w:w="840" w:type="dxa"/>
            <w:vMerge w:val="restart"/>
            <w:tcBorders>
              <w:top w:val="single" w:color="auto" w:sz="4" w:space="0"/>
              <w:left w:val="single" w:color="000000" w:sz="4" w:space="0"/>
              <w:right w:val="single" w:color="000000" w:sz="6" w:space="0"/>
            </w:tcBorders>
            <w:vAlign w:val="center"/>
          </w:tcPr>
          <w:p w14:paraId="39E1CC50">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2.1.3</w:t>
            </w: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w:t>
            </w:r>
          </w:p>
        </w:tc>
        <w:tc>
          <w:tcPr>
            <w:tcW w:w="1785" w:type="dxa"/>
            <w:gridSpan w:val="2"/>
            <w:vMerge w:val="restart"/>
            <w:tcBorders>
              <w:top w:val="single" w:color="auto" w:sz="4" w:space="0"/>
              <w:left w:val="single" w:color="000000" w:sz="6" w:space="0"/>
              <w:right w:val="single" w:color="000000" w:sz="6" w:space="0"/>
            </w:tcBorders>
            <w:vAlign w:val="center"/>
          </w:tcPr>
          <w:p w14:paraId="2A72B318">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勘察设计方案文件响应性评审标准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66363104">
            <w:pPr>
              <w:spacing w:line="440" w:lineRule="exact"/>
              <w:jc w:val="center"/>
              <w:rPr>
                <w:color w:val="auto"/>
                <w:szCs w:val="21"/>
                <w:highlight w:val="none"/>
              </w:rPr>
            </w:pPr>
            <w:r>
              <w:rPr>
                <w:rFonts w:hint="eastAsia"/>
                <w:color w:val="auto"/>
                <w:szCs w:val="21"/>
                <w:highlight w:val="none"/>
              </w:rPr>
              <w:t>暗标形式</w:t>
            </w:r>
          </w:p>
        </w:tc>
        <w:tc>
          <w:tcPr>
            <w:tcW w:w="5242" w:type="dxa"/>
            <w:tcBorders>
              <w:top w:val="single" w:color="000000" w:sz="6" w:space="0"/>
              <w:left w:val="single" w:color="auto" w:sz="4" w:space="0"/>
              <w:bottom w:val="single" w:color="000000" w:sz="6" w:space="0"/>
              <w:right w:val="single" w:color="000000" w:sz="4" w:space="0"/>
            </w:tcBorders>
            <w:vAlign w:val="center"/>
          </w:tcPr>
          <w:p w14:paraId="1A2D4787">
            <w:pPr>
              <w:spacing w:line="276" w:lineRule="auto"/>
              <w:rPr>
                <w:color w:val="auto"/>
                <w:szCs w:val="21"/>
                <w:highlight w:val="none"/>
              </w:rPr>
            </w:pPr>
            <w:r>
              <w:rPr>
                <w:rFonts w:hint="eastAsia" w:ascii="宋体" w:hAnsi="宋体" w:cs="宋体"/>
                <w:color w:val="auto"/>
                <w:kern w:val="1"/>
                <w:szCs w:val="21"/>
                <w:highlight w:val="none"/>
              </w:rPr>
              <w:t>勘察</w:t>
            </w:r>
            <w:r>
              <w:rPr>
                <w:rFonts w:hint="eastAsia"/>
                <w:color w:val="auto"/>
                <w:szCs w:val="21"/>
                <w:highlight w:val="none"/>
              </w:rPr>
              <w:t>设计方案文件按招标文件要求编制；投标人未在</w:t>
            </w:r>
            <w:r>
              <w:rPr>
                <w:rFonts w:hint="eastAsia" w:ascii="宋体" w:hAnsi="宋体" w:cs="宋体"/>
                <w:color w:val="auto"/>
                <w:kern w:val="1"/>
                <w:szCs w:val="21"/>
                <w:highlight w:val="none"/>
              </w:rPr>
              <w:t>勘察</w:t>
            </w:r>
            <w:r>
              <w:rPr>
                <w:rFonts w:hint="eastAsia"/>
                <w:color w:val="auto"/>
                <w:szCs w:val="21"/>
                <w:highlight w:val="none"/>
              </w:rPr>
              <w:t>设计方案内标注名称、印章、商标、图形等记认符号（或使人辨认出投标人或其专业技术人员的身份）</w:t>
            </w:r>
          </w:p>
        </w:tc>
      </w:tr>
      <w:tr w14:paraId="512F7214">
        <w:tblPrEx>
          <w:tblCellMar>
            <w:top w:w="0" w:type="dxa"/>
            <w:left w:w="108" w:type="dxa"/>
            <w:bottom w:w="0" w:type="dxa"/>
            <w:right w:w="108" w:type="dxa"/>
          </w:tblCellMar>
        </w:tblPrEx>
        <w:trPr>
          <w:trHeight w:val="491" w:hRule="atLeast"/>
        </w:trPr>
        <w:tc>
          <w:tcPr>
            <w:tcW w:w="840" w:type="dxa"/>
            <w:vMerge w:val="continue"/>
            <w:tcBorders>
              <w:left w:val="single" w:color="000000" w:sz="4" w:space="0"/>
              <w:right w:val="single" w:color="000000" w:sz="6" w:space="0"/>
            </w:tcBorders>
            <w:vAlign w:val="center"/>
          </w:tcPr>
          <w:p w14:paraId="00A5C971">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34ED94D1">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7EDB3E25">
            <w:pPr>
              <w:spacing w:line="440" w:lineRule="exact"/>
              <w:jc w:val="center"/>
              <w:rPr>
                <w:color w:val="auto"/>
                <w:szCs w:val="21"/>
                <w:highlight w:val="none"/>
              </w:rPr>
            </w:pPr>
            <w:r>
              <w:rPr>
                <w:rFonts w:hint="eastAsia"/>
                <w:color w:val="auto"/>
                <w:szCs w:val="21"/>
                <w:highlight w:val="none"/>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6FA3FC18">
            <w:pPr>
              <w:spacing w:line="276" w:lineRule="auto"/>
              <w:rPr>
                <w:color w:val="auto"/>
                <w:szCs w:val="21"/>
                <w:highlight w:val="none"/>
              </w:rPr>
            </w:pPr>
            <w:r>
              <w:rPr>
                <w:rFonts w:hint="eastAsia"/>
                <w:color w:val="auto"/>
                <w:szCs w:val="21"/>
                <w:highlight w:val="none"/>
              </w:rPr>
              <w:t>投标人之间不存在《广东省实施</w:t>
            </w:r>
            <w:r>
              <w:rPr>
                <w:color w:val="auto"/>
                <w:szCs w:val="21"/>
                <w:highlight w:val="none"/>
              </w:rPr>
              <w:t>&lt;</w:t>
            </w:r>
            <w:r>
              <w:rPr>
                <w:rFonts w:hint="eastAsia"/>
                <w:color w:val="auto"/>
                <w:szCs w:val="21"/>
                <w:highlight w:val="none"/>
              </w:rPr>
              <w:t>中华人民共和国招标投标法</w:t>
            </w:r>
            <w:r>
              <w:rPr>
                <w:color w:val="auto"/>
                <w:szCs w:val="21"/>
                <w:highlight w:val="none"/>
              </w:rPr>
              <w:t>&gt;</w:t>
            </w:r>
            <w:r>
              <w:rPr>
                <w:rFonts w:hint="eastAsia"/>
                <w:color w:val="auto"/>
                <w:szCs w:val="21"/>
                <w:highlight w:val="none"/>
              </w:rPr>
              <w:t>》第十六条所禁止的情形的</w:t>
            </w:r>
          </w:p>
        </w:tc>
      </w:tr>
      <w:tr w14:paraId="6A0E27FF">
        <w:tblPrEx>
          <w:tblCellMar>
            <w:top w:w="0" w:type="dxa"/>
            <w:left w:w="108" w:type="dxa"/>
            <w:bottom w:w="0" w:type="dxa"/>
            <w:right w:w="108" w:type="dxa"/>
          </w:tblCellMar>
        </w:tblPrEx>
        <w:trPr>
          <w:trHeight w:val="480" w:hRule="atLeast"/>
        </w:trPr>
        <w:tc>
          <w:tcPr>
            <w:tcW w:w="840" w:type="dxa"/>
            <w:vMerge w:val="restart"/>
            <w:tcBorders>
              <w:top w:val="single" w:color="000000" w:sz="6" w:space="0"/>
              <w:left w:val="single" w:color="000000" w:sz="4" w:space="0"/>
              <w:right w:val="single" w:color="000000" w:sz="6" w:space="0"/>
            </w:tcBorders>
            <w:vAlign w:val="center"/>
          </w:tcPr>
          <w:p w14:paraId="0D04733C">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2.1.3</w:t>
            </w: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w:t>
            </w:r>
          </w:p>
        </w:tc>
        <w:tc>
          <w:tcPr>
            <w:tcW w:w="1785" w:type="dxa"/>
            <w:gridSpan w:val="2"/>
            <w:vMerge w:val="restart"/>
            <w:tcBorders>
              <w:top w:val="single" w:color="000000" w:sz="6" w:space="0"/>
              <w:left w:val="single" w:color="000000" w:sz="6" w:space="0"/>
              <w:right w:val="single" w:color="000000" w:sz="6" w:space="0"/>
            </w:tcBorders>
            <w:vAlign w:val="center"/>
          </w:tcPr>
          <w:p w14:paraId="4618457F">
            <w:pPr>
              <w:spacing w:line="3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204E6B63">
            <w:pPr>
              <w:rPr>
                <w:color w:val="auto"/>
                <w:highlight w:val="none"/>
              </w:rPr>
            </w:pPr>
            <w:r>
              <w:rPr>
                <w:rFonts w:hint="eastAsia"/>
                <w:color w:val="auto"/>
                <w:highlight w:val="none"/>
              </w:rPr>
              <w:t>投标报价</w:t>
            </w:r>
          </w:p>
        </w:tc>
        <w:tc>
          <w:tcPr>
            <w:tcW w:w="5242" w:type="dxa"/>
            <w:tcBorders>
              <w:top w:val="single" w:color="000000" w:sz="6" w:space="0"/>
              <w:left w:val="single" w:color="auto" w:sz="4" w:space="0"/>
              <w:bottom w:val="single" w:color="000000" w:sz="6" w:space="0"/>
              <w:right w:val="single" w:color="000000" w:sz="4" w:space="0"/>
            </w:tcBorders>
            <w:vAlign w:val="center"/>
          </w:tcPr>
          <w:p w14:paraId="080CE755">
            <w:pPr>
              <w:rPr>
                <w:color w:val="auto"/>
                <w:highlight w:val="none"/>
              </w:rPr>
            </w:pPr>
            <w:r>
              <w:rPr>
                <w:rFonts w:hint="eastAsia"/>
                <w:color w:val="auto"/>
                <w:highlight w:val="none"/>
              </w:rPr>
              <w:t>符合第二章“投标人须知”第</w:t>
            </w:r>
            <w:r>
              <w:rPr>
                <w:color w:val="auto"/>
                <w:highlight w:val="none"/>
              </w:rPr>
              <w:t>3.2</w:t>
            </w:r>
            <w:r>
              <w:rPr>
                <w:rFonts w:hint="eastAsia"/>
                <w:color w:val="auto"/>
                <w:highlight w:val="none"/>
              </w:rPr>
              <w:t>项规定</w:t>
            </w:r>
          </w:p>
        </w:tc>
      </w:tr>
      <w:tr w14:paraId="2D5B2025">
        <w:tblPrEx>
          <w:tblCellMar>
            <w:top w:w="0" w:type="dxa"/>
            <w:left w:w="108" w:type="dxa"/>
            <w:bottom w:w="0" w:type="dxa"/>
            <w:right w:w="108" w:type="dxa"/>
          </w:tblCellMar>
        </w:tblPrEx>
        <w:trPr>
          <w:trHeight w:val="480" w:hRule="atLeast"/>
        </w:trPr>
        <w:tc>
          <w:tcPr>
            <w:tcW w:w="840" w:type="dxa"/>
            <w:vMerge w:val="continue"/>
            <w:tcBorders>
              <w:left w:val="single" w:color="000000" w:sz="4" w:space="0"/>
              <w:right w:val="single" w:color="000000" w:sz="6" w:space="0"/>
            </w:tcBorders>
            <w:vAlign w:val="center"/>
          </w:tcPr>
          <w:p w14:paraId="71AF32EF">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3A6E1E26">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FA77D60">
            <w:pPr>
              <w:rPr>
                <w:color w:val="auto"/>
                <w:highlight w:val="none"/>
              </w:rPr>
            </w:pPr>
            <w:r>
              <w:rPr>
                <w:rFonts w:hint="eastAsia"/>
                <w:color w:val="auto"/>
                <w:highlight w:val="none"/>
              </w:rPr>
              <w:t>投标内容</w:t>
            </w:r>
          </w:p>
        </w:tc>
        <w:tc>
          <w:tcPr>
            <w:tcW w:w="5242" w:type="dxa"/>
            <w:tcBorders>
              <w:top w:val="single" w:color="000000" w:sz="6" w:space="0"/>
              <w:left w:val="single" w:color="auto" w:sz="4" w:space="0"/>
              <w:bottom w:val="single" w:color="000000" w:sz="6" w:space="0"/>
              <w:right w:val="single" w:color="000000" w:sz="4" w:space="0"/>
            </w:tcBorders>
            <w:vAlign w:val="center"/>
          </w:tcPr>
          <w:p w14:paraId="5D68B760">
            <w:pPr>
              <w:rPr>
                <w:color w:val="auto"/>
                <w:highlight w:val="none"/>
              </w:rPr>
            </w:pPr>
            <w:r>
              <w:rPr>
                <w:rFonts w:hint="eastAsia"/>
                <w:color w:val="auto"/>
                <w:highlight w:val="none"/>
              </w:rPr>
              <w:t>符合第二章“投标人须知”第</w:t>
            </w:r>
            <w:r>
              <w:rPr>
                <w:color w:val="auto"/>
                <w:highlight w:val="none"/>
              </w:rPr>
              <w:t>1.3.1</w:t>
            </w:r>
            <w:r>
              <w:rPr>
                <w:rFonts w:hint="eastAsia"/>
                <w:color w:val="auto"/>
                <w:highlight w:val="none"/>
              </w:rPr>
              <w:t>项规定</w:t>
            </w:r>
          </w:p>
        </w:tc>
      </w:tr>
      <w:tr w14:paraId="686CA562">
        <w:tblPrEx>
          <w:tblCellMar>
            <w:top w:w="0" w:type="dxa"/>
            <w:left w:w="108" w:type="dxa"/>
            <w:bottom w:w="0" w:type="dxa"/>
            <w:right w:w="108" w:type="dxa"/>
          </w:tblCellMar>
        </w:tblPrEx>
        <w:trPr>
          <w:trHeight w:val="476" w:hRule="atLeast"/>
        </w:trPr>
        <w:tc>
          <w:tcPr>
            <w:tcW w:w="840" w:type="dxa"/>
            <w:vMerge w:val="continue"/>
            <w:tcBorders>
              <w:left w:val="single" w:color="000000" w:sz="4" w:space="0"/>
              <w:right w:val="single" w:color="000000" w:sz="6" w:space="0"/>
            </w:tcBorders>
            <w:vAlign w:val="center"/>
          </w:tcPr>
          <w:p w14:paraId="6B72C652">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4E947D9D">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7FB80FA2">
            <w:pPr>
              <w:rPr>
                <w:color w:val="auto"/>
                <w:highlight w:val="none"/>
              </w:rPr>
            </w:pPr>
            <w:r>
              <w:rPr>
                <w:rFonts w:hint="eastAsia"/>
                <w:color w:val="auto"/>
                <w:highlight w:val="none"/>
              </w:rPr>
              <w:t>投标总工期</w:t>
            </w:r>
          </w:p>
        </w:tc>
        <w:tc>
          <w:tcPr>
            <w:tcW w:w="5242" w:type="dxa"/>
            <w:tcBorders>
              <w:top w:val="single" w:color="000000" w:sz="6" w:space="0"/>
              <w:left w:val="single" w:color="auto" w:sz="4" w:space="0"/>
              <w:bottom w:val="single" w:color="000000" w:sz="6" w:space="0"/>
              <w:right w:val="single" w:color="000000" w:sz="4" w:space="0"/>
            </w:tcBorders>
            <w:vAlign w:val="center"/>
          </w:tcPr>
          <w:p w14:paraId="3BDC9F2E">
            <w:pPr>
              <w:rPr>
                <w:color w:val="auto"/>
                <w:highlight w:val="none"/>
              </w:rPr>
            </w:pPr>
            <w:r>
              <w:rPr>
                <w:rFonts w:hint="eastAsia"/>
                <w:color w:val="auto"/>
                <w:highlight w:val="none"/>
              </w:rPr>
              <w:t>符合第二章“投标人须知”第</w:t>
            </w:r>
            <w:r>
              <w:rPr>
                <w:color w:val="auto"/>
                <w:highlight w:val="none"/>
              </w:rPr>
              <w:t>1.3.2</w:t>
            </w:r>
            <w:r>
              <w:rPr>
                <w:rFonts w:hint="eastAsia"/>
                <w:color w:val="auto"/>
                <w:highlight w:val="none"/>
              </w:rPr>
              <w:t>项规定</w:t>
            </w:r>
          </w:p>
        </w:tc>
      </w:tr>
      <w:tr w14:paraId="7BD93A60">
        <w:tblPrEx>
          <w:tblCellMar>
            <w:top w:w="0" w:type="dxa"/>
            <w:left w:w="108" w:type="dxa"/>
            <w:bottom w:w="0" w:type="dxa"/>
            <w:right w:w="108" w:type="dxa"/>
          </w:tblCellMar>
        </w:tblPrEx>
        <w:trPr>
          <w:trHeight w:val="356" w:hRule="atLeast"/>
        </w:trPr>
        <w:tc>
          <w:tcPr>
            <w:tcW w:w="840" w:type="dxa"/>
            <w:vMerge w:val="continue"/>
            <w:tcBorders>
              <w:left w:val="single" w:color="000000" w:sz="4" w:space="0"/>
              <w:right w:val="single" w:color="000000" w:sz="6" w:space="0"/>
            </w:tcBorders>
            <w:vAlign w:val="center"/>
          </w:tcPr>
          <w:p w14:paraId="6963C921">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2F7F35D5">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5499C31B">
            <w:pPr>
              <w:rPr>
                <w:color w:val="auto"/>
                <w:highlight w:val="none"/>
              </w:rPr>
            </w:pPr>
            <w:r>
              <w:rPr>
                <w:rFonts w:hint="eastAsia"/>
                <w:color w:val="auto"/>
                <w:highlight w:val="none"/>
              </w:rPr>
              <w:t>质量标准</w:t>
            </w:r>
          </w:p>
        </w:tc>
        <w:tc>
          <w:tcPr>
            <w:tcW w:w="5242" w:type="dxa"/>
            <w:tcBorders>
              <w:top w:val="single" w:color="000000" w:sz="6" w:space="0"/>
              <w:left w:val="single" w:color="auto" w:sz="4" w:space="0"/>
              <w:bottom w:val="single" w:color="000000" w:sz="6" w:space="0"/>
              <w:right w:val="single" w:color="000000" w:sz="4" w:space="0"/>
            </w:tcBorders>
            <w:vAlign w:val="center"/>
          </w:tcPr>
          <w:p w14:paraId="0DDC96BD">
            <w:pPr>
              <w:rPr>
                <w:color w:val="auto"/>
                <w:highlight w:val="none"/>
              </w:rPr>
            </w:pPr>
            <w:r>
              <w:rPr>
                <w:rFonts w:hint="eastAsia"/>
                <w:color w:val="auto"/>
                <w:highlight w:val="none"/>
              </w:rPr>
              <w:t>符合第二章“投标人须知”第</w:t>
            </w:r>
            <w:r>
              <w:rPr>
                <w:color w:val="auto"/>
                <w:highlight w:val="none"/>
              </w:rPr>
              <w:t>1.3.3</w:t>
            </w:r>
            <w:r>
              <w:rPr>
                <w:rFonts w:hint="eastAsia"/>
                <w:color w:val="auto"/>
                <w:highlight w:val="none"/>
              </w:rPr>
              <w:t>项规定</w:t>
            </w:r>
          </w:p>
        </w:tc>
      </w:tr>
      <w:tr w14:paraId="316BDF78">
        <w:tblPrEx>
          <w:tblCellMar>
            <w:top w:w="0" w:type="dxa"/>
            <w:left w:w="108" w:type="dxa"/>
            <w:bottom w:w="0" w:type="dxa"/>
            <w:right w:w="108" w:type="dxa"/>
          </w:tblCellMar>
        </w:tblPrEx>
        <w:trPr>
          <w:trHeight w:val="406" w:hRule="atLeast"/>
        </w:trPr>
        <w:tc>
          <w:tcPr>
            <w:tcW w:w="840" w:type="dxa"/>
            <w:vMerge w:val="continue"/>
            <w:tcBorders>
              <w:left w:val="single" w:color="000000" w:sz="4" w:space="0"/>
              <w:right w:val="single" w:color="000000" w:sz="6" w:space="0"/>
            </w:tcBorders>
            <w:vAlign w:val="center"/>
          </w:tcPr>
          <w:p w14:paraId="5EB74841">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08627773">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2507EEF">
            <w:pPr>
              <w:rPr>
                <w:color w:val="auto"/>
                <w:highlight w:val="none"/>
              </w:rPr>
            </w:pPr>
            <w:r>
              <w:rPr>
                <w:rFonts w:hint="eastAsia"/>
                <w:color w:val="auto"/>
                <w:highlight w:val="none"/>
              </w:rPr>
              <w:t>保修期限</w:t>
            </w:r>
          </w:p>
        </w:tc>
        <w:tc>
          <w:tcPr>
            <w:tcW w:w="5242" w:type="dxa"/>
            <w:tcBorders>
              <w:top w:val="single" w:color="000000" w:sz="6" w:space="0"/>
              <w:left w:val="single" w:color="auto" w:sz="4" w:space="0"/>
              <w:bottom w:val="single" w:color="000000" w:sz="6" w:space="0"/>
              <w:right w:val="single" w:color="000000" w:sz="4" w:space="0"/>
            </w:tcBorders>
            <w:vAlign w:val="center"/>
          </w:tcPr>
          <w:p w14:paraId="437EDDE8">
            <w:pPr>
              <w:rPr>
                <w:color w:val="auto"/>
                <w:highlight w:val="none"/>
              </w:rPr>
            </w:pPr>
            <w:r>
              <w:rPr>
                <w:rFonts w:hint="eastAsia"/>
                <w:color w:val="auto"/>
                <w:highlight w:val="none"/>
              </w:rPr>
              <w:t>符合第二章“投标人须知前附表”第</w:t>
            </w:r>
            <w:r>
              <w:rPr>
                <w:color w:val="auto"/>
                <w:highlight w:val="none"/>
              </w:rPr>
              <w:t>9.2</w:t>
            </w:r>
            <w:r>
              <w:rPr>
                <w:rFonts w:hint="eastAsia"/>
                <w:color w:val="auto"/>
                <w:highlight w:val="none"/>
              </w:rPr>
              <w:t>项规定</w:t>
            </w:r>
          </w:p>
        </w:tc>
      </w:tr>
      <w:tr w14:paraId="7B3DCBFA">
        <w:tblPrEx>
          <w:tblCellMar>
            <w:top w:w="0" w:type="dxa"/>
            <w:left w:w="108" w:type="dxa"/>
            <w:bottom w:w="0" w:type="dxa"/>
            <w:right w:w="108" w:type="dxa"/>
          </w:tblCellMar>
        </w:tblPrEx>
        <w:trPr>
          <w:trHeight w:val="486" w:hRule="atLeast"/>
        </w:trPr>
        <w:tc>
          <w:tcPr>
            <w:tcW w:w="840" w:type="dxa"/>
            <w:vMerge w:val="continue"/>
            <w:tcBorders>
              <w:left w:val="single" w:color="000000" w:sz="4" w:space="0"/>
              <w:right w:val="single" w:color="000000" w:sz="6" w:space="0"/>
            </w:tcBorders>
            <w:vAlign w:val="center"/>
          </w:tcPr>
          <w:p w14:paraId="259877D2">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579CDBBF">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5C012720">
            <w:pPr>
              <w:rPr>
                <w:color w:val="auto"/>
                <w:highlight w:val="none"/>
              </w:rPr>
            </w:pPr>
            <w:r>
              <w:rPr>
                <w:rFonts w:hint="eastAsia"/>
                <w:color w:val="auto"/>
                <w:highlight w:val="none"/>
              </w:rPr>
              <w:t>投标有效期</w:t>
            </w:r>
          </w:p>
        </w:tc>
        <w:tc>
          <w:tcPr>
            <w:tcW w:w="5242" w:type="dxa"/>
            <w:tcBorders>
              <w:top w:val="single" w:color="000000" w:sz="6" w:space="0"/>
              <w:left w:val="single" w:color="auto" w:sz="4" w:space="0"/>
              <w:bottom w:val="single" w:color="000000" w:sz="6" w:space="0"/>
              <w:right w:val="single" w:color="000000" w:sz="4" w:space="0"/>
            </w:tcBorders>
            <w:vAlign w:val="center"/>
          </w:tcPr>
          <w:p w14:paraId="4CB8A78A">
            <w:pPr>
              <w:rPr>
                <w:color w:val="auto"/>
                <w:highlight w:val="none"/>
              </w:rPr>
            </w:pPr>
            <w:r>
              <w:rPr>
                <w:rFonts w:hint="eastAsia"/>
                <w:color w:val="auto"/>
                <w:highlight w:val="none"/>
              </w:rPr>
              <w:t>符合第二章“投标人须知”第</w:t>
            </w:r>
            <w:r>
              <w:rPr>
                <w:color w:val="auto"/>
                <w:highlight w:val="none"/>
              </w:rPr>
              <w:t>3.3.1</w:t>
            </w:r>
            <w:r>
              <w:rPr>
                <w:rFonts w:hint="eastAsia"/>
                <w:color w:val="auto"/>
                <w:highlight w:val="none"/>
              </w:rPr>
              <w:t>项规定</w:t>
            </w:r>
          </w:p>
        </w:tc>
      </w:tr>
      <w:tr w14:paraId="5967C36C">
        <w:tblPrEx>
          <w:tblCellMar>
            <w:top w:w="0" w:type="dxa"/>
            <w:left w:w="108" w:type="dxa"/>
            <w:bottom w:w="0" w:type="dxa"/>
            <w:right w:w="108" w:type="dxa"/>
          </w:tblCellMar>
        </w:tblPrEx>
        <w:trPr>
          <w:trHeight w:val="486" w:hRule="atLeast"/>
        </w:trPr>
        <w:tc>
          <w:tcPr>
            <w:tcW w:w="840" w:type="dxa"/>
            <w:vMerge w:val="continue"/>
            <w:tcBorders>
              <w:left w:val="single" w:color="000000" w:sz="4" w:space="0"/>
              <w:right w:val="single" w:color="000000" w:sz="6" w:space="0"/>
            </w:tcBorders>
            <w:vAlign w:val="center"/>
          </w:tcPr>
          <w:p w14:paraId="2FC732E4">
            <w:pPr>
              <w:spacing w:line="360" w:lineRule="auto"/>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639E3A29">
            <w:pPr>
              <w:spacing w:line="340" w:lineRule="exact"/>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B8B490E">
            <w:pPr>
              <w:rPr>
                <w:color w:val="auto"/>
                <w:highlight w:val="none"/>
              </w:rPr>
            </w:pPr>
            <w:r>
              <w:rPr>
                <w:rFonts w:hint="eastAsia"/>
                <w:color w:val="auto"/>
                <w:highlight w:val="none"/>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4F2EB233">
            <w:pPr>
              <w:rPr>
                <w:color w:val="auto"/>
                <w:highlight w:val="none"/>
              </w:rPr>
            </w:pPr>
            <w:r>
              <w:rPr>
                <w:rFonts w:hint="eastAsia"/>
                <w:color w:val="auto"/>
                <w:szCs w:val="21"/>
                <w:highlight w:val="none"/>
              </w:rPr>
              <w:t>投标人之间不存在《广东省实施</w:t>
            </w:r>
            <w:r>
              <w:rPr>
                <w:color w:val="auto"/>
                <w:szCs w:val="21"/>
                <w:highlight w:val="none"/>
              </w:rPr>
              <w:t>&lt;</w:t>
            </w:r>
            <w:r>
              <w:rPr>
                <w:rFonts w:hint="eastAsia"/>
                <w:color w:val="auto"/>
                <w:szCs w:val="21"/>
                <w:highlight w:val="none"/>
              </w:rPr>
              <w:t>中华人民共和国招标投标法</w:t>
            </w:r>
            <w:r>
              <w:rPr>
                <w:color w:val="auto"/>
                <w:szCs w:val="21"/>
                <w:highlight w:val="none"/>
              </w:rPr>
              <w:t>&gt;</w:t>
            </w:r>
            <w:r>
              <w:rPr>
                <w:rFonts w:hint="eastAsia"/>
                <w:color w:val="auto"/>
                <w:szCs w:val="21"/>
                <w:highlight w:val="none"/>
              </w:rPr>
              <w:t>》第十六条所禁止的情形的</w:t>
            </w:r>
          </w:p>
        </w:tc>
      </w:tr>
      <w:tr w14:paraId="4ACD8F4D">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26059CEF">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6" w:space="0"/>
            </w:tcBorders>
            <w:vAlign w:val="center"/>
          </w:tcPr>
          <w:p w14:paraId="4189F740">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08251AAA">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2E5DBD39">
        <w:tblPrEx>
          <w:tblCellMar>
            <w:top w:w="0" w:type="dxa"/>
            <w:left w:w="108" w:type="dxa"/>
            <w:bottom w:w="0" w:type="dxa"/>
            <w:right w:w="108" w:type="dxa"/>
          </w:tblCellMar>
        </w:tblPrEx>
        <w:trPr>
          <w:trHeight w:val="90" w:hRule="atLeast"/>
        </w:trPr>
        <w:tc>
          <w:tcPr>
            <w:tcW w:w="2625" w:type="dxa"/>
            <w:gridSpan w:val="3"/>
            <w:tcBorders>
              <w:top w:val="single" w:color="000000" w:sz="6" w:space="0"/>
              <w:left w:val="single" w:color="000000" w:sz="4" w:space="0"/>
              <w:bottom w:val="single" w:color="000000" w:sz="6" w:space="0"/>
              <w:right w:val="single" w:color="000000" w:sz="6" w:space="0"/>
            </w:tcBorders>
            <w:shd w:val="clear" w:color="auto" w:fill="auto"/>
            <w:vAlign w:val="center"/>
          </w:tcPr>
          <w:p w14:paraId="7AA6C8B7">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2.2.1</w:t>
            </w:r>
          </w:p>
        </w:tc>
        <w:tc>
          <w:tcPr>
            <w:tcW w:w="137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B8CD8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tcBorders>
              <w:top w:val="single" w:color="000000" w:sz="6" w:space="0"/>
              <w:left w:val="single" w:color="000000" w:sz="6" w:space="0"/>
              <w:bottom w:val="single" w:color="000000" w:sz="6" w:space="0"/>
              <w:right w:val="single" w:color="000000" w:sz="4" w:space="0"/>
            </w:tcBorders>
            <w:shd w:val="clear" w:color="auto" w:fill="auto"/>
            <w:vAlign w:val="center"/>
          </w:tcPr>
          <w:p w14:paraId="0B1EDB28">
            <w:pPr>
              <w:spacing w:line="276" w:lineRule="auto"/>
              <w:rPr>
                <w:color w:val="auto"/>
                <w:highlight w:val="none"/>
              </w:rPr>
            </w:pPr>
            <w:r>
              <w:rPr>
                <w:rFonts w:hint="eastAsia"/>
                <w:color w:val="auto"/>
                <w:highlight w:val="none"/>
              </w:rPr>
              <w:t>投标人总得分满分为</w:t>
            </w:r>
            <w:r>
              <w:rPr>
                <w:rFonts w:ascii="宋体" w:hAnsi="宋体"/>
                <w:color w:val="auto"/>
                <w:highlight w:val="none"/>
              </w:rPr>
              <w:t>100</w:t>
            </w:r>
            <w:r>
              <w:rPr>
                <w:rFonts w:hint="eastAsia"/>
                <w:color w:val="auto"/>
                <w:highlight w:val="none"/>
              </w:rPr>
              <w:t>分，总分权重分配：勘察设计方案得分（权</w:t>
            </w:r>
            <w:r>
              <w:rPr>
                <w:rFonts w:hint="eastAsia" w:ascii="宋体" w:hAnsi="宋体"/>
                <w:color w:val="auto"/>
                <w:highlight w:val="none"/>
              </w:rPr>
              <w:t>重</w:t>
            </w:r>
            <w:r>
              <w:rPr>
                <w:rFonts w:ascii="宋体" w:hAnsi="宋体"/>
                <w:color w:val="auto"/>
                <w:highlight w:val="none"/>
              </w:rPr>
              <w:t>30%</w:t>
            </w:r>
            <w:r>
              <w:rPr>
                <w:rFonts w:hint="eastAsia"/>
                <w:color w:val="auto"/>
                <w:highlight w:val="none"/>
              </w:rPr>
              <w:t>）</w:t>
            </w:r>
            <w:r>
              <w:rPr>
                <w:color w:val="auto"/>
                <w:highlight w:val="none"/>
              </w:rPr>
              <w:t>+</w:t>
            </w:r>
            <w:r>
              <w:rPr>
                <w:rFonts w:hint="eastAsia"/>
                <w:color w:val="auto"/>
                <w:highlight w:val="none"/>
              </w:rPr>
              <w:t>工程总承包实施方案经济部分得分（权</w:t>
            </w:r>
            <w:r>
              <w:rPr>
                <w:rFonts w:hint="eastAsia" w:ascii="宋体" w:hAnsi="宋体"/>
                <w:color w:val="auto"/>
                <w:highlight w:val="none"/>
              </w:rPr>
              <w:t>重</w:t>
            </w:r>
            <w:r>
              <w:rPr>
                <w:rFonts w:ascii="宋体" w:hAnsi="宋体"/>
                <w:color w:val="auto"/>
                <w:highlight w:val="none"/>
              </w:rPr>
              <w:t>35%</w:t>
            </w:r>
            <w:r>
              <w:rPr>
                <w:rFonts w:hint="eastAsia"/>
                <w:color w:val="auto"/>
                <w:highlight w:val="none"/>
              </w:rPr>
              <w:t>）</w:t>
            </w:r>
            <w:r>
              <w:rPr>
                <w:color w:val="auto"/>
                <w:highlight w:val="none"/>
              </w:rPr>
              <w:t>+</w:t>
            </w:r>
            <w:r>
              <w:rPr>
                <w:rFonts w:hint="eastAsia"/>
                <w:color w:val="auto"/>
                <w:highlight w:val="none"/>
              </w:rPr>
              <w:t>工程总承包实施方案技术部分得分（权重</w:t>
            </w:r>
            <w:r>
              <w:rPr>
                <w:rFonts w:ascii="宋体" w:hAnsi="宋体"/>
                <w:color w:val="auto"/>
                <w:highlight w:val="none"/>
              </w:rPr>
              <w:t>35%</w:t>
            </w:r>
            <w:r>
              <w:rPr>
                <w:rFonts w:hint="eastAsia"/>
                <w:color w:val="auto"/>
                <w:highlight w:val="none"/>
              </w:rPr>
              <w:t>）。</w:t>
            </w:r>
          </w:p>
        </w:tc>
      </w:tr>
      <w:tr w14:paraId="2723A062">
        <w:tblPrEx>
          <w:tblCellMar>
            <w:top w:w="0" w:type="dxa"/>
            <w:left w:w="108" w:type="dxa"/>
            <w:bottom w:w="0" w:type="dxa"/>
            <w:right w:w="108" w:type="dxa"/>
          </w:tblCellMar>
        </w:tblPrEx>
        <w:trPr>
          <w:trHeight w:val="90" w:hRule="atLeast"/>
        </w:trPr>
        <w:tc>
          <w:tcPr>
            <w:tcW w:w="2625" w:type="dxa"/>
            <w:gridSpan w:val="3"/>
            <w:tcBorders>
              <w:top w:val="single" w:color="000000" w:sz="6" w:space="0"/>
              <w:left w:val="single" w:color="000000" w:sz="4" w:space="0"/>
              <w:bottom w:val="single" w:color="000000" w:sz="6" w:space="0"/>
              <w:right w:val="single" w:color="000000" w:sz="6" w:space="0"/>
            </w:tcBorders>
            <w:shd w:val="clear" w:color="auto" w:fill="auto"/>
            <w:vAlign w:val="center"/>
          </w:tcPr>
          <w:p w14:paraId="7827EC69">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2.2.2</w:t>
            </w:r>
          </w:p>
        </w:tc>
        <w:tc>
          <w:tcPr>
            <w:tcW w:w="137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76728F">
            <w:pPr>
              <w:rPr>
                <w:color w:val="auto"/>
                <w:highlight w:val="none"/>
              </w:rPr>
            </w:pPr>
            <w:r>
              <w:rPr>
                <w:rFonts w:hint="eastAsia"/>
                <w:color w:val="auto"/>
                <w:highlight w:val="none"/>
              </w:rPr>
              <w:t>评标基准价计算方法</w:t>
            </w:r>
          </w:p>
        </w:tc>
        <w:tc>
          <w:tcPr>
            <w:tcW w:w="5242" w:type="dxa"/>
            <w:tcBorders>
              <w:top w:val="single" w:color="000000" w:sz="6" w:space="0"/>
              <w:left w:val="single" w:color="000000" w:sz="6" w:space="0"/>
              <w:bottom w:val="single" w:color="000000" w:sz="6" w:space="0"/>
              <w:right w:val="single" w:color="000000" w:sz="4" w:space="0"/>
            </w:tcBorders>
            <w:shd w:val="clear" w:color="auto" w:fill="auto"/>
            <w:vAlign w:val="center"/>
          </w:tcPr>
          <w:p w14:paraId="2FFE3C52">
            <w:pPr>
              <w:rPr>
                <w:color w:val="auto"/>
                <w:highlight w:val="none"/>
              </w:rPr>
            </w:pPr>
            <w:r>
              <w:rPr>
                <w:rFonts w:hint="eastAsia"/>
                <w:color w:val="auto"/>
                <w:highlight w:val="none"/>
              </w:rPr>
              <w:t>在通过初步评审且经算术复核的</w:t>
            </w:r>
            <w:r>
              <w:rPr>
                <w:rFonts w:hint="eastAsia" w:ascii="宋体" w:hAnsi="宋体" w:cs="宋体"/>
                <w:color w:val="auto"/>
                <w:szCs w:val="21"/>
                <w:highlight w:val="none"/>
              </w:rPr>
              <w:t>建安工程费</w:t>
            </w:r>
            <w:r>
              <w:rPr>
                <w:rFonts w:hint="eastAsia"/>
                <w:color w:val="auto"/>
                <w:highlight w:val="none"/>
              </w:rPr>
              <w:t>投标报价位于</w:t>
            </w:r>
            <w:r>
              <w:rPr>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w:t>
            </w:r>
            <w:r>
              <w:rPr>
                <w:rFonts w:ascii="宋体" w:hAnsi="宋体"/>
                <w:color w:val="auto"/>
                <w:highlight w:val="none"/>
              </w:rPr>
              <w:t>90%</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w:t>
            </w:r>
            <w:r>
              <w:rPr>
                <w:color w:val="auto"/>
                <w:highlight w:val="none"/>
              </w:rPr>
              <w:t>]</w:t>
            </w:r>
            <w:r>
              <w:rPr>
                <w:rFonts w:hint="eastAsia"/>
                <w:color w:val="auto"/>
                <w:highlight w:val="none"/>
              </w:rPr>
              <w:t>区间的投标人超过</w:t>
            </w:r>
            <w:r>
              <w:rPr>
                <w:rFonts w:ascii="宋体" w:hAnsi="宋体"/>
                <w:color w:val="auto"/>
                <w:highlight w:val="none"/>
              </w:rPr>
              <w:t>5</w:t>
            </w:r>
            <w:r>
              <w:rPr>
                <w:rFonts w:hint="eastAsia"/>
                <w:color w:val="auto"/>
                <w:highlight w:val="none"/>
              </w:rPr>
              <w:t>家时，在经算术复核的位于</w:t>
            </w:r>
            <w:r>
              <w:rPr>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w:t>
            </w:r>
            <w:r>
              <w:rPr>
                <w:rFonts w:ascii="宋体" w:hAnsi="宋体"/>
                <w:color w:val="auto"/>
                <w:highlight w:val="none"/>
              </w:rPr>
              <w:t>90%</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w:t>
            </w:r>
            <w:r>
              <w:rPr>
                <w:color w:val="auto"/>
                <w:highlight w:val="none"/>
              </w:rPr>
              <w:t>]</w:t>
            </w:r>
            <w:r>
              <w:rPr>
                <w:rFonts w:hint="eastAsia"/>
                <w:color w:val="auto"/>
                <w:highlight w:val="none"/>
              </w:rPr>
              <w:t>区间的投标人的</w:t>
            </w:r>
            <w:r>
              <w:rPr>
                <w:rFonts w:hint="eastAsia" w:ascii="宋体" w:hAnsi="宋体" w:cs="宋体"/>
                <w:color w:val="auto"/>
                <w:szCs w:val="21"/>
                <w:highlight w:val="none"/>
              </w:rPr>
              <w:t>建安工程费</w:t>
            </w:r>
            <w:r>
              <w:rPr>
                <w:rFonts w:hint="eastAsia"/>
                <w:color w:val="auto"/>
                <w:highlight w:val="none"/>
              </w:rPr>
              <w:t>投标报价中，去掉一个最高价和一个最低价后，取剩余报价的算术平均值为评标基准价（精确到小数点后两位）；在通过初步评审且经算术复核的</w:t>
            </w:r>
            <w:r>
              <w:rPr>
                <w:rFonts w:hint="eastAsia" w:ascii="宋体" w:hAnsi="宋体" w:cs="宋体"/>
                <w:color w:val="auto"/>
                <w:szCs w:val="21"/>
                <w:highlight w:val="none"/>
              </w:rPr>
              <w:t>建安工程费</w:t>
            </w:r>
            <w:r>
              <w:rPr>
                <w:rFonts w:hint="eastAsia"/>
                <w:color w:val="auto"/>
                <w:highlight w:val="none"/>
              </w:rPr>
              <w:t>投标报价位于</w:t>
            </w:r>
            <w:r>
              <w:rPr>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w:t>
            </w:r>
            <w:r>
              <w:rPr>
                <w:rFonts w:ascii="宋体" w:hAnsi="宋体"/>
                <w:color w:val="auto"/>
                <w:highlight w:val="none"/>
              </w:rPr>
              <w:t>90%</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w:t>
            </w:r>
            <w:r>
              <w:rPr>
                <w:color w:val="auto"/>
                <w:highlight w:val="none"/>
              </w:rPr>
              <w:t>]</w:t>
            </w:r>
            <w:r>
              <w:rPr>
                <w:rFonts w:hint="eastAsia"/>
                <w:color w:val="auto"/>
                <w:highlight w:val="none"/>
              </w:rPr>
              <w:t>区间的投标人少于</w:t>
            </w:r>
            <w:r>
              <w:rPr>
                <w:rFonts w:ascii="宋体" w:hAnsi="宋体"/>
                <w:color w:val="auto"/>
                <w:highlight w:val="none"/>
              </w:rPr>
              <w:t>5</w:t>
            </w:r>
            <w:r>
              <w:rPr>
                <w:rFonts w:hint="eastAsia"/>
                <w:color w:val="auto"/>
                <w:highlight w:val="none"/>
              </w:rPr>
              <w:t>家（含</w:t>
            </w:r>
            <w:r>
              <w:rPr>
                <w:rFonts w:ascii="宋体" w:hAnsi="宋体"/>
                <w:color w:val="auto"/>
                <w:highlight w:val="none"/>
              </w:rPr>
              <w:t>5</w:t>
            </w:r>
            <w:r>
              <w:rPr>
                <w:rFonts w:hint="eastAsia"/>
                <w:color w:val="auto"/>
                <w:highlight w:val="none"/>
              </w:rPr>
              <w:t>家）时，直接取区间中经算术复核的</w:t>
            </w:r>
            <w:r>
              <w:rPr>
                <w:rFonts w:hint="eastAsia" w:ascii="宋体" w:hAnsi="宋体" w:cs="宋体"/>
                <w:color w:val="auto"/>
                <w:szCs w:val="21"/>
                <w:highlight w:val="none"/>
              </w:rPr>
              <w:t>建安工程费</w:t>
            </w:r>
            <w:r>
              <w:rPr>
                <w:rFonts w:hint="eastAsia"/>
                <w:color w:val="auto"/>
                <w:highlight w:val="none"/>
              </w:rPr>
              <w:t>投标报价的算术平均值为评标基准价（精确到小数点后两位）。若在通过初步评审且经算术复核的</w:t>
            </w:r>
            <w:r>
              <w:rPr>
                <w:rFonts w:hint="eastAsia" w:ascii="宋体" w:hAnsi="宋体" w:cs="宋体"/>
                <w:color w:val="auto"/>
                <w:szCs w:val="21"/>
                <w:highlight w:val="none"/>
              </w:rPr>
              <w:t>建安工程费</w:t>
            </w:r>
            <w:r>
              <w:rPr>
                <w:rFonts w:hint="eastAsia"/>
                <w:color w:val="auto"/>
                <w:highlight w:val="none"/>
              </w:rPr>
              <w:t>投标报价中，没有</w:t>
            </w:r>
            <w:r>
              <w:rPr>
                <w:rFonts w:hint="eastAsia" w:ascii="宋体" w:hAnsi="宋体" w:cs="宋体"/>
                <w:color w:val="auto"/>
                <w:szCs w:val="21"/>
                <w:highlight w:val="none"/>
              </w:rPr>
              <w:t>建安工程费</w:t>
            </w:r>
            <w:r>
              <w:rPr>
                <w:rFonts w:hint="eastAsia"/>
                <w:color w:val="auto"/>
                <w:highlight w:val="none"/>
              </w:rPr>
              <w:t>投标报价位于</w:t>
            </w:r>
            <w:r>
              <w:rPr>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w:t>
            </w:r>
            <w:r>
              <w:rPr>
                <w:rFonts w:ascii="宋体" w:hAnsi="宋体"/>
                <w:color w:val="auto"/>
                <w:highlight w:val="none"/>
              </w:rPr>
              <w:t>90%</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w:t>
            </w:r>
            <w:r>
              <w:rPr>
                <w:color w:val="auto"/>
                <w:highlight w:val="none"/>
              </w:rPr>
              <w:t>]</w:t>
            </w:r>
            <w:r>
              <w:rPr>
                <w:rFonts w:hint="eastAsia"/>
                <w:color w:val="auto"/>
                <w:highlight w:val="none"/>
              </w:rPr>
              <w:t>区间，则本项目招标失败，由招标人依法重新招标。</w:t>
            </w:r>
          </w:p>
        </w:tc>
      </w:tr>
      <w:tr w14:paraId="4A486CB3">
        <w:tblPrEx>
          <w:tblCellMar>
            <w:top w:w="0" w:type="dxa"/>
            <w:left w:w="108" w:type="dxa"/>
            <w:bottom w:w="0" w:type="dxa"/>
            <w:right w:w="108" w:type="dxa"/>
          </w:tblCellMar>
        </w:tblPrEx>
        <w:trPr>
          <w:trHeight w:val="1127"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7549EE85">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2.2.3</w:t>
            </w:r>
          </w:p>
        </w:tc>
        <w:tc>
          <w:tcPr>
            <w:tcW w:w="1373" w:type="dxa"/>
            <w:tcBorders>
              <w:top w:val="single" w:color="000000" w:sz="6" w:space="0"/>
              <w:left w:val="single" w:color="000000" w:sz="6" w:space="0"/>
              <w:bottom w:val="single" w:color="000000" w:sz="6" w:space="0"/>
              <w:right w:val="single" w:color="000000" w:sz="6" w:space="0"/>
            </w:tcBorders>
            <w:vAlign w:val="center"/>
          </w:tcPr>
          <w:p w14:paraId="37C9A39D">
            <w:pPr>
              <w:rPr>
                <w:color w:val="auto"/>
                <w:highlight w:val="none"/>
              </w:rPr>
            </w:pPr>
            <w:r>
              <w:rPr>
                <w:rFonts w:hint="eastAsia" w:ascii="宋体" w:hAnsi="宋体" w:cs="宋体"/>
                <w:color w:val="auto"/>
                <w:szCs w:val="21"/>
                <w:highlight w:val="none"/>
              </w:rPr>
              <w:t>建安工程费</w:t>
            </w:r>
            <w:r>
              <w:rPr>
                <w:rFonts w:hint="eastAsia"/>
                <w:color w:val="auto"/>
                <w:highlight w:val="none"/>
              </w:rPr>
              <w:t>投标报价的偏差率计算公式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028C578D">
            <w:pPr>
              <w:rPr>
                <w:color w:val="auto"/>
                <w:highlight w:val="none"/>
              </w:rPr>
            </w:pPr>
            <w:r>
              <w:rPr>
                <w:rFonts w:hint="eastAsia"/>
                <w:color w:val="auto"/>
                <w:highlight w:val="none"/>
              </w:rPr>
              <w:t>偏差率</w:t>
            </w:r>
            <w:r>
              <w:rPr>
                <w:color w:val="auto"/>
                <w:highlight w:val="none"/>
              </w:rPr>
              <w:t>=</w:t>
            </w:r>
            <w:r>
              <w:rPr>
                <w:rFonts w:ascii="宋体" w:hAnsi="宋体"/>
                <w:color w:val="auto"/>
                <w:highlight w:val="none"/>
              </w:rPr>
              <w:t xml:space="preserve">100% </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投标报价－评标基准价）</w:t>
            </w:r>
            <w:r>
              <w:rPr>
                <w:color w:val="auto"/>
                <w:highlight w:val="none"/>
              </w:rPr>
              <w:t>/</w:t>
            </w:r>
            <w:r>
              <w:rPr>
                <w:rFonts w:hint="eastAsia"/>
                <w:color w:val="auto"/>
                <w:highlight w:val="none"/>
              </w:rPr>
              <w:t>评标基准价</w:t>
            </w:r>
          </w:p>
        </w:tc>
      </w:tr>
      <w:tr w14:paraId="6485F535">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14BE6404">
            <w:pP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4" w:space="0"/>
            </w:tcBorders>
            <w:vAlign w:val="center"/>
          </w:tcPr>
          <w:p w14:paraId="347B51E7">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242" w:type="dxa"/>
            <w:tcBorders>
              <w:top w:val="single" w:color="000000" w:sz="6" w:space="0"/>
              <w:left w:val="single" w:color="000000" w:sz="4" w:space="0"/>
              <w:bottom w:val="single" w:color="000000" w:sz="6" w:space="0"/>
              <w:right w:val="single" w:color="000000" w:sz="4" w:space="0"/>
            </w:tcBorders>
            <w:vAlign w:val="center"/>
          </w:tcPr>
          <w:p w14:paraId="290D4953">
            <w:pP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23072B3F">
        <w:tblPrEx>
          <w:tblCellMar>
            <w:top w:w="0" w:type="dxa"/>
            <w:left w:w="108" w:type="dxa"/>
            <w:bottom w:w="0" w:type="dxa"/>
            <w:right w:w="108" w:type="dxa"/>
          </w:tblCellMar>
        </w:tblPrEx>
        <w:trPr>
          <w:trHeight w:val="720"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0CCC1859">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2.2.4</w:t>
            </w: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w:t>
            </w:r>
          </w:p>
        </w:tc>
        <w:tc>
          <w:tcPr>
            <w:tcW w:w="1447" w:type="dxa"/>
            <w:tcBorders>
              <w:top w:val="single" w:color="000000" w:sz="6" w:space="0"/>
              <w:left w:val="single" w:color="000000" w:sz="4" w:space="0"/>
              <w:bottom w:val="single" w:color="auto" w:sz="4" w:space="0"/>
              <w:right w:val="single" w:color="000000" w:sz="6" w:space="0"/>
            </w:tcBorders>
            <w:vAlign w:val="center"/>
          </w:tcPr>
          <w:p w14:paraId="59C4BBD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勘察设计方案评分标准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7BFED44B">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勘察设计方案部分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6DCA39CD">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2</w:t>
            </w:r>
            <w:r>
              <w:rPr>
                <w:rFonts w:hint="eastAsia" w:ascii="宋体" w:hAnsi="宋体" w:cs="宋体"/>
                <w:color w:val="auto"/>
                <w:kern w:val="1"/>
                <w:szCs w:val="21"/>
                <w:highlight w:val="none"/>
              </w:rPr>
              <w:t>《勘察设计方案评分表》</w:t>
            </w:r>
          </w:p>
        </w:tc>
      </w:tr>
      <w:tr w14:paraId="4DE1B5B9">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61659AAB">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2.2.4</w:t>
            </w: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w:t>
            </w:r>
          </w:p>
        </w:tc>
        <w:tc>
          <w:tcPr>
            <w:tcW w:w="1447" w:type="dxa"/>
            <w:vMerge w:val="restart"/>
            <w:tcBorders>
              <w:top w:val="single" w:color="auto" w:sz="4" w:space="0"/>
              <w:left w:val="single" w:color="000000" w:sz="4" w:space="0"/>
              <w:right w:val="single" w:color="000000" w:sz="6" w:space="0"/>
            </w:tcBorders>
            <w:vAlign w:val="center"/>
          </w:tcPr>
          <w:p w14:paraId="02C6E65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525D049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工程总承包实施方案技术部分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35545892">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3</w:t>
            </w:r>
            <w:r>
              <w:rPr>
                <w:rFonts w:hint="eastAsia" w:ascii="宋体" w:hAnsi="宋体" w:cs="宋体"/>
                <w:color w:val="auto"/>
                <w:kern w:val="1"/>
                <w:szCs w:val="21"/>
                <w:highlight w:val="none"/>
              </w:rPr>
              <w:t>《工程总承包实施方案技术部分评分表》</w:t>
            </w:r>
          </w:p>
        </w:tc>
      </w:tr>
      <w:tr w14:paraId="1AF8B5EA">
        <w:tblPrEx>
          <w:tblCellMar>
            <w:top w:w="0" w:type="dxa"/>
            <w:left w:w="108" w:type="dxa"/>
            <w:bottom w:w="0" w:type="dxa"/>
            <w:right w:w="108" w:type="dxa"/>
          </w:tblCellMar>
        </w:tblPrEx>
        <w:trPr>
          <w:trHeight w:val="538" w:hRule="atLeast"/>
        </w:trPr>
        <w:tc>
          <w:tcPr>
            <w:tcW w:w="1178" w:type="dxa"/>
            <w:gridSpan w:val="2"/>
            <w:tcBorders>
              <w:top w:val="single" w:color="auto" w:sz="4" w:space="0"/>
              <w:left w:val="single" w:color="000000" w:sz="4" w:space="0"/>
              <w:bottom w:val="single" w:color="000000" w:sz="6" w:space="0"/>
              <w:right w:val="single" w:color="000000" w:sz="4" w:space="0"/>
            </w:tcBorders>
            <w:vAlign w:val="center"/>
          </w:tcPr>
          <w:p w14:paraId="3C8E27A5">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2.2.4</w:t>
            </w: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p>
        </w:tc>
        <w:tc>
          <w:tcPr>
            <w:tcW w:w="1447" w:type="dxa"/>
            <w:vMerge w:val="continue"/>
            <w:tcBorders>
              <w:left w:val="single" w:color="000000" w:sz="4" w:space="0"/>
              <w:bottom w:val="single" w:color="000000" w:sz="6" w:space="0"/>
              <w:right w:val="single" w:color="000000" w:sz="6" w:space="0"/>
            </w:tcBorders>
            <w:vAlign w:val="center"/>
          </w:tcPr>
          <w:p w14:paraId="30719087">
            <w:pPr>
              <w:spacing w:line="360" w:lineRule="auto"/>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14:paraId="32B4E63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工程总承包实施方案经济部分</w:t>
            </w:r>
          </w:p>
        </w:tc>
        <w:tc>
          <w:tcPr>
            <w:tcW w:w="524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5D1C1489">
            <w:pPr>
              <w:spacing w:line="276" w:lineRule="auto"/>
              <w:rPr>
                <w:rFonts w:ascii="宋体" w:hAnsi="宋体" w:cs="宋体"/>
                <w:color w:val="auto"/>
                <w:kern w:val="1"/>
                <w:szCs w:val="21"/>
                <w:highlight w:val="none"/>
              </w:rPr>
            </w:pPr>
            <w:r>
              <w:rPr>
                <w:rFonts w:hint="eastAsia" w:ascii="宋体" w:hAnsi="宋体" w:cs="宋体"/>
                <w:color w:val="auto"/>
                <w:kern w:val="1"/>
                <w:szCs w:val="21"/>
                <w:highlight w:val="none"/>
              </w:rPr>
              <w:t>评标委员会按“当评标价等于评标基准价时得</w:t>
            </w:r>
            <w:r>
              <w:rPr>
                <w:rFonts w:ascii="宋体" w:hAnsi="宋体" w:cs="宋体"/>
                <w:color w:val="auto"/>
                <w:kern w:val="1"/>
                <w:szCs w:val="21"/>
                <w:highlight w:val="none"/>
              </w:rPr>
              <w:t>100</w:t>
            </w:r>
            <w:r>
              <w:rPr>
                <w:rFonts w:hint="eastAsia" w:ascii="宋体" w:hAnsi="宋体" w:cs="宋体"/>
                <w:color w:val="auto"/>
                <w:kern w:val="1"/>
                <w:szCs w:val="21"/>
                <w:highlight w:val="none"/>
              </w:rPr>
              <w:t>分，评标价每高于评标基准价</w:t>
            </w:r>
            <w:r>
              <w:rPr>
                <w:rFonts w:ascii="宋体" w:hAnsi="宋体" w:cs="宋体"/>
                <w:color w:val="auto"/>
                <w:kern w:val="1"/>
                <w:szCs w:val="21"/>
                <w:highlight w:val="none"/>
              </w:rPr>
              <w:t>1%</w:t>
            </w:r>
            <w:r>
              <w:rPr>
                <w:rFonts w:hint="eastAsia" w:ascii="宋体" w:hAnsi="宋体" w:cs="宋体"/>
                <w:color w:val="auto"/>
                <w:kern w:val="1"/>
                <w:szCs w:val="21"/>
                <w:highlight w:val="none"/>
              </w:rPr>
              <w:t>，扣</w:t>
            </w:r>
            <w:r>
              <w:rPr>
                <w:rFonts w:ascii="宋体" w:hAnsi="宋体" w:cs="宋体"/>
                <w:color w:val="auto"/>
                <w:kern w:val="1"/>
                <w:szCs w:val="21"/>
                <w:highlight w:val="none"/>
              </w:rPr>
              <w:t>1.5</w:t>
            </w:r>
            <w:r>
              <w:rPr>
                <w:rFonts w:hint="eastAsia" w:ascii="宋体" w:hAnsi="宋体" w:cs="宋体"/>
                <w:color w:val="auto"/>
                <w:kern w:val="1"/>
                <w:szCs w:val="21"/>
                <w:highlight w:val="none"/>
              </w:rPr>
              <w:t>分，每低于评标基准价</w:t>
            </w:r>
            <w:r>
              <w:rPr>
                <w:rFonts w:ascii="宋体" w:hAnsi="宋体" w:cs="宋体"/>
                <w:color w:val="auto"/>
                <w:kern w:val="1"/>
                <w:szCs w:val="21"/>
                <w:highlight w:val="none"/>
              </w:rPr>
              <w:t>1%</w:t>
            </w:r>
            <w:r>
              <w:rPr>
                <w:rFonts w:hint="eastAsia" w:ascii="宋体" w:hAnsi="宋体" w:cs="宋体"/>
                <w:color w:val="auto"/>
                <w:kern w:val="1"/>
                <w:szCs w:val="21"/>
                <w:highlight w:val="none"/>
              </w:rPr>
              <w:t>，扣</w:t>
            </w:r>
            <w:r>
              <w:rPr>
                <w:rFonts w:ascii="宋体" w:hAnsi="宋体" w:cs="宋体"/>
                <w:color w:val="auto"/>
                <w:kern w:val="1"/>
                <w:szCs w:val="21"/>
                <w:highlight w:val="none"/>
              </w:rPr>
              <w:t>1.0</w:t>
            </w:r>
            <w:r>
              <w:rPr>
                <w:rFonts w:hint="eastAsia" w:ascii="宋体" w:hAnsi="宋体" w:cs="宋体"/>
                <w:color w:val="auto"/>
                <w:kern w:val="1"/>
                <w:szCs w:val="21"/>
                <w:highlight w:val="none"/>
              </w:rPr>
              <w:t>分，最多扣</w:t>
            </w:r>
            <w:r>
              <w:rPr>
                <w:rFonts w:ascii="宋体" w:hAnsi="宋体" w:cs="宋体"/>
                <w:color w:val="auto"/>
                <w:kern w:val="1"/>
                <w:szCs w:val="21"/>
                <w:highlight w:val="none"/>
              </w:rPr>
              <w:t>100</w:t>
            </w:r>
            <w:r>
              <w:rPr>
                <w:rFonts w:hint="eastAsia" w:ascii="宋体" w:hAnsi="宋体" w:cs="宋体"/>
                <w:color w:val="auto"/>
                <w:kern w:val="1"/>
                <w:szCs w:val="21"/>
                <w:highlight w:val="none"/>
              </w:rPr>
              <w:t>分”的标准，计算出工程总承包实施方案经济部分得分，精确到小数点后两位。</w:t>
            </w:r>
          </w:p>
          <w:p w14:paraId="7E4F07CA">
            <w:pPr>
              <w:spacing w:line="276" w:lineRule="auto"/>
              <w:rPr>
                <w:rFonts w:ascii="宋体" w:hAnsi="宋体" w:cs="宋体"/>
                <w:color w:val="auto"/>
                <w:kern w:val="1"/>
                <w:szCs w:val="21"/>
                <w:highlight w:val="none"/>
              </w:rPr>
            </w:pPr>
            <w:r>
              <w:rPr>
                <w:rFonts w:hint="eastAsia"/>
                <w:color w:val="auto"/>
                <w:highlight w:val="none"/>
              </w:rPr>
              <w:t>注：根据第二章“投标人须知前附表”第</w:t>
            </w:r>
            <w:r>
              <w:rPr>
                <w:rFonts w:ascii="宋体" w:hAnsi="宋体" w:cs="宋体"/>
                <w:color w:val="auto"/>
                <w:kern w:val="1"/>
                <w:szCs w:val="21"/>
                <w:highlight w:val="none"/>
              </w:rPr>
              <w:t>9.7</w:t>
            </w:r>
            <w:r>
              <w:rPr>
                <w:rFonts w:hint="eastAsia" w:ascii="宋体" w:hAnsi="宋体" w:cs="宋体"/>
                <w:color w:val="auto"/>
                <w:kern w:val="1"/>
                <w:szCs w:val="21"/>
                <w:highlight w:val="none"/>
              </w:rPr>
              <w:t>项</w:t>
            </w:r>
            <w:r>
              <w:rPr>
                <w:rFonts w:hint="eastAsia"/>
                <w:color w:val="auto"/>
                <w:highlight w:val="none"/>
              </w:rPr>
              <w:t>规定实施投标报价评审优惠政策，对符合《政府采购促进中小企业发展管理办法》的小微企业投标人，给予相应的价格评审优惠。</w:t>
            </w:r>
          </w:p>
        </w:tc>
      </w:tr>
      <w:tr w14:paraId="053D52E2">
        <w:tblPrEx>
          <w:tblCellMar>
            <w:top w:w="0" w:type="dxa"/>
            <w:left w:w="108" w:type="dxa"/>
            <w:bottom w:w="0" w:type="dxa"/>
            <w:right w:w="108" w:type="dxa"/>
          </w:tblCellMar>
        </w:tblPrEx>
        <w:trPr>
          <w:trHeight w:val="305" w:hRule="atLeast"/>
        </w:trPr>
        <w:tc>
          <w:tcPr>
            <w:tcW w:w="9240" w:type="dxa"/>
            <w:gridSpan w:val="5"/>
            <w:tcBorders>
              <w:top w:val="single" w:color="000000" w:sz="6" w:space="0"/>
              <w:left w:val="single" w:color="000000" w:sz="4" w:space="0"/>
              <w:bottom w:val="single" w:color="000000" w:sz="6" w:space="0"/>
              <w:right w:val="single" w:color="000000" w:sz="4" w:space="0"/>
            </w:tcBorders>
            <w:vAlign w:val="center"/>
          </w:tcPr>
          <w:p w14:paraId="1AE56C91">
            <w:pPr>
              <w:spacing w:line="360" w:lineRule="auto"/>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0F3B4404">
        <w:tblPrEx>
          <w:tblCellMar>
            <w:top w:w="0" w:type="dxa"/>
            <w:left w:w="108" w:type="dxa"/>
            <w:bottom w:w="0" w:type="dxa"/>
            <w:right w:w="108" w:type="dxa"/>
          </w:tblCellMar>
        </w:tblPrEx>
        <w:trPr>
          <w:trHeight w:val="759" w:hRule="atLeast"/>
        </w:trPr>
        <w:tc>
          <w:tcPr>
            <w:tcW w:w="9240" w:type="dxa"/>
            <w:gridSpan w:val="5"/>
            <w:tcBorders>
              <w:top w:val="single" w:color="000000" w:sz="6" w:space="0"/>
              <w:left w:val="single" w:color="000000" w:sz="4" w:space="0"/>
              <w:bottom w:val="single" w:color="000000" w:sz="4" w:space="0"/>
              <w:right w:val="single" w:color="000000" w:sz="4" w:space="0"/>
            </w:tcBorders>
          </w:tcPr>
          <w:p w14:paraId="53F46BB7">
            <w:pPr>
              <w:spacing w:line="360" w:lineRule="auto"/>
              <w:rPr>
                <w:color w:val="auto"/>
                <w:highlight w:val="none"/>
              </w:rPr>
            </w:pPr>
            <w:r>
              <w:rPr>
                <w:rFonts w:hint="eastAsia" w:ascii="宋体" w:hAnsi="宋体" w:cs="宋体"/>
                <w:color w:val="auto"/>
                <w:kern w:val="1"/>
                <w:szCs w:val="21"/>
                <w:highlight w:val="none"/>
              </w:rPr>
              <w:t>关于联合体投标人评标的相关规定：如组成联合体投标的；勘察设计部分评分以承接勘察设计任务的单位为准；施工部分评分以承接施工任务的单位为准。</w:t>
            </w:r>
          </w:p>
        </w:tc>
      </w:tr>
    </w:tbl>
    <w:p w14:paraId="1575A738">
      <w:pPr>
        <w:spacing w:line="360" w:lineRule="auto"/>
        <w:jc w:val="left"/>
        <w:rPr>
          <w:rFonts w:ascii="宋体" w:hAnsi="宋体" w:cs="宋体"/>
          <w:color w:val="auto"/>
          <w:highlight w:val="none"/>
        </w:rPr>
        <w:sectPr>
          <w:headerReference r:id="rId9" w:type="default"/>
          <w:footerReference r:id="rId10" w:type="default"/>
          <w:pgSz w:w="11907" w:h="16840"/>
          <w:pgMar w:top="1361" w:right="1304" w:bottom="1304" w:left="1304" w:header="851" w:footer="720" w:gutter="0"/>
          <w:cols w:space="720" w:num="1"/>
        </w:sectPr>
      </w:pPr>
    </w:p>
    <w:p w14:paraId="2E796A84">
      <w:pPr>
        <w:pStyle w:val="4"/>
        <w:spacing w:before="100" w:after="100" w:line="360" w:lineRule="auto"/>
        <w:rPr>
          <w:rFonts w:ascii="宋体" w:hAnsi="宋体" w:eastAsia="宋体" w:cs="宋体"/>
          <w:color w:val="auto"/>
          <w:sz w:val="24"/>
          <w:szCs w:val="24"/>
          <w:highlight w:val="none"/>
          <w:lang w:val="zh-CN"/>
        </w:rPr>
      </w:pPr>
      <w:bookmarkStart w:id="324" w:name="_Toc3262"/>
      <w:bookmarkEnd w:id="324"/>
      <w:bookmarkStart w:id="325" w:name="_Toc27323"/>
      <w:bookmarkEnd w:id="325"/>
      <w:bookmarkStart w:id="326" w:name="_Toc1626"/>
      <w:bookmarkStart w:id="327" w:name="_Toc5620347"/>
      <w:bookmarkStart w:id="328" w:name="_Toc26992"/>
      <w:r>
        <w:rPr>
          <w:rFonts w:ascii="宋体" w:hAnsi="宋体" w:eastAsia="宋体" w:cs="宋体"/>
          <w:color w:val="auto"/>
          <w:sz w:val="24"/>
          <w:szCs w:val="24"/>
          <w:highlight w:val="none"/>
          <w:lang w:val="zh-CN"/>
        </w:rPr>
        <w:t>1.</w:t>
      </w:r>
      <w:bookmarkEnd w:id="326"/>
      <w:bookmarkEnd w:id="327"/>
      <w:r>
        <w:rPr>
          <w:rFonts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zh-CN"/>
        </w:rPr>
        <w:t>评标方法</w:t>
      </w:r>
      <w:bookmarkEnd w:id="328"/>
    </w:p>
    <w:p w14:paraId="627AC32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w:t>
      </w:r>
      <w:r>
        <w:rPr>
          <w:rFonts w:ascii="宋体" w:hAnsi="宋体" w:cs="宋体"/>
          <w:color w:val="auto"/>
          <w:kern w:val="1"/>
          <w:szCs w:val="21"/>
          <w:highlight w:val="none"/>
        </w:rPr>
        <w:t>2.2</w:t>
      </w:r>
      <w:r>
        <w:rPr>
          <w:rFonts w:hint="eastAsia" w:ascii="宋体" w:hAnsi="宋体" w:cs="宋体"/>
          <w:color w:val="auto"/>
          <w:kern w:val="1"/>
          <w:szCs w:val="21"/>
          <w:highlight w:val="none"/>
        </w:rPr>
        <w:t>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5F8A8E61">
      <w:pPr>
        <w:pStyle w:val="4"/>
        <w:spacing w:before="100" w:after="100" w:line="360" w:lineRule="auto"/>
        <w:rPr>
          <w:rFonts w:ascii="宋体" w:hAnsi="宋体" w:eastAsia="宋体" w:cs="宋体"/>
          <w:color w:val="auto"/>
          <w:sz w:val="21"/>
          <w:szCs w:val="21"/>
          <w:highlight w:val="none"/>
          <w:lang w:val="zh-CN"/>
        </w:rPr>
      </w:pPr>
      <w:bookmarkStart w:id="329" w:name="_Toc3493"/>
      <w:bookmarkEnd w:id="329"/>
      <w:bookmarkStart w:id="330" w:name="_Toc26760"/>
      <w:bookmarkEnd w:id="330"/>
      <w:bookmarkStart w:id="331" w:name="_Toc5620348"/>
      <w:bookmarkStart w:id="332" w:name="_Toc26257"/>
      <w:bookmarkStart w:id="333" w:name="_Toc25345"/>
      <w:r>
        <w:rPr>
          <w:rFonts w:ascii="宋体" w:hAnsi="宋体" w:eastAsia="宋体" w:cs="宋体"/>
          <w:color w:val="auto"/>
          <w:sz w:val="21"/>
          <w:szCs w:val="21"/>
          <w:highlight w:val="none"/>
          <w:lang w:val="zh-CN"/>
        </w:rPr>
        <w:t>2.</w:t>
      </w:r>
      <w:bookmarkEnd w:id="331"/>
      <w:bookmarkEnd w:id="332"/>
      <w:r>
        <w:rPr>
          <w:rFonts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zh-CN"/>
        </w:rPr>
        <w:t>评审标准</w:t>
      </w:r>
      <w:bookmarkEnd w:id="333"/>
    </w:p>
    <w:p w14:paraId="7D4AB74B">
      <w:pPr>
        <w:pStyle w:val="5"/>
        <w:spacing w:before="100" w:after="100" w:line="360" w:lineRule="auto"/>
        <w:rPr>
          <w:rFonts w:ascii="宋体" w:hAnsi="宋体" w:eastAsia="宋体"/>
          <w:b/>
          <w:bCs/>
          <w:color w:val="auto"/>
          <w:sz w:val="21"/>
          <w:szCs w:val="21"/>
          <w:highlight w:val="none"/>
          <w:lang w:val="zh-CN"/>
        </w:rPr>
      </w:pPr>
      <w:bookmarkStart w:id="334" w:name="_Toc22589"/>
      <w:bookmarkEnd w:id="334"/>
      <w:bookmarkStart w:id="335" w:name="_Toc14978"/>
      <w:bookmarkEnd w:id="335"/>
      <w:bookmarkStart w:id="336" w:name="_Toc17134"/>
      <w:r>
        <w:rPr>
          <w:rFonts w:ascii="宋体" w:hAnsi="宋体" w:eastAsia="宋体"/>
          <w:b/>
          <w:bCs/>
          <w:color w:val="auto"/>
          <w:sz w:val="21"/>
          <w:szCs w:val="21"/>
          <w:highlight w:val="none"/>
          <w:lang w:val="zh-CN"/>
        </w:rPr>
        <w:t xml:space="preserve">2.1 </w:t>
      </w:r>
      <w:r>
        <w:rPr>
          <w:rFonts w:hint="eastAsia" w:ascii="宋体" w:hAnsi="宋体" w:eastAsia="宋体"/>
          <w:b/>
          <w:bCs/>
          <w:color w:val="auto"/>
          <w:sz w:val="21"/>
          <w:szCs w:val="21"/>
          <w:highlight w:val="none"/>
          <w:lang w:val="zh-CN"/>
        </w:rPr>
        <w:t>初步评审标准</w:t>
      </w:r>
      <w:bookmarkEnd w:id="336"/>
    </w:p>
    <w:p w14:paraId="66D01271">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2.1.1 </w:t>
      </w:r>
      <w:r>
        <w:rPr>
          <w:rFonts w:hint="eastAsia" w:ascii="宋体" w:hAnsi="宋体" w:cs="宋体"/>
          <w:color w:val="auto"/>
          <w:kern w:val="1"/>
          <w:szCs w:val="21"/>
          <w:highlight w:val="none"/>
        </w:rPr>
        <w:t>形式评审标准：见评标办法前附表。</w:t>
      </w:r>
    </w:p>
    <w:p w14:paraId="4F7F88E5">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536D6450">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2.1.3 </w:t>
      </w:r>
      <w:r>
        <w:rPr>
          <w:rFonts w:hint="eastAsia" w:ascii="宋体" w:hAnsi="宋体" w:cs="宋体"/>
          <w:color w:val="auto"/>
          <w:kern w:val="1"/>
          <w:szCs w:val="21"/>
          <w:highlight w:val="none"/>
        </w:rPr>
        <w:t>勘察设计方案响应性评审标准：见评标办法前附表。</w:t>
      </w:r>
    </w:p>
    <w:p w14:paraId="2BA00A84">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2.1.4 </w:t>
      </w:r>
      <w:r>
        <w:rPr>
          <w:rFonts w:hint="eastAsia" w:ascii="宋体" w:hAnsi="宋体" w:cs="宋体"/>
          <w:color w:val="auto"/>
          <w:kern w:val="1"/>
          <w:szCs w:val="21"/>
          <w:highlight w:val="none"/>
        </w:rPr>
        <w:t>工程总承包实施方案响应性评审标准：见评标办法前附表。</w:t>
      </w:r>
    </w:p>
    <w:p w14:paraId="4A7BC6D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14:paraId="680E9273">
      <w:pPr>
        <w:pStyle w:val="5"/>
        <w:spacing w:before="100" w:after="100" w:line="360" w:lineRule="auto"/>
        <w:rPr>
          <w:rFonts w:ascii="宋体" w:hAnsi="宋体" w:eastAsia="宋体"/>
          <w:b/>
          <w:bCs/>
          <w:color w:val="auto"/>
          <w:sz w:val="21"/>
          <w:szCs w:val="21"/>
          <w:highlight w:val="none"/>
          <w:lang w:val="zh-CN"/>
        </w:rPr>
      </w:pPr>
      <w:bookmarkStart w:id="337" w:name="_Toc31735"/>
      <w:r>
        <w:rPr>
          <w:rFonts w:ascii="宋体" w:hAnsi="宋体" w:eastAsia="宋体"/>
          <w:b/>
          <w:bCs/>
          <w:color w:val="auto"/>
          <w:sz w:val="21"/>
          <w:szCs w:val="21"/>
          <w:highlight w:val="none"/>
          <w:lang w:val="zh-CN"/>
        </w:rPr>
        <w:t xml:space="preserve">2.2 </w:t>
      </w:r>
      <w:r>
        <w:rPr>
          <w:rFonts w:hint="eastAsia" w:ascii="宋体" w:hAnsi="宋体" w:eastAsia="宋体"/>
          <w:b/>
          <w:bCs/>
          <w:color w:val="auto"/>
          <w:sz w:val="21"/>
          <w:szCs w:val="21"/>
          <w:highlight w:val="none"/>
          <w:lang w:val="zh-CN"/>
        </w:rPr>
        <w:t>分值构成与评分标准</w:t>
      </w:r>
      <w:bookmarkEnd w:id="337"/>
    </w:p>
    <w:p w14:paraId="0BEBC31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2.2.1 </w:t>
      </w:r>
      <w:r>
        <w:rPr>
          <w:rFonts w:hint="eastAsia" w:ascii="宋体" w:hAnsi="宋体" w:cs="宋体"/>
          <w:color w:val="auto"/>
          <w:kern w:val="1"/>
          <w:szCs w:val="21"/>
          <w:highlight w:val="none"/>
        </w:rPr>
        <w:t>分值构成及权重：见评标办法前附表。</w:t>
      </w:r>
    </w:p>
    <w:p w14:paraId="3D3BA7A0">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2.2.2 </w:t>
      </w:r>
      <w:r>
        <w:rPr>
          <w:rFonts w:hint="eastAsia" w:ascii="宋体" w:hAnsi="宋体" w:cs="宋体"/>
          <w:color w:val="auto"/>
          <w:kern w:val="1"/>
          <w:szCs w:val="21"/>
          <w:highlight w:val="none"/>
        </w:rPr>
        <w:t>评标基准价计算</w:t>
      </w:r>
    </w:p>
    <w:p w14:paraId="410B2B9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评标基准价计算方法：见评标办法前附表。</w:t>
      </w:r>
    </w:p>
    <w:p w14:paraId="5F97A697">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2.2.3 </w:t>
      </w:r>
      <w:r>
        <w:rPr>
          <w:rFonts w:hint="eastAsia" w:ascii="宋体" w:hAnsi="宋体" w:cs="宋体"/>
          <w:color w:val="auto"/>
          <w:szCs w:val="21"/>
          <w:highlight w:val="none"/>
        </w:rPr>
        <w:t>建安工程费</w:t>
      </w:r>
      <w:r>
        <w:rPr>
          <w:rFonts w:hint="eastAsia" w:ascii="宋体" w:hAnsi="宋体" w:cs="宋体"/>
          <w:color w:val="auto"/>
          <w:kern w:val="1"/>
          <w:szCs w:val="21"/>
          <w:highlight w:val="none"/>
        </w:rPr>
        <w:t>投标报价的偏差率计算</w:t>
      </w:r>
    </w:p>
    <w:p w14:paraId="06A06E6D">
      <w:pPr>
        <w:spacing w:line="360" w:lineRule="auto"/>
        <w:ind w:firstLine="420"/>
        <w:rPr>
          <w:rFonts w:ascii="宋体" w:hAnsi="宋体" w:cs="宋体"/>
          <w:color w:val="auto"/>
          <w:kern w:val="1"/>
          <w:szCs w:val="21"/>
          <w:highlight w:val="none"/>
        </w:rPr>
      </w:pPr>
      <w:r>
        <w:rPr>
          <w:rFonts w:hint="eastAsia" w:ascii="宋体" w:hAnsi="宋体" w:cs="宋体"/>
          <w:color w:val="auto"/>
          <w:szCs w:val="21"/>
          <w:highlight w:val="none"/>
        </w:rPr>
        <w:t>建安工程费</w:t>
      </w:r>
      <w:r>
        <w:rPr>
          <w:rFonts w:hint="eastAsia" w:ascii="宋体" w:hAnsi="宋体" w:cs="宋体"/>
          <w:color w:val="auto"/>
          <w:kern w:val="1"/>
          <w:szCs w:val="21"/>
          <w:highlight w:val="none"/>
        </w:rPr>
        <w:t>投标报价的偏差率计算公式：见评标办法前附表。</w:t>
      </w:r>
    </w:p>
    <w:p w14:paraId="1C645075">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2.2.4</w:t>
      </w:r>
      <w:r>
        <w:rPr>
          <w:rFonts w:hint="eastAsia" w:ascii="宋体" w:hAnsi="宋体" w:cs="宋体"/>
          <w:color w:val="auto"/>
          <w:kern w:val="1"/>
          <w:szCs w:val="21"/>
          <w:highlight w:val="none"/>
        </w:rPr>
        <w:t>评分标准</w:t>
      </w:r>
    </w:p>
    <w:p w14:paraId="0DBF824B">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）勘察设计方案部分：见评标办法前附表。</w:t>
      </w:r>
    </w:p>
    <w:p w14:paraId="1F021239">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）工程总承包实施方案技术部分：见评标办法前附表。</w:t>
      </w:r>
    </w:p>
    <w:p w14:paraId="01F7183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）工程总承包实施方案经济部分：见评标办法前附表。</w:t>
      </w:r>
    </w:p>
    <w:p w14:paraId="78D078F5">
      <w:pPr>
        <w:pStyle w:val="4"/>
        <w:spacing w:before="100" w:after="100" w:line="360" w:lineRule="auto"/>
        <w:rPr>
          <w:rFonts w:ascii="宋体" w:hAnsi="宋体" w:eastAsia="宋体" w:cs="宋体"/>
          <w:color w:val="auto"/>
          <w:sz w:val="21"/>
          <w:szCs w:val="21"/>
          <w:highlight w:val="none"/>
          <w:lang w:val="zh-CN"/>
        </w:rPr>
      </w:pPr>
      <w:bookmarkStart w:id="338" w:name="_Toc11733"/>
      <w:bookmarkEnd w:id="338"/>
      <w:bookmarkStart w:id="339" w:name="_Toc25997"/>
      <w:bookmarkEnd w:id="339"/>
      <w:bookmarkStart w:id="340" w:name="_Toc5818"/>
      <w:bookmarkStart w:id="341" w:name="_Toc5620351"/>
      <w:bookmarkStart w:id="342" w:name="_Toc19036"/>
      <w:r>
        <w:rPr>
          <w:rFonts w:ascii="宋体" w:hAnsi="宋体" w:eastAsia="宋体" w:cs="宋体"/>
          <w:color w:val="auto"/>
          <w:sz w:val="21"/>
          <w:szCs w:val="21"/>
          <w:highlight w:val="none"/>
          <w:lang w:val="zh-CN"/>
        </w:rPr>
        <w:t>3.</w:t>
      </w:r>
      <w:bookmarkEnd w:id="340"/>
      <w:bookmarkEnd w:id="341"/>
      <w:r>
        <w:rPr>
          <w:rFonts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zh-CN"/>
        </w:rPr>
        <w:t>评标程序</w:t>
      </w:r>
      <w:bookmarkEnd w:id="342"/>
    </w:p>
    <w:p w14:paraId="659116B9">
      <w:pPr>
        <w:spacing w:line="360" w:lineRule="auto"/>
        <w:ind w:firstLine="420" w:firstLineChars="200"/>
        <w:rPr>
          <w:color w:val="auto"/>
          <w:highlight w:val="none"/>
          <w:u w:val="single"/>
          <w:lang w:val="zh-CN"/>
        </w:rPr>
      </w:pPr>
      <w:r>
        <w:rPr>
          <w:rFonts w:hint="eastAsia"/>
          <w:color w:val="auto"/>
          <w:highlight w:val="none"/>
          <w:u w:val="single"/>
          <w:lang w:val="zh-CN"/>
        </w:rPr>
        <w:t>本项目采取电子评标。勘察设计方案文件响应性评审、勘察设计方案评审由勘察设计评审组负责，形式评审、资格评审、工程总承包实施方案响应性评审、工程总承包实施方案评审及评审汇总由综合评审组负责。</w:t>
      </w:r>
    </w:p>
    <w:p w14:paraId="28870444">
      <w:pPr>
        <w:pStyle w:val="5"/>
        <w:spacing w:before="100" w:after="100" w:line="360" w:lineRule="auto"/>
        <w:ind w:firstLine="103"/>
        <w:rPr>
          <w:rFonts w:ascii="宋体" w:hAnsi="宋体"/>
          <w:color w:val="auto"/>
          <w:kern w:val="1"/>
          <w:szCs w:val="21"/>
          <w:highlight w:val="none"/>
        </w:rPr>
      </w:pPr>
      <w:bookmarkStart w:id="343" w:name="_Toc9952"/>
      <w:bookmarkStart w:id="344" w:name="_Toc5620356"/>
      <w:r>
        <w:rPr>
          <w:rFonts w:ascii="宋体" w:hAnsi="宋体" w:eastAsia="宋体"/>
          <w:b/>
          <w:color w:val="auto"/>
          <w:sz w:val="21"/>
          <w:szCs w:val="21"/>
          <w:highlight w:val="none"/>
          <w:u w:val="single"/>
        </w:rPr>
        <w:t>3.1</w:t>
      </w:r>
      <w:r>
        <w:rPr>
          <w:rFonts w:hint="eastAsia" w:ascii="宋体" w:hAnsi="宋体" w:eastAsia="宋体"/>
          <w:b/>
          <w:color w:val="auto"/>
          <w:sz w:val="21"/>
          <w:szCs w:val="21"/>
          <w:highlight w:val="none"/>
          <w:u w:val="single"/>
        </w:rPr>
        <w:t>勘察设计方案评审（由勘察设计评审组负责）</w:t>
      </w:r>
      <w:bookmarkEnd w:id="343"/>
    </w:p>
    <w:p w14:paraId="4715939F">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3.1.1</w:t>
      </w:r>
      <w:r>
        <w:rPr>
          <w:rFonts w:hint="eastAsia" w:ascii="宋体" w:hAnsi="宋体" w:cs="宋体"/>
          <w:color w:val="auto"/>
          <w:kern w:val="1"/>
          <w:szCs w:val="21"/>
          <w:highlight w:val="none"/>
          <w:u w:val="single"/>
        </w:rPr>
        <w:t>勘察设计评审组评委按勘察设计方案文件响应性评审标准（详见前附表）对所有成功解密的勘察设计方案投标文件进行评审，只有通过响应性评审的勘察设计方案投标文件方可进入下一阶段的评审。如果有否决投标提议，则勘察设计评审组成员共同表决，按照少数服从多数的原则决定是否否决其投标。勘察设计评审组评委根据勘察设计方案文件响应性评审结果，否决未通过勘察设计方案文件响应性评审的投标人的投标。通过勘察设计方案文件响应性评审的设计方案少于</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个的，则本项目招标失败。</w:t>
      </w:r>
    </w:p>
    <w:p w14:paraId="4F827DF9">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3.1.2 </w:t>
      </w:r>
      <w:r>
        <w:rPr>
          <w:rFonts w:hint="eastAsia" w:ascii="宋体" w:hAnsi="宋体" w:cs="宋体"/>
          <w:color w:val="auto"/>
          <w:kern w:val="1"/>
          <w:szCs w:val="21"/>
          <w:highlight w:val="none"/>
          <w:u w:val="single"/>
        </w:rPr>
        <w:t>勘察设计评审组评委按勘察设计方案评分标准（详见前附表）对通过勘察设计方案文件响应性评审的勘察设计方案投标文件进行评分。</w:t>
      </w:r>
    </w:p>
    <w:p w14:paraId="23E4AA84">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3.1.3</w:t>
      </w:r>
      <w:r>
        <w:rPr>
          <w:rFonts w:hint="eastAsia" w:ascii="宋体" w:hAnsi="宋体" w:cs="宋体"/>
          <w:color w:val="auto"/>
          <w:kern w:val="1"/>
          <w:szCs w:val="21"/>
          <w:highlight w:val="none"/>
          <w:u w:val="single"/>
        </w:rPr>
        <w:t>算术平均各勘察设计评审组评委评分，得出每个投标人勘察设计方案部分得分，分数出现小数点，保留小数点后二位，第三位小数四舍五入。</w:t>
      </w:r>
    </w:p>
    <w:p w14:paraId="43F64216">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3.1.4 </w:t>
      </w:r>
      <w:r>
        <w:rPr>
          <w:rFonts w:hint="eastAsia" w:ascii="宋体" w:hAnsi="宋体" w:cs="宋体"/>
          <w:color w:val="auto"/>
          <w:kern w:val="1"/>
          <w:szCs w:val="21"/>
          <w:highlight w:val="none"/>
          <w:u w:val="single"/>
        </w:rPr>
        <w:t>勘察设计评审组评委揭晓投标人身份。</w:t>
      </w:r>
    </w:p>
    <w:p w14:paraId="7AC8FF65">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3.1.5</w:t>
      </w:r>
      <w:r>
        <w:rPr>
          <w:rFonts w:hint="eastAsia" w:ascii="宋体" w:hAnsi="宋体" w:cs="宋体"/>
          <w:color w:val="auto"/>
          <w:kern w:val="1"/>
          <w:szCs w:val="21"/>
          <w:highlight w:val="none"/>
          <w:u w:val="single"/>
        </w:rPr>
        <w:t>勘察设计评审组评委汇总各投标人勘察设计方案部分得分、编写、签署勘察设计方案评标报告，评标报告由勘察设计评审组评委全体成员签名，对评标结论持有异议的评标委员会成员可以书面方式阐述其不同意见和理由。</w:t>
      </w:r>
    </w:p>
    <w:p w14:paraId="531DE67B">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u w:val="single"/>
        </w:rPr>
        <w:t>3.1.6</w:t>
      </w:r>
      <w:r>
        <w:rPr>
          <w:rFonts w:hint="eastAsia" w:ascii="宋体" w:hAnsi="宋体" w:cs="宋体"/>
          <w:color w:val="auto"/>
          <w:kern w:val="1"/>
          <w:szCs w:val="21"/>
          <w:highlight w:val="none"/>
          <w:u w:val="single"/>
        </w:rPr>
        <w:t>勘察设计评审组评委向招标人提交书面勘察设计方案评标报告后即告解散。</w:t>
      </w:r>
    </w:p>
    <w:p w14:paraId="175B7193">
      <w:pPr>
        <w:pStyle w:val="5"/>
        <w:spacing w:before="100" w:after="100" w:line="360" w:lineRule="auto"/>
        <w:ind w:firstLine="103"/>
        <w:rPr>
          <w:rFonts w:ascii="宋体" w:hAnsi="宋体" w:eastAsia="宋体"/>
          <w:color w:val="auto"/>
          <w:sz w:val="21"/>
          <w:szCs w:val="21"/>
          <w:highlight w:val="none"/>
          <w:u w:val="single"/>
        </w:rPr>
      </w:pPr>
      <w:bookmarkStart w:id="345" w:name="_Toc23981"/>
      <w:r>
        <w:rPr>
          <w:rFonts w:ascii="宋体" w:hAnsi="宋体" w:eastAsia="宋体"/>
          <w:b/>
          <w:bCs/>
          <w:color w:val="auto"/>
          <w:sz w:val="21"/>
          <w:szCs w:val="21"/>
          <w:highlight w:val="none"/>
          <w:u w:val="single"/>
        </w:rPr>
        <w:t>3.2</w:t>
      </w:r>
      <w:r>
        <w:rPr>
          <w:rFonts w:hint="eastAsia" w:ascii="宋体" w:hAnsi="宋体" w:eastAsia="宋体"/>
          <w:b/>
          <w:bCs/>
          <w:color w:val="auto"/>
          <w:sz w:val="21"/>
          <w:szCs w:val="21"/>
          <w:highlight w:val="none"/>
          <w:u w:val="single"/>
        </w:rPr>
        <w:t>形式评审及资格评审（由综合评审组负责）</w:t>
      </w:r>
      <w:bookmarkEnd w:id="345"/>
    </w:p>
    <w:p w14:paraId="2663DA8F">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3.2.1</w:t>
      </w:r>
      <w:r>
        <w:rPr>
          <w:rFonts w:hint="eastAsia" w:ascii="宋体" w:hAnsi="宋体" w:cs="宋体"/>
          <w:color w:val="auto"/>
          <w:kern w:val="1"/>
          <w:szCs w:val="21"/>
          <w:highlight w:val="none"/>
          <w:u w:val="single"/>
        </w:rPr>
        <w:t>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0091ACD6">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3.2.2</w:t>
      </w:r>
      <w:r>
        <w:rPr>
          <w:rFonts w:hint="eastAsia" w:ascii="宋体" w:hAnsi="宋体" w:cs="宋体"/>
          <w:color w:val="auto"/>
          <w:kern w:val="1"/>
          <w:szCs w:val="21"/>
          <w:highlight w:val="none"/>
          <w:u w:val="single"/>
        </w:rPr>
        <w:t>汇总形式评审情况，只有通过形式评审的投标人方可进入下一阶段的评审。形式评审合格的投标人少于</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名的，则本项目招标失败。</w:t>
      </w:r>
    </w:p>
    <w:p w14:paraId="136BC0E9">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3.2.3</w:t>
      </w:r>
      <w:r>
        <w:rPr>
          <w:rFonts w:hint="eastAsia" w:ascii="宋体" w:hAnsi="宋体" w:cs="宋体"/>
          <w:color w:val="auto"/>
          <w:kern w:val="1"/>
          <w:szCs w:val="21"/>
          <w:highlight w:val="none"/>
          <w:u w:val="single"/>
        </w:rPr>
        <w:t>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57183446">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3.2.4</w:t>
      </w:r>
      <w:r>
        <w:rPr>
          <w:rFonts w:hint="eastAsia" w:ascii="宋体" w:hAnsi="宋体" w:cs="宋体"/>
          <w:color w:val="auto"/>
          <w:kern w:val="1"/>
          <w:szCs w:val="21"/>
          <w:highlight w:val="none"/>
          <w:u w:val="single"/>
        </w:rPr>
        <w:t>汇总资格评审情况，编写资格审查报告。资格评审合格的投标人少于</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名的，则本项目招标失败。</w:t>
      </w:r>
    </w:p>
    <w:p w14:paraId="2B65C659">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3.2.5</w:t>
      </w:r>
      <w:r>
        <w:rPr>
          <w:rFonts w:hint="eastAsia" w:ascii="宋体" w:hAnsi="宋体" w:cs="宋体"/>
          <w:color w:val="auto"/>
          <w:kern w:val="1"/>
          <w:szCs w:val="21"/>
          <w:highlight w:val="none"/>
          <w:u w:val="single"/>
        </w:rPr>
        <w:t>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6D642D89">
      <w:pPr>
        <w:spacing w:line="360" w:lineRule="auto"/>
        <w:ind w:firstLine="420"/>
        <w:rPr>
          <w:rFonts w:ascii="宋体" w:hAnsi="宋体" w:cs="宋体"/>
          <w:b/>
          <w:bCs/>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719C41EB">
      <w:pPr>
        <w:spacing w:line="360" w:lineRule="auto"/>
        <w:rPr>
          <w:rFonts w:ascii="宋体" w:hAnsi="宋体" w:cs="宋体"/>
          <w:color w:val="auto"/>
          <w:kern w:val="1"/>
          <w:szCs w:val="21"/>
          <w:highlight w:val="none"/>
        </w:rPr>
      </w:pPr>
    </w:p>
    <w:bookmarkEnd w:id="344"/>
    <w:p w14:paraId="12271976">
      <w:pPr>
        <w:pStyle w:val="5"/>
        <w:spacing w:before="100" w:after="100" w:line="360" w:lineRule="auto"/>
        <w:ind w:firstLine="103"/>
        <w:rPr>
          <w:rFonts w:ascii="宋体" w:hAnsi="宋体" w:eastAsia="宋体"/>
          <w:color w:val="auto"/>
          <w:sz w:val="21"/>
          <w:szCs w:val="21"/>
          <w:highlight w:val="none"/>
          <w:u w:val="single"/>
        </w:rPr>
      </w:pPr>
      <w:bookmarkStart w:id="346" w:name="_Toc10728"/>
      <w:r>
        <w:rPr>
          <w:rFonts w:ascii="宋体" w:hAnsi="宋体" w:eastAsia="宋体"/>
          <w:b/>
          <w:bCs/>
          <w:color w:val="auto"/>
          <w:sz w:val="21"/>
          <w:szCs w:val="21"/>
          <w:highlight w:val="none"/>
          <w:u w:val="single"/>
        </w:rPr>
        <w:t>3.3</w:t>
      </w:r>
      <w:r>
        <w:rPr>
          <w:rFonts w:hint="eastAsia" w:ascii="宋体" w:hAnsi="宋体" w:eastAsia="宋体"/>
          <w:b/>
          <w:bCs/>
          <w:color w:val="auto"/>
          <w:sz w:val="21"/>
          <w:szCs w:val="21"/>
          <w:highlight w:val="none"/>
          <w:u w:val="single"/>
        </w:rPr>
        <w:t>工程总承包实施方案技术部分评审（由综合评审组负责）</w:t>
      </w:r>
      <w:bookmarkEnd w:id="346"/>
    </w:p>
    <w:p w14:paraId="006E31D9">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3.3.1</w:t>
      </w:r>
      <w:r>
        <w:rPr>
          <w:rFonts w:hint="eastAsia" w:ascii="宋体" w:hAnsi="宋体" w:cs="宋体"/>
          <w:color w:val="auto"/>
          <w:kern w:val="1"/>
          <w:szCs w:val="21"/>
          <w:highlight w:val="none"/>
          <w:u w:val="single"/>
        </w:rPr>
        <w:t>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名的，则本项目招标失败。</w:t>
      </w:r>
    </w:p>
    <w:p w14:paraId="411EF3CC">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3.3.2</w:t>
      </w:r>
      <w:r>
        <w:rPr>
          <w:rFonts w:hint="eastAsia" w:ascii="宋体" w:hAnsi="宋体" w:cs="宋体"/>
          <w:color w:val="auto"/>
          <w:kern w:val="1"/>
          <w:szCs w:val="21"/>
          <w:highlight w:val="none"/>
          <w:u w:val="single"/>
        </w:rPr>
        <w:t>工程总承包实施方案技术部分详细审查：综合评审组评委按照工程总承包实施方案技术部分评分标准（详见前附表），对通过工程总承包实施方案响应性评审的投标文件进行详细评审，评分。</w:t>
      </w:r>
    </w:p>
    <w:p w14:paraId="7AD28F77">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3.3.3</w:t>
      </w:r>
      <w:r>
        <w:rPr>
          <w:rFonts w:hint="eastAsia" w:ascii="宋体" w:hAnsi="宋体" w:cs="宋体"/>
          <w:color w:val="auto"/>
          <w:kern w:val="1"/>
          <w:szCs w:val="21"/>
          <w:highlight w:val="none"/>
          <w:u w:val="single"/>
        </w:rPr>
        <w:t>各投标人工程总承包实施方案技术部分得分为所有评委每个分项的分数汇总后的算术平均值，综合评审组评委按此汇总每个投标人工程总承包实施方案技术部分详细评审得分，分数出现小数点，保留小数点后二位，第三位小数四舍五入。</w:t>
      </w:r>
    </w:p>
    <w:p w14:paraId="0B31EEF6">
      <w:pPr>
        <w:pStyle w:val="5"/>
        <w:spacing w:before="100" w:after="100" w:line="360" w:lineRule="auto"/>
        <w:ind w:firstLine="103"/>
        <w:rPr>
          <w:rFonts w:ascii="宋体" w:hAnsi="宋体" w:eastAsia="宋体"/>
          <w:b/>
          <w:color w:val="auto"/>
          <w:sz w:val="21"/>
          <w:szCs w:val="21"/>
          <w:highlight w:val="none"/>
          <w:u w:val="single"/>
        </w:rPr>
      </w:pPr>
      <w:bookmarkStart w:id="347" w:name="_Toc12863"/>
      <w:bookmarkStart w:id="348" w:name="_Toc5620357"/>
      <w:bookmarkStart w:id="349" w:name="_Toc31130"/>
      <w:r>
        <w:rPr>
          <w:rFonts w:ascii="宋体" w:hAnsi="宋体" w:eastAsia="宋体"/>
          <w:b/>
          <w:color w:val="auto"/>
          <w:sz w:val="21"/>
          <w:szCs w:val="21"/>
          <w:highlight w:val="none"/>
          <w:u w:val="single"/>
        </w:rPr>
        <w:t>3.4</w:t>
      </w:r>
      <w:r>
        <w:rPr>
          <w:rFonts w:hint="eastAsia" w:ascii="宋体" w:hAnsi="宋体" w:eastAsia="宋体"/>
          <w:b/>
          <w:color w:val="auto"/>
          <w:sz w:val="21"/>
          <w:szCs w:val="21"/>
          <w:highlight w:val="none"/>
          <w:u w:val="single"/>
        </w:rPr>
        <w:t>工程总承包实施方案经济部分评审（由综合评审组评委负责）</w:t>
      </w:r>
      <w:bookmarkEnd w:id="347"/>
    </w:p>
    <w:p w14:paraId="3B0B3AC4">
      <w:pPr>
        <w:pStyle w:val="11"/>
        <w:spacing w:line="360" w:lineRule="auto"/>
        <w:ind w:firstLine="426"/>
        <w:rPr>
          <w:rFonts w:ascii="宋体" w:hAnsi="宋体" w:cs="宋体"/>
          <w:color w:val="auto"/>
          <w:kern w:val="1"/>
          <w:sz w:val="21"/>
          <w:szCs w:val="21"/>
          <w:highlight w:val="none"/>
          <w:u w:val="single"/>
          <w:lang w:val="en-US"/>
        </w:rPr>
      </w:pPr>
      <w:r>
        <w:rPr>
          <w:rFonts w:ascii="宋体" w:hAnsi="宋体" w:cs="宋体"/>
          <w:color w:val="auto"/>
          <w:kern w:val="1"/>
          <w:sz w:val="21"/>
          <w:szCs w:val="21"/>
          <w:highlight w:val="none"/>
          <w:u w:val="single"/>
          <w:lang w:val="en-US"/>
        </w:rPr>
        <w:t>3.4.1</w:t>
      </w:r>
      <w:r>
        <w:rPr>
          <w:rFonts w:hint="eastAsia" w:ascii="宋体" w:hAnsi="宋体" w:cs="宋体"/>
          <w:color w:val="auto"/>
          <w:kern w:val="1"/>
          <w:sz w:val="21"/>
          <w:szCs w:val="21"/>
          <w:highlight w:val="none"/>
          <w:u w:val="single"/>
          <w:lang w:val="en-US"/>
        </w:rPr>
        <w:t>综合评审组评委汇总各投标人的初步评审结果，未通过初步评审的投标人的投标报价，不再进行工程总承包实施方案经济部分评审，也不参与评标基准价的计算。</w:t>
      </w:r>
    </w:p>
    <w:p w14:paraId="2EE54004">
      <w:pPr>
        <w:pStyle w:val="11"/>
        <w:spacing w:line="360" w:lineRule="auto"/>
        <w:ind w:firstLine="426"/>
        <w:rPr>
          <w:rFonts w:ascii="宋体" w:hAnsi="宋体" w:cs="宋体"/>
          <w:color w:val="auto"/>
          <w:kern w:val="1"/>
          <w:sz w:val="21"/>
          <w:szCs w:val="21"/>
          <w:highlight w:val="none"/>
          <w:u w:val="single"/>
          <w:lang w:val="en-US"/>
        </w:rPr>
      </w:pPr>
      <w:r>
        <w:rPr>
          <w:rFonts w:ascii="宋体" w:hAnsi="宋体" w:cs="宋体"/>
          <w:color w:val="auto"/>
          <w:kern w:val="1"/>
          <w:sz w:val="21"/>
          <w:szCs w:val="21"/>
          <w:highlight w:val="none"/>
          <w:u w:val="single"/>
          <w:lang w:val="en-US"/>
        </w:rPr>
        <w:t xml:space="preserve">3.4.2 </w:t>
      </w:r>
      <w:r>
        <w:rPr>
          <w:rFonts w:hint="eastAsia" w:ascii="宋体" w:hAnsi="宋体" w:cs="宋体"/>
          <w:color w:val="auto"/>
          <w:kern w:val="1"/>
          <w:sz w:val="21"/>
          <w:szCs w:val="21"/>
          <w:highlight w:val="none"/>
          <w:u w:val="single"/>
          <w:lang w:val="en-US"/>
        </w:rPr>
        <w:t>投标报价有算术错误的，综合评审组评委按以下原则对投标报价进行修正，修正的价格经投标人书面确认后具有约束力。投标人不接受修正价格的，评标委员会应当否决其投标。</w:t>
      </w:r>
    </w:p>
    <w:p w14:paraId="309B0D07">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1</w:t>
      </w:r>
      <w:r>
        <w:rPr>
          <w:rFonts w:hint="eastAsia" w:ascii="宋体" w:hAnsi="宋体" w:cs="宋体"/>
          <w:color w:val="auto"/>
          <w:kern w:val="1"/>
          <w:sz w:val="21"/>
          <w:szCs w:val="21"/>
          <w:highlight w:val="none"/>
          <w:u w:val="single"/>
          <w:lang w:val="en-US"/>
        </w:rPr>
        <w:t>）投标文件中的大写金额与小写金额不一致的，以大写金额为准；</w:t>
      </w:r>
    </w:p>
    <w:p w14:paraId="3DA0ECAB">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2</w:t>
      </w:r>
      <w:r>
        <w:rPr>
          <w:rFonts w:hint="eastAsia" w:ascii="宋体" w:hAnsi="宋体" w:cs="宋体"/>
          <w:color w:val="auto"/>
          <w:kern w:val="1"/>
          <w:sz w:val="21"/>
          <w:szCs w:val="21"/>
          <w:highlight w:val="none"/>
          <w:u w:val="single"/>
          <w:lang w:val="en-US"/>
        </w:rPr>
        <w:t>）总价金额与依据单价计算出的结果不一致的，以单价金额为准修正总价，但单价金额小数点有明显错误的除外。</w:t>
      </w:r>
    </w:p>
    <w:p w14:paraId="1654F09D">
      <w:pPr>
        <w:pStyle w:val="11"/>
        <w:spacing w:line="360" w:lineRule="auto"/>
        <w:ind w:firstLine="426"/>
        <w:rPr>
          <w:rFonts w:ascii="宋体" w:hAnsi="宋体" w:cs="宋体"/>
          <w:color w:val="auto"/>
          <w:kern w:val="1"/>
          <w:sz w:val="21"/>
          <w:szCs w:val="21"/>
          <w:highlight w:val="none"/>
          <w:u w:val="single"/>
          <w:lang w:val="en-US"/>
        </w:rPr>
      </w:pPr>
      <w:r>
        <w:rPr>
          <w:rFonts w:ascii="宋体" w:hAnsi="宋体" w:cs="宋体"/>
          <w:color w:val="auto"/>
          <w:kern w:val="1"/>
          <w:sz w:val="21"/>
          <w:szCs w:val="21"/>
          <w:highlight w:val="none"/>
          <w:u w:val="single"/>
          <w:lang w:val="en-US"/>
        </w:rPr>
        <w:t>3.4.3</w:t>
      </w:r>
      <w:r>
        <w:rPr>
          <w:rFonts w:hint="eastAsia" w:ascii="宋体" w:hAnsi="宋体" w:cs="宋体"/>
          <w:color w:val="auto"/>
          <w:kern w:val="1"/>
          <w:sz w:val="21"/>
          <w:szCs w:val="21"/>
          <w:highlight w:val="none"/>
          <w:u w:val="single"/>
          <w:lang w:val="en-US"/>
        </w:rPr>
        <w:t>建安工程费投标报价的算术校核。综合评审组评委对通过初步评审的投标文件的建安工程费投标报价进行算术校核，具体标准如下：</w:t>
      </w:r>
    </w:p>
    <w:p w14:paraId="5E929316">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1</w:t>
      </w:r>
      <w:r>
        <w:rPr>
          <w:rFonts w:hint="eastAsia" w:ascii="宋体" w:hAnsi="宋体" w:cs="宋体"/>
          <w:color w:val="auto"/>
          <w:kern w:val="1"/>
          <w:sz w:val="21"/>
          <w:szCs w:val="21"/>
          <w:highlight w:val="none"/>
          <w:u w:val="single"/>
          <w:lang w:val="en-US"/>
        </w:rPr>
        <w:t>）建安工程费下浮率与建安工程费投标报价不对应时，以建安工程费下浮率为准修正建安工程费投标报价（建安工程费下浮率有明显的数量级错误的除外，此时应修正建安工程费下浮率），若修正后的建安工程费投标报价超过建安工程费最高投标限价的，作否决投标处理；</w:t>
      </w:r>
    </w:p>
    <w:p w14:paraId="412E4ACC">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2</w:t>
      </w:r>
      <w:r>
        <w:rPr>
          <w:rFonts w:hint="eastAsia" w:ascii="宋体" w:hAnsi="宋体" w:cs="宋体"/>
          <w:color w:val="auto"/>
          <w:kern w:val="1"/>
          <w:sz w:val="21"/>
          <w:szCs w:val="21"/>
          <w:highlight w:val="none"/>
          <w:u w:val="single"/>
          <w:lang w:val="en-US"/>
        </w:rPr>
        <w:t>）分项报价累加不等总价的，以分项报价累加为准，修正总价；</w:t>
      </w:r>
    </w:p>
    <w:p w14:paraId="66E8EAC1">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）投标文件存在其他计算性错误的，按就低不就高计算并修正；</w:t>
      </w:r>
    </w:p>
    <w:p w14:paraId="7AE39998">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）按上述修正错误的原则及方法调整或修正投标文件的建安工程费投标报价，调整后的建安工程费投标报价对投标人起约束作用。如果投标人不接受修正后的报价，则取消其投标资格或中标资格。</w:t>
      </w:r>
    </w:p>
    <w:p w14:paraId="05B52C9A">
      <w:pPr>
        <w:pStyle w:val="11"/>
        <w:spacing w:line="360" w:lineRule="auto"/>
        <w:ind w:firstLine="426"/>
        <w:rPr>
          <w:rFonts w:ascii="宋体" w:hAnsi="宋体" w:cs="宋体"/>
          <w:color w:val="auto"/>
          <w:kern w:val="1"/>
          <w:sz w:val="21"/>
          <w:szCs w:val="21"/>
          <w:highlight w:val="none"/>
          <w:u w:val="single"/>
          <w:lang w:val="en-US"/>
        </w:rPr>
      </w:pPr>
      <w:r>
        <w:rPr>
          <w:rFonts w:ascii="宋体" w:hAnsi="宋体" w:cs="宋体"/>
          <w:color w:val="auto"/>
          <w:kern w:val="1"/>
          <w:sz w:val="21"/>
          <w:szCs w:val="21"/>
          <w:highlight w:val="none"/>
          <w:u w:val="single"/>
          <w:lang w:val="en-US"/>
        </w:rPr>
        <w:t>3.4.4</w:t>
      </w:r>
      <w:r>
        <w:rPr>
          <w:rFonts w:hint="eastAsia" w:ascii="宋体" w:hAnsi="宋体" w:cs="宋体"/>
          <w:color w:val="auto"/>
          <w:kern w:val="1"/>
          <w:sz w:val="21"/>
          <w:szCs w:val="21"/>
          <w:highlight w:val="none"/>
          <w:u w:val="single"/>
          <w:lang w:val="en-US"/>
        </w:rPr>
        <w:t>工程总承包实施方案经济部分评分</w:t>
      </w:r>
    </w:p>
    <w:p w14:paraId="361A8073">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1</w:t>
      </w:r>
      <w:r>
        <w:rPr>
          <w:rFonts w:hint="eastAsia" w:ascii="宋体" w:hAnsi="宋体" w:cs="宋体"/>
          <w:color w:val="auto"/>
          <w:kern w:val="1"/>
          <w:sz w:val="21"/>
          <w:szCs w:val="21"/>
          <w:highlight w:val="none"/>
          <w:u w:val="single"/>
          <w:lang w:val="en-US"/>
        </w:rPr>
        <w:t>）综合评审组评委按照评标基准价计算方法（详见前附表），计算出评标基准价。</w:t>
      </w:r>
    </w:p>
    <w:p w14:paraId="3084E5F0">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w:t>
      </w:r>
      <w:r>
        <w:rPr>
          <w:rFonts w:ascii="宋体" w:hAnsi="宋体" w:cs="宋体"/>
          <w:color w:val="auto"/>
          <w:kern w:val="1"/>
          <w:sz w:val="21"/>
          <w:szCs w:val="21"/>
          <w:highlight w:val="none"/>
          <w:u w:val="single"/>
          <w:lang w:val="en-US"/>
        </w:rPr>
        <w:t>2</w:t>
      </w:r>
      <w:r>
        <w:rPr>
          <w:rFonts w:hint="eastAsia" w:ascii="宋体" w:hAnsi="宋体" w:cs="宋体"/>
          <w:color w:val="auto"/>
          <w:kern w:val="1"/>
          <w:sz w:val="21"/>
          <w:szCs w:val="21"/>
          <w:highlight w:val="none"/>
          <w:u w:val="single"/>
          <w:lang w:val="en-US"/>
        </w:rPr>
        <w:t>）综合评审组评委按照工程总承包实施方案经济部分评分标准（详见前附表），对通过初步评审且经算术复核的投标文件建安工程费投标报价进行评分，评出工程总承包实施方案经济部分详细审查得分。</w:t>
      </w:r>
    </w:p>
    <w:p w14:paraId="22497DDA">
      <w:pPr>
        <w:pStyle w:val="5"/>
        <w:spacing w:before="100" w:after="100" w:line="360" w:lineRule="auto"/>
        <w:ind w:firstLine="103"/>
        <w:rPr>
          <w:rFonts w:ascii="宋体" w:hAnsi="宋体" w:eastAsia="宋体"/>
          <w:b/>
          <w:color w:val="auto"/>
          <w:sz w:val="21"/>
          <w:szCs w:val="21"/>
          <w:highlight w:val="none"/>
          <w:u w:val="single"/>
        </w:rPr>
      </w:pPr>
      <w:bookmarkStart w:id="350" w:name="_Toc21844"/>
      <w:r>
        <w:rPr>
          <w:rFonts w:ascii="宋体" w:hAnsi="宋体" w:eastAsia="宋体"/>
          <w:b/>
          <w:color w:val="auto"/>
          <w:sz w:val="21"/>
          <w:szCs w:val="21"/>
          <w:highlight w:val="none"/>
          <w:u w:val="single"/>
        </w:rPr>
        <w:t xml:space="preserve">3.5 </w:t>
      </w:r>
      <w:r>
        <w:rPr>
          <w:rFonts w:hint="eastAsia" w:ascii="宋体" w:hAnsi="宋体" w:eastAsia="宋体"/>
          <w:b/>
          <w:color w:val="auto"/>
          <w:sz w:val="21"/>
          <w:szCs w:val="21"/>
          <w:highlight w:val="none"/>
          <w:u w:val="single"/>
        </w:rPr>
        <w:t>评审汇总（由综合评审组评委负责）</w:t>
      </w:r>
      <w:bookmarkEnd w:id="350"/>
    </w:p>
    <w:p w14:paraId="2E74C808">
      <w:pPr>
        <w:spacing w:line="360" w:lineRule="auto"/>
        <w:ind w:firstLine="424" w:firstLineChars="202"/>
        <w:rPr>
          <w:rFonts w:ascii="宋体" w:hAnsi="宋体" w:cs="宋体"/>
          <w:color w:val="auto"/>
          <w:kern w:val="1"/>
          <w:szCs w:val="21"/>
          <w:highlight w:val="none"/>
          <w:u w:val="single"/>
        </w:rPr>
      </w:pPr>
      <w:r>
        <w:rPr>
          <w:rFonts w:ascii="宋体" w:hAnsi="宋体" w:cs="宋体"/>
          <w:color w:val="auto"/>
          <w:kern w:val="1"/>
          <w:szCs w:val="21"/>
          <w:highlight w:val="none"/>
          <w:u w:val="single"/>
        </w:rPr>
        <w:t>3.5.1</w:t>
      </w:r>
      <w:r>
        <w:rPr>
          <w:rFonts w:hint="eastAsia" w:ascii="宋体" w:hAnsi="宋体" w:cs="宋体"/>
          <w:color w:val="auto"/>
          <w:kern w:val="1"/>
          <w:szCs w:val="21"/>
          <w:highlight w:val="none"/>
          <w:u w:val="single"/>
        </w:rPr>
        <w:t>投标人总得分满分为</w:t>
      </w:r>
      <w:r>
        <w:rPr>
          <w:rFonts w:ascii="宋体" w:hAnsi="宋体" w:cs="宋体"/>
          <w:color w:val="auto"/>
          <w:kern w:val="1"/>
          <w:szCs w:val="21"/>
          <w:highlight w:val="none"/>
          <w:u w:val="single"/>
        </w:rPr>
        <w:t>100</w:t>
      </w:r>
      <w:r>
        <w:rPr>
          <w:rFonts w:hint="eastAsia" w:ascii="宋体" w:hAnsi="宋体" w:cs="宋体"/>
          <w:color w:val="auto"/>
          <w:kern w:val="1"/>
          <w:szCs w:val="21"/>
          <w:highlight w:val="none"/>
          <w:u w:val="single"/>
        </w:rPr>
        <w:t>分，各部分分值分配详见评标办法前附表。</w:t>
      </w:r>
    </w:p>
    <w:p w14:paraId="03859939">
      <w:pPr>
        <w:spacing w:line="360" w:lineRule="auto"/>
        <w:ind w:firstLine="424" w:firstLineChars="202"/>
        <w:rPr>
          <w:rFonts w:ascii="宋体" w:hAnsi="宋体" w:cs="宋体"/>
          <w:color w:val="auto"/>
          <w:kern w:val="1"/>
          <w:szCs w:val="21"/>
          <w:highlight w:val="none"/>
          <w:u w:val="single"/>
        </w:rPr>
      </w:pPr>
      <w:r>
        <w:rPr>
          <w:rFonts w:ascii="宋体" w:hAnsi="宋体" w:cs="宋体"/>
          <w:color w:val="auto"/>
          <w:kern w:val="1"/>
          <w:szCs w:val="21"/>
          <w:highlight w:val="none"/>
          <w:u w:val="single"/>
        </w:rPr>
        <w:t>3.5.2</w:t>
      </w:r>
      <w:r>
        <w:rPr>
          <w:rFonts w:hint="eastAsia" w:ascii="宋体" w:hAnsi="宋体" w:cs="宋体"/>
          <w:color w:val="auto"/>
          <w:kern w:val="1"/>
          <w:szCs w:val="21"/>
          <w:highlight w:val="none"/>
          <w:u w:val="single"/>
        </w:rPr>
        <w:t>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名投标人依次为第一中标候选人至第三中标候选人，并编写评标报告。</w:t>
      </w:r>
    </w:p>
    <w:p w14:paraId="49FAB9F1">
      <w:pPr>
        <w:spacing w:line="360" w:lineRule="auto"/>
        <w:ind w:firstLine="424" w:firstLineChars="202"/>
        <w:rPr>
          <w:rFonts w:ascii="宋体" w:hAnsi="宋体" w:cs="宋体"/>
          <w:color w:val="auto"/>
          <w:kern w:val="1"/>
          <w:szCs w:val="21"/>
          <w:highlight w:val="none"/>
          <w:u w:val="single"/>
        </w:rPr>
      </w:pPr>
      <w:r>
        <w:rPr>
          <w:rFonts w:ascii="宋体" w:hAnsi="宋体" w:cs="宋体"/>
          <w:color w:val="auto"/>
          <w:kern w:val="1"/>
          <w:szCs w:val="21"/>
          <w:highlight w:val="none"/>
          <w:u w:val="single"/>
        </w:rPr>
        <w:t>3.5.3</w:t>
      </w:r>
      <w:r>
        <w:rPr>
          <w:rFonts w:hint="eastAsia" w:ascii="宋体" w:hAnsi="宋体" w:cs="宋体"/>
          <w:color w:val="auto"/>
          <w:kern w:val="1"/>
          <w:szCs w:val="21"/>
          <w:highlight w:val="none"/>
          <w:u w:val="single"/>
        </w:rPr>
        <w:t>有效投标单位不足三家，应当依法重新组织招标。</w:t>
      </w:r>
    </w:p>
    <w:p w14:paraId="7DF0D43F">
      <w:pPr>
        <w:pStyle w:val="5"/>
        <w:spacing w:before="100" w:after="100" w:line="360" w:lineRule="auto"/>
        <w:ind w:firstLine="103"/>
        <w:rPr>
          <w:rFonts w:ascii="宋体" w:hAnsi="宋体" w:eastAsia="宋体"/>
          <w:b/>
          <w:color w:val="auto"/>
          <w:sz w:val="21"/>
          <w:szCs w:val="21"/>
          <w:highlight w:val="none"/>
          <w:u w:val="single"/>
        </w:rPr>
      </w:pPr>
      <w:bookmarkStart w:id="351" w:name="_Toc28212"/>
      <w:r>
        <w:rPr>
          <w:rFonts w:ascii="宋体" w:hAnsi="宋体" w:eastAsia="宋体"/>
          <w:b/>
          <w:color w:val="auto"/>
          <w:sz w:val="21"/>
          <w:szCs w:val="21"/>
          <w:highlight w:val="none"/>
          <w:u w:val="single"/>
        </w:rPr>
        <w:t>3.6</w:t>
      </w:r>
      <w:r>
        <w:rPr>
          <w:rFonts w:hint="eastAsia" w:ascii="宋体" w:hAnsi="宋体" w:eastAsia="宋体"/>
          <w:b/>
          <w:color w:val="auto"/>
          <w:sz w:val="21"/>
          <w:szCs w:val="21"/>
          <w:highlight w:val="none"/>
          <w:u w:val="single"/>
        </w:rPr>
        <w:t>投标文件的澄清和补正</w:t>
      </w:r>
      <w:bookmarkEnd w:id="351"/>
    </w:p>
    <w:p w14:paraId="748D36F6">
      <w:pPr>
        <w:spacing w:line="360" w:lineRule="auto"/>
        <w:ind w:firstLine="424" w:firstLineChars="202"/>
        <w:rPr>
          <w:rFonts w:ascii="宋体" w:hAnsi="宋体" w:cs="宋体"/>
          <w:color w:val="auto"/>
          <w:kern w:val="1"/>
          <w:szCs w:val="21"/>
          <w:highlight w:val="none"/>
          <w:u w:val="single"/>
        </w:rPr>
      </w:pPr>
      <w:r>
        <w:rPr>
          <w:rFonts w:ascii="宋体" w:hAnsi="宋体" w:cs="宋体"/>
          <w:color w:val="auto"/>
          <w:kern w:val="1"/>
          <w:szCs w:val="21"/>
          <w:highlight w:val="none"/>
          <w:u w:val="single"/>
        </w:rPr>
        <w:t>3.6.1</w:t>
      </w:r>
      <w:r>
        <w:rPr>
          <w:rFonts w:hint="eastAsia" w:ascii="宋体" w:hAnsi="宋体" w:cs="宋体"/>
          <w:color w:val="auto"/>
          <w:kern w:val="1"/>
          <w:szCs w:val="21"/>
          <w:highlight w:val="none"/>
          <w:u w:val="single"/>
        </w:rPr>
        <w:t>为有助于投标文件的审查、评价和比较，评标期间，经评标委员会中两人以上（含两人）的成员以书面形式提出动议，评标委员会应当书面发出澄清通知，要求投标人对投标文件含义不明确的内容作出澄清。</w:t>
      </w:r>
    </w:p>
    <w:p w14:paraId="507A93A0">
      <w:pPr>
        <w:spacing w:line="360" w:lineRule="auto"/>
        <w:ind w:firstLine="424" w:firstLineChars="202"/>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3.6.2 </w:t>
      </w:r>
      <w:r>
        <w:rPr>
          <w:rFonts w:hint="eastAsia" w:ascii="宋体" w:hAnsi="宋体" w:cs="宋体"/>
          <w:color w:val="auto"/>
          <w:kern w:val="1"/>
          <w:szCs w:val="21"/>
          <w:highlight w:val="none"/>
          <w:u w:val="singl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013C89DE">
      <w:pPr>
        <w:spacing w:line="360" w:lineRule="auto"/>
        <w:ind w:firstLine="424" w:firstLineChars="202"/>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3.6.3 </w:t>
      </w:r>
      <w:r>
        <w:rPr>
          <w:rFonts w:hint="eastAsia" w:ascii="宋体" w:hAnsi="宋体" w:cs="宋体"/>
          <w:color w:val="auto"/>
          <w:kern w:val="1"/>
          <w:szCs w:val="21"/>
          <w:highlight w:val="none"/>
          <w:u w:val="single"/>
        </w:rPr>
        <w:t>评标委员会成员均应当阅读投标人的澄清，但应独立参考澄清对投标文件进行评审。</w:t>
      </w:r>
    </w:p>
    <w:p w14:paraId="3953AAD2">
      <w:pPr>
        <w:spacing w:line="360" w:lineRule="auto"/>
        <w:ind w:firstLine="424" w:firstLineChars="202"/>
        <w:rPr>
          <w:rFonts w:ascii="宋体" w:hAnsi="宋体" w:cs="宋体"/>
          <w:color w:val="auto"/>
          <w:kern w:val="1"/>
          <w:szCs w:val="21"/>
          <w:highlight w:val="none"/>
          <w:u w:val="single"/>
        </w:rPr>
      </w:pPr>
      <w:r>
        <w:rPr>
          <w:rFonts w:ascii="宋体" w:hAnsi="宋体" w:cs="宋体"/>
          <w:color w:val="auto"/>
          <w:kern w:val="1"/>
          <w:szCs w:val="21"/>
          <w:highlight w:val="none"/>
          <w:u w:val="single"/>
        </w:rPr>
        <w:t>3.6.4</w:t>
      </w:r>
      <w:r>
        <w:rPr>
          <w:rFonts w:hint="eastAsia" w:ascii="宋体" w:hAnsi="宋体" w:cs="宋体"/>
          <w:color w:val="auto"/>
          <w:kern w:val="1"/>
          <w:szCs w:val="21"/>
          <w:highlight w:val="none"/>
          <w:u w:val="single"/>
        </w:rPr>
        <w:t>如果投标文件实质上不响应招标文件的各项要求，评标委员会相应评审将按照响应性审查标准予以拒绝，不接受投标人通过修改或撤销其不符合要求的差异或保留，使之成为具有响应性的投标。</w:t>
      </w:r>
    </w:p>
    <w:p w14:paraId="410F3D97">
      <w:pPr>
        <w:pStyle w:val="5"/>
        <w:spacing w:before="100" w:after="100" w:line="360" w:lineRule="auto"/>
        <w:ind w:firstLine="103"/>
        <w:rPr>
          <w:rFonts w:ascii="宋体" w:hAnsi="宋体" w:eastAsia="宋体"/>
          <w:b/>
          <w:color w:val="auto"/>
          <w:sz w:val="21"/>
          <w:szCs w:val="21"/>
          <w:highlight w:val="none"/>
          <w:u w:val="single"/>
        </w:rPr>
      </w:pPr>
      <w:bookmarkStart w:id="352" w:name="_Toc14823"/>
      <w:r>
        <w:rPr>
          <w:rFonts w:ascii="宋体" w:hAnsi="宋体" w:eastAsia="宋体"/>
          <w:b/>
          <w:color w:val="auto"/>
          <w:sz w:val="21"/>
          <w:szCs w:val="21"/>
          <w:highlight w:val="none"/>
          <w:u w:val="single"/>
        </w:rPr>
        <w:t>3.7</w:t>
      </w:r>
      <w:r>
        <w:rPr>
          <w:rFonts w:hint="eastAsia" w:ascii="宋体" w:hAnsi="宋体" w:eastAsia="宋体"/>
          <w:b/>
          <w:color w:val="auto"/>
          <w:sz w:val="21"/>
          <w:szCs w:val="21"/>
          <w:highlight w:val="none"/>
          <w:u w:val="single"/>
        </w:rPr>
        <w:t>评标结果</w:t>
      </w:r>
      <w:bookmarkEnd w:id="352"/>
    </w:p>
    <w:bookmarkEnd w:id="348"/>
    <w:bookmarkEnd w:id="349"/>
    <w:p w14:paraId="3836BFA0">
      <w:pPr>
        <w:pStyle w:val="11"/>
        <w:spacing w:line="360" w:lineRule="auto"/>
        <w:ind w:firstLine="426"/>
        <w:rPr>
          <w:rFonts w:ascii="宋体" w:hAnsi="宋体" w:cs="宋体"/>
          <w:color w:val="auto"/>
          <w:kern w:val="1"/>
          <w:sz w:val="21"/>
          <w:szCs w:val="21"/>
          <w:highlight w:val="none"/>
          <w:u w:val="single"/>
        </w:rPr>
      </w:pPr>
      <w:bookmarkStart w:id="353" w:name="_Toc11283"/>
      <w:r>
        <w:rPr>
          <w:rFonts w:ascii="宋体" w:hAnsi="宋体" w:cs="宋体"/>
          <w:color w:val="auto"/>
          <w:kern w:val="1"/>
          <w:sz w:val="21"/>
          <w:szCs w:val="21"/>
          <w:highlight w:val="none"/>
          <w:u w:val="single"/>
        </w:rPr>
        <w:t xml:space="preserve">3.7.1 </w:t>
      </w:r>
      <w:r>
        <w:rPr>
          <w:rFonts w:hint="eastAsia" w:ascii="宋体" w:hAnsi="宋体" w:cs="宋体"/>
          <w:color w:val="auto"/>
          <w:kern w:val="1"/>
          <w:sz w:val="21"/>
          <w:szCs w:val="21"/>
          <w:highlight w:val="none"/>
          <w:u w:val="single"/>
        </w:rPr>
        <w:t>除第二章“投标人须知”前附表授权直接确定中标人外，评标委员会按照得分由高到低的顺序推荐中标候选人。</w:t>
      </w:r>
    </w:p>
    <w:p w14:paraId="395BD3C6">
      <w:pPr>
        <w:pStyle w:val="11"/>
        <w:spacing w:line="360" w:lineRule="auto"/>
        <w:ind w:firstLine="426"/>
        <w:rPr>
          <w:rFonts w:ascii="宋体" w:hAnsi="宋体" w:cs="宋体"/>
          <w:color w:val="auto"/>
          <w:kern w:val="1"/>
          <w:sz w:val="21"/>
          <w:szCs w:val="21"/>
          <w:highlight w:val="none"/>
          <w:u w:val="single"/>
        </w:rPr>
      </w:pPr>
      <w:r>
        <w:rPr>
          <w:rFonts w:ascii="宋体" w:hAnsi="宋体" w:cs="宋体"/>
          <w:color w:val="auto"/>
          <w:kern w:val="1"/>
          <w:sz w:val="21"/>
          <w:szCs w:val="21"/>
          <w:highlight w:val="none"/>
          <w:u w:val="single"/>
        </w:rPr>
        <w:t xml:space="preserve">3.7.2 </w:t>
      </w:r>
      <w:r>
        <w:rPr>
          <w:rFonts w:hint="eastAsia" w:ascii="宋体" w:hAnsi="宋体" w:cs="宋体"/>
          <w:color w:val="auto"/>
          <w:kern w:val="1"/>
          <w:sz w:val="21"/>
          <w:szCs w:val="21"/>
          <w:highlight w:val="none"/>
          <w:u w:val="single"/>
        </w:rPr>
        <w:t>评标委员会完成评标后，应当向招标人提交书面评标报告。</w:t>
      </w:r>
    </w:p>
    <w:p w14:paraId="27B08928">
      <w:pPr>
        <w:pStyle w:val="11"/>
        <w:spacing w:line="360" w:lineRule="auto"/>
        <w:ind w:firstLine="426"/>
        <w:rPr>
          <w:rFonts w:ascii="宋体" w:hAnsi="宋体" w:cs="宋体"/>
          <w:color w:val="auto"/>
          <w:kern w:val="1"/>
          <w:sz w:val="21"/>
          <w:szCs w:val="21"/>
          <w:highlight w:val="none"/>
          <w:u w:val="single"/>
        </w:rPr>
      </w:pPr>
      <w:r>
        <w:rPr>
          <w:rFonts w:ascii="宋体" w:hAnsi="宋体" w:cs="宋体"/>
          <w:color w:val="auto"/>
          <w:kern w:val="1"/>
          <w:sz w:val="21"/>
          <w:szCs w:val="21"/>
          <w:highlight w:val="none"/>
          <w:u w:val="single"/>
        </w:rPr>
        <w:t>3.7.3</w:t>
      </w:r>
      <w:r>
        <w:rPr>
          <w:rFonts w:hint="eastAsia" w:ascii="宋体" w:hAnsi="宋体" w:cs="宋体"/>
          <w:color w:val="auto"/>
          <w:kern w:val="1"/>
          <w:sz w:val="21"/>
          <w:szCs w:val="21"/>
          <w:highlight w:val="none"/>
          <w:u w:val="single"/>
        </w:rPr>
        <w:t>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798B61B8">
      <w:pPr>
        <w:pStyle w:val="4"/>
        <w:numPr>
          <w:ilvl w:val="0"/>
          <w:numId w:val="4"/>
        </w:numPr>
        <w:spacing w:before="100" w:after="100" w:line="360" w:lineRule="auto"/>
        <w:rPr>
          <w:rFonts w:ascii="宋体" w:hAnsi="宋体" w:eastAsia="宋体" w:cs="宋体"/>
          <w:color w:val="auto"/>
          <w:sz w:val="21"/>
          <w:szCs w:val="21"/>
          <w:highlight w:val="none"/>
          <w:lang w:val="zh-CN"/>
        </w:rPr>
      </w:pPr>
      <w:bookmarkStart w:id="354" w:name="_Toc32201"/>
      <w:r>
        <w:rPr>
          <w:rFonts w:hint="eastAsia" w:ascii="宋体" w:hAnsi="宋体" w:eastAsia="宋体" w:cs="宋体"/>
          <w:color w:val="auto"/>
          <w:sz w:val="21"/>
          <w:szCs w:val="21"/>
          <w:highlight w:val="none"/>
          <w:lang w:val="zh-CN"/>
        </w:rPr>
        <w:t>否决性条款（详见附件：</w:t>
      </w:r>
      <w:bookmarkEnd w:id="353"/>
      <w:r>
        <w:rPr>
          <w:rFonts w:hint="eastAsia" w:ascii="宋体" w:hAnsi="宋体" w:eastAsia="宋体" w:cs="宋体"/>
          <w:color w:val="auto"/>
          <w:sz w:val="21"/>
          <w:szCs w:val="21"/>
          <w:highlight w:val="none"/>
          <w:lang w:val="zh-CN"/>
        </w:rPr>
        <w:t>否决性条款汇总）</w:t>
      </w:r>
      <w:bookmarkEnd w:id="354"/>
    </w:p>
    <w:p w14:paraId="3C2C9167">
      <w:pPr>
        <w:pStyle w:val="4"/>
        <w:spacing w:before="100" w:after="100" w:line="360" w:lineRule="auto"/>
        <w:rPr>
          <w:rFonts w:ascii="宋体" w:hAnsi="宋体" w:eastAsia="宋体" w:cs="宋体"/>
          <w:color w:val="auto"/>
          <w:sz w:val="21"/>
          <w:szCs w:val="21"/>
          <w:highlight w:val="none"/>
          <w:lang w:val="zh-CN"/>
        </w:rPr>
      </w:pPr>
      <w:bookmarkStart w:id="355" w:name="_Toc29974"/>
      <w:bookmarkEnd w:id="355"/>
      <w:bookmarkStart w:id="356" w:name="_Toc14390"/>
      <w:bookmarkEnd w:id="356"/>
      <w:bookmarkStart w:id="357" w:name="_Toc30449"/>
      <w:bookmarkStart w:id="358" w:name="_Toc5620358"/>
      <w:bookmarkStart w:id="359" w:name="_Toc16227"/>
      <w:r>
        <w:rPr>
          <w:rFonts w:ascii="宋体" w:hAnsi="宋体" w:eastAsia="宋体" w:cs="宋体"/>
          <w:color w:val="auto"/>
          <w:sz w:val="21"/>
          <w:szCs w:val="21"/>
          <w:highlight w:val="none"/>
          <w:lang w:val="zh-CN"/>
        </w:rPr>
        <w:t>5.</w:t>
      </w:r>
      <w:bookmarkEnd w:id="357"/>
      <w:bookmarkEnd w:id="358"/>
      <w:r>
        <w:rPr>
          <w:rFonts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zh-CN"/>
        </w:rPr>
        <w:t>评标表格</w:t>
      </w:r>
      <w:bookmarkEnd w:id="359"/>
    </w:p>
    <w:p w14:paraId="58C7522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见附表。</w:t>
      </w:r>
    </w:p>
    <w:p w14:paraId="77FF7125">
      <w:pPr>
        <w:spacing w:line="360" w:lineRule="auto"/>
        <w:ind w:firstLine="420"/>
        <w:rPr>
          <w:rFonts w:ascii="宋体" w:hAnsi="宋体" w:cs="宋体"/>
          <w:color w:val="auto"/>
          <w:kern w:val="1"/>
          <w:highlight w:val="none"/>
        </w:rPr>
      </w:pPr>
    </w:p>
    <w:p w14:paraId="2C2B98D6">
      <w:pPr>
        <w:spacing w:line="360" w:lineRule="auto"/>
        <w:ind w:firstLine="420"/>
        <w:rPr>
          <w:rFonts w:ascii="宋体" w:hAnsi="宋体" w:cs="宋体"/>
          <w:b/>
          <w:color w:val="auto"/>
          <w:kern w:val="1"/>
          <w:highlight w:val="none"/>
        </w:rPr>
      </w:pP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05474100">
      <w:pP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5DC3E374">
      <w:pPr>
        <w:spacing w:line="360" w:lineRule="auto"/>
        <w:ind w:firstLine="420"/>
        <w:rPr>
          <w:rFonts w:ascii="宋体" w:hAnsi="宋体" w:cs="宋体"/>
          <w:color w:val="auto"/>
          <w:kern w:val="1"/>
          <w:highlight w:val="none"/>
        </w:rPr>
      </w:pPr>
    </w:p>
    <w:p w14:paraId="1955371F">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36F959EF">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p>
    <w:p w14:paraId="76C41E44">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lang w:val="zh-CN"/>
        </w:rPr>
        <w:t>一、若出现以下情况，电子招标投标交易平台将予以拒收其投标文件：</w:t>
      </w:r>
    </w:p>
    <w:p w14:paraId="6C2916D3">
      <w:pPr>
        <w:spacing w:line="360" w:lineRule="auto"/>
        <w:ind w:firstLine="420"/>
        <w:rPr>
          <w:rFonts w:ascii="宋体" w:hAnsi="宋体" w:cs="宋体"/>
          <w:color w:val="auto"/>
          <w:kern w:val="1"/>
          <w:highlight w:val="none"/>
          <w:lang w:val="zh-CN"/>
        </w:rPr>
      </w:pPr>
      <w:r>
        <w:rPr>
          <w:rFonts w:ascii="宋体" w:hAnsi="宋体" w:cs="宋体"/>
          <w:color w:val="auto"/>
          <w:kern w:val="1"/>
          <w:highlight w:val="none"/>
          <w:lang w:val="zh-CN"/>
        </w:rPr>
        <w:t xml:space="preserve">  1</w:t>
      </w:r>
      <w:r>
        <w:rPr>
          <w:rFonts w:hint="eastAsia" w:ascii="宋体" w:hAnsi="宋体" w:cs="宋体"/>
          <w:color w:val="auto"/>
          <w:kern w:val="1"/>
          <w:highlight w:val="none"/>
          <w:lang w:val="zh-CN"/>
        </w:rPr>
        <w:t>、在招标文件规定的投标截止时间后递交投标文件的；</w:t>
      </w:r>
    </w:p>
    <w:p w14:paraId="6061765D">
      <w:pPr>
        <w:spacing w:line="360" w:lineRule="auto"/>
        <w:ind w:firstLine="420" w:firstLineChars="200"/>
        <w:rPr>
          <w:rFonts w:cs="宋体"/>
          <w:color w:val="auto"/>
          <w:kern w:val="1"/>
          <w:highlight w:val="none"/>
        </w:rPr>
        <w:sectPr>
          <w:headerReference r:id="rId11" w:type="default"/>
          <w:footerReference r:id="rId12" w:type="default"/>
          <w:pgSz w:w="11907" w:h="16840"/>
          <w:pgMar w:top="1361" w:right="1304" w:bottom="1304" w:left="1304" w:header="851" w:footer="720" w:gutter="0"/>
          <w:cols w:space="720" w:num="1"/>
        </w:sectPr>
      </w:pPr>
      <w:r>
        <w:rPr>
          <w:rFonts w:hint="eastAsia" w:ascii="宋体" w:hAnsi="宋体" w:cs="宋体"/>
          <w:color w:val="auto"/>
          <w:kern w:val="1"/>
          <w:highlight w:val="none"/>
          <w:lang w:val="zh-CN"/>
        </w:rPr>
        <w:t>二、若出现不符合形式评审标准、资格评审标准、勘察设计方案文件响应性评审标准</w:t>
      </w:r>
      <w:r>
        <w:rPr>
          <w:rFonts w:ascii="宋体" w:hAnsi="宋体" w:cs="宋体"/>
          <w:color w:val="auto"/>
          <w:kern w:val="1"/>
          <w:highlight w:val="none"/>
          <w:lang w:val="zh-CN"/>
        </w:rPr>
        <w:t>,</w:t>
      </w:r>
      <w:r>
        <w:rPr>
          <w:rFonts w:hint="eastAsia" w:ascii="宋体" w:hAnsi="宋体" w:cs="宋体"/>
          <w:color w:val="auto"/>
          <w:kern w:val="1"/>
          <w:highlight w:val="none"/>
          <w:lang w:val="zh-CN"/>
        </w:rPr>
        <w:t>，</w:t>
      </w:r>
      <w:r>
        <w:rPr>
          <w:rFonts w:hint="eastAsia" w:ascii="宋体" w:hAnsi="宋体" w:cs="宋体"/>
          <w:color w:val="auto"/>
          <w:kern w:val="1"/>
          <w:szCs w:val="21"/>
          <w:highlight w:val="none"/>
        </w:rPr>
        <w:t>工程总承包实施方案响应性评审标准</w:t>
      </w:r>
      <w:r>
        <w:rPr>
          <w:rFonts w:hint="eastAsia" w:ascii="宋体" w:hAnsi="宋体" w:cs="宋体"/>
          <w:color w:val="auto"/>
          <w:kern w:val="1"/>
          <w:highlight w:val="none"/>
          <w:lang w:val="zh-CN"/>
        </w:rPr>
        <w:t>评审中的评审因素的，当无效标处理。</w:t>
      </w:r>
    </w:p>
    <w:p w14:paraId="470DE9C5">
      <w:pPr>
        <w:widowControl/>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w:t>
      </w:r>
      <w:r>
        <w:rPr>
          <w:rFonts w:ascii="宋体" w:hAnsi="宋体" w:cs="宋体"/>
          <w:b/>
          <w:color w:val="auto"/>
          <w:kern w:val="1"/>
          <w:sz w:val="24"/>
          <w:szCs w:val="24"/>
          <w:highlight w:val="none"/>
        </w:rPr>
        <w:t>1</w:t>
      </w:r>
    </w:p>
    <w:p w14:paraId="0E42BA40">
      <w:pPr>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资格审查评审表</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6559B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1" w:hRule="atLeast"/>
        </w:trPr>
        <w:tc>
          <w:tcPr>
            <w:tcW w:w="530" w:type="dxa"/>
            <w:vAlign w:val="center"/>
          </w:tcPr>
          <w:p w14:paraId="147553BA">
            <w:pPr>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0819" w:type="dxa"/>
            <w:vAlign w:val="center"/>
          </w:tcPr>
          <w:p w14:paraId="0481BAA4">
            <w:pPr>
              <w:jc w:val="center"/>
              <w:rPr>
                <w:rFonts w:ascii="宋体" w:hAnsi="宋体"/>
                <w:b/>
                <w:color w:val="auto"/>
                <w:sz w:val="18"/>
                <w:szCs w:val="18"/>
                <w:highlight w:val="none"/>
              </w:rPr>
            </w:pPr>
            <w:r>
              <w:rPr>
                <w:rFonts w:hint="eastAsia" w:ascii="宋体" w:hAnsi="宋体"/>
                <w:b/>
                <w:color w:val="auto"/>
                <w:sz w:val="18"/>
                <w:szCs w:val="18"/>
                <w:highlight w:val="none"/>
              </w:rPr>
              <w:t>评审内容</w:t>
            </w:r>
          </w:p>
        </w:tc>
        <w:tc>
          <w:tcPr>
            <w:tcW w:w="585" w:type="dxa"/>
          </w:tcPr>
          <w:p w14:paraId="2CF6A013">
            <w:pPr>
              <w:rPr>
                <w:rFonts w:ascii="宋体" w:hAnsi="宋体"/>
                <w:b/>
                <w:color w:val="auto"/>
                <w:sz w:val="18"/>
                <w:szCs w:val="18"/>
                <w:highlight w:val="none"/>
              </w:rPr>
            </w:pPr>
          </w:p>
        </w:tc>
        <w:tc>
          <w:tcPr>
            <w:tcW w:w="615" w:type="dxa"/>
          </w:tcPr>
          <w:p w14:paraId="71EAE71E">
            <w:pPr>
              <w:rPr>
                <w:rFonts w:ascii="宋体" w:hAnsi="宋体"/>
                <w:b/>
                <w:color w:val="auto"/>
                <w:sz w:val="18"/>
                <w:szCs w:val="18"/>
                <w:highlight w:val="none"/>
              </w:rPr>
            </w:pPr>
          </w:p>
        </w:tc>
        <w:tc>
          <w:tcPr>
            <w:tcW w:w="825" w:type="dxa"/>
          </w:tcPr>
          <w:p w14:paraId="6FF4E2DA">
            <w:pPr>
              <w:rPr>
                <w:rFonts w:ascii="宋体" w:hAnsi="宋体"/>
                <w:b/>
                <w:color w:val="auto"/>
                <w:sz w:val="18"/>
                <w:szCs w:val="18"/>
                <w:highlight w:val="none"/>
              </w:rPr>
            </w:pPr>
          </w:p>
        </w:tc>
      </w:tr>
      <w:tr w14:paraId="1E5B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6" w:hRule="atLeast"/>
        </w:trPr>
        <w:tc>
          <w:tcPr>
            <w:tcW w:w="530" w:type="dxa"/>
            <w:vAlign w:val="center"/>
          </w:tcPr>
          <w:p w14:paraId="02A2E96C">
            <w:pPr>
              <w:spacing w:line="400" w:lineRule="exact"/>
              <w:jc w:val="center"/>
              <w:rPr>
                <w:rFonts w:ascii="宋体" w:hAnsi="宋体"/>
                <w:color w:val="auto"/>
                <w:sz w:val="18"/>
                <w:szCs w:val="18"/>
                <w:highlight w:val="none"/>
              </w:rPr>
            </w:pPr>
            <w:r>
              <w:rPr>
                <w:rFonts w:ascii="宋体" w:hAnsi="宋体"/>
                <w:color w:val="auto"/>
                <w:sz w:val="18"/>
                <w:szCs w:val="18"/>
                <w:highlight w:val="none"/>
              </w:rPr>
              <w:t>1</w:t>
            </w:r>
          </w:p>
        </w:tc>
        <w:tc>
          <w:tcPr>
            <w:tcW w:w="10819" w:type="dxa"/>
            <w:vAlign w:val="center"/>
          </w:tcPr>
          <w:p w14:paraId="7B4D290C">
            <w:pPr>
              <w:rPr>
                <w:color w:val="auto"/>
                <w:sz w:val="18"/>
                <w:szCs w:val="18"/>
                <w:highlight w:val="none"/>
              </w:rPr>
            </w:pPr>
            <w:r>
              <w:rPr>
                <w:rFonts w:hint="eastAsia"/>
                <w:color w:val="auto"/>
                <w:sz w:val="18"/>
                <w:szCs w:val="18"/>
                <w:highlight w:val="none"/>
              </w:rPr>
              <w:t>投标人参加投标的意思表达清楚，投标人代表被授权有效。</w:t>
            </w:r>
          </w:p>
        </w:tc>
        <w:tc>
          <w:tcPr>
            <w:tcW w:w="585" w:type="dxa"/>
          </w:tcPr>
          <w:p w14:paraId="0834BFD6">
            <w:pPr>
              <w:spacing w:line="400" w:lineRule="exact"/>
              <w:rPr>
                <w:rFonts w:ascii="宋体" w:hAnsi="宋体"/>
                <w:color w:val="auto"/>
                <w:sz w:val="18"/>
                <w:szCs w:val="18"/>
                <w:highlight w:val="none"/>
              </w:rPr>
            </w:pPr>
          </w:p>
        </w:tc>
        <w:tc>
          <w:tcPr>
            <w:tcW w:w="615" w:type="dxa"/>
          </w:tcPr>
          <w:p w14:paraId="35E96F0F">
            <w:pPr>
              <w:spacing w:line="400" w:lineRule="exact"/>
              <w:rPr>
                <w:rFonts w:ascii="宋体" w:hAnsi="宋体"/>
                <w:color w:val="auto"/>
                <w:sz w:val="18"/>
                <w:szCs w:val="18"/>
                <w:highlight w:val="none"/>
              </w:rPr>
            </w:pPr>
          </w:p>
        </w:tc>
        <w:tc>
          <w:tcPr>
            <w:tcW w:w="825" w:type="dxa"/>
          </w:tcPr>
          <w:p w14:paraId="25F24252">
            <w:pPr>
              <w:spacing w:line="400" w:lineRule="exact"/>
              <w:rPr>
                <w:rFonts w:ascii="宋体" w:hAnsi="宋体"/>
                <w:color w:val="auto"/>
                <w:sz w:val="18"/>
                <w:szCs w:val="18"/>
                <w:highlight w:val="none"/>
              </w:rPr>
            </w:pPr>
          </w:p>
        </w:tc>
      </w:tr>
      <w:tr w14:paraId="25025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759EAD6E">
            <w:pPr>
              <w:spacing w:line="400" w:lineRule="exact"/>
              <w:jc w:val="center"/>
              <w:rPr>
                <w:rFonts w:ascii="宋体" w:hAnsi="宋体"/>
                <w:color w:val="auto"/>
                <w:sz w:val="18"/>
                <w:szCs w:val="18"/>
                <w:highlight w:val="none"/>
              </w:rPr>
            </w:pPr>
            <w:r>
              <w:rPr>
                <w:rFonts w:ascii="宋体" w:hAnsi="宋体"/>
                <w:color w:val="auto"/>
                <w:sz w:val="18"/>
                <w:szCs w:val="18"/>
                <w:highlight w:val="none"/>
              </w:rPr>
              <w:t>2</w:t>
            </w:r>
          </w:p>
        </w:tc>
        <w:tc>
          <w:tcPr>
            <w:tcW w:w="10819" w:type="dxa"/>
            <w:vAlign w:val="center"/>
          </w:tcPr>
          <w:p w14:paraId="49B4D016">
            <w:pPr>
              <w:rPr>
                <w:color w:val="auto"/>
                <w:sz w:val="18"/>
                <w:szCs w:val="18"/>
                <w:highlight w:val="none"/>
              </w:rPr>
            </w:pPr>
            <w:r>
              <w:rPr>
                <w:rFonts w:hint="eastAsia"/>
                <w:color w:val="auto"/>
                <w:sz w:val="18"/>
                <w:szCs w:val="18"/>
                <w:highlight w:val="none"/>
              </w:rPr>
              <w:t>投标人（联合体各</w:t>
            </w:r>
            <w:r>
              <w:rPr>
                <w:rFonts w:hint="eastAsia"/>
                <w:color w:val="auto"/>
                <w:sz w:val="18"/>
                <w:szCs w:val="18"/>
                <w:highlight w:val="none"/>
                <w:lang w:val="en-US" w:eastAsia="zh-CN"/>
              </w:rPr>
              <w:t>方</w:t>
            </w:r>
            <w:r>
              <w:rPr>
                <w:rFonts w:hint="eastAsia"/>
                <w:color w:val="auto"/>
                <w:sz w:val="18"/>
                <w:szCs w:val="18"/>
                <w:highlight w:val="none"/>
              </w:rPr>
              <w:t>）均具有独立法人资格，持有工商行政（市场监督）管理部门核发的法人营业执照或各级政府事业单位登记管理机关颁发的事业单位法人证书</w:t>
            </w:r>
            <w:r>
              <w:rPr>
                <w:color w:val="auto"/>
                <w:sz w:val="18"/>
                <w:szCs w:val="18"/>
                <w:highlight w:val="none"/>
              </w:rPr>
              <w:t>[</w:t>
            </w:r>
            <w:r>
              <w:rPr>
                <w:rFonts w:hint="eastAsia"/>
                <w:color w:val="auto"/>
                <w:sz w:val="18"/>
                <w:szCs w:val="18"/>
                <w:highlight w:val="none"/>
              </w:rPr>
              <w:t>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w:t>
            </w:r>
            <w:r>
              <w:rPr>
                <w:color w:val="auto"/>
                <w:sz w:val="18"/>
                <w:szCs w:val="18"/>
                <w:highlight w:val="none"/>
              </w:rPr>
              <w:t>]</w:t>
            </w:r>
            <w:r>
              <w:rPr>
                <w:rFonts w:hint="eastAsia"/>
                <w:color w:val="auto"/>
                <w:sz w:val="18"/>
                <w:szCs w:val="18"/>
                <w:highlight w:val="none"/>
              </w:rPr>
              <w:t>，按国家法律经营。</w:t>
            </w:r>
          </w:p>
        </w:tc>
        <w:tc>
          <w:tcPr>
            <w:tcW w:w="585" w:type="dxa"/>
          </w:tcPr>
          <w:p w14:paraId="4FFA6C16">
            <w:pPr>
              <w:spacing w:line="400" w:lineRule="exact"/>
              <w:rPr>
                <w:rFonts w:ascii="宋体" w:hAnsi="宋体"/>
                <w:color w:val="auto"/>
                <w:sz w:val="18"/>
                <w:szCs w:val="18"/>
                <w:highlight w:val="none"/>
              </w:rPr>
            </w:pPr>
          </w:p>
        </w:tc>
        <w:tc>
          <w:tcPr>
            <w:tcW w:w="615" w:type="dxa"/>
          </w:tcPr>
          <w:p w14:paraId="195FE12D">
            <w:pPr>
              <w:spacing w:line="400" w:lineRule="exact"/>
              <w:rPr>
                <w:rFonts w:ascii="宋体" w:hAnsi="宋体"/>
                <w:color w:val="auto"/>
                <w:sz w:val="18"/>
                <w:szCs w:val="18"/>
                <w:highlight w:val="none"/>
              </w:rPr>
            </w:pPr>
          </w:p>
        </w:tc>
        <w:tc>
          <w:tcPr>
            <w:tcW w:w="825" w:type="dxa"/>
          </w:tcPr>
          <w:p w14:paraId="04E5E2C6">
            <w:pPr>
              <w:spacing w:line="400" w:lineRule="exact"/>
              <w:rPr>
                <w:rFonts w:ascii="宋体" w:hAnsi="宋体"/>
                <w:color w:val="auto"/>
                <w:sz w:val="18"/>
                <w:szCs w:val="18"/>
                <w:highlight w:val="none"/>
              </w:rPr>
            </w:pPr>
          </w:p>
        </w:tc>
      </w:tr>
      <w:tr w14:paraId="0E911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4C665638">
            <w:pPr>
              <w:spacing w:line="400" w:lineRule="exact"/>
              <w:jc w:val="center"/>
              <w:rPr>
                <w:rFonts w:ascii="宋体" w:hAnsi="宋体"/>
                <w:color w:val="auto"/>
                <w:sz w:val="18"/>
                <w:szCs w:val="18"/>
                <w:highlight w:val="none"/>
              </w:rPr>
            </w:pPr>
            <w:r>
              <w:rPr>
                <w:rFonts w:ascii="宋体" w:hAnsi="宋体"/>
                <w:color w:val="auto"/>
                <w:sz w:val="18"/>
                <w:szCs w:val="18"/>
                <w:highlight w:val="none"/>
              </w:rPr>
              <w:t>3</w:t>
            </w:r>
          </w:p>
        </w:tc>
        <w:tc>
          <w:tcPr>
            <w:tcW w:w="10819" w:type="dxa"/>
            <w:vAlign w:val="center"/>
          </w:tcPr>
          <w:p w14:paraId="44E0254D">
            <w:pPr>
              <w:rPr>
                <w:color w:val="auto"/>
                <w:sz w:val="18"/>
                <w:szCs w:val="18"/>
                <w:highlight w:val="none"/>
              </w:rPr>
            </w:pPr>
            <w:r>
              <w:rPr>
                <w:rFonts w:hint="eastAsia"/>
                <w:color w:val="auto"/>
                <w:sz w:val="18"/>
                <w:szCs w:val="18"/>
                <w:highlight w:val="none"/>
              </w:rPr>
              <w:t>投标人（若为联合体，指联合体承担施工任务的单位）持有有效的建设行政主管部门颁发的安全生产许可证。</w:t>
            </w:r>
          </w:p>
        </w:tc>
        <w:tc>
          <w:tcPr>
            <w:tcW w:w="585" w:type="dxa"/>
          </w:tcPr>
          <w:p w14:paraId="0B54BA2B">
            <w:pPr>
              <w:spacing w:line="400" w:lineRule="exact"/>
              <w:rPr>
                <w:rFonts w:ascii="宋体" w:hAnsi="宋体"/>
                <w:color w:val="auto"/>
                <w:sz w:val="18"/>
                <w:szCs w:val="18"/>
                <w:highlight w:val="none"/>
              </w:rPr>
            </w:pPr>
          </w:p>
        </w:tc>
        <w:tc>
          <w:tcPr>
            <w:tcW w:w="615" w:type="dxa"/>
          </w:tcPr>
          <w:p w14:paraId="0BFA8C79">
            <w:pPr>
              <w:spacing w:line="400" w:lineRule="exact"/>
              <w:rPr>
                <w:rFonts w:ascii="宋体" w:hAnsi="宋体"/>
                <w:color w:val="auto"/>
                <w:sz w:val="18"/>
                <w:szCs w:val="18"/>
                <w:highlight w:val="none"/>
              </w:rPr>
            </w:pPr>
          </w:p>
        </w:tc>
        <w:tc>
          <w:tcPr>
            <w:tcW w:w="825" w:type="dxa"/>
          </w:tcPr>
          <w:p w14:paraId="77B0CE6C">
            <w:pPr>
              <w:spacing w:line="400" w:lineRule="exact"/>
              <w:rPr>
                <w:rFonts w:ascii="宋体" w:hAnsi="宋体"/>
                <w:color w:val="auto"/>
                <w:sz w:val="18"/>
                <w:szCs w:val="18"/>
                <w:highlight w:val="none"/>
              </w:rPr>
            </w:pPr>
          </w:p>
        </w:tc>
      </w:tr>
      <w:tr w14:paraId="72D71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7A241244">
            <w:pPr>
              <w:spacing w:line="400" w:lineRule="exact"/>
              <w:jc w:val="center"/>
              <w:rPr>
                <w:rFonts w:ascii="宋体" w:hAnsi="宋体"/>
                <w:color w:val="auto"/>
                <w:sz w:val="18"/>
                <w:szCs w:val="18"/>
                <w:highlight w:val="none"/>
              </w:rPr>
            </w:pPr>
            <w:r>
              <w:rPr>
                <w:rFonts w:ascii="宋体" w:hAnsi="宋体"/>
                <w:color w:val="auto"/>
                <w:sz w:val="18"/>
                <w:szCs w:val="18"/>
                <w:highlight w:val="none"/>
              </w:rPr>
              <w:t>4</w:t>
            </w:r>
          </w:p>
        </w:tc>
        <w:tc>
          <w:tcPr>
            <w:tcW w:w="10819" w:type="dxa"/>
            <w:vAlign w:val="center"/>
          </w:tcPr>
          <w:p w14:paraId="43C1BE40">
            <w:pPr>
              <w:rPr>
                <w:color w:val="auto"/>
                <w:sz w:val="18"/>
                <w:szCs w:val="18"/>
                <w:highlight w:val="none"/>
              </w:rPr>
            </w:pPr>
            <w:r>
              <w:rPr>
                <w:rFonts w:hint="eastAsia"/>
                <w:color w:val="auto"/>
                <w:sz w:val="18"/>
                <w:szCs w:val="18"/>
                <w:highlight w:val="none"/>
              </w:rPr>
              <w:t>投标人（若为联合体，指联合体各方）企业资质符合招标公告要求。</w:t>
            </w:r>
          </w:p>
        </w:tc>
        <w:tc>
          <w:tcPr>
            <w:tcW w:w="585" w:type="dxa"/>
          </w:tcPr>
          <w:p w14:paraId="5CF6F884">
            <w:pPr>
              <w:spacing w:line="400" w:lineRule="exact"/>
              <w:rPr>
                <w:rFonts w:ascii="宋体" w:hAnsi="宋体"/>
                <w:color w:val="auto"/>
                <w:sz w:val="18"/>
                <w:szCs w:val="18"/>
                <w:highlight w:val="none"/>
              </w:rPr>
            </w:pPr>
          </w:p>
        </w:tc>
        <w:tc>
          <w:tcPr>
            <w:tcW w:w="615" w:type="dxa"/>
          </w:tcPr>
          <w:p w14:paraId="528C5D95">
            <w:pPr>
              <w:spacing w:line="400" w:lineRule="exact"/>
              <w:rPr>
                <w:rFonts w:ascii="宋体" w:hAnsi="宋体"/>
                <w:color w:val="auto"/>
                <w:sz w:val="18"/>
                <w:szCs w:val="18"/>
                <w:highlight w:val="none"/>
              </w:rPr>
            </w:pPr>
          </w:p>
        </w:tc>
        <w:tc>
          <w:tcPr>
            <w:tcW w:w="825" w:type="dxa"/>
          </w:tcPr>
          <w:p w14:paraId="413C6EF5">
            <w:pPr>
              <w:spacing w:line="400" w:lineRule="exact"/>
              <w:rPr>
                <w:rFonts w:ascii="宋体" w:hAnsi="宋体"/>
                <w:color w:val="auto"/>
                <w:sz w:val="18"/>
                <w:szCs w:val="18"/>
                <w:highlight w:val="none"/>
              </w:rPr>
            </w:pPr>
          </w:p>
        </w:tc>
      </w:tr>
      <w:tr w14:paraId="3427C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46182B47">
            <w:pPr>
              <w:spacing w:line="400" w:lineRule="exact"/>
              <w:jc w:val="center"/>
              <w:rPr>
                <w:rFonts w:ascii="宋体" w:hAnsi="宋体"/>
                <w:color w:val="auto"/>
                <w:sz w:val="18"/>
                <w:szCs w:val="18"/>
                <w:highlight w:val="none"/>
              </w:rPr>
            </w:pPr>
            <w:r>
              <w:rPr>
                <w:rFonts w:ascii="宋体" w:hAnsi="宋体"/>
                <w:color w:val="auto"/>
                <w:sz w:val="18"/>
                <w:szCs w:val="18"/>
                <w:highlight w:val="none"/>
              </w:rPr>
              <w:t>5</w:t>
            </w:r>
          </w:p>
        </w:tc>
        <w:tc>
          <w:tcPr>
            <w:tcW w:w="10819" w:type="dxa"/>
            <w:vAlign w:val="center"/>
          </w:tcPr>
          <w:p w14:paraId="4016B285">
            <w:pPr>
              <w:rPr>
                <w:color w:val="auto"/>
                <w:sz w:val="18"/>
                <w:szCs w:val="18"/>
                <w:highlight w:val="none"/>
              </w:rPr>
            </w:pPr>
            <w:r>
              <w:rPr>
                <w:rFonts w:hint="eastAsia"/>
                <w:color w:val="auto"/>
                <w:sz w:val="18"/>
                <w:szCs w:val="18"/>
                <w:highlight w:val="none"/>
              </w:rPr>
              <w:t>投标人拟担任本项目的项目负责人资格满足招标公告要求。</w:t>
            </w:r>
          </w:p>
        </w:tc>
        <w:tc>
          <w:tcPr>
            <w:tcW w:w="585" w:type="dxa"/>
          </w:tcPr>
          <w:p w14:paraId="5A97FB62">
            <w:pPr>
              <w:spacing w:line="400" w:lineRule="exact"/>
              <w:rPr>
                <w:rFonts w:ascii="宋体" w:hAnsi="宋体"/>
                <w:color w:val="auto"/>
                <w:sz w:val="18"/>
                <w:szCs w:val="18"/>
                <w:highlight w:val="none"/>
              </w:rPr>
            </w:pPr>
          </w:p>
        </w:tc>
        <w:tc>
          <w:tcPr>
            <w:tcW w:w="615" w:type="dxa"/>
          </w:tcPr>
          <w:p w14:paraId="665319F0">
            <w:pPr>
              <w:spacing w:line="400" w:lineRule="exact"/>
              <w:rPr>
                <w:rFonts w:ascii="宋体" w:hAnsi="宋体"/>
                <w:color w:val="auto"/>
                <w:sz w:val="18"/>
                <w:szCs w:val="18"/>
                <w:highlight w:val="none"/>
              </w:rPr>
            </w:pPr>
          </w:p>
        </w:tc>
        <w:tc>
          <w:tcPr>
            <w:tcW w:w="825" w:type="dxa"/>
          </w:tcPr>
          <w:p w14:paraId="5D53A0D2">
            <w:pPr>
              <w:spacing w:line="400" w:lineRule="exact"/>
              <w:rPr>
                <w:rFonts w:ascii="宋体" w:hAnsi="宋体"/>
                <w:color w:val="auto"/>
                <w:sz w:val="18"/>
                <w:szCs w:val="18"/>
                <w:highlight w:val="none"/>
              </w:rPr>
            </w:pPr>
          </w:p>
        </w:tc>
      </w:tr>
      <w:tr w14:paraId="326D2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291F0E67">
            <w:pPr>
              <w:spacing w:line="400" w:lineRule="exact"/>
              <w:jc w:val="center"/>
              <w:rPr>
                <w:rFonts w:ascii="宋体" w:hAnsi="宋体"/>
                <w:color w:val="auto"/>
                <w:sz w:val="18"/>
                <w:szCs w:val="18"/>
                <w:highlight w:val="none"/>
              </w:rPr>
            </w:pPr>
            <w:r>
              <w:rPr>
                <w:rFonts w:ascii="宋体" w:hAnsi="宋体"/>
                <w:color w:val="auto"/>
                <w:sz w:val="18"/>
                <w:szCs w:val="18"/>
                <w:highlight w:val="none"/>
              </w:rPr>
              <w:t>6</w:t>
            </w:r>
          </w:p>
        </w:tc>
        <w:tc>
          <w:tcPr>
            <w:tcW w:w="10819" w:type="dxa"/>
            <w:vAlign w:val="center"/>
          </w:tcPr>
          <w:p w14:paraId="77787F0F">
            <w:pPr>
              <w:rPr>
                <w:color w:val="auto"/>
                <w:sz w:val="18"/>
                <w:szCs w:val="18"/>
                <w:highlight w:val="none"/>
              </w:rPr>
            </w:pPr>
            <w:r>
              <w:rPr>
                <w:rFonts w:hint="eastAsia"/>
                <w:color w:val="auto"/>
                <w:sz w:val="18"/>
                <w:szCs w:val="18"/>
                <w:highlight w:val="none"/>
              </w:rPr>
              <w:t>投标人拟担任本项目的设计负责人资格满足招标公告要求。</w:t>
            </w:r>
          </w:p>
        </w:tc>
        <w:tc>
          <w:tcPr>
            <w:tcW w:w="585" w:type="dxa"/>
          </w:tcPr>
          <w:p w14:paraId="0ABC9FBC">
            <w:pPr>
              <w:spacing w:line="400" w:lineRule="exact"/>
              <w:rPr>
                <w:rFonts w:ascii="宋体" w:hAnsi="宋体"/>
                <w:color w:val="auto"/>
                <w:sz w:val="18"/>
                <w:szCs w:val="18"/>
                <w:highlight w:val="none"/>
              </w:rPr>
            </w:pPr>
          </w:p>
        </w:tc>
        <w:tc>
          <w:tcPr>
            <w:tcW w:w="615" w:type="dxa"/>
          </w:tcPr>
          <w:p w14:paraId="1BFB12E1">
            <w:pPr>
              <w:spacing w:line="400" w:lineRule="exact"/>
              <w:rPr>
                <w:rFonts w:ascii="宋体" w:hAnsi="宋体"/>
                <w:color w:val="auto"/>
                <w:sz w:val="18"/>
                <w:szCs w:val="18"/>
                <w:highlight w:val="none"/>
              </w:rPr>
            </w:pPr>
          </w:p>
        </w:tc>
        <w:tc>
          <w:tcPr>
            <w:tcW w:w="825" w:type="dxa"/>
          </w:tcPr>
          <w:p w14:paraId="37CCF2C3">
            <w:pPr>
              <w:spacing w:line="400" w:lineRule="exact"/>
              <w:rPr>
                <w:rFonts w:ascii="宋体" w:hAnsi="宋体"/>
                <w:color w:val="auto"/>
                <w:sz w:val="18"/>
                <w:szCs w:val="18"/>
                <w:highlight w:val="none"/>
              </w:rPr>
            </w:pPr>
          </w:p>
        </w:tc>
      </w:tr>
      <w:tr w14:paraId="5EFDE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5" w:hRule="atLeast"/>
        </w:trPr>
        <w:tc>
          <w:tcPr>
            <w:tcW w:w="530" w:type="dxa"/>
            <w:vAlign w:val="center"/>
          </w:tcPr>
          <w:p w14:paraId="05504695">
            <w:pPr>
              <w:spacing w:line="400" w:lineRule="exact"/>
              <w:jc w:val="center"/>
              <w:rPr>
                <w:rFonts w:ascii="宋体" w:hAnsi="宋体"/>
                <w:color w:val="auto"/>
                <w:sz w:val="18"/>
                <w:szCs w:val="18"/>
                <w:highlight w:val="none"/>
              </w:rPr>
            </w:pPr>
            <w:r>
              <w:rPr>
                <w:rFonts w:ascii="宋体" w:hAnsi="宋体"/>
                <w:color w:val="auto"/>
                <w:sz w:val="18"/>
                <w:szCs w:val="18"/>
                <w:highlight w:val="none"/>
              </w:rPr>
              <w:t>7</w:t>
            </w:r>
          </w:p>
        </w:tc>
        <w:tc>
          <w:tcPr>
            <w:tcW w:w="10819" w:type="dxa"/>
            <w:vAlign w:val="center"/>
          </w:tcPr>
          <w:p w14:paraId="733D4203">
            <w:pPr>
              <w:rPr>
                <w:color w:val="auto"/>
                <w:sz w:val="18"/>
                <w:szCs w:val="18"/>
                <w:highlight w:val="none"/>
              </w:rPr>
            </w:pPr>
            <w:r>
              <w:rPr>
                <w:rFonts w:hint="eastAsia"/>
                <w:color w:val="auto"/>
                <w:sz w:val="18"/>
                <w:szCs w:val="18"/>
                <w:highlight w:val="none"/>
              </w:rPr>
              <w:t>投标人拟担任本项目的项目技术负责人资格满足招标公告要求。</w:t>
            </w:r>
          </w:p>
        </w:tc>
        <w:tc>
          <w:tcPr>
            <w:tcW w:w="585" w:type="dxa"/>
          </w:tcPr>
          <w:p w14:paraId="0D668A61">
            <w:pPr>
              <w:spacing w:line="400" w:lineRule="exact"/>
              <w:rPr>
                <w:rFonts w:ascii="宋体" w:hAnsi="宋体"/>
                <w:color w:val="auto"/>
                <w:sz w:val="18"/>
                <w:szCs w:val="18"/>
                <w:highlight w:val="none"/>
              </w:rPr>
            </w:pPr>
          </w:p>
        </w:tc>
        <w:tc>
          <w:tcPr>
            <w:tcW w:w="615" w:type="dxa"/>
          </w:tcPr>
          <w:p w14:paraId="5EC9C94E">
            <w:pPr>
              <w:spacing w:line="400" w:lineRule="exact"/>
              <w:rPr>
                <w:rFonts w:ascii="宋体" w:hAnsi="宋体"/>
                <w:color w:val="auto"/>
                <w:sz w:val="18"/>
                <w:szCs w:val="18"/>
                <w:highlight w:val="none"/>
              </w:rPr>
            </w:pPr>
          </w:p>
        </w:tc>
        <w:tc>
          <w:tcPr>
            <w:tcW w:w="825" w:type="dxa"/>
          </w:tcPr>
          <w:p w14:paraId="39424B9D">
            <w:pPr>
              <w:spacing w:line="400" w:lineRule="exact"/>
              <w:rPr>
                <w:rFonts w:ascii="宋体" w:hAnsi="宋体"/>
                <w:color w:val="auto"/>
                <w:sz w:val="18"/>
                <w:szCs w:val="18"/>
                <w:highlight w:val="none"/>
              </w:rPr>
            </w:pPr>
          </w:p>
        </w:tc>
      </w:tr>
      <w:tr w14:paraId="19614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7BB80844">
            <w:pPr>
              <w:spacing w:line="400" w:lineRule="exact"/>
              <w:jc w:val="center"/>
              <w:rPr>
                <w:rFonts w:ascii="宋体" w:hAnsi="宋体"/>
                <w:color w:val="auto"/>
                <w:sz w:val="18"/>
                <w:szCs w:val="18"/>
                <w:highlight w:val="none"/>
              </w:rPr>
            </w:pPr>
            <w:r>
              <w:rPr>
                <w:rFonts w:ascii="宋体" w:hAnsi="宋体"/>
                <w:color w:val="auto"/>
                <w:sz w:val="18"/>
                <w:szCs w:val="18"/>
                <w:highlight w:val="none"/>
              </w:rPr>
              <w:t>8</w:t>
            </w:r>
          </w:p>
        </w:tc>
        <w:tc>
          <w:tcPr>
            <w:tcW w:w="10819" w:type="dxa"/>
            <w:vAlign w:val="center"/>
          </w:tcPr>
          <w:p w14:paraId="064C9FE6">
            <w:pPr>
              <w:rPr>
                <w:color w:val="auto"/>
                <w:sz w:val="18"/>
                <w:szCs w:val="18"/>
                <w:highlight w:val="none"/>
              </w:rPr>
            </w:pPr>
            <w:r>
              <w:rPr>
                <w:rFonts w:hint="eastAsia"/>
                <w:color w:val="auto"/>
                <w:sz w:val="18"/>
                <w:szCs w:val="18"/>
                <w:highlight w:val="none"/>
              </w:rPr>
              <w:t>投标人（若为联合体，指联合体牵头方）项目负责人持有在有效期内的安全生产考核合格证书（</w:t>
            </w:r>
            <w:r>
              <w:rPr>
                <w:color w:val="auto"/>
                <w:sz w:val="18"/>
                <w:szCs w:val="18"/>
                <w:highlight w:val="none"/>
              </w:rPr>
              <w:t>B</w:t>
            </w:r>
            <w:r>
              <w:rPr>
                <w:rFonts w:hint="eastAsia"/>
                <w:color w:val="auto"/>
                <w:sz w:val="18"/>
                <w:szCs w:val="18"/>
                <w:highlight w:val="none"/>
              </w:rPr>
              <w:t>类），或能够提供建筑施工企业项目负责人安全生产考核合格证书扫描件。设计负责人、项目负责人、技术负责人和安全员不为同一人。</w:t>
            </w:r>
          </w:p>
        </w:tc>
        <w:tc>
          <w:tcPr>
            <w:tcW w:w="585" w:type="dxa"/>
          </w:tcPr>
          <w:p w14:paraId="3BE62A39">
            <w:pPr>
              <w:spacing w:line="400" w:lineRule="exact"/>
              <w:rPr>
                <w:rFonts w:ascii="宋体" w:hAnsi="宋体"/>
                <w:color w:val="auto"/>
                <w:sz w:val="18"/>
                <w:szCs w:val="18"/>
                <w:highlight w:val="none"/>
              </w:rPr>
            </w:pPr>
          </w:p>
        </w:tc>
        <w:tc>
          <w:tcPr>
            <w:tcW w:w="615" w:type="dxa"/>
          </w:tcPr>
          <w:p w14:paraId="1C88C51F">
            <w:pPr>
              <w:spacing w:line="400" w:lineRule="exact"/>
              <w:rPr>
                <w:rFonts w:ascii="宋体" w:hAnsi="宋体"/>
                <w:color w:val="auto"/>
                <w:sz w:val="18"/>
                <w:szCs w:val="18"/>
                <w:highlight w:val="none"/>
              </w:rPr>
            </w:pPr>
          </w:p>
        </w:tc>
        <w:tc>
          <w:tcPr>
            <w:tcW w:w="825" w:type="dxa"/>
          </w:tcPr>
          <w:p w14:paraId="1CF20386">
            <w:pPr>
              <w:spacing w:line="400" w:lineRule="exact"/>
              <w:rPr>
                <w:rFonts w:ascii="宋体" w:hAnsi="宋体"/>
                <w:color w:val="auto"/>
                <w:sz w:val="18"/>
                <w:szCs w:val="18"/>
                <w:highlight w:val="none"/>
              </w:rPr>
            </w:pPr>
          </w:p>
        </w:tc>
      </w:tr>
      <w:tr w14:paraId="714F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73ECDA6A">
            <w:pPr>
              <w:spacing w:line="400" w:lineRule="exact"/>
              <w:jc w:val="center"/>
              <w:rPr>
                <w:rFonts w:ascii="宋体" w:hAnsi="宋体"/>
                <w:color w:val="auto"/>
                <w:sz w:val="18"/>
                <w:szCs w:val="18"/>
                <w:highlight w:val="none"/>
              </w:rPr>
            </w:pPr>
            <w:r>
              <w:rPr>
                <w:rFonts w:ascii="宋体" w:hAnsi="宋体"/>
                <w:color w:val="auto"/>
                <w:sz w:val="18"/>
                <w:szCs w:val="18"/>
                <w:highlight w:val="none"/>
              </w:rPr>
              <w:t>9</w:t>
            </w:r>
          </w:p>
        </w:tc>
        <w:tc>
          <w:tcPr>
            <w:tcW w:w="10819" w:type="dxa"/>
            <w:vAlign w:val="center"/>
          </w:tcPr>
          <w:p w14:paraId="222E3AF6">
            <w:pPr>
              <w:rPr>
                <w:color w:val="auto"/>
                <w:sz w:val="18"/>
                <w:szCs w:val="18"/>
                <w:highlight w:val="none"/>
              </w:rPr>
            </w:pPr>
            <w:r>
              <w:rPr>
                <w:rFonts w:hint="eastAsia"/>
                <w:color w:val="auto"/>
                <w:sz w:val="18"/>
                <w:szCs w:val="18"/>
                <w:highlight w:val="none"/>
              </w:rPr>
              <w:t>投标人（若为联合体，指联合体牵头方）专职安全人员须具有在有效期内的安全生产考核合格证书（</w:t>
            </w:r>
            <w:r>
              <w:rPr>
                <w:color w:val="auto"/>
                <w:sz w:val="18"/>
                <w:szCs w:val="18"/>
                <w:highlight w:val="none"/>
              </w:rPr>
              <w:t>C</w:t>
            </w:r>
            <w:r>
              <w:rPr>
                <w:rFonts w:hint="eastAsia"/>
                <w:color w:val="auto"/>
                <w:sz w:val="18"/>
                <w:szCs w:val="18"/>
                <w:highlight w:val="none"/>
              </w:rPr>
              <w:t>类），或能够提供建筑施工企业专职安全生产管理人员安全生产考核合格证书（</w:t>
            </w:r>
            <w:r>
              <w:rPr>
                <w:color w:val="auto"/>
                <w:sz w:val="18"/>
                <w:szCs w:val="18"/>
                <w:highlight w:val="none"/>
              </w:rPr>
              <w:t>C3</w:t>
            </w:r>
            <w:r>
              <w:rPr>
                <w:rFonts w:hint="eastAsia"/>
                <w:color w:val="auto"/>
                <w:sz w:val="18"/>
                <w:szCs w:val="18"/>
                <w:highlight w:val="none"/>
              </w:rPr>
              <w:t>）扫描件。</w:t>
            </w:r>
          </w:p>
        </w:tc>
        <w:tc>
          <w:tcPr>
            <w:tcW w:w="585" w:type="dxa"/>
          </w:tcPr>
          <w:p w14:paraId="425F8D25">
            <w:pPr>
              <w:spacing w:line="400" w:lineRule="exact"/>
              <w:rPr>
                <w:rFonts w:ascii="宋体" w:hAnsi="宋体"/>
                <w:color w:val="auto"/>
                <w:sz w:val="18"/>
                <w:szCs w:val="18"/>
                <w:highlight w:val="none"/>
              </w:rPr>
            </w:pPr>
          </w:p>
        </w:tc>
        <w:tc>
          <w:tcPr>
            <w:tcW w:w="615" w:type="dxa"/>
          </w:tcPr>
          <w:p w14:paraId="4251915D">
            <w:pPr>
              <w:spacing w:line="400" w:lineRule="exact"/>
              <w:rPr>
                <w:rFonts w:ascii="宋体" w:hAnsi="宋体"/>
                <w:color w:val="auto"/>
                <w:sz w:val="18"/>
                <w:szCs w:val="18"/>
                <w:highlight w:val="none"/>
              </w:rPr>
            </w:pPr>
          </w:p>
        </w:tc>
        <w:tc>
          <w:tcPr>
            <w:tcW w:w="825" w:type="dxa"/>
          </w:tcPr>
          <w:p w14:paraId="56635141">
            <w:pPr>
              <w:spacing w:line="400" w:lineRule="exact"/>
              <w:rPr>
                <w:rFonts w:ascii="宋体" w:hAnsi="宋体"/>
                <w:color w:val="auto"/>
                <w:sz w:val="18"/>
                <w:szCs w:val="18"/>
                <w:highlight w:val="none"/>
              </w:rPr>
            </w:pPr>
          </w:p>
        </w:tc>
      </w:tr>
      <w:tr w14:paraId="7D3A5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032E9CB5">
            <w:pPr>
              <w:spacing w:line="400" w:lineRule="exact"/>
              <w:jc w:val="center"/>
              <w:rPr>
                <w:rFonts w:ascii="宋体" w:hAnsi="宋体"/>
                <w:color w:val="auto"/>
                <w:sz w:val="18"/>
                <w:szCs w:val="18"/>
                <w:highlight w:val="none"/>
              </w:rPr>
            </w:pPr>
            <w:r>
              <w:rPr>
                <w:rFonts w:ascii="宋体" w:hAnsi="宋体"/>
                <w:color w:val="auto"/>
                <w:sz w:val="18"/>
                <w:szCs w:val="18"/>
                <w:highlight w:val="none"/>
              </w:rPr>
              <w:t>10</w:t>
            </w:r>
          </w:p>
        </w:tc>
        <w:tc>
          <w:tcPr>
            <w:tcW w:w="10819" w:type="dxa"/>
            <w:vAlign w:val="center"/>
          </w:tcPr>
          <w:p w14:paraId="419BF1E8">
            <w:pPr>
              <w:rPr>
                <w:color w:val="auto"/>
                <w:sz w:val="18"/>
                <w:szCs w:val="18"/>
                <w:highlight w:val="none"/>
              </w:rPr>
            </w:pPr>
            <w:r>
              <w:rPr>
                <w:rFonts w:hint="eastAsia"/>
                <w:color w:val="auto"/>
                <w:sz w:val="18"/>
                <w:szCs w:val="18"/>
                <w:highlight w:val="none"/>
              </w:rPr>
              <w:t>资格审查前，投标人（若为联合体，指联合体各方）在广州市住建行业信用管理平台建立企业信用档案及拟担任本工程项目负责人、专职安全员和设计负责人须是本企业信用档案中的在册人员。（联合体投标的，企业信用档案和人员在册情况应与联合体共同投标协议书分工对应）。</w:t>
            </w:r>
          </w:p>
        </w:tc>
        <w:tc>
          <w:tcPr>
            <w:tcW w:w="585" w:type="dxa"/>
          </w:tcPr>
          <w:p w14:paraId="19B15B5C">
            <w:pPr>
              <w:spacing w:line="400" w:lineRule="exact"/>
              <w:rPr>
                <w:rFonts w:ascii="宋体" w:hAnsi="宋体"/>
                <w:color w:val="auto"/>
                <w:sz w:val="18"/>
                <w:szCs w:val="18"/>
                <w:highlight w:val="none"/>
              </w:rPr>
            </w:pPr>
          </w:p>
        </w:tc>
        <w:tc>
          <w:tcPr>
            <w:tcW w:w="615" w:type="dxa"/>
          </w:tcPr>
          <w:p w14:paraId="23EA29FC">
            <w:pPr>
              <w:spacing w:line="400" w:lineRule="exact"/>
              <w:rPr>
                <w:rFonts w:ascii="宋体" w:hAnsi="宋体"/>
                <w:color w:val="auto"/>
                <w:sz w:val="18"/>
                <w:szCs w:val="18"/>
                <w:highlight w:val="none"/>
              </w:rPr>
            </w:pPr>
          </w:p>
        </w:tc>
        <w:tc>
          <w:tcPr>
            <w:tcW w:w="825" w:type="dxa"/>
          </w:tcPr>
          <w:p w14:paraId="7E5EC368">
            <w:pPr>
              <w:spacing w:line="400" w:lineRule="exact"/>
              <w:rPr>
                <w:rFonts w:ascii="宋体" w:hAnsi="宋体"/>
                <w:color w:val="auto"/>
                <w:sz w:val="18"/>
                <w:szCs w:val="18"/>
                <w:highlight w:val="none"/>
              </w:rPr>
            </w:pPr>
          </w:p>
        </w:tc>
      </w:tr>
      <w:tr w14:paraId="08910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0FE7DD30">
            <w:pPr>
              <w:spacing w:line="400" w:lineRule="exact"/>
              <w:jc w:val="center"/>
              <w:rPr>
                <w:rFonts w:ascii="宋体" w:hAnsi="宋体"/>
                <w:color w:val="auto"/>
                <w:sz w:val="18"/>
                <w:szCs w:val="18"/>
                <w:highlight w:val="none"/>
              </w:rPr>
            </w:pPr>
            <w:r>
              <w:rPr>
                <w:rFonts w:ascii="宋体" w:hAnsi="宋体"/>
                <w:color w:val="auto"/>
                <w:sz w:val="18"/>
                <w:szCs w:val="18"/>
                <w:highlight w:val="none"/>
              </w:rPr>
              <w:t>11</w:t>
            </w:r>
          </w:p>
        </w:tc>
        <w:tc>
          <w:tcPr>
            <w:tcW w:w="10819" w:type="dxa"/>
            <w:vAlign w:val="center"/>
          </w:tcPr>
          <w:p w14:paraId="3D811083">
            <w:pPr>
              <w:rPr>
                <w:color w:val="auto"/>
                <w:sz w:val="18"/>
                <w:szCs w:val="18"/>
                <w:highlight w:val="none"/>
              </w:rPr>
            </w:pPr>
            <w:r>
              <w:rPr>
                <w:rFonts w:hint="eastAsia"/>
                <w:color w:val="auto"/>
                <w:sz w:val="18"/>
                <w:szCs w:val="18"/>
                <w:highlight w:val="none"/>
              </w:rPr>
              <w:t>投标人提供的《投标人声明》符合招标公告要求。</w:t>
            </w:r>
          </w:p>
        </w:tc>
        <w:tc>
          <w:tcPr>
            <w:tcW w:w="585" w:type="dxa"/>
          </w:tcPr>
          <w:p w14:paraId="45CFF143">
            <w:pPr>
              <w:spacing w:line="400" w:lineRule="exact"/>
              <w:rPr>
                <w:rFonts w:ascii="宋体" w:hAnsi="宋体"/>
                <w:color w:val="auto"/>
                <w:sz w:val="18"/>
                <w:szCs w:val="18"/>
                <w:highlight w:val="none"/>
              </w:rPr>
            </w:pPr>
          </w:p>
        </w:tc>
        <w:tc>
          <w:tcPr>
            <w:tcW w:w="615" w:type="dxa"/>
          </w:tcPr>
          <w:p w14:paraId="52207CF3">
            <w:pPr>
              <w:spacing w:line="400" w:lineRule="exact"/>
              <w:rPr>
                <w:rFonts w:ascii="宋体" w:hAnsi="宋体"/>
                <w:color w:val="auto"/>
                <w:sz w:val="18"/>
                <w:szCs w:val="18"/>
                <w:highlight w:val="none"/>
              </w:rPr>
            </w:pPr>
          </w:p>
        </w:tc>
        <w:tc>
          <w:tcPr>
            <w:tcW w:w="825" w:type="dxa"/>
          </w:tcPr>
          <w:p w14:paraId="6D774426">
            <w:pPr>
              <w:spacing w:line="400" w:lineRule="exact"/>
              <w:rPr>
                <w:rFonts w:ascii="宋体" w:hAnsi="宋体"/>
                <w:color w:val="auto"/>
                <w:sz w:val="18"/>
                <w:szCs w:val="18"/>
                <w:highlight w:val="none"/>
              </w:rPr>
            </w:pPr>
          </w:p>
        </w:tc>
      </w:tr>
      <w:tr w14:paraId="1E948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1AEDB744">
            <w:pPr>
              <w:spacing w:line="400" w:lineRule="exact"/>
              <w:jc w:val="center"/>
              <w:rPr>
                <w:rFonts w:ascii="宋体" w:hAnsi="宋体"/>
                <w:color w:val="auto"/>
                <w:sz w:val="18"/>
                <w:szCs w:val="18"/>
                <w:highlight w:val="none"/>
              </w:rPr>
            </w:pPr>
            <w:r>
              <w:rPr>
                <w:rFonts w:ascii="宋体" w:hAnsi="宋体"/>
                <w:color w:val="auto"/>
                <w:sz w:val="18"/>
                <w:szCs w:val="18"/>
                <w:highlight w:val="none"/>
              </w:rPr>
              <w:t>12</w:t>
            </w:r>
          </w:p>
        </w:tc>
        <w:tc>
          <w:tcPr>
            <w:tcW w:w="10819" w:type="dxa"/>
            <w:vAlign w:val="center"/>
          </w:tcPr>
          <w:p w14:paraId="03163885">
            <w:pPr>
              <w:rPr>
                <w:color w:val="auto"/>
                <w:sz w:val="18"/>
                <w:szCs w:val="18"/>
                <w:highlight w:val="none"/>
              </w:rPr>
            </w:pPr>
            <w:r>
              <w:rPr>
                <w:rFonts w:hint="eastAsia"/>
                <w:color w:val="auto"/>
                <w:sz w:val="18"/>
                <w:szCs w:val="18"/>
                <w:highlight w:val="none"/>
              </w:rPr>
              <w:t>联合体投标的提交联合体共同投标协议书，联合体组成符合招标公告要求。</w:t>
            </w:r>
          </w:p>
        </w:tc>
        <w:tc>
          <w:tcPr>
            <w:tcW w:w="585" w:type="dxa"/>
          </w:tcPr>
          <w:p w14:paraId="678C6D8D">
            <w:pPr>
              <w:spacing w:line="400" w:lineRule="exact"/>
              <w:rPr>
                <w:rFonts w:ascii="宋体" w:hAnsi="宋体"/>
                <w:color w:val="auto"/>
                <w:sz w:val="18"/>
                <w:szCs w:val="18"/>
                <w:highlight w:val="none"/>
              </w:rPr>
            </w:pPr>
          </w:p>
        </w:tc>
        <w:tc>
          <w:tcPr>
            <w:tcW w:w="615" w:type="dxa"/>
          </w:tcPr>
          <w:p w14:paraId="026C17EC">
            <w:pPr>
              <w:spacing w:line="400" w:lineRule="exact"/>
              <w:rPr>
                <w:rFonts w:ascii="宋体" w:hAnsi="宋体"/>
                <w:color w:val="auto"/>
                <w:sz w:val="18"/>
                <w:szCs w:val="18"/>
                <w:highlight w:val="none"/>
              </w:rPr>
            </w:pPr>
          </w:p>
        </w:tc>
        <w:tc>
          <w:tcPr>
            <w:tcW w:w="825" w:type="dxa"/>
          </w:tcPr>
          <w:p w14:paraId="19326E1C">
            <w:pPr>
              <w:spacing w:line="400" w:lineRule="exact"/>
              <w:rPr>
                <w:rFonts w:ascii="宋体" w:hAnsi="宋体"/>
                <w:color w:val="auto"/>
                <w:sz w:val="18"/>
                <w:szCs w:val="18"/>
                <w:highlight w:val="none"/>
              </w:rPr>
            </w:pPr>
          </w:p>
        </w:tc>
      </w:tr>
      <w:tr w14:paraId="73C5A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22BBC806">
            <w:pPr>
              <w:spacing w:line="400" w:lineRule="exact"/>
              <w:jc w:val="center"/>
              <w:rPr>
                <w:rFonts w:ascii="宋体" w:hAnsi="宋体"/>
                <w:color w:val="auto"/>
                <w:sz w:val="18"/>
                <w:szCs w:val="18"/>
                <w:highlight w:val="none"/>
              </w:rPr>
            </w:pPr>
            <w:r>
              <w:rPr>
                <w:rFonts w:ascii="宋体" w:hAnsi="宋体"/>
                <w:color w:val="auto"/>
                <w:sz w:val="18"/>
                <w:szCs w:val="18"/>
                <w:highlight w:val="none"/>
              </w:rPr>
              <w:t>13</w:t>
            </w:r>
          </w:p>
        </w:tc>
        <w:tc>
          <w:tcPr>
            <w:tcW w:w="10819" w:type="dxa"/>
            <w:vAlign w:val="center"/>
          </w:tcPr>
          <w:p w14:paraId="43AD9812">
            <w:pPr>
              <w:rPr>
                <w:color w:val="auto"/>
                <w:sz w:val="18"/>
                <w:szCs w:val="18"/>
                <w:highlight w:val="none"/>
              </w:rPr>
            </w:pPr>
            <w:r>
              <w:rPr>
                <w:rFonts w:hint="eastAsia"/>
                <w:color w:val="auto"/>
                <w:sz w:val="18"/>
                <w:szCs w:val="18"/>
                <w:highlight w:val="none"/>
              </w:rPr>
              <w:t>投标人（若为联合体，指联合体各方）未出现以下情形：与其它投标人的单位负责人为同一人或者存在控股、管理关系的（按投标人提供的《投标人声明》第九条内容进行评审）。</w:t>
            </w:r>
          </w:p>
        </w:tc>
        <w:tc>
          <w:tcPr>
            <w:tcW w:w="585" w:type="dxa"/>
          </w:tcPr>
          <w:p w14:paraId="1CD85D4E">
            <w:pPr>
              <w:spacing w:line="400" w:lineRule="exact"/>
              <w:rPr>
                <w:rFonts w:ascii="宋体" w:hAnsi="宋体"/>
                <w:color w:val="auto"/>
                <w:sz w:val="18"/>
                <w:szCs w:val="18"/>
                <w:highlight w:val="none"/>
              </w:rPr>
            </w:pPr>
          </w:p>
        </w:tc>
        <w:tc>
          <w:tcPr>
            <w:tcW w:w="615" w:type="dxa"/>
          </w:tcPr>
          <w:p w14:paraId="63872786">
            <w:pPr>
              <w:spacing w:line="400" w:lineRule="exact"/>
              <w:rPr>
                <w:rFonts w:ascii="宋体" w:hAnsi="宋体"/>
                <w:color w:val="auto"/>
                <w:sz w:val="18"/>
                <w:szCs w:val="18"/>
                <w:highlight w:val="none"/>
              </w:rPr>
            </w:pPr>
          </w:p>
        </w:tc>
        <w:tc>
          <w:tcPr>
            <w:tcW w:w="825" w:type="dxa"/>
          </w:tcPr>
          <w:p w14:paraId="2F2B0947">
            <w:pPr>
              <w:spacing w:line="400" w:lineRule="exact"/>
              <w:rPr>
                <w:rFonts w:ascii="宋体" w:hAnsi="宋体"/>
                <w:color w:val="auto"/>
                <w:sz w:val="18"/>
                <w:szCs w:val="18"/>
                <w:highlight w:val="none"/>
              </w:rPr>
            </w:pPr>
          </w:p>
        </w:tc>
      </w:tr>
      <w:tr w14:paraId="41F7C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trPr>
        <w:tc>
          <w:tcPr>
            <w:tcW w:w="530" w:type="dxa"/>
            <w:vAlign w:val="center"/>
          </w:tcPr>
          <w:p w14:paraId="43FA1A4C">
            <w:pPr>
              <w:spacing w:line="400" w:lineRule="exact"/>
              <w:jc w:val="center"/>
              <w:rPr>
                <w:rFonts w:ascii="宋体" w:hAnsi="宋体"/>
                <w:color w:val="auto"/>
                <w:sz w:val="18"/>
                <w:szCs w:val="18"/>
                <w:highlight w:val="none"/>
              </w:rPr>
            </w:pPr>
            <w:r>
              <w:rPr>
                <w:rFonts w:ascii="宋体" w:hAnsi="宋体"/>
                <w:color w:val="auto"/>
                <w:sz w:val="18"/>
                <w:szCs w:val="18"/>
                <w:highlight w:val="none"/>
              </w:rPr>
              <w:t>14</w:t>
            </w:r>
          </w:p>
        </w:tc>
        <w:tc>
          <w:tcPr>
            <w:tcW w:w="10819" w:type="dxa"/>
            <w:vAlign w:val="center"/>
          </w:tcPr>
          <w:p w14:paraId="55C1DC00">
            <w:pPr>
              <w:rPr>
                <w:color w:val="auto"/>
                <w:sz w:val="18"/>
                <w:szCs w:val="18"/>
                <w:highlight w:val="none"/>
              </w:rPr>
            </w:pPr>
            <w:r>
              <w:rPr>
                <w:rFonts w:hint="eastAsia"/>
                <w:color w:val="auto"/>
                <w:sz w:val="18"/>
                <w:szCs w:val="18"/>
                <w:highlight w:val="none"/>
              </w:rPr>
              <w:t>投标人（若为联合体，指联合体各</w:t>
            </w:r>
            <w:r>
              <w:rPr>
                <w:rFonts w:hint="eastAsia"/>
                <w:color w:val="auto"/>
                <w:sz w:val="18"/>
                <w:szCs w:val="18"/>
                <w:highlight w:val="none"/>
                <w:lang w:val="en-US" w:eastAsia="zh-CN"/>
              </w:rPr>
              <w:t>方</w:t>
            </w:r>
            <w:r>
              <w:rPr>
                <w:rFonts w:hint="eastAsia"/>
                <w:color w:val="auto"/>
                <w:sz w:val="18"/>
                <w:szCs w:val="18"/>
                <w:highlight w:val="none"/>
              </w:rPr>
              <w:t>）未被列入拖欠农民工工资失信联合惩戒对象名单和失信被执行人。（投标人无需提供资料，按投标截止时间交易系统比对的结果进行评审）</w:t>
            </w:r>
          </w:p>
        </w:tc>
        <w:tc>
          <w:tcPr>
            <w:tcW w:w="585" w:type="dxa"/>
          </w:tcPr>
          <w:p w14:paraId="687D9F9D">
            <w:pPr>
              <w:spacing w:line="400" w:lineRule="exact"/>
              <w:rPr>
                <w:rFonts w:ascii="宋体" w:hAnsi="宋体"/>
                <w:color w:val="auto"/>
                <w:sz w:val="18"/>
                <w:szCs w:val="18"/>
                <w:highlight w:val="none"/>
              </w:rPr>
            </w:pPr>
          </w:p>
        </w:tc>
        <w:tc>
          <w:tcPr>
            <w:tcW w:w="615" w:type="dxa"/>
          </w:tcPr>
          <w:p w14:paraId="6B28E402">
            <w:pPr>
              <w:spacing w:line="400" w:lineRule="exact"/>
              <w:rPr>
                <w:rFonts w:ascii="宋体" w:hAnsi="宋体"/>
                <w:color w:val="auto"/>
                <w:sz w:val="18"/>
                <w:szCs w:val="18"/>
                <w:highlight w:val="none"/>
              </w:rPr>
            </w:pPr>
          </w:p>
        </w:tc>
        <w:tc>
          <w:tcPr>
            <w:tcW w:w="825" w:type="dxa"/>
          </w:tcPr>
          <w:p w14:paraId="1DBCC7AD">
            <w:pPr>
              <w:spacing w:line="400" w:lineRule="exact"/>
              <w:rPr>
                <w:rFonts w:ascii="宋体" w:hAnsi="宋体"/>
                <w:color w:val="auto"/>
                <w:sz w:val="18"/>
                <w:szCs w:val="18"/>
                <w:highlight w:val="none"/>
              </w:rPr>
            </w:pPr>
          </w:p>
        </w:tc>
      </w:tr>
      <w:tr w14:paraId="528F3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2" w:hRule="atLeast"/>
        </w:trPr>
        <w:tc>
          <w:tcPr>
            <w:tcW w:w="530" w:type="dxa"/>
            <w:vAlign w:val="center"/>
          </w:tcPr>
          <w:p w14:paraId="7E7FE32F">
            <w:pPr>
              <w:spacing w:line="400" w:lineRule="exact"/>
              <w:jc w:val="center"/>
              <w:rPr>
                <w:rFonts w:ascii="宋体" w:hAnsi="宋体"/>
                <w:color w:val="auto"/>
                <w:sz w:val="18"/>
                <w:szCs w:val="18"/>
                <w:highlight w:val="none"/>
              </w:rPr>
            </w:pPr>
            <w:r>
              <w:rPr>
                <w:rFonts w:ascii="宋体" w:hAnsi="宋体"/>
                <w:color w:val="auto"/>
                <w:sz w:val="18"/>
                <w:szCs w:val="18"/>
                <w:highlight w:val="none"/>
              </w:rPr>
              <w:t>15</w:t>
            </w:r>
          </w:p>
        </w:tc>
        <w:tc>
          <w:tcPr>
            <w:tcW w:w="10819" w:type="dxa"/>
            <w:vAlign w:val="center"/>
          </w:tcPr>
          <w:p w14:paraId="529F31E2">
            <w:pPr>
              <w:spacing w:line="360" w:lineRule="exact"/>
              <w:rPr>
                <w:color w:val="auto"/>
                <w:sz w:val="18"/>
                <w:szCs w:val="18"/>
                <w:highlight w:val="none"/>
              </w:rPr>
            </w:pPr>
            <w:r>
              <w:rPr>
                <w:rFonts w:hint="eastAsia"/>
                <w:color w:val="auto"/>
                <w:sz w:val="18"/>
                <w:szCs w:val="18"/>
                <w:highlight w:val="none"/>
              </w:rPr>
              <w:t>结论</w:t>
            </w:r>
          </w:p>
        </w:tc>
        <w:tc>
          <w:tcPr>
            <w:tcW w:w="585" w:type="dxa"/>
          </w:tcPr>
          <w:p w14:paraId="6655A969">
            <w:pPr>
              <w:spacing w:line="400" w:lineRule="exact"/>
              <w:rPr>
                <w:rFonts w:ascii="宋体" w:hAnsi="宋体"/>
                <w:color w:val="auto"/>
                <w:sz w:val="18"/>
                <w:szCs w:val="18"/>
                <w:highlight w:val="none"/>
              </w:rPr>
            </w:pPr>
          </w:p>
        </w:tc>
        <w:tc>
          <w:tcPr>
            <w:tcW w:w="615" w:type="dxa"/>
          </w:tcPr>
          <w:p w14:paraId="158B1E57">
            <w:pPr>
              <w:spacing w:line="400" w:lineRule="exact"/>
              <w:rPr>
                <w:rFonts w:ascii="宋体" w:hAnsi="宋体"/>
                <w:color w:val="auto"/>
                <w:sz w:val="18"/>
                <w:szCs w:val="18"/>
                <w:highlight w:val="none"/>
              </w:rPr>
            </w:pPr>
          </w:p>
        </w:tc>
        <w:tc>
          <w:tcPr>
            <w:tcW w:w="825" w:type="dxa"/>
          </w:tcPr>
          <w:p w14:paraId="13093BDA">
            <w:pPr>
              <w:spacing w:line="400" w:lineRule="exact"/>
              <w:rPr>
                <w:rFonts w:ascii="宋体" w:hAnsi="宋体"/>
                <w:color w:val="auto"/>
                <w:sz w:val="18"/>
                <w:szCs w:val="18"/>
                <w:highlight w:val="none"/>
              </w:rPr>
            </w:pPr>
          </w:p>
        </w:tc>
      </w:tr>
    </w:tbl>
    <w:p w14:paraId="60E3874D">
      <w:pPr>
        <w:spacing w:line="240" w:lineRule="exact"/>
        <w:rPr>
          <w:rFonts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w:t>
      </w:r>
      <w:r>
        <w:rPr>
          <w:rFonts w:hint="eastAsia" w:ascii="宋体" w:hAnsi="宋体"/>
          <w:color w:val="auto"/>
          <w:sz w:val="18"/>
          <w:szCs w:val="18"/>
          <w:highlight w:val="none"/>
        </w:rPr>
        <w:t>每一项目符合有效的记</w:t>
      </w:r>
      <w:r>
        <w:rPr>
          <w:rFonts w:ascii="宋体" w:hAnsi="宋体"/>
          <w:color w:val="auto"/>
          <w:sz w:val="18"/>
          <w:szCs w:val="18"/>
          <w:highlight w:val="none"/>
        </w:rPr>
        <w:t>“</w:t>
      </w:r>
      <w:r>
        <w:rPr>
          <w:rFonts w:hint="eastAsia" w:ascii="宋体" w:hAnsi="宋体"/>
          <w:color w:val="auto"/>
          <w:sz w:val="18"/>
          <w:szCs w:val="18"/>
          <w:highlight w:val="none"/>
        </w:rPr>
        <w:t>通过</w:t>
      </w:r>
      <w:r>
        <w:rPr>
          <w:rFonts w:ascii="宋体" w:hAnsi="宋体"/>
          <w:color w:val="auto"/>
          <w:sz w:val="18"/>
          <w:szCs w:val="18"/>
          <w:highlight w:val="none"/>
        </w:rPr>
        <w:t>”</w:t>
      </w:r>
      <w:r>
        <w:rPr>
          <w:rFonts w:hint="eastAsia" w:ascii="宋体" w:hAnsi="宋体"/>
          <w:color w:val="auto"/>
          <w:sz w:val="18"/>
          <w:szCs w:val="18"/>
          <w:highlight w:val="none"/>
        </w:rPr>
        <w:t>无效的记</w:t>
      </w:r>
      <w:r>
        <w:rPr>
          <w:rFonts w:ascii="宋体" w:hAnsi="宋体"/>
          <w:color w:val="auto"/>
          <w:sz w:val="18"/>
          <w:szCs w:val="18"/>
          <w:highlight w:val="none"/>
        </w:rPr>
        <w:t>“</w:t>
      </w:r>
      <w:r>
        <w:rPr>
          <w:rFonts w:hint="eastAsia" w:ascii="宋体" w:hAnsi="宋体"/>
          <w:color w:val="auto"/>
          <w:sz w:val="18"/>
          <w:szCs w:val="18"/>
          <w:highlight w:val="none"/>
        </w:rPr>
        <w:t>不通过</w:t>
      </w:r>
      <w:r>
        <w:rPr>
          <w:rFonts w:ascii="宋体" w:hAnsi="宋体"/>
          <w:color w:val="auto"/>
          <w:sz w:val="18"/>
          <w:szCs w:val="18"/>
          <w:highlight w:val="none"/>
        </w:rPr>
        <w:t>”</w:t>
      </w:r>
      <w:r>
        <w:rPr>
          <w:rFonts w:hint="eastAsia" w:ascii="宋体" w:hAnsi="宋体"/>
          <w:color w:val="auto"/>
          <w:sz w:val="18"/>
          <w:szCs w:val="18"/>
          <w:highlight w:val="none"/>
        </w:rPr>
        <w:t>，全部审查项目均为有效的，结论为</w:t>
      </w:r>
      <w:r>
        <w:rPr>
          <w:rFonts w:ascii="宋体" w:hAnsi="宋体"/>
          <w:color w:val="auto"/>
          <w:sz w:val="18"/>
          <w:szCs w:val="18"/>
          <w:highlight w:val="none"/>
        </w:rPr>
        <w:t>“</w:t>
      </w:r>
      <w:r>
        <w:rPr>
          <w:rFonts w:hint="eastAsia" w:ascii="宋体" w:hAnsi="宋体"/>
          <w:color w:val="auto"/>
          <w:sz w:val="18"/>
          <w:szCs w:val="18"/>
          <w:highlight w:val="none"/>
        </w:rPr>
        <w:t>通过</w:t>
      </w:r>
      <w:r>
        <w:rPr>
          <w:rFonts w:ascii="宋体" w:hAnsi="宋体"/>
          <w:color w:val="auto"/>
          <w:sz w:val="18"/>
          <w:szCs w:val="18"/>
          <w:highlight w:val="none"/>
        </w:rPr>
        <w:t>”</w:t>
      </w:r>
      <w:r>
        <w:rPr>
          <w:rFonts w:hint="eastAsia" w:ascii="宋体" w:hAnsi="宋体"/>
          <w:color w:val="auto"/>
          <w:sz w:val="18"/>
          <w:szCs w:val="18"/>
          <w:highlight w:val="none"/>
        </w:rPr>
        <w:t>，否则为</w:t>
      </w:r>
      <w:r>
        <w:rPr>
          <w:rFonts w:ascii="宋体" w:hAnsi="宋体"/>
          <w:color w:val="auto"/>
          <w:sz w:val="18"/>
          <w:szCs w:val="18"/>
          <w:highlight w:val="none"/>
        </w:rPr>
        <w:t>“</w:t>
      </w:r>
      <w:r>
        <w:rPr>
          <w:rFonts w:hint="eastAsia" w:ascii="宋体" w:hAnsi="宋体"/>
          <w:color w:val="auto"/>
          <w:sz w:val="18"/>
          <w:szCs w:val="18"/>
          <w:highlight w:val="none"/>
        </w:rPr>
        <w:t>不通过</w:t>
      </w:r>
      <w:r>
        <w:rPr>
          <w:rFonts w:ascii="宋体" w:hAnsi="宋体"/>
          <w:color w:val="auto"/>
          <w:sz w:val="18"/>
          <w:szCs w:val="18"/>
          <w:highlight w:val="none"/>
        </w:rPr>
        <w:t>”</w:t>
      </w:r>
      <w:r>
        <w:rPr>
          <w:rFonts w:hint="eastAsia" w:ascii="宋体" w:hAnsi="宋体"/>
          <w:color w:val="auto"/>
          <w:sz w:val="18"/>
          <w:szCs w:val="18"/>
          <w:highlight w:val="none"/>
        </w:rPr>
        <w:t>。</w:t>
      </w:r>
      <w:r>
        <w:rPr>
          <w:rFonts w:ascii="宋体" w:hAnsi="宋体"/>
          <w:color w:val="auto"/>
          <w:sz w:val="18"/>
          <w:szCs w:val="18"/>
          <w:highlight w:val="none"/>
        </w:rPr>
        <w:t>2.</w:t>
      </w:r>
      <w:r>
        <w:rPr>
          <w:rFonts w:hint="eastAsia" w:ascii="宋体" w:hAnsi="宋体"/>
          <w:color w:val="auto"/>
          <w:sz w:val="18"/>
          <w:szCs w:val="18"/>
          <w:highlight w:val="none"/>
        </w:rPr>
        <w:t>如对本表中某种情形的评审意见不一致时，以评审组过半数成员的意见作为评审组对该情形的认定结论。</w:t>
      </w:r>
      <w:r>
        <w:rPr>
          <w:rFonts w:ascii="宋体" w:hAnsi="宋体"/>
          <w:color w:val="auto"/>
          <w:sz w:val="18"/>
          <w:szCs w:val="18"/>
          <w:highlight w:val="none"/>
        </w:rPr>
        <w:t>3.</w:t>
      </w:r>
      <w:r>
        <w:rPr>
          <w:rFonts w:hint="eastAsia" w:ascii="宋体" w:hAnsi="宋体"/>
          <w:color w:val="auto"/>
          <w:sz w:val="18"/>
          <w:szCs w:val="18"/>
          <w:highlight w:val="none"/>
        </w:rPr>
        <w:t>资格审查资料按招标公告附件一要求提供。</w:t>
      </w:r>
    </w:p>
    <w:p w14:paraId="4D1D9CEC">
      <w:pPr>
        <w:spacing w:line="240" w:lineRule="exact"/>
        <w:rPr>
          <w:rFonts w:ascii="宋体" w:hAnsi="宋体"/>
          <w:color w:val="auto"/>
          <w:sz w:val="18"/>
          <w:szCs w:val="18"/>
          <w:highlight w:val="none"/>
        </w:rPr>
        <w:sectPr>
          <w:pgSz w:w="16840" w:h="11907" w:orient="landscape"/>
          <w:pgMar w:top="1304" w:right="1361" w:bottom="1304" w:left="1304" w:header="851" w:footer="720" w:gutter="0"/>
          <w:cols w:space="720" w:num="1"/>
        </w:sectPr>
      </w:pPr>
      <w:r>
        <w:rPr>
          <w:rFonts w:hint="eastAsia" w:ascii="宋体" w:hAnsi="宋体"/>
          <w:color w:val="auto"/>
          <w:sz w:val="18"/>
          <w:szCs w:val="18"/>
          <w:highlight w:val="none"/>
        </w:rPr>
        <w:t>评委签名：</w:t>
      </w:r>
      <w:r>
        <w:rPr>
          <w:rFonts w:ascii="宋体" w:hAnsi="宋体"/>
          <w:color w:val="auto"/>
          <w:sz w:val="18"/>
          <w:szCs w:val="18"/>
          <w:highlight w:val="none"/>
        </w:rPr>
        <w:t xml:space="preserve">                                                                        </w:t>
      </w:r>
      <w:r>
        <w:rPr>
          <w:rFonts w:hint="eastAsia" w:ascii="宋体" w:hAnsi="宋体"/>
          <w:color w:val="auto"/>
          <w:sz w:val="18"/>
          <w:szCs w:val="18"/>
          <w:highlight w:val="none"/>
        </w:rPr>
        <w:t>日期：</w:t>
      </w:r>
    </w:p>
    <w:p w14:paraId="2E0386C4">
      <w:pPr>
        <w:spacing w:line="360" w:lineRule="auto"/>
        <w:jc w:val="left"/>
        <w:rPr>
          <w:rFonts w:ascii="宋体" w:hAnsi="宋体" w:cs="宋体"/>
          <w:b/>
          <w:color w:val="auto"/>
          <w:kern w:val="1"/>
          <w:sz w:val="24"/>
          <w:szCs w:val="24"/>
          <w:highlight w:val="none"/>
        </w:rPr>
      </w:pPr>
      <w:bookmarkStart w:id="360" w:name="_Hlk55894641"/>
      <w:bookmarkStart w:id="361" w:name="_Hlk56412681"/>
      <w:bookmarkStart w:id="362" w:name="_Hlk56515308"/>
      <w:r>
        <w:rPr>
          <w:rFonts w:hint="eastAsia" w:ascii="宋体" w:hAnsi="宋体" w:cs="宋体"/>
          <w:b/>
          <w:color w:val="auto"/>
          <w:kern w:val="1"/>
          <w:sz w:val="24"/>
          <w:szCs w:val="24"/>
          <w:highlight w:val="none"/>
        </w:rPr>
        <w:t>附表</w:t>
      </w:r>
      <w:r>
        <w:rPr>
          <w:rFonts w:ascii="宋体" w:hAnsi="宋体" w:cs="宋体"/>
          <w:b/>
          <w:color w:val="auto"/>
          <w:kern w:val="1"/>
          <w:sz w:val="24"/>
          <w:szCs w:val="24"/>
          <w:highlight w:val="none"/>
        </w:rPr>
        <w:t xml:space="preserve">2                                  </w:t>
      </w:r>
    </w:p>
    <w:p w14:paraId="4665F3D4">
      <w:pPr>
        <w:spacing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勘察设计方案评分表</w:t>
      </w:r>
    </w:p>
    <w:bookmarkEnd w:id="360"/>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287"/>
        <w:gridCol w:w="764"/>
        <w:gridCol w:w="9872"/>
        <w:gridCol w:w="792"/>
      </w:tblGrid>
      <w:tr w14:paraId="4315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82" w:type="dxa"/>
            <w:tcBorders>
              <w:top w:val="single" w:color="auto" w:sz="4" w:space="0"/>
              <w:left w:val="single" w:color="auto" w:sz="4" w:space="0"/>
              <w:bottom w:val="single" w:color="auto" w:sz="4" w:space="0"/>
              <w:right w:val="single" w:color="auto" w:sz="8" w:space="0"/>
            </w:tcBorders>
            <w:noWrap/>
            <w:vAlign w:val="center"/>
          </w:tcPr>
          <w:p w14:paraId="2E6024DA">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序号</w:t>
            </w:r>
          </w:p>
        </w:tc>
        <w:tc>
          <w:tcPr>
            <w:tcW w:w="1287" w:type="dxa"/>
            <w:tcBorders>
              <w:top w:val="single" w:color="auto" w:sz="4" w:space="0"/>
              <w:left w:val="nil"/>
              <w:bottom w:val="single" w:color="auto" w:sz="4" w:space="0"/>
              <w:right w:val="single" w:color="auto" w:sz="4" w:space="0"/>
            </w:tcBorders>
            <w:noWrap/>
            <w:vAlign w:val="center"/>
          </w:tcPr>
          <w:p w14:paraId="042F6A06">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评审内容</w:t>
            </w:r>
          </w:p>
        </w:tc>
        <w:tc>
          <w:tcPr>
            <w:tcW w:w="764" w:type="dxa"/>
            <w:tcBorders>
              <w:top w:val="single" w:color="auto" w:sz="4" w:space="0"/>
              <w:left w:val="single" w:color="auto" w:sz="8" w:space="0"/>
              <w:bottom w:val="single" w:color="auto" w:sz="4" w:space="0"/>
              <w:right w:val="single" w:color="auto" w:sz="8" w:space="0"/>
            </w:tcBorders>
            <w:noWrap/>
            <w:vAlign w:val="center"/>
          </w:tcPr>
          <w:p w14:paraId="0A0DA263">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分值</w:t>
            </w:r>
          </w:p>
        </w:tc>
        <w:tc>
          <w:tcPr>
            <w:tcW w:w="9872" w:type="dxa"/>
            <w:tcBorders>
              <w:top w:val="single" w:color="auto" w:sz="4" w:space="0"/>
              <w:left w:val="nil"/>
              <w:bottom w:val="single" w:color="auto" w:sz="4" w:space="0"/>
              <w:right w:val="single" w:color="auto" w:sz="4" w:space="0"/>
            </w:tcBorders>
            <w:noWrap/>
            <w:vAlign w:val="center"/>
          </w:tcPr>
          <w:p w14:paraId="4D89F83F">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评分标准</w:t>
            </w:r>
          </w:p>
        </w:tc>
        <w:tc>
          <w:tcPr>
            <w:tcW w:w="792" w:type="dxa"/>
            <w:tcBorders>
              <w:top w:val="single" w:color="auto" w:sz="4" w:space="0"/>
              <w:left w:val="nil"/>
              <w:bottom w:val="single" w:color="auto" w:sz="4" w:space="0"/>
              <w:right w:val="single" w:color="auto" w:sz="4" w:space="0"/>
            </w:tcBorders>
            <w:noWrap/>
            <w:vAlign w:val="center"/>
          </w:tcPr>
          <w:p w14:paraId="0126179F">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得分</w:t>
            </w:r>
          </w:p>
        </w:tc>
      </w:tr>
      <w:tr w14:paraId="546F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 w:type="dxa"/>
            <w:vMerge w:val="restart"/>
            <w:tcBorders>
              <w:top w:val="nil"/>
              <w:left w:val="single" w:color="auto" w:sz="4" w:space="0"/>
              <w:right w:val="single" w:color="auto" w:sz="8" w:space="0"/>
            </w:tcBorders>
            <w:noWrap/>
            <w:vAlign w:val="center"/>
          </w:tcPr>
          <w:p w14:paraId="21606E1F">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1</w:t>
            </w:r>
          </w:p>
        </w:tc>
        <w:tc>
          <w:tcPr>
            <w:tcW w:w="1287" w:type="dxa"/>
            <w:vMerge w:val="restart"/>
            <w:tcBorders>
              <w:top w:val="nil"/>
              <w:left w:val="nil"/>
              <w:right w:val="single" w:color="auto" w:sz="4" w:space="0"/>
            </w:tcBorders>
            <w:noWrap/>
            <w:vAlign w:val="center"/>
          </w:tcPr>
          <w:p w14:paraId="780B8A9A">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勘察设计方案</w:t>
            </w:r>
          </w:p>
          <w:p w14:paraId="7021E0DF">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455E370E">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5</w:t>
            </w:r>
          </w:p>
        </w:tc>
        <w:tc>
          <w:tcPr>
            <w:tcW w:w="9872" w:type="dxa"/>
            <w:tcBorders>
              <w:top w:val="single" w:color="auto" w:sz="4" w:space="0"/>
              <w:left w:val="nil"/>
              <w:bottom w:val="single" w:color="auto" w:sz="4" w:space="0"/>
              <w:right w:val="single" w:color="auto" w:sz="4" w:space="0"/>
            </w:tcBorders>
            <w:noWrap/>
            <w:vAlign w:val="center"/>
          </w:tcPr>
          <w:p w14:paraId="41E97E99">
            <w:pPr>
              <w:keepNext w:val="0"/>
              <w:keepLines w:val="0"/>
              <w:pageBreakBefore w:val="0"/>
              <w:kinsoku/>
              <w:wordWrap/>
              <w:overflowPunct/>
              <w:topLinePunct w:val="0"/>
              <w:bidi w:val="0"/>
              <w:adjustRightInd/>
              <w:snapToGrid w:val="0"/>
              <w:spacing w:line="240" w:lineRule="auto"/>
              <w:textAlignment w:val="auto"/>
              <w:rPr>
                <w:rFonts w:ascii="宋体" w:hAnsi="宋体"/>
                <w:color w:val="auto"/>
                <w:sz w:val="24"/>
                <w:highlight w:val="none"/>
              </w:rPr>
            </w:pPr>
            <w:r>
              <w:rPr>
                <w:rFonts w:ascii="宋体" w:hAnsi="宋体"/>
                <w:b/>
                <w:bCs/>
                <w:color w:val="auto"/>
                <w:sz w:val="24"/>
                <w:highlight w:val="none"/>
              </w:rPr>
              <w:t>设计概念</w:t>
            </w:r>
            <w:r>
              <w:rPr>
                <w:rFonts w:ascii="宋体" w:hAnsi="宋体"/>
                <w:color w:val="auto"/>
                <w:sz w:val="24"/>
                <w:highlight w:val="none"/>
              </w:rPr>
              <w:t>：符合适用、经济、绿色和美观原则，结合地理、气候特点，体现以人为本，服务于人的基本概念，设计反映医院的人文精神、具有创新的风格和意识，适当采用</w:t>
            </w:r>
            <w:r>
              <w:rPr>
                <w:rFonts w:hint="eastAsia" w:ascii="宋体" w:hAnsi="宋体"/>
                <w:color w:val="auto"/>
                <w:sz w:val="24"/>
                <w:highlight w:val="none"/>
                <w:lang w:eastAsia="zh-CN"/>
              </w:rPr>
              <w:t>新</w:t>
            </w:r>
            <w:r>
              <w:rPr>
                <w:rFonts w:ascii="宋体" w:hAnsi="宋体"/>
                <w:color w:val="auto"/>
                <w:sz w:val="24"/>
                <w:highlight w:val="none"/>
              </w:rPr>
              <w:t>技术，引入先进的建设理念，对功能布置进行合理梳理和规划，构建高水平、人性化的医疗体系。</w:t>
            </w:r>
          </w:p>
          <w:p w14:paraId="45770FC1">
            <w:pPr>
              <w:keepNext w:val="0"/>
              <w:keepLines w:val="0"/>
              <w:pageBreakBefore w:val="0"/>
              <w:widowControl/>
              <w:kinsoku/>
              <w:wordWrap/>
              <w:overflowPunct/>
              <w:topLinePunct w:val="0"/>
              <w:bidi w:val="0"/>
              <w:adjustRightInd/>
              <w:snapToGrid w:val="0"/>
              <w:spacing w:line="240" w:lineRule="auto"/>
              <w:jc w:val="left"/>
              <w:textAlignment w:val="auto"/>
              <w:rPr>
                <w:rFonts w:ascii="宋体" w:hAnsi="宋体"/>
                <w:color w:val="auto"/>
                <w:sz w:val="24"/>
                <w:highlight w:val="none"/>
              </w:rPr>
            </w:pPr>
            <w:r>
              <w:rPr>
                <w:rFonts w:ascii="宋体" w:hAnsi="宋体"/>
                <w:color w:val="auto"/>
                <w:sz w:val="24"/>
                <w:highlight w:val="none"/>
              </w:rPr>
              <w:t>优：[5-4]</w:t>
            </w:r>
            <w:r>
              <w:rPr>
                <w:rFonts w:ascii="宋体" w:hAnsi="宋体"/>
                <w:color w:val="auto"/>
                <w:sz w:val="24"/>
                <w:highlight w:val="none"/>
                <w:lang w:val="zh-CN"/>
              </w:rPr>
              <w:t>分</w:t>
            </w:r>
            <w:r>
              <w:rPr>
                <w:rFonts w:ascii="宋体" w:hAnsi="宋体"/>
                <w:color w:val="auto"/>
                <w:sz w:val="24"/>
                <w:highlight w:val="none"/>
              </w:rPr>
              <w:t>；良</w:t>
            </w:r>
            <w:r>
              <w:rPr>
                <w:rFonts w:ascii="宋体" w:hAnsi="宋体"/>
                <w:color w:val="auto"/>
                <w:sz w:val="24"/>
                <w:highlight w:val="none"/>
                <w:lang w:val="zh-CN"/>
              </w:rPr>
              <w:t>得</w:t>
            </w:r>
            <w:r>
              <w:rPr>
                <w:rFonts w:ascii="宋体" w:hAnsi="宋体"/>
                <w:color w:val="auto"/>
                <w:sz w:val="24"/>
                <w:highlight w:val="none"/>
              </w:rPr>
              <w:t>(4-2]</w:t>
            </w:r>
            <w:r>
              <w:rPr>
                <w:rFonts w:ascii="宋体" w:hAnsi="宋体"/>
                <w:color w:val="auto"/>
                <w:sz w:val="24"/>
                <w:highlight w:val="none"/>
                <w:lang w:val="zh-CN"/>
              </w:rPr>
              <w:t>分</w:t>
            </w:r>
            <w:r>
              <w:rPr>
                <w:rFonts w:ascii="宋体" w:hAnsi="宋体"/>
                <w:color w:val="auto"/>
                <w:sz w:val="24"/>
                <w:highlight w:val="none"/>
              </w:rPr>
              <w:t>；中</w:t>
            </w:r>
            <w:r>
              <w:rPr>
                <w:rFonts w:ascii="宋体" w:hAnsi="宋体"/>
                <w:color w:val="auto"/>
                <w:sz w:val="24"/>
                <w:highlight w:val="none"/>
                <w:lang w:val="zh-CN"/>
              </w:rPr>
              <w:t>得</w:t>
            </w:r>
            <w:r>
              <w:rPr>
                <w:rFonts w:ascii="宋体" w:hAnsi="宋体"/>
                <w:color w:val="auto"/>
                <w:sz w:val="24"/>
                <w:highlight w:val="none"/>
              </w:rPr>
              <w:t>(2-0]</w:t>
            </w:r>
            <w:r>
              <w:rPr>
                <w:rFonts w:ascii="宋体" w:hAnsi="宋体"/>
                <w:color w:val="auto"/>
                <w:sz w:val="24"/>
                <w:highlight w:val="none"/>
                <w:lang w:val="zh-CN"/>
              </w:rPr>
              <w:t>分，</w:t>
            </w:r>
            <w:r>
              <w:rPr>
                <w:rFonts w:ascii="宋体" w:hAnsi="宋体"/>
                <w:color w:val="auto"/>
                <w:sz w:val="24"/>
                <w:highlight w:val="none"/>
              </w:rPr>
              <w:t>无此内容得0分</w:t>
            </w:r>
            <w:r>
              <w:rPr>
                <w:rFonts w:ascii="宋体" w:hAnsi="宋体"/>
                <w:color w:val="auto"/>
                <w:sz w:val="24"/>
                <w:highlight w:val="none"/>
                <w:lang w:val="zh-CN"/>
              </w:rPr>
              <w:t>。</w:t>
            </w:r>
          </w:p>
        </w:tc>
        <w:tc>
          <w:tcPr>
            <w:tcW w:w="792" w:type="dxa"/>
            <w:tcBorders>
              <w:top w:val="single" w:color="auto" w:sz="4" w:space="0"/>
              <w:left w:val="nil"/>
              <w:bottom w:val="single" w:color="auto" w:sz="4" w:space="0"/>
              <w:right w:val="single" w:color="auto" w:sz="4" w:space="0"/>
            </w:tcBorders>
            <w:noWrap/>
            <w:vAlign w:val="center"/>
          </w:tcPr>
          <w:p w14:paraId="52012FA9">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p>
        </w:tc>
      </w:tr>
      <w:tr w14:paraId="4390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 w:type="dxa"/>
            <w:vMerge w:val="continue"/>
            <w:tcBorders>
              <w:left w:val="single" w:color="auto" w:sz="4" w:space="0"/>
              <w:right w:val="single" w:color="auto" w:sz="8" w:space="0"/>
            </w:tcBorders>
            <w:vAlign w:val="center"/>
          </w:tcPr>
          <w:p w14:paraId="08240679">
            <w:pPr>
              <w:keepNext w:val="0"/>
              <w:keepLines w:val="0"/>
              <w:pageBreakBefore w:val="0"/>
              <w:widowControl/>
              <w:kinsoku/>
              <w:wordWrap/>
              <w:overflowPunct/>
              <w:topLinePunct w:val="0"/>
              <w:bidi w:val="0"/>
              <w:adjustRightInd/>
              <w:snapToGrid w:val="0"/>
              <w:spacing w:line="240" w:lineRule="auto"/>
              <w:jc w:val="center"/>
              <w:textAlignment w:val="auto"/>
              <w:rPr>
                <w:rFonts w:ascii="宋体" w:hAnsi="宋体"/>
                <w:color w:val="auto"/>
                <w:sz w:val="24"/>
                <w:highlight w:val="none"/>
              </w:rPr>
            </w:pPr>
          </w:p>
        </w:tc>
        <w:tc>
          <w:tcPr>
            <w:tcW w:w="1287" w:type="dxa"/>
            <w:vMerge w:val="continue"/>
            <w:tcBorders>
              <w:left w:val="nil"/>
              <w:right w:val="single" w:color="auto" w:sz="4" w:space="0"/>
            </w:tcBorders>
            <w:vAlign w:val="center"/>
          </w:tcPr>
          <w:p w14:paraId="66E87D5C">
            <w:pPr>
              <w:keepNext w:val="0"/>
              <w:keepLines w:val="0"/>
              <w:pageBreakBefore w:val="0"/>
              <w:widowControl/>
              <w:kinsoku/>
              <w:wordWrap/>
              <w:overflowPunct/>
              <w:topLinePunct w:val="0"/>
              <w:bidi w:val="0"/>
              <w:adjustRightInd/>
              <w:snapToGrid w:val="0"/>
              <w:spacing w:line="240" w:lineRule="auto"/>
              <w:jc w:val="left"/>
              <w:textAlignment w:val="auto"/>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477230C0">
            <w:pPr>
              <w:keepNext w:val="0"/>
              <w:keepLines w:val="0"/>
              <w:pageBreakBefore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15</w:t>
            </w:r>
          </w:p>
        </w:tc>
        <w:tc>
          <w:tcPr>
            <w:tcW w:w="9872" w:type="dxa"/>
            <w:tcBorders>
              <w:top w:val="single" w:color="auto" w:sz="4" w:space="0"/>
              <w:left w:val="nil"/>
              <w:bottom w:val="single" w:color="auto" w:sz="4" w:space="0"/>
              <w:right w:val="single" w:color="auto" w:sz="4" w:space="0"/>
            </w:tcBorders>
            <w:noWrap/>
            <w:vAlign w:val="center"/>
          </w:tcPr>
          <w:p w14:paraId="50738B7E">
            <w:pPr>
              <w:keepNext w:val="0"/>
              <w:keepLines w:val="0"/>
              <w:pageBreakBefore w:val="0"/>
              <w:kinsoku/>
              <w:wordWrap/>
              <w:overflowPunct/>
              <w:topLinePunct w:val="0"/>
              <w:bidi w:val="0"/>
              <w:adjustRightInd/>
              <w:snapToGrid w:val="0"/>
              <w:spacing w:line="240" w:lineRule="auto"/>
              <w:textAlignment w:val="auto"/>
              <w:rPr>
                <w:rFonts w:ascii="宋体" w:hAnsi="宋体"/>
                <w:color w:val="auto"/>
                <w:sz w:val="24"/>
                <w:highlight w:val="none"/>
              </w:rPr>
            </w:pPr>
            <w:r>
              <w:rPr>
                <w:rFonts w:ascii="宋体" w:hAnsi="宋体"/>
                <w:b/>
                <w:bCs/>
                <w:color w:val="auto"/>
                <w:sz w:val="24"/>
                <w:highlight w:val="none"/>
              </w:rPr>
              <w:t>规划设计</w:t>
            </w:r>
            <w:r>
              <w:rPr>
                <w:rFonts w:ascii="宋体" w:hAnsi="宋体"/>
                <w:color w:val="auto"/>
                <w:sz w:val="24"/>
                <w:highlight w:val="none"/>
              </w:rPr>
              <w:t>：</w:t>
            </w:r>
            <w:r>
              <w:rPr>
                <w:rFonts w:ascii="宋体" w:hAnsi="宋体" w:cs="宋体"/>
                <w:color w:val="auto"/>
                <w:sz w:val="24"/>
                <w:highlight w:val="none"/>
              </w:rPr>
              <w:t>准确响应规划设计条件，设计需</w:t>
            </w:r>
            <w:r>
              <w:rPr>
                <w:rFonts w:ascii="宋体" w:hAnsi="宋体"/>
                <w:color w:val="auto"/>
                <w:sz w:val="24"/>
                <w:highlight w:val="none"/>
              </w:rPr>
              <w:t>因地制宜、充分考虑周边用地及景观资源。对空间布局、交通流线组织进行全面梳理，提出安全、高效、合理的技术措施。充分考虑医院规划设计的发展的弹性</w:t>
            </w:r>
            <w:r>
              <w:rPr>
                <w:rFonts w:ascii="宋体" w:hAnsi="宋体" w:cs="宋体"/>
                <w:color w:val="auto"/>
                <w:sz w:val="24"/>
                <w:highlight w:val="none"/>
                <w:lang w:bidi="ar"/>
              </w:rPr>
              <w:t>。总体规划</w:t>
            </w:r>
            <w:r>
              <w:rPr>
                <w:rFonts w:ascii="宋体" w:hAnsi="宋体"/>
                <w:color w:val="auto"/>
                <w:sz w:val="24"/>
                <w:highlight w:val="none"/>
              </w:rPr>
              <w:t>达到院感安全、集约高效和人性化的目标。</w:t>
            </w:r>
          </w:p>
          <w:p w14:paraId="477785AD">
            <w:pPr>
              <w:keepNext w:val="0"/>
              <w:keepLines w:val="0"/>
              <w:pageBreakBefore w:val="0"/>
              <w:kinsoku/>
              <w:wordWrap/>
              <w:overflowPunct/>
              <w:topLinePunct w:val="0"/>
              <w:bidi w:val="0"/>
              <w:adjustRightInd/>
              <w:snapToGrid w:val="0"/>
              <w:spacing w:line="240" w:lineRule="auto"/>
              <w:textAlignment w:val="auto"/>
              <w:rPr>
                <w:rFonts w:ascii="宋体" w:hAnsi="宋体"/>
                <w:color w:val="auto"/>
                <w:sz w:val="24"/>
                <w:highlight w:val="none"/>
              </w:rPr>
            </w:pPr>
            <w:r>
              <w:rPr>
                <w:rFonts w:ascii="宋体" w:hAnsi="宋体"/>
                <w:color w:val="auto"/>
                <w:sz w:val="24"/>
                <w:highlight w:val="none"/>
              </w:rPr>
              <w:t>优：得[15-12]分，良：得(12-9]分，中：得(9-5]分，差：得(5-0]分。无此内容得0分。</w:t>
            </w:r>
          </w:p>
        </w:tc>
        <w:tc>
          <w:tcPr>
            <w:tcW w:w="792" w:type="dxa"/>
            <w:tcBorders>
              <w:top w:val="single" w:color="auto" w:sz="4" w:space="0"/>
              <w:left w:val="nil"/>
              <w:bottom w:val="single" w:color="auto" w:sz="4" w:space="0"/>
              <w:right w:val="single" w:color="auto" w:sz="4" w:space="0"/>
            </w:tcBorders>
            <w:noWrap/>
            <w:vAlign w:val="center"/>
          </w:tcPr>
          <w:p w14:paraId="1B0F27A5">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p>
        </w:tc>
      </w:tr>
      <w:tr w14:paraId="76AA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 w:type="dxa"/>
            <w:vMerge w:val="continue"/>
            <w:tcBorders>
              <w:left w:val="single" w:color="auto" w:sz="4" w:space="0"/>
              <w:right w:val="single" w:color="auto" w:sz="8" w:space="0"/>
            </w:tcBorders>
            <w:vAlign w:val="center"/>
          </w:tcPr>
          <w:p w14:paraId="77ED0301">
            <w:pPr>
              <w:keepNext w:val="0"/>
              <w:keepLines w:val="0"/>
              <w:pageBreakBefore w:val="0"/>
              <w:widowControl/>
              <w:kinsoku/>
              <w:wordWrap/>
              <w:overflowPunct/>
              <w:topLinePunct w:val="0"/>
              <w:bidi w:val="0"/>
              <w:adjustRightInd/>
              <w:snapToGrid w:val="0"/>
              <w:spacing w:line="240" w:lineRule="auto"/>
              <w:jc w:val="center"/>
              <w:textAlignment w:val="auto"/>
              <w:rPr>
                <w:rFonts w:ascii="宋体" w:hAnsi="宋体"/>
                <w:color w:val="auto"/>
                <w:sz w:val="24"/>
                <w:highlight w:val="none"/>
              </w:rPr>
            </w:pPr>
          </w:p>
        </w:tc>
        <w:tc>
          <w:tcPr>
            <w:tcW w:w="1287" w:type="dxa"/>
            <w:vMerge w:val="continue"/>
            <w:tcBorders>
              <w:left w:val="nil"/>
              <w:right w:val="single" w:color="auto" w:sz="4" w:space="0"/>
            </w:tcBorders>
            <w:vAlign w:val="center"/>
          </w:tcPr>
          <w:p w14:paraId="7446336A">
            <w:pPr>
              <w:keepNext w:val="0"/>
              <w:keepLines w:val="0"/>
              <w:pageBreakBefore w:val="0"/>
              <w:widowControl/>
              <w:kinsoku/>
              <w:wordWrap/>
              <w:overflowPunct/>
              <w:topLinePunct w:val="0"/>
              <w:bidi w:val="0"/>
              <w:adjustRightInd/>
              <w:snapToGrid w:val="0"/>
              <w:spacing w:line="240" w:lineRule="auto"/>
              <w:jc w:val="left"/>
              <w:textAlignment w:val="auto"/>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2C337A45">
            <w:pPr>
              <w:keepNext w:val="0"/>
              <w:keepLines w:val="0"/>
              <w:pageBreakBefore w:val="0"/>
              <w:widowControl/>
              <w:kinsoku/>
              <w:wordWrap/>
              <w:overflowPunct/>
              <w:topLinePunct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20</w:t>
            </w:r>
          </w:p>
        </w:tc>
        <w:tc>
          <w:tcPr>
            <w:tcW w:w="9872" w:type="dxa"/>
            <w:tcBorders>
              <w:top w:val="single" w:color="auto" w:sz="4" w:space="0"/>
              <w:left w:val="nil"/>
              <w:bottom w:val="single" w:color="auto" w:sz="4" w:space="0"/>
              <w:right w:val="single" w:color="auto" w:sz="4" w:space="0"/>
            </w:tcBorders>
            <w:noWrap/>
            <w:vAlign w:val="center"/>
          </w:tcPr>
          <w:p w14:paraId="3084DB92">
            <w:pPr>
              <w:keepNext w:val="0"/>
              <w:keepLines w:val="0"/>
              <w:pageBreakBefore w:val="0"/>
              <w:kinsoku/>
              <w:wordWrap/>
              <w:overflowPunct/>
              <w:topLinePunct w:val="0"/>
              <w:bidi w:val="0"/>
              <w:adjustRightInd/>
              <w:snapToGrid w:val="0"/>
              <w:spacing w:line="240" w:lineRule="auto"/>
              <w:textAlignment w:val="auto"/>
              <w:rPr>
                <w:rFonts w:ascii="宋体" w:hAnsi="宋体"/>
                <w:color w:val="auto"/>
                <w:sz w:val="24"/>
                <w:highlight w:val="none"/>
              </w:rPr>
            </w:pPr>
            <w:r>
              <w:rPr>
                <w:rFonts w:ascii="宋体" w:hAnsi="宋体"/>
                <w:b/>
                <w:bCs/>
                <w:color w:val="auto"/>
                <w:sz w:val="24"/>
                <w:highlight w:val="none"/>
              </w:rPr>
              <w:t>建筑设计</w:t>
            </w:r>
            <w:r>
              <w:rPr>
                <w:rFonts w:ascii="宋体" w:hAnsi="宋体"/>
                <w:color w:val="auto"/>
                <w:sz w:val="24"/>
                <w:highlight w:val="none"/>
              </w:rPr>
              <w:t>：根据用地现状条件及功能要求，提出合理的功能分区思路，做到功能分区合理，流线高效便捷，体现医疗流程专业化要求。充分考虑功能特性</w:t>
            </w:r>
            <w:r>
              <w:rPr>
                <w:rFonts w:hint="eastAsia" w:ascii="宋体" w:hAnsi="宋体"/>
                <w:color w:val="auto"/>
                <w:sz w:val="24"/>
                <w:highlight w:val="none"/>
                <w:lang w:eastAsia="zh-CN"/>
              </w:rPr>
              <w:t>，</w:t>
            </w:r>
            <w:r>
              <w:rPr>
                <w:rFonts w:ascii="宋体" w:hAnsi="宋体"/>
                <w:color w:val="auto"/>
                <w:sz w:val="24"/>
                <w:highlight w:val="none"/>
              </w:rPr>
              <w:t>合理分区，合理布置各功能科室及配套的用房的标准、面积、流线等，各科室及功能用房满足医患分流、洁污分流的要求。</w:t>
            </w:r>
          </w:p>
          <w:p w14:paraId="6473028C">
            <w:pPr>
              <w:keepNext w:val="0"/>
              <w:keepLines w:val="0"/>
              <w:pageBreakBefore w:val="0"/>
              <w:kinsoku/>
              <w:wordWrap/>
              <w:overflowPunct/>
              <w:topLinePunct w:val="0"/>
              <w:bidi w:val="0"/>
              <w:adjustRightInd/>
              <w:snapToGrid w:val="0"/>
              <w:spacing w:line="240" w:lineRule="auto"/>
              <w:textAlignment w:val="auto"/>
              <w:rPr>
                <w:rFonts w:ascii="宋体" w:hAnsi="宋体"/>
                <w:color w:val="auto"/>
                <w:sz w:val="24"/>
                <w:highlight w:val="none"/>
              </w:rPr>
            </w:pPr>
            <w:r>
              <w:rPr>
                <w:rFonts w:ascii="宋体" w:hAnsi="宋体"/>
                <w:color w:val="auto"/>
                <w:sz w:val="24"/>
                <w:highlight w:val="none"/>
              </w:rPr>
              <w:t>优：得[20-16]分，良：得(16-11]分，中：得(11-5]分，差：得(5-0]分。无此内容得0分。</w:t>
            </w:r>
          </w:p>
        </w:tc>
        <w:tc>
          <w:tcPr>
            <w:tcW w:w="792" w:type="dxa"/>
            <w:tcBorders>
              <w:top w:val="single" w:color="auto" w:sz="4" w:space="0"/>
              <w:left w:val="nil"/>
              <w:bottom w:val="single" w:color="auto" w:sz="4" w:space="0"/>
              <w:right w:val="single" w:color="auto" w:sz="4" w:space="0"/>
            </w:tcBorders>
            <w:noWrap/>
            <w:vAlign w:val="center"/>
          </w:tcPr>
          <w:p w14:paraId="7A46FEBB">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p>
        </w:tc>
      </w:tr>
      <w:tr w14:paraId="0C95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 w:type="dxa"/>
            <w:vMerge w:val="continue"/>
            <w:tcBorders>
              <w:left w:val="single" w:color="auto" w:sz="4" w:space="0"/>
              <w:right w:val="single" w:color="auto" w:sz="8" w:space="0"/>
            </w:tcBorders>
            <w:vAlign w:val="center"/>
          </w:tcPr>
          <w:p w14:paraId="5238E073">
            <w:pPr>
              <w:keepNext w:val="0"/>
              <w:keepLines w:val="0"/>
              <w:pageBreakBefore w:val="0"/>
              <w:widowControl/>
              <w:kinsoku/>
              <w:wordWrap/>
              <w:overflowPunct/>
              <w:topLinePunct w:val="0"/>
              <w:bidi w:val="0"/>
              <w:adjustRightInd/>
              <w:snapToGrid w:val="0"/>
              <w:spacing w:line="240" w:lineRule="auto"/>
              <w:jc w:val="center"/>
              <w:textAlignment w:val="auto"/>
              <w:rPr>
                <w:rFonts w:ascii="宋体" w:hAnsi="宋体"/>
                <w:color w:val="auto"/>
                <w:sz w:val="24"/>
                <w:highlight w:val="none"/>
              </w:rPr>
            </w:pPr>
          </w:p>
        </w:tc>
        <w:tc>
          <w:tcPr>
            <w:tcW w:w="1287" w:type="dxa"/>
            <w:vMerge w:val="continue"/>
            <w:tcBorders>
              <w:left w:val="nil"/>
              <w:right w:val="single" w:color="auto" w:sz="4" w:space="0"/>
            </w:tcBorders>
            <w:vAlign w:val="center"/>
          </w:tcPr>
          <w:p w14:paraId="00ED016E">
            <w:pPr>
              <w:keepNext w:val="0"/>
              <w:keepLines w:val="0"/>
              <w:pageBreakBefore w:val="0"/>
              <w:widowControl/>
              <w:kinsoku/>
              <w:wordWrap/>
              <w:overflowPunct/>
              <w:topLinePunct w:val="0"/>
              <w:bidi w:val="0"/>
              <w:adjustRightInd/>
              <w:snapToGrid w:val="0"/>
              <w:spacing w:line="240" w:lineRule="auto"/>
              <w:jc w:val="left"/>
              <w:textAlignment w:val="auto"/>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1EE658CD">
            <w:pPr>
              <w:keepNext w:val="0"/>
              <w:keepLines w:val="0"/>
              <w:pageBreakBefore w:val="0"/>
              <w:widowControl/>
              <w:kinsoku/>
              <w:wordWrap/>
              <w:overflowPunct/>
              <w:topLinePunct w:val="0"/>
              <w:bidi w:val="0"/>
              <w:adjustRightInd/>
              <w:snapToGrid w:val="0"/>
              <w:spacing w:line="240" w:lineRule="auto"/>
              <w:jc w:val="center"/>
              <w:textAlignment w:val="auto"/>
              <w:rPr>
                <w:rFonts w:ascii="宋体" w:hAnsi="宋体"/>
                <w:color w:val="auto"/>
                <w:sz w:val="24"/>
                <w:highlight w:val="none"/>
              </w:rPr>
            </w:pPr>
            <w:r>
              <w:rPr>
                <w:rFonts w:ascii="宋体" w:hAnsi="宋体"/>
                <w:color w:val="auto"/>
                <w:sz w:val="24"/>
                <w:highlight w:val="none"/>
              </w:rPr>
              <w:t>10</w:t>
            </w:r>
          </w:p>
        </w:tc>
        <w:tc>
          <w:tcPr>
            <w:tcW w:w="9872" w:type="dxa"/>
            <w:tcBorders>
              <w:top w:val="single" w:color="auto" w:sz="4" w:space="0"/>
              <w:left w:val="nil"/>
              <w:bottom w:val="single" w:color="auto" w:sz="4" w:space="0"/>
              <w:right w:val="single" w:color="auto" w:sz="4" w:space="0"/>
            </w:tcBorders>
            <w:noWrap/>
            <w:vAlign w:val="center"/>
          </w:tcPr>
          <w:p w14:paraId="55F9394B">
            <w:pPr>
              <w:keepNext w:val="0"/>
              <w:keepLines w:val="0"/>
              <w:pageBreakBefore w:val="0"/>
              <w:kinsoku/>
              <w:wordWrap/>
              <w:overflowPunct/>
              <w:topLinePunct w:val="0"/>
              <w:bidi w:val="0"/>
              <w:adjustRightInd/>
              <w:snapToGrid w:val="0"/>
              <w:spacing w:line="240" w:lineRule="auto"/>
              <w:textAlignment w:val="auto"/>
              <w:rPr>
                <w:rFonts w:ascii="宋体" w:hAnsi="宋体"/>
                <w:color w:val="auto"/>
                <w:sz w:val="24"/>
                <w:highlight w:val="none"/>
              </w:rPr>
            </w:pPr>
            <w:r>
              <w:rPr>
                <w:rFonts w:ascii="宋体" w:hAnsi="宋体"/>
                <w:b/>
                <w:bCs/>
                <w:color w:val="auto"/>
                <w:sz w:val="24"/>
                <w:highlight w:val="none"/>
              </w:rPr>
              <w:t>建筑立面：</w:t>
            </w:r>
            <w:r>
              <w:rPr>
                <w:rFonts w:ascii="宋体" w:hAnsi="宋体"/>
                <w:color w:val="auto"/>
                <w:sz w:val="24"/>
                <w:highlight w:val="none"/>
              </w:rPr>
              <w:t>建筑外观体现现代医院的基本特征，简洁大方并体现人文特性；充分考虑沿城市主干道的形象展示与周边环境协调，结合限额设计考虑泛光及夜间建筑形象。细节设计</w:t>
            </w:r>
            <w:r>
              <w:rPr>
                <w:rFonts w:ascii="宋体" w:hAnsi="宋体" w:cs="宋体"/>
                <w:bCs/>
                <w:color w:val="auto"/>
                <w:sz w:val="24"/>
                <w:highlight w:val="none"/>
                <w:lang w:val="zh-CN"/>
              </w:rPr>
              <w:t>注重患者空间体验，结合岭南气候设置</w:t>
            </w:r>
            <w:r>
              <w:rPr>
                <w:rFonts w:ascii="宋体" w:hAnsi="宋体" w:cs="宋体"/>
                <w:bCs/>
                <w:color w:val="auto"/>
                <w:sz w:val="24"/>
                <w:highlight w:val="none"/>
              </w:rPr>
              <w:t>室外庭院，生态屋面等。</w:t>
            </w:r>
            <w:r>
              <w:rPr>
                <w:rFonts w:ascii="宋体" w:hAnsi="宋体" w:cs="宋体"/>
                <w:bCs/>
                <w:color w:val="auto"/>
                <w:sz w:val="24"/>
                <w:highlight w:val="none"/>
                <w:lang w:val="zh-CN"/>
              </w:rPr>
              <w:t>力求创造一个有时代感的医院新形象。</w:t>
            </w:r>
          </w:p>
          <w:p w14:paraId="1D4BE6BC">
            <w:pPr>
              <w:keepNext w:val="0"/>
              <w:keepLines w:val="0"/>
              <w:pageBreakBefore w:val="0"/>
              <w:kinsoku/>
              <w:wordWrap/>
              <w:overflowPunct/>
              <w:topLinePunct w:val="0"/>
              <w:bidi w:val="0"/>
              <w:adjustRightInd/>
              <w:snapToGrid w:val="0"/>
              <w:spacing w:line="240" w:lineRule="auto"/>
              <w:textAlignment w:val="auto"/>
              <w:rPr>
                <w:rFonts w:ascii="宋体" w:hAnsi="宋体"/>
                <w:color w:val="auto"/>
                <w:sz w:val="24"/>
                <w:highlight w:val="none"/>
              </w:rPr>
            </w:pPr>
            <w:r>
              <w:rPr>
                <w:rFonts w:ascii="宋体" w:hAnsi="宋体"/>
                <w:color w:val="auto"/>
                <w:sz w:val="24"/>
                <w:highlight w:val="none"/>
              </w:rPr>
              <w:t>优：得[10-8]分，良：得(8-5]分，中：得(5-2]分，差：得(2-0]分。无此内容得0分。</w:t>
            </w:r>
          </w:p>
        </w:tc>
        <w:tc>
          <w:tcPr>
            <w:tcW w:w="792" w:type="dxa"/>
            <w:tcBorders>
              <w:top w:val="single" w:color="auto" w:sz="4" w:space="0"/>
              <w:left w:val="nil"/>
              <w:bottom w:val="single" w:color="auto" w:sz="4" w:space="0"/>
              <w:right w:val="single" w:color="auto" w:sz="4" w:space="0"/>
            </w:tcBorders>
            <w:noWrap/>
            <w:vAlign w:val="center"/>
          </w:tcPr>
          <w:p w14:paraId="1D96DE0F">
            <w:pPr>
              <w:keepNext w:val="0"/>
              <w:keepLines w:val="0"/>
              <w:pageBreakBefore w:val="0"/>
              <w:kinsoku/>
              <w:wordWrap/>
              <w:overflowPunct/>
              <w:topLinePunct w:val="0"/>
              <w:bidi w:val="0"/>
              <w:adjustRightInd/>
              <w:snapToGrid w:val="0"/>
              <w:spacing w:line="240" w:lineRule="auto"/>
              <w:jc w:val="center"/>
              <w:textAlignment w:val="auto"/>
              <w:rPr>
                <w:rFonts w:ascii="宋体" w:hAnsi="宋体"/>
                <w:color w:val="auto"/>
                <w:sz w:val="24"/>
                <w:highlight w:val="none"/>
              </w:rPr>
            </w:pPr>
          </w:p>
        </w:tc>
      </w:tr>
      <w:tr w14:paraId="243B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2" w:type="dxa"/>
            <w:vMerge w:val="continue"/>
            <w:tcBorders>
              <w:left w:val="single" w:color="auto" w:sz="4" w:space="0"/>
              <w:right w:val="single" w:color="auto" w:sz="8" w:space="0"/>
            </w:tcBorders>
            <w:vAlign w:val="center"/>
          </w:tcPr>
          <w:p w14:paraId="4B5BA369">
            <w:pPr>
              <w:widowControl/>
              <w:snapToGrid w:val="0"/>
              <w:jc w:val="center"/>
              <w:rPr>
                <w:rFonts w:ascii="宋体" w:hAnsi="宋体"/>
                <w:color w:val="auto"/>
                <w:sz w:val="24"/>
                <w:highlight w:val="none"/>
              </w:rPr>
            </w:pPr>
          </w:p>
        </w:tc>
        <w:tc>
          <w:tcPr>
            <w:tcW w:w="1287" w:type="dxa"/>
            <w:vMerge w:val="continue"/>
            <w:tcBorders>
              <w:left w:val="nil"/>
              <w:right w:val="single" w:color="auto" w:sz="4" w:space="0"/>
            </w:tcBorders>
            <w:vAlign w:val="center"/>
          </w:tcPr>
          <w:p w14:paraId="398C5B43">
            <w:pPr>
              <w:widowControl/>
              <w:snapToGrid w:val="0"/>
              <w:jc w:val="left"/>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312E16CE">
            <w:pPr>
              <w:widowControl/>
              <w:snapToGrid w:val="0"/>
              <w:jc w:val="center"/>
              <w:rPr>
                <w:rFonts w:ascii="宋体" w:hAnsi="宋体"/>
                <w:color w:val="auto"/>
                <w:sz w:val="24"/>
                <w:highlight w:val="none"/>
              </w:rPr>
            </w:pPr>
            <w:r>
              <w:rPr>
                <w:rFonts w:ascii="宋体" w:hAnsi="宋体"/>
                <w:color w:val="auto"/>
                <w:sz w:val="24"/>
                <w:highlight w:val="none"/>
              </w:rPr>
              <w:t>15</w:t>
            </w:r>
          </w:p>
        </w:tc>
        <w:tc>
          <w:tcPr>
            <w:tcW w:w="9872" w:type="dxa"/>
            <w:tcBorders>
              <w:top w:val="single" w:color="auto" w:sz="4" w:space="0"/>
              <w:left w:val="nil"/>
              <w:bottom w:val="single" w:color="auto" w:sz="4" w:space="0"/>
              <w:right w:val="single" w:color="auto" w:sz="4" w:space="0"/>
            </w:tcBorders>
            <w:noWrap/>
            <w:vAlign w:val="center"/>
          </w:tcPr>
          <w:p w14:paraId="0CACE113">
            <w:pPr>
              <w:snapToGrid w:val="0"/>
              <w:rPr>
                <w:rFonts w:ascii="宋体" w:hAnsi="宋体"/>
                <w:color w:val="auto"/>
                <w:sz w:val="24"/>
                <w:highlight w:val="none"/>
              </w:rPr>
            </w:pPr>
            <w:r>
              <w:rPr>
                <w:rFonts w:ascii="宋体" w:hAnsi="宋体"/>
                <w:b/>
                <w:bCs/>
                <w:color w:val="auto"/>
                <w:sz w:val="24"/>
                <w:highlight w:val="none"/>
              </w:rPr>
              <w:t>交通及无障碍设计</w:t>
            </w:r>
            <w:r>
              <w:rPr>
                <w:rFonts w:ascii="宋体" w:hAnsi="宋体"/>
                <w:color w:val="auto"/>
                <w:sz w:val="24"/>
                <w:highlight w:val="none"/>
              </w:rPr>
              <w:t>：设计</w:t>
            </w:r>
            <w:r>
              <w:rPr>
                <w:rFonts w:ascii="宋体" w:hAnsi="宋体" w:cs="宋体"/>
                <w:color w:val="auto"/>
                <w:sz w:val="24"/>
                <w:highlight w:val="none"/>
                <w:lang w:val="zh-CN"/>
              </w:rPr>
              <w:t>遵循人车分流、医患分流、洁污分流的原则，合理的组织不同人群的出入口及流线</w:t>
            </w:r>
            <w:r>
              <w:rPr>
                <w:rFonts w:ascii="宋体" w:hAnsi="宋体"/>
                <w:color w:val="auto"/>
                <w:sz w:val="24"/>
                <w:highlight w:val="none"/>
              </w:rPr>
              <w:t>，结合现状路条件考虑地下空间落客枢纽等措施避免落客对市政道路造成拥堵。设计</w:t>
            </w:r>
            <w:r>
              <w:rPr>
                <w:rFonts w:ascii="宋体" w:hAnsi="宋体" w:cs="宋体"/>
                <w:color w:val="auto"/>
                <w:sz w:val="24"/>
                <w:highlight w:val="none"/>
                <w:lang w:val="zh-CN"/>
              </w:rPr>
              <w:t>充分考虑无障碍设计要求，建筑入口或地下停车库电梯间附近应考虑设置残疾人停车位。</w:t>
            </w:r>
          </w:p>
          <w:p w14:paraId="190A8CD3">
            <w:pPr>
              <w:snapToGrid w:val="0"/>
              <w:rPr>
                <w:rFonts w:ascii="宋体" w:hAnsi="宋体"/>
                <w:color w:val="auto"/>
                <w:sz w:val="24"/>
                <w:highlight w:val="none"/>
              </w:rPr>
            </w:pPr>
            <w:r>
              <w:rPr>
                <w:rFonts w:ascii="宋体" w:hAnsi="宋体"/>
                <w:color w:val="auto"/>
                <w:sz w:val="24"/>
                <w:highlight w:val="none"/>
              </w:rPr>
              <w:t>优：得[15-12]分，良：得(12-9]分，中：得(9-5]分，差：得(5-0]分。无此内容得0分。</w:t>
            </w:r>
          </w:p>
        </w:tc>
        <w:tc>
          <w:tcPr>
            <w:tcW w:w="792" w:type="dxa"/>
            <w:tcBorders>
              <w:top w:val="single" w:color="auto" w:sz="4" w:space="0"/>
              <w:left w:val="nil"/>
              <w:bottom w:val="single" w:color="auto" w:sz="4" w:space="0"/>
              <w:right w:val="single" w:color="auto" w:sz="4" w:space="0"/>
            </w:tcBorders>
            <w:noWrap/>
            <w:vAlign w:val="center"/>
          </w:tcPr>
          <w:p w14:paraId="3BE157E3">
            <w:pPr>
              <w:snapToGrid w:val="0"/>
              <w:jc w:val="center"/>
              <w:rPr>
                <w:rFonts w:ascii="宋体" w:hAnsi="宋体"/>
                <w:color w:val="auto"/>
                <w:sz w:val="24"/>
                <w:highlight w:val="none"/>
              </w:rPr>
            </w:pPr>
          </w:p>
        </w:tc>
      </w:tr>
      <w:tr w14:paraId="2C37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82" w:type="dxa"/>
            <w:vMerge w:val="continue"/>
            <w:tcBorders>
              <w:left w:val="single" w:color="auto" w:sz="4" w:space="0"/>
              <w:right w:val="single" w:color="auto" w:sz="8" w:space="0"/>
            </w:tcBorders>
            <w:vAlign w:val="center"/>
          </w:tcPr>
          <w:p w14:paraId="3350F8C8">
            <w:pPr>
              <w:widowControl/>
              <w:snapToGrid w:val="0"/>
              <w:jc w:val="center"/>
              <w:rPr>
                <w:rFonts w:ascii="宋体" w:hAnsi="宋体"/>
                <w:color w:val="auto"/>
                <w:sz w:val="24"/>
                <w:highlight w:val="none"/>
              </w:rPr>
            </w:pPr>
          </w:p>
        </w:tc>
        <w:tc>
          <w:tcPr>
            <w:tcW w:w="1287" w:type="dxa"/>
            <w:vMerge w:val="continue"/>
            <w:tcBorders>
              <w:left w:val="nil"/>
              <w:right w:val="single" w:color="auto" w:sz="4" w:space="0"/>
            </w:tcBorders>
            <w:vAlign w:val="center"/>
          </w:tcPr>
          <w:p w14:paraId="19169D87">
            <w:pPr>
              <w:widowControl/>
              <w:snapToGrid w:val="0"/>
              <w:jc w:val="left"/>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3FC5DD42">
            <w:pPr>
              <w:widowControl/>
              <w:snapToGrid w:val="0"/>
              <w:jc w:val="center"/>
              <w:rPr>
                <w:rFonts w:ascii="宋体" w:hAnsi="宋体"/>
                <w:color w:val="auto"/>
                <w:sz w:val="24"/>
                <w:highlight w:val="none"/>
              </w:rPr>
            </w:pPr>
            <w:r>
              <w:rPr>
                <w:rFonts w:ascii="宋体" w:hAnsi="宋体"/>
                <w:color w:val="auto"/>
                <w:sz w:val="24"/>
                <w:highlight w:val="none"/>
              </w:rPr>
              <w:t>10</w:t>
            </w:r>
          </w:p>
        </w:tc>
        <w:tc>
          <w:tcPr>
            <w:tcW w:w="9872" w:type="dxa"/>
            <w:tcBorders>
              <w:top w:val="single" w:color="auto" w:sz="4" w:space="0"/>
              <w:left w:val="nil"/>
              <w:bottom w:val="single" w:color="auto" w:sz="4" w:space="0"/>
              <w:right w:val="single" w:color="auto" w:sz="4" w:space="0"/>
            </w:tcBorders>
            <w:noWrap/>
            <w:vAlign w:val="center"/>
          </w:tcPr>
          <w:p w14:paraId="091B28FE">
            <w:pPr>
              <w:snapToGrid w:val="0"/>
              <w:rPr>
                <w:rFonts w:ascii="宋体" w:hAnsi="宋体"/>
                <w:color w:val="auto"/>
                <w:sz w:val="24"/>
                <w:highlight w:val="none"/>
              </w:rPr>
            </w:pPr>
            <w:r>
              <w:rPr>
                <w:rFonts w:ascii="宋体" w:hAnsi="宋体"/>
                <w:b/>
                <w:bCs/>
                <w:color w:val="auto"/>
                <w:sz w:val="24"/>
                <w:highlight w:val="none"/>
              </w:rPr>
              <w:t>装修设计：</w:t>
            </w:r>
            <w:r>
              <w:rPr>
                <w:rFonts w:ascii="宋体" w:hAnsi="宋体"/>
                <w:color w:val="auto"/>
                <w:sz w:val="24"/>
                <w:highlight w:val="none"/>
              </w:rPr>
              <w:t>装修设计遵循简洁大方的现代风格，公共空间融入人文特性，使医疗空间人性化、自然化、生态化。</w:t>
            </w:r>
            <w:r>
              <w:rPr>
                <w:rFonts w:ascii="宋体" w:hAnsi="宋体" w:cs="宋体"/>
                <w:color w:val="auto"/>
                <w:sz w:val="24"/>
                <w:highlight w:val="none"/>
                <w:lang w:bidi="ar"/>
              </w:rPr>
              <w:t>强调自然通风采光，经济合理考虑室内净高，</w:t>
            </w:r>
            <w:r>
              <w:rPr>
                <w:rFonts w:ascii="宋体" w:hAnsi="宋体"/>
                <w:color w:val="auto"/>
                <w:sz w:val="24"/>
                <w:highlight w:val="none"/>
              </w:rPr>
              <w:t>为医患者营造一个温馨、充满关爱的医疗空间。</w:t>
            </w:r>
          </w:p>
          <w:p w14:paraId="4FB656A3">
            <w:pPr>
              <w:pStyle w:val="32"/>
              <w:snapToGrid w:val="0"/>
              <w:ind w:firstLine="0"/>
              <w:rPr>
                <w:rFonts w:ascii="宋体" w:hAnsi="宋体"/>
                <w:color w:val="auto"/>
                <w:sz w:val="24"/>
                <w:highlight w:val="none"/>
              </w:rPr>
            </w:pPr>
            <w:r>
              <w:rPr>
                <w:rFonts w:ascii="宋体" w:hAnsi="宋体"/>
                <w:color w:val="auto"/>
                <w:sz w:val="24"/>
                <w:highlight w:val="none"/>
              </w:rPr>
              <w:t>优：得[10-8]分，良：得(8-5]分，中：得(5-2]分，差：得(2-0]分。无此内容得0分。</w:t>
            </w:r>
          </w:p>
        </w:tc>
        <w:tc>
          <w:tcPr>
            <w:tcW w:w="792" w:type="dxa"/>
            <w:tcBorders>
              <w:top w:val="single" w:color="auto" w:sz="4" w:space="0"/>
              <w:left w:val="nil"/>
              <w:bottom w:val="single" w:color="auto" w:sz="4" w:space="0"/>
              <w:right w:val="single" w:color="auto" w:sz="4" w:space="0"/>
            </w:tcBorders>
            <w:noWrap/>
            <w:vAlign w:val="center"/>
          </w:tcPr>
          <w:p w14:paraId="0238B6FE">
            <w:pPr>
              <w:snapToGrid w:val="0"/>
              <w:jc w:val="center"/>
              <w:rPr>
                <w:rFonts w:ascii="宋体" w:hAnsi="宋体"/>
                <w:color w:val="auto"/>
                <w:sz w:val="24"/>
                <w:highlight w:val="none"/>
              </w:rPr>
            </w:pPr>
          </w:p>
        </w:tc>
      </w:tr>
      <w:tr w14:paraId="49EF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82" w:type="dxa"/>
            <w:vMerge w:val="continue"/>
            <w:tcBorders>
              <w:left w:val="single" w:color="auto" w:sz="4" w:space="0"/>
              <w:right w:val="single" w:color="auto" w:sz="8" w:space="0"/>
            </w:tcBorders>
            <w:vAlign w:val="center"/>
          </w:tcPr>
          <w:p w14:paraId="4BCB73BA">
            <w:pPr>
              <w:widowControl/>
              <w:snapToGrid w:val="0"/>
              <w:jc w:val="center"/>
              <w:rPr>
                <w:rFonts w:ascii="宋体" w:hAnsi="宋体"/>
                <w:color w:val="auto"/>
                <w:sz w:val="24"/>
                <w:highlight w:val="none"/>
              </w:rPr>
            </w:pPr>
          </w:p>
        </w:tc>
        <w:tc>
          <w:tcPr>
            <w:tcW w:w="1287" w:type="dxa"/>
            <w:vMerge w:val="continue"/>
            <w:tcBorders>
              <w:left w:val="nil"/>
              <w:right w:val="single" w:color="auto" w:sz="4" w:space="0"/>
            </w:tcBorders>
            <w:vAlign w:val="center"/>
          </w:tcPr>
          <w:p w14:paraId="19F3D9E8">
            <w:pPr>
              <w:widowControl/>
              <w:snapToGrid w:val="0"/>
              <w:jc w:val="left"/>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4607385A">
            <w:pPr>
              <w:widowControl/>
              <w:snapToGrid w:val="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9872" w:type="dxa"/>
            <w:tcBorders>
              <w:top w:val="single" w:color="auto" w:sz="4" w:space="0"/>
              <w:left w:val="nil"/>
              <w:bottom w:val="single" w:color="auto" w:sz="4" w:space="0"/>
              <w:right w:val="single" w:color="auto" w:sz="4" w:space="0"/>
            </w:tcBorders>
            <w:noWrap/>
            <w:vAlign w:val="center"/>
          </w:tcPr>
          <w:p w14:paraId="2708F6C3">
            <w:pPr>
              <w:snapToGrid w:val="0"/>
              <w:rPr>
                <w:rFonts w:ascii="宋体" w:hAnsi="宋体"/>
                <w:color w:val="auto"/>
                <w:sz w:val="24"/>
                <w:highlight w:val="none"/>
              </w:rPr>
            </w:pPr>
            <w:r>
              <w:rPr>
                <w:rFonts w:ascii="宋体" w:hAnsi="宋体" w:cs="宋体"/>
                <w:b/>
                <w:bCs/>
                <w:color w:val="auto"/>
                <w:sz w:val="24"/>
                <w:highlight w:val="none"/>
              </w:rPr>
              <w:t>景观与配套设施</w:t>
            </w:r>
            <w:r>
              <w:rPr>
                <w:rFonts w:ascii="宋体" w:hAnsi="宋体" w:cs="宋体"/>
                <w:color w:val="auto"/>
                <w:sz w:val="24"/>
                <w:highlight w:val="none"/>
              </w:rPr>
              <w:t>：景观设计</w:t>
            </w:r>
            <w:r>
              <w:rPr>
                <w:rFonts w:ascii="宋体" w:hAnsi="宋体"/>
                <w:color w:val="auto"/>
                <w:sz w:val="24"/>
                <w:highlight w:val="none"/>
              </w:rPr>
              <w:t>体现“以人为本”的理念。景观设计手法简约、富有韵律，能较好利用景观资源，营造多层次的的室外活动场地，方便患者康复休息。植物配比种类丰富，尽量采用本地树种，打造一年四季不同景观体验。</w:t>
            </w:r>
            <w:r>
              <w:rPr>
                <w:rFonts w:ascii="宋体" w:hAnsi="宋体" w:cs="宋体"/>
                <w:color w:val="auto"/>
                <w:sz w:val="24"/>
                <w:highlight w:val="none"/>
              </w:rPr>
              <w:t>配套设施考虑完善，综合管线的布置方案形式系统、合理、经济、实用，能充分考虑与市政道路的衔接与协调。</w:t>
            </w:r>
          </w:p>
          <w:p w14:paraId="0B29E4C4">
            <w:pPr>
              <w:snapToGrid w:val="0"/>
              <w:rPr>
                <w:rFonts w:ascii="宋体" w:hAnsi="宋体"/>
                <w:color w:val="auto"/>
                <w:sz w:val="24"/>
                <w:highlight w:val="none"/>
              </w:rPr>
            </w:pPr>
            <w:r>
              <w:rPr>
                <w:rFonts w:ascii="宋体" w:hAnsi="宋体"/>
                <w:color w:val="auto"/>
                <w:sz w:val="24"/>
                <w:highlight w:val="none"/>
              </w:rPr>
              <w:t>优：得[10-8]分，良：得(8-5]分，中：得(5-2]分，差：得(2-0]分。无此内容得0分。</w:t>
            </w:r>
          </w:p>
        </w:tc>
        <w:tc>
          <w:tcPr>
            <w:tcW w:w="792" w:type="dxa"/>
            <w:tcBorders>
              <w:top w:val="single" w:color="auto" w:sz="4" w:space="0"/>
              <w:left w:val="nil"/>
              <w:bottom w:val="single" w:color="auto" w:sz="4" w:space="0"/>
              <w:right w:val="single" w:color="auto" w:sz="4" w:space="0"/>
            </w:tcBorders>
            <w:noWrap/>
            <w:vAlign w:val="center"/>
          </w:tcPr>
          <w:p w14:paraId="2D2A878A">
            <w:pPr>
              <w:snapToGrid w:val="0"/>
              <w:jc w:val="center"/>
              <w:rPr>
                <w:rFonts w:ascii="宋体" w:hAnsi="宋体"/>
                <w:color w:val="auto"/>
                <w:sz w:val="24"/>
                <w:highlight w:val="none"/>
              </w:rPr>
            </w:pPr>
          </w:p>
        </w:tc>
      </w:tr>
      <w:tr w14:paraId="2E64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82" w:type="dxa"/>
            <w:vMerge w:val="continue"/>
            <w:tcBorders>
              <w:left w:val="single" w:color="auto" w:sz="4" w:space="0"/>
              <w:right w:val="single" w:color="auto" w:sz="8" w:space="0"/>
            </w:tcBorders>
            <w:vAlign w:val="center"/>
          </w:tcPr>
          <w:p w14:paraId="746E96BB">
            <w:pPr>
              <w:widowControl/>
              <w:snapToGrid w:val="0"/>
              <w:jc w:val="center"/>
              <w:rPr>
                <w:rFonts w:ascii="宋体" w:hAnsi="宋体"/>
                <w:color w:val="auto"/>
                <w:sz w:val="24"/>
                <w:highlight w:val="none"/>
              </w:rPr>
            </w:pPr>
          </w:p>
        </w:tc>
        <w:tc>
          <w:tcPr>
            <w:tcW w:w="1287" w:type="dxa"/>
            <w:vMerge w:val="continue"/>
            <w:tcBorders>
              <w:left w:val="nil"/>
              <w:right w:val="single" w:color="auto" w:sz="4" w:space="0"/>
            </w:tcBorders>
            <w:vAlign w:val="center"/>
          </w:tcPr>
          <w:p w14:paraId="4F09208F">
            <w:pPr>
              <w:widowControl/>
              <w:snapToGrid w:val="0"/>
              <w:jc w:val="left"/>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2D22761A">
            <w:pPr>
              <w:widowControl/>
              <w:snapToGrid w:val="0"/>
              <w:jc w:val="center"/>
              <w:rPr>
                <w:rFonts w:ascii="宋体" w:hAnsi="宋体"/>
                <w:color w:val="auto"/>
                <w:sz w:val="24"/>
                <w:highlight w:val="none"/>
              </w:rPr>
            </w:pPr>
            <w:r>
              <w:rPr>
                <w:rFonts w:ascii="宋体" w:hAnsi="宋体"/>
                <w:color w:val="auto"/>
                <w:sz w:val="24"/>
                <w:highlight w:val="none"/>
              </w:rPr>
              <w:t>5</w:t>
            </w:r>
          </w:p>
        </w:tc>
        <w:tc>
          <w:tcPr>
            <w:tcW w:w="9872" w:type="dxa"/>
            <w:tcBorders>
              <w:top w:val="single" w:color="auto" w:sz="4" w:space="0"/>
              <w:left w:val="nil"/>
              <w:bottom w:val="single" w:color="auto" w:sz="4" w:space="0"/>
              <w:right w:val="single" w:color="auto" w:sz="4" w:space="0"/>
            </w:tcBorders>
            <w:noWrap/>
            <w:vAlign w:val="center"/>
          </w:tcPr>
          <w:p w14:paraId="57014305">
            <w:pPr>
              <w:snapToGrid w:val="0"/>
              <w:rPr>
                <w:rFonts w:ascii="宋体" w:hAnsi="宋体"/>
                <w:color w:val="auto"/>
                <w:sz w:val="24"/>
                <w:highlight w:val="none"/>
              </w:rPr>
            </w:pPr>
            <w:r>
              <w:rPr>
                <w:rFonts w:ascii="宋体" w:hAnsi="宋体"/>
                <w:b/>
                <w:bCs/>
                <w:color w:val="auto"/>
                <w:sz w:val="24"/>
                <w:highlight w:val="none"/>
              </w:rPr>
              <w:t>绿色建筑与海绵城市：</w:t>
            </w:r>
            <w:r>
              <w:rPr>
                <w:rFonts w:ascii="宋体" w:hAnsi="宋体" w:cs="Times New Roman"/>
                <w:color w:val="auto"/>
                <w:sz w:val="24"/>
                <w:highlight w:val="none"/>
              </w:rPr>
              <w:t>充分体现海绵城市、绿色节能设计、全要素设计理念。</w:t>
            </w:r>
            <w:r>
              <w:rPr>
                <w:rFonts w:ascii="宋体" w:hAnsi="宋体"/>
                <w:color w:val="auto"/>
                <w:sz w:val="24"/>
                <w:highlight w:val="none"/>
              </w:rPr>
              <w:t>建设具有一定滞蓄和净化能力的绿色生态医院</w:t>
            </w:r>
            <w:r>
              <w:rPr>
                <w:rFonts w:ascii="宋体" w:hAnsi="宋体"/>
                <w:color w:val="auto"/>
                <w:sz w:val="24"/>
                <w:highlight w:val="none"/>
                <w:lang w:val="zh-CN"/>
              </w:rPr>
              <w:t>，</w:t>
            </w:r>
            <w:r>
              <w:rPr>
                <w:rFonts w:ascii="宋体" w:hAnsi="宋体"/>
                <w:color w:val="auto"/>
                <w:sz w:val="24"/>
                <w:highlight w:val="none"/>
              </w:rPr>
              <w:t>节能建筑与绿色建筑设计应充分考虑医疗建筑的自身条件，反应气候特点、体现岭南建筑特色。设计应注重</w:t>
            </w:r>
            <w:r>
              <w:rPr>
                <w:rFonts w:ascii="宋体" w:hAnsi="宋体"/>
                <w:color w:val="auto"/>
                <w:sz w:val="24"/>
                <w:highlight w:val="none"/>
                <w:lang w:val="zh-CN"/>
              </w:rPr>
              <w:t>生态和谐，舒适节约，重视效益，关注全寿命周期，风光热环境优化，资源节约与再利用。</w:t>
            </w:r>
          </w:p>
          <w:p w14:paraId="1D520EC9">
            <w:pPr>
              <w:snapToGrid w:val="0"/>
              <w:rPr>
                <w:rFonts w:ascii="宋体" w:hAnsi="宋体"/>
                <w:color w:val="auto"/>
                <w:sz w:val="24"/>
                <w:highlight w:val="none"/>
              </w:rPr>
            </w:pPr>
            <w:r>
              <w:rPr>
                <w:rFonts w:ascii="宋体" w:hAnsi="宋体"/>
                <w:color w:val="auto"/>
                <w:sz w:val="24"/>
                <w:highlight w:val="none"/>
              </w:rPr>
              <w:t>优：[5-4]</w:t>
            </w:r>
            <w:r>
              <w:rPr>
                <w:rFonts w:ascii="宋体" w:hAnsi="宋体"/>
                <w:color w:val="auto"/>
                <w:sz w:val="24"/>
                <w:highlight w:val="none"/>
                <w:lang w:val="zh-CN"/>
              </w:rPr>
              <w:t>分</w:t>
            </w:r>
            <w:r>
              <w:rPr>
                <w:rFonts w:ascii="宋体" w:hAnsi="宋体"/>
                <w:color w:val="auto"/>
                <w:sz w:val="24"/>
                <w:highlight w:val="none"/>
              </w:rPr>
              <w:t>；良</w:t>
            </w:r>
            <w:r>
              <w:rPr>
                <w:rFonts w:ascii="宋体" w:hAnsi="宋体"/>
                <w:color w:val="auto"/>
                <w:sz w:val="24"/>
                <w:highlight w:val="none"/>
                <w:lang w:val="zh-CN"/>
              </w:rPr>
              <w:t>得</w:t>
            </w:r>
            <w:r>
              <w:rPr>
                <w:rFonts w:ascii="宋体" w:hAnsi="宋体"/>
                <w:color w:val="auto"/>
                <w:sz w:val="24"/>
                <w:highlight w:val="none"/>
              </w:rPr>
              <w:t>(4-2]</w:t>
            </w:r>
            <w:r>
              <w:rPr>
                <w:rFonts w:ascii="宋体" w:hAnsi="宋体"/>
                <w:color w:val="auto"/>
                <w:sz w:val="24"/>
                <w:highlight w:val="none"/>
                <w:lang w:val="zh-CN"/>
              </w:rPr>
              <w:t>分</w:t>
            </w:r>
            <w:r>
              <w:rPr>
                <w:rFonts w:ascii="宋体" w:hAnsi="宋体"/>
                <w:color w:val="auto"/>
                <w:sz w:val="24"/>
                <w:highlight w:val="none"/>
              </w:rPr>
              <w:t>；中</w:t>
            </w:r>
            <w:r>
              <w:rPr>
                <w:rFonts w:ascii="宋体" w:hAnsi="宋体"/>
                <w:color w:val="auto"/>
                <w:sz w:val="24"/>
                <w:highlight w:val="none"/>
                <w:lang w:val="zh-CN"/>
              </w:rPr>
              <w:t>得</w:t>
            </w:r>
            <w:r>
              <w:rPr>
                <w:rFonts w:ascii="宋体" w:hAnsi="宋体"/>
                <w:color w:val="auto"/>
                <w:sz w:val="24"/>
                <w:highlight w:val="none"/>
              </w:rPr>
              <w:t>(2-0]</w:t>
            </w:r>
            <w:r>
              <w:rPr>
                <w:rFonts w:ascii="宋体" w:hAnsi="宋体"/>
                <w:color w:val="auto"/>
                <w:sz w:val="24"/>
                <w:highlight w:val="none"/>
                <w:lang w:val="zh-CN"/>
              </w:rPr>
              <w:t>分，</w:t>
            </w:r>
            <w:r>
              <w:rPr>
                <w:rFonts w:ascii="宋体" w:hAnsi="宋体"/>
                <w:color w:val="auto"/>
                <w:sz w:val="24"/>
                <w:highlight w:val="none"/>
              </w:rPr>
              <w:t>无此内容得0分</w:t>
            </w:r>
            <w:r>
              <w:rPr>
                <w:rFonts w:ascii="宋体" w:hAnsi="宋体"/>
                <w:color w:val="auto"/>
                <w:sz w:val="24"/>
                <w:highlight w:val="none"/>
                <w:lang w:val="zh-CN"/>
              </w:rPr>
              <w:t>。</w:t>
            </w:r>
          </w:p>
        </w:tc>
        <w:tc>
          <w:tcPr>
            <w:tcW w:w="792" w:type="dxa"/>
            <w:tcBorders>
              <w:top w:val="single" w:color="auto" w:sz="4" w:space="0"/>
              <w:left w:val="nil"/>
              <w:bottom w:val="single" w:color="auto" w:sz="4" w:space="0"/>
              <w:right w:val="single" w:color="auto" w:sz="4" w:space="0"/>
            </w:tcBorders>
            <w:noWrap/>
            <w:vAlign w:val="center"/>
          </w:tcPr>
          <w:p w14:paraId="7D034D7F">
            <w:pPr>
              <w:snapToGrid w:val="0"/>
              <w:jc w:val="center"/>
              <w:rPr>
                <w:rFonts w:ascii="宋体" w:hAnsi="宋体"/>
                <w:color w:val="auto"/>
                <w:sz w:val="24"/>
                <w:highlight w:val="none"/>
              </w:rPr>
            </w:pPr>
          </w:p>
        </w:tc>
      </w:tr>
      <w:tr w14:paraId="3D6A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2" w:type="dxa"/>
            <w:vMerge w:val="continue"/>
            <w:tcBorders>
              <w:left w:val="single" w:color="auto" w:sz="4" w:space="0"/>
              <w:bottom w:val="single" w:color="auto" w:sz="4" w:space="0"/>
              <w:right w:val="single" w:color="auto" w:sz="8" w:space="0"/>
            </w:tcBorders>
            <w:noWrap/>
            <w:vAlign w:val="center"/>
          </w:tcPr>
          <w:p w14:paraId="29764A03">
            <w:pPr>
              <w:snapToGrid w:val="0"/>
              <w:jc w:val="center"/>
              <w:rPr>
                <w:rFonts w:ascii="宋体" w:hAnsi="宋体"/>
                <w:color w:val="auto"/>
                <w:sz w:val="24"/>
                <w:highlight w:val="none"/>
              </w:rPr>
            </w:pPr>
          </w:p>
        </w:tc>
        <w:tc>
          <w:tcPr>
            <w:tcW w:w="1287" w:type="dxa"/>
            <w:vMerge w:val="continue"/>
            <w:tcBorders>
              <w:left w:val="nil"/>
              <w:bottom w:val="single" w:color="auto" w:sz="4" w:space="0"/>
              <w:right w:val="single" w:color="auto" w:sz="4" w:space="0"/>
            </w:tcBorders>
            <w:noWrap/>
            <w:vAlign w:val="center"/>
          </w:tcPr>
          <w:p w14:paraId="4F4BB322">
            <w:pPr>
              <w:autoSpaceDE w:val="0"/>
              <w:autoSpaceDN w:val="0"/>
              <w:snapToGrid w:val="0"/>
              <w:jc w:val="center"/>
              <w:rPr>
                <w:rFonts w:ascii="宋体" w:hAnsi="宋体"/>
                <w:color w:val="auto"/>
                <w:sz w:val="24"/>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018781CF">
            <w:pPr>
              <w:snapToGrid w:val="0"/>
              <w:jc w:val="center"/>
              <w:rPr>
                <w:rFonts w:ascii="宋体" w:hAnsi="宋体"/>
                <w:color w:val="auto"/>
                <w:sz w:val="24"/>
                <w:highlight w:val="none"/>
              </w:rPr>
            </w:pPr>
            <w:r>
              <w:rPr>
                <w:rFonts w:ascii="宋体" w:hAnsi="宋体"/>
                <w:color w:val="auto"/>
                <w:sz w:val="24"/>
                <w:highlight w:val="none"/>
              </w:rPr>
              <w:t>5</w:t>
            </w:r>
          </w:p>
        </w:tc>
        <w:tc>
          <w:tcPr>
            <w:tcW w:w="9872" w:type="dxa"/>
            <w:tcBorders>
              <w:top w:val="single" w:color="auto" w:sz="4" w:space="0"/>
              <w:left w:val="nil"/>
              <w:bottom w:val="single" w:color="auto" w:sz="4" w:space="0"/>
              <w:right w:val="single" w:color="auto" w:sz="4" w:space="0"/>
            </w:tcBorders>
            <w:noWrap/>
            <w:vAlign w:val="center"/>
          </w:tcPr>
          <w:p w14:paraId="2ECF50FA">
            <w:pPr>
              <w:snapToGrid w:val="0"/>
              <w:rPr>
                <w:rFonts w:ascii="宋体" w:hAnsi="宋体"/>
                <w:color w:val="auto"/>
                <w:sz w:val="24"/>
                <w:highlight w:val="none"/>
                <w:lang w:val="zh-CN"/>
              </w:rPr>
            </w:pPr>
            <w:r>
              <w:rPr>
                <w:rFonts w:ascii="宋体" w:hAnsi="宋体"/>
                <w:b/>
                <w:bCs/>
                <w:color w:val="auto"/>
                <w:sz w:val="24"/>
                <w:highlight w:val="none"/>
              </w:rPr>
              <w:t>勘察方案</w:t>
            </w:r>
            <w:r>
              <w:rPr>
                <w:rFonts w:ascii="宋体" w:hAnsi="宋体"/>
                <w:color w:val="auto"/>
                <w:sz w:val="24"/>
                <w:highlight w:val="none"/>
              </w:rPr>
              <w:t>：勘察方案合理可行，勘察的重点、难点理解准确，建议合理可行；勘察工作流程规范，工期进度计划合理可行。</w:t>
            </w:r>
          </w:p>
          <w:p w14:paraId="66A8C42A">
            <w:pPr>
              <w:widowControl/>
              <w:snapToGrid w:val="0"/>
              <w:jc w:val="left"/>
              <w:rPr>
                <w:rFonts w:ascii="宋体" w:hAnsi="宋体"/>
                <w:color w:val="auto"/>
                <w:sz w:val="24"/>
                <w:highlight w:val="none"/>
              </w:rPr>
            </w:pPr>
            <w:r>
              <w:rPr>
                <w:rFonts w:ascii="宋体" w:hAnsi="宋体"/>
                <w:color w:val="auto"/>
                <w:sz w:val="24"/>
                <w:highlight w:val="none"/>
              </w:rPr>
              <w:t>优：[5-4]</w:t>
            </w:r>
            <w:r>
              <w:rPr>
                <w:rFonts w:ascii="宋体" w:hAnsi="宋体"/>
                <w:color w:val="auto"/>
                <w:sz w:val="24"/>
                <w:highlight w:val="none"/>
                <w:lang w:val="zh-CN"/>
              </w:rPr>
              <w:t>分</w:t>
            </w:r>
            <w:r>
              <w:rPr>
                <w:rFonts w:ascii="宋体" w:hAnsi="宋体"/>
                <w:color w:val="auto"/>
                <w:sz w:val="24"/>
                <w:highlight w:val="none"/>
              </w:rPr>
              <w:t>；良</w:t>
            </w:r>
            <w:r>
              <w:rPr>
                <w:rFonts w:ascii="宋体" w:hAnsi="宋体"/>
                <w:color w:val="auto"/>
                <w:sz w:val="24"/>
                <w:highlight w:val="none"/>
                <w:lang w:val="zh-CN"/>
              </w:rPr>
              <w:t>得</w:t>
            </w:r>
            <w:r>
              <w:rPr>
                <w:rFonts w:ascii="宋体" w:hAnsi="宋体"/>
                <w:color w:val="auto"/>
                <w:sz w:val="24"/>
                <w:highlight w:val="none"/>
              </w:rPr>
              <w:t>(4-2]</w:t>
            </w:r>
            <w:r>
              <w:rPr>
                <w:rFonts w:ascii="宋体" w:hAnsi="宋体"/>
                <w:color w:val="auto"/>
                <w:sz w:val="24"/>
                <w:highlight w:val="none"/>
                <w:lang w:val="zh-CN"/>
              </w:rPr>
              <w:t>分</w:t>
            </w:r>
            <w:r>
              <w:rPr>
                <w:rFonts w:ascii="宋体" w:hAnsi="宋体"/>
                <w:color w:val="auto"/>
                <w:sz w:val="24"/>
                <w:highlight w:val="none"/>
              </w:rPr>
              <w:t>；中</w:t>
            </w:r>
            <w:r>
              <w:rPr>
                <w:rFonts w:ascii="宋体" w:hAnsi="宋体"/>
                <w:color w:val="auto"/>
                <w:sz w:val="24"/>
                <w:highlight w:val="none"/>
                <w:lang w:val="zh-CN"/>
              </w:rPr>
              <w:t>得</w:t>
            </w:r>
            <w:r>
              <w:rPr>
                <w:rFonts w:ascii="宋体" w:hAnsi="宋体"/>
                <w:color w:val="auto"/>
                <w:sz w:val="24"/>
                <w:highlight w:val="none"/>
              </w:rPr>
              <w:t>(2-0]</w:t>
            </w:r>
            <w:r>
              <w:rPr>
                <w:rFonts w:ascii="宋体" w:hAnsi="宋体"/>
                <w:color w:val="auto"/>
                <w:sz w:val="24"/>
                <w:highlight w:val="none"/>
                <w:lang w:val="zh-CN"/>
              </w:rPr>
              <w:t>分，</w:t>
            </w:r>
            <w:r>
              <w:rPr>
                <w:rFonts w:ascii="宋体" w:hAnsi="宋体"/>
                <w:color w:val="auto"/>
                <w:sz w:val="24"/>
                <w:highlight w:val="none"/>
              </w:rPr>
              <w:t>无此内容得0分</w:t>
            </w:r>
            <w:r>
              <w:rPr>
                <w:rFonts w:ascii="宋体" w:hAnsi="宋体"/>
                <w:color w:val="auto"/>
                <w:sz w:val="24"/>
                <w:highlight w:val="none"/>
                <w:lang w:val="zh-CN"/>
              </w:rPr>
              <w:t>。</w:t>
            </w:r>
          </w:p>
        </w:tc>
        <w:tc>
          <w:tcPr>
            <w:tcW w:w="792" w:type="dxa"/>
            <w:tcBorders>
              <w:top w:val="single" w:color="auto" w:sz="4" w:space="0"/>
              <w:left w:val="nil"/>
              <w:bottom w:val="single" w:color="auto" w:sz="4" w:space="0"/>
              <w:right w:val="single" w:color="auto" w:sz="4" w:space="0"/>
            </w:tcBorders>
            <w:noWrap/>
            <w:vAlign w:val="center"/>
          </w:tcPr>
          <w:p w14:paraId="34010438">
            <w:pPr>
              <w:snapToGrid w:val="0"/>
              <w:jc w:val="center"/>
              <w:rPr>
                <w:rFonts w:ascii="宋体" w:hAnsi="宋体"/>
                <w:color w:val="auto"/>
                <w:sz w:val="24"/>
                <w:highlight w:val="none"/>
              </w:rPr>
            </w:pPr>
          </w:p>
        </w:tc>
      </w:tr>
      <w:tr w14:paraId="1230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82" w:type="dxa"/>
            <w:tcBorders>
              <w:top w:val="single" w:color="auto" w:sz="4" w:space="0"/>
              <w:left w:val="single" w:color="auto" w:sz="4" w:space="0"/>
              <w:bottom w:val="single" w:color="auto" w:sz="4" w:space="0"/>
              <w:right w:val="single" w:color="auto" w:sz="8" w:space="0"/>
            </w:tcBorders>
            <w:noWrap/>
            <w:vAlign w:val="center"/>
          </w:tcPr>
          <w:p w14:paraId="5BBC92F9">
            <w:pPr>
              <w:snapToGrid w:val="0"/>
              <w:jc w:val="center"/>
              <w:rPr>
                <w:rFonts w:ascii="宋体" w:hAnsi="宋体"/>
                <w:color w:val="auto"/>
                <w:sz w:val="24"/>
                <w:highlight w:val="none"/>
              </w:rPr>
            </w:pPr>
            <w:r>
              <w:rPr>
                <w:rFonts w:ascii="宋体" w:hAnsi="宋体"/>
                <w:color w:val="auto"/>
                <w:sz w:val="24"/>
                <w:highlight w:val="none"/>
              </w:rPr>
              <w:t>2</w:t>
            </w:r>
          </w:p>
        </w:tc>
        <w:tc>
          <w:tcPr>
            <w:tcW w:w="1287" w:type="dxa"/>
            <w:tcBorders>
              <w:top w:val="single" w:color="auto" w:sz="4" w:space="0"/>
              <w:left w:val="nil"/>
              <w:bottom w:val="single" w:color="auto" w:sz="4" w:space="0"/>
              <w:right w:val="single" w:color="auto" w:sz="4" w:space="0"/>
            </w:tcBorders>
            <w:noWrap/>
            <w:vAlign w:val="center"/>
          </w:tcPr>
          <w:p w14:paraId="4597A603">
            <w:pPr>
              <w:autoSpaceDE w:val="0"/>
              <w:autoSpaceDN w:val="0"/>
              <w:snapToGrid w:val="0"/>
              <w:jc w:val="center"/>
              <w:rPr>
                <w:rFonts w:ascii="宋体" w:hAnsi="宋体"/>
                <w:color w:val="auto"/>
                <w:sz w:val="24"/>
                <w:highlight w:val="none"/>
              </w:rPr>
            </w:pPr>
            <w:r>
              <w:rPr>
                <w:rFonts w:ascii="宋体" w:hAnsi="宋体"/>
                <w:color w:val="auto"/>
                <w:sz w:val="24"/>
                <w:highlight w:val="none"/>
              </w:rPr>
              <w:t>投资控制</w:t>
            </w:r>
          </w:p>
        </w:tc>
        <w:tc>
          <w:tcPr>
            <w:tcW w:w="764" w:type="dxa"/>
            <w:tcBorders>
              <w:top w:val="single" w:color="auto" w:sz="4" w:space="0"/>
              <w:left w:val="single" w:color="auto" w:sz="8" w:space="0"/>
              <w:bottom w:val="single" w:color="auto" w:sz="4" w:space="0"/>
              <w:right w:val="single" w:color="auto" w:sz="8" w:space="0"/>
            </w:tcBorders>
            <w:noWrap/>
            <w:vAlign w:val="center"/>
          </w:tcPr>
          <w:p w14:paraId="54A20C4D">
            <w:pPr>
              <w:snapToGrid w:val="0"/>
              <w:jc w:val="center"/>
              <w:rPr>
                <w:rFonts w:ascii="宋体" w:hAnsi="宋体"/>
                <w:color w:val="auto"/>
                <w:sz w:val="24"/>
                <w:highlight w:val="none"/>
              </w:rPr>
            </w:pPr>
            <w:r>
              <w:rPr>
                <w:rFonts w:ascii="宋体" w:hAnsi="宋体"/>
                <w:color w:val="auto"/>
                <w:sz w:val="24"/>
                <w:highlight w:val="none"/>
              </w:rPr>
              <w:t>5</w:t>
            </w:r>
          </w:p>
        </w:tc>
        <w:tc>
          <w:tcPr>
            <w:tcW w:w="9872" w:type="dxa"/>
            <w:tcBorders>
              <w:top w:val="single" w:color="auto" w:sz="4" w:space="0"/>
              <w:left w:val="nil"/>
              <w:bottom w:val="single" w:color="auto" w:sz="4" w:space="0"/>
              <w:right w:val="single" w:color="auto" w:sz="4" w:space="0"/>
            </w:tcBorders>
            <w:noWrap/>
            <w:vAlign w:val="center"/>
          </w:tcPr>
          <w:p w14:paraId="4A6AEDB8">
            <w:pPr>
              <w:snapToGrid w:val="0"/>
              <w:rPr>
                <w:rFonts w:ascii="宋体" w:hAnsi="宋体"/>
                <w:color w:val="auto"/>
                <w:sz w:val="24"/>
                <w:highlight w:val="none"/>
                <w:lang w:val="zh-CN"/>
              </w:rPr>
            </w:pPr>
            <w:r>
              <w:rPr>
                <w:rFonts w:ascii="宋体" w:hAnsi="宋体" w:cs="宋体"/>
                <w:color w:val="auto"/>
                <w:sz w:val="24"/>
                <w:highlight w:val="none"/>
              </w:rPr>
              <w:t>设计方案很好体现限额设计思想。在经济性考虑方面有创新理念及措施。</w:t>
            </w:r>
          </w:p>
          <w:p w14:paraId="21905A9F">
            <w:pPr>
              <w:snapToGrid w:val="0"/>
              <w:rPr>
                <w:rFonts w:ascii="宋体" w:hAnsi="宋体"/>
                <w:color w:val="auto"/>
                <w:sz w:val="24"/>
                <w:highlight w:val="none"/>
              </w:rPr>
            </w:pPr>
            <w:r>
              <w:rPr>
                <w:rFonts w:ascii="宋体" w:hAnsi="宋体"/>
                <w:color w:val="auto"/>
                <w:sz w:val="24"/>
                <w:highlight w:val="none"/>
              </w:rPr>
              <w:t>优：[5-4]</w:t>
            </w:r>
            <w:r>
              <w:rPr>
                <w:rFonts w:ascii="宋体" w:hAnsi="宋体"/>
                <w:color w:val="auto"/>
                <w:sz w:val="24"/>
                <w:highlight w:val="none"/>
                <w:lang w:val="zh-CN"/>
              </w:rPr>
              <w:t>分</w:t>
            </w:r>
            <w:r>
              <w:rPr>
                <w:rFonts w:ascii="宋体" w:hAnsi="宋体"/>
                <w:color w:val="auto"/>
                <w:sz w:val="24"/>
                <w:highlight w:val="none"/>
              </w:rPr>
              <w:t>；良</w:t>
            </w:r>
            <w:r>
              <w:rPr>
                <w:rFonts w:ascii="宋体" w:hAnsi="宋体"/>
                <w:color w:val="auto"/>
                <w:sz w:val="24"/>
                <w:highlight w:val="none"/>
                <w:lang w:val="zh-CN"/>
              </w:rPr>
              <w:t>得</w:t>
            </w:r>
            <w:r>
              <w:rPr>
                <w:rFonts w:ascii="宋体" w:hAnsi="宋体"/>
                <w:color w:val="auto"/>
                <w:sz w:val="24"/>
                <w:highlight w:val="none"/>
              </w:rPr>
              <w:t>(4-2]</w:t>
            </w:r>
            <w:r>
              <w:rPr>
                <w:rFonts w:ascii="宋体" w:hAnsi="宋体"/>
                <w:color w:val="auto"/>
                <w:sz w:val="24"/>
                <w:highlight w:val="none"/>
                <w:lang w:val="zh-CN"/>
              </w:rPr>
              <w:t>分</w:t>
            </w:r>
            <w:r>
              <w:rPr>
                <w:rFonts w:ascii="宋体" w:hAnsi="宋体"/>
                <w:color w:val="auto"/>
                <w:sz w:val="24"/>
                <w:highlight w:val="none"/>
              </w:rPr>
              <w:t>；中</w:t>
            </w:r>
            <w:r>
              <w:rPr>
                <w:rFonts w:ascii="宋体" w:hAnsi="宋体"/>
                <w:color w:val="auto"/>
                <w:sz w:val="24"/>
                <w:highlight w:val="none"/>
                <w:lang w:val="zh-CN"/>
              </w:rPr>
              <w:t>得</w:t>
            </w:r>
            <w:r>
              <w:rPr>
                <w:rFonts w:ascii="宋体" w:hAnsi="宋体"/>
                <w:color w:val="auto"/>
                <w:sz w:val="24"/>
                <w:highlight w:val="none"/>
              </w:rPr>
              <w:t>(2-0]</w:t>
            </w:r>
            <w:r>
              <w:rPr>
                <w:rFonts w:ascii="宋体" w:hAnsi="宋体"/>
                <w:color w:val="auto"/>
                <w:sz w:val="24"/>
                <w:highlight w:val="none"/>
                <w:lang w:val="zh-CN"/>
              </w:rPr>
              <w:t>分，</w:t>
            </w:r>
            <w:r>
              <w:rPr>
                <w:rFonts w:ascii="宋体" w:hAnsi="宋体"/>
                <w:color w:val="auto"/>
                <w:sz w:val="24"/>
                <w:highlight w:val="none"/>
              </w:rPr>
              <w:t>无此内容得0分</w:t>
            </w:r>
            <w:r>
              <w:rPr>
                <w:rFonts w:ascii="宋体" w:hAnsi="宋体"/>
                <w:color w:val="auto"/>
                <w:sz w:val="24"/>
                <w:highlight w:val="none"/>
                <w:lang w:val="zh-CN"/>
              </w:rPr>
              <w:t>。</w:t>
            </w:r>
          </w:p>
        </w:tc>
        <w:tc>
          <w:tcPr>
            <w:tcW w:w="792" w:type="dxa"/>
            <w:tcBorders>
              <w:top w:val="single" w:color="auto" w:sz="4" w:space="0"/>
              <w:left w:val="nil"/>
              <w:bottom w:val="single" w:color="auto" w:sz="4" w:space="0"/>
              <w:right w:val="single" w:color="auto" w:sz="4" w:space="0"/>
            </w:tcBorders>
            <w:noWrap/>
            <w:vAlign w:val="center"/>
          </w:tcPr>
          <w:p w14:paraId="7ECC508F">
            <w:pPr>
              <w:snapToGrid w:val="0"/>
              <w:jc w:val="center"/>
              <w:rPr>
                <w:rFonts w:ascii="宋体" w:hAnsi="宋体"/>
                <w:color w:val="auto"/>
                <w:sz w:val="24"/>
                <w:highlight w:val="none"/>
              </w:rPr>
            </w:pPr>
          </w:p>
        </w:tc>
      </w:tr>
      <w:tr w14:paraId="2CE8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82" w:type="dxa"/>
            <w:tcBorders>
              <w:top w:val="single" w:color="auto" w:sz="4" w:space="0"/>
              <w:left w:val="single" w:color="auto" w:sz="4" w:space="0"/>
              <w:bottom w:val="single" w:color="auto" w:sz="4" w:space="0"/>
              <w:right w:val="single" w:color="auto" w:sz="8" w:space="0"/>
            </w:tcBorders>
            <w:noWrap/>
            <w:vAlign w:val="center"/>
          </w:tcPr>
          <w:p w14:paraId="2941B31E">
            <w:pPr>
              <w:snapToGrid w:val="0"/>
              <w:jc w:val="center"/>
              <w:rPr>
                <w:rFonts w:ascii="宋体" w:hAnsi="宋体"/>
                <w:color w:val="auto"/>
                <w:sz w:val="24"/>
                <w:highlight w:val="none"/>
              </w:rPr>
            </w:pPr>
            <w:r>
              <w:rPr>
                <w:rFonts w:ascii="宋体" w:hAnsi="宋体"/>
                <w:color w:val="auto"/>
                <w:sz w:val="24"/>
                <w:highlight w:val="none"/>
              </w:rPr>
              <w:t>3</w:t>
            </w:r>
          </w:p>
        </w:tc>
        <w:tc>
          <w:tcPr>
            <w:tcW w:w="1287" w:type="dxa"/>
            <w:tcBorders>
              <w:top w:val="single" w:color="auto" w:sz="4" w:space="0"/>
              <w:left w:val="nil"/>
              <w:bottom w:val="single" w:color="auto" w:sz="4" w:space="0"/>
              <w:right w:val="single" w:color="auto" w:sz="4" w:space="0"/>
            </w:tcBorders>
            <w:noWrap/>
            <w:vAlign w:val="center"/>
          </w:tcPr>
          <w:p w14:paraId="45AB5C43">
            <w:pPr>
              <w:snapToGrid w:val="0"/>
              <w:jc w:val="center"/>
              <w:rPr>
                <w:rFonts w:ascii="宋体" w:hAnsi="宋体"/>
                <w:color w:val="auto"/>
                <w:sz w:val="24"/>
                <w:highlight w:val="none"/>
              </w:rPr>
            </w:pPr>
            <w:r>
              <w:rPr>
                <w:rFonts w:ascii="宋体" w:hAnsi="宋体"/>
                <w:color w:val="auto"/>
                <w:sz w:val="24"/>
                <w:highlight w:val="none"/>
              </w:rPr>
              <w:t>综合评价</w:t>
            </w:r>
          </w:p>
        </w:tc>
        <w:tc>
          <w:tcPr>
            <w:tcW w:w="764" w:type="dxa"/>
            <w:tcBorders>
              <w:top w:val="single" w:color="auto" w:sz="4" w:space="0"/>
              <w:left w:val="single" w:color="auto" w:sz="8" w:space="0"/>
              <w:bottom w:val="single" w:color="auto" w:sz="4" w:space="0"/>
              <w:right w:val="single" w:color="auto" w:sz="8" w:space="0"/>
            </w:tcBorders>
            <w:noWrap/>
            <w:vAlign w:val="center"/>
          </w:tcPr>
          <w:p w14:paraId="3E5CADEE">
            <w:pPr>
              <w:snapToGrid w:val="0"/>
              <w:jc w:val="center"/>
              <w:rPr>
                <w:rFonts w:ascii="宋体" w:hAnsi="宋体"/>
                <w:color w:val="auto"/>
                <w:sz w:val="24"/>
                <w:highlight w:val="none"/>
              </w:rPr>
            </w:pPr>
            <w:r>
              <w:rPr>
                <w:rFonts w:ascii="宋体" w:hAnsi="宋体"/>
                <w:color w:val="auto"/>
                <w:sz w:val="24"/>
                <w:highlight w:val="none"/>
              </w:rPr>
              <w:t>100</w:t>
            </w:r>
          </w:p>
        </w:tc>
        <w:tc>
          <w:tcPr>
            <w:tcW w:w="9872" w:type="dxa"/>
            <w:tcBorders>
              <w:top w:val="single" w:color="auto" w:sz="4" w:space="0"/>
              <w:left w:val="nil"/>
              <w:bottom w:val="single" w:color="auto" w:sz="4" w:space="0"/>
              <w:right w:val="single" w:color="auto" w:sz="4" w:space="0"/>
            </w:tcBorders>
            <w:noWrap/>
            <w:vAlign w:val="center"/>
          </w:tcPr>
          <w:p w14:paraId="4F1D9AD2">
            <w:pPr>
              <w:snapToGrid w:val="0"/>
              <w:rPr>
                <w:rFonts w:ascii="宋体" w:hAnsi="宋体"/>
                <w:color w:val="auto"/>
                <w:sz w:val="24"/>
                <w:highlight w:val="none"/>
              </w:rPr>
            </w:pPr>
          </w:p>
        </w:tc>
        <w:tc>
          <w:tcPr>
            <w:tcW w:w="792" w:type="dxa"/>
            <w:tcBorders>
              <w:top w:val="single" w:color="auto" w:sz="4" w:space="0"/>
              <w:left w:val="nil"/>
              <w:bottom w:val="single" w:color="auto" w:sz="4" w:space="0"/>
              <w:right w:val="single" w:color="auto" w:sz="4" w:space="0"/>
            </w:tcBorders>
            <w:noWrap/>
            <w:vAlign w:val="center"/>
          </w:tcPr>
          <w:p w14:paraId="05E082F9">
            <w:pPr>
              <w:snapToGrid w:val="0"/>
              <w:jc w:val="center"/>
              <w:rPr>
                <w:rFonts w:ascii="宋体" w:hAnsi="宋体"/>
                <w:color w:val="auto"/>
                <w:sz w:val="24"/>
                <w:highlight w:val="none"/>
              </w:rPr>
            </w:pPr>
          </w:p>
        </w:tc>
      </w:tr>
    </w:tbl>
    <w:p w14:paraId="416BB81C">
      <w:pPr>
        <w:rPr>
          <w:rFonts w:hint="eastAsia" w:ascii="宋体" w:hAnsi="宋体"/>
          <w:color w:val="auto"/>
          <w:highlight w:val="none"/>
        </w:rPr>
      </w:pPr>
    </w:p>
    <w:p w14:paraId="1ADF0B88">
      <w:pPr>
        <w:rPr>
          <w:rFonts w:ascii="宋体" w:hAnsi="宋体"/>
          <w:color w:val="auto"/>
          <w:sz w:val="24"/>
          <w:highlight w:val="none"/>
        </w:rPr>
      </w:pPr>
      <w:r>
        <w:rPr>
          <w:rFonts w:hint="eastAsia" w:ascii="宋体" w:hAnsi="宋体"/>
          <w:color w:val="auto"/>
          <w:highlight w:val="none"/>
        </w:rPr>
        <w:t>评</w:t>
      </w:r>
      <w:r>
        <w:rPr>
          <w:rFonts w:hint="eastAsia" w:ascii="宋体" w:hAnsi="宋体"/>
          <w:color w:val="auto"/>
          <w:highlight w:val="none"/>
          <w:lang w:val="en-US" w:eastAsia="zh-CN"/>
        </w:rPr>
        <w:t>标</w:t>
      </w:r>
      <w:r>
        <w:rPr>
          <w:rFonts w:hint="eastAsia" w:ascii="宋体" w:hAnsi="宋体"/>
          <w:color w:val="auto"/>
          <w:highlight w:val="none"/>
        </w:rPr>
        <w:t>委</w:t>
      </w:r>
      <w:r>
        <w:rPr>
          <w:rFonts w:hint="eastAsia" w:ascii="宋体" w:hAnsi="宋体"/>
          <w:color w:val="auto"/>
          <w:highlight w:val="none"/>
          <w:lang w:val="en-US" w:eastAsia="zh-CN"/>
        </w:rPr>
        <w:t>员会</w:t>
      </w:r>
      <w:r>
        <w:rPr>
          <w:rFonts w:hint="eastAsia" w:ascii="宋体" w:hAnsi="宋体"/>
          <w:color w:val="auto"/>
          <w:highlight w:val="none"/>
        </w:rPr>
        <w:t>签名：                                                                                    日期：       年    月    日</w:t>
      </w:r>
    </w:p>
    <w:p w14:paraId="75227CD8">
      <w:pPr>
        <w:rPr>
          <w:color w:val="auto"/>
          <w:szCs w:val="21"/>
          <w:highlight w:val="none"/>
        </w:rPr>
      </w:pPr>
      <w:r>
        <w:rPr>
          <w:color w:val="auto"/>
          <w:highlight w:val="none"/>
        </w:rPr>
        <w:t xml:space="preserve"> </w:t>
      </w:r>
    </w:p>
    <w:p w14:paraId="5A85CE91">
      <w:pPr>
        <w:spacing w:line="288" w:lineRule="auto"/>
        <w:jc w:val="left"/>
        <w:rPr>
          <w:rFonts w:ascii="宋体" w:hAnsi="宋体" w:cs="宋体"/>
          <w:b/>
          <w:bCs/>
          <w:color w:val="auto"/>
          <w:sz w:val="24"/>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color w:val="auto"/>
          <w:szCs w:val="21"/>
          <w:highlight w:val="none"/>
        </w:rPr>
        <w:t>本表按百分制评分，所有评委每个分项的分数汇总后的算术平均值作为该评审方案的勘察设计方案得分。分数出现小数点，保留小数点后二位小数，第三位小数四舍五入。</w:t>
      </w:r>
      <w:r>
        <w:rPr>
          <w:rFonts w:hint="eastAsia" w:ascii="宋体" w:hAnsi="宋体"/>
          <w:color w:val="auto"/>
          <w:szCs w:val="21"/>
          <w:highlight w:val="none"/>
        </w:rPr>
        <w:t>2、评分区间中，“[”指包含本数，“）”指不包含本数。</w:t>
      </w:r>
    </w:p>
    <w:p w14:paraId="59499377">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br w:type="page"/>
      </w:r>
    </w:p>
    <w:p w14:paraId="2CF96DA3">
      <w:pPr>
        <w:widowControl/>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w:t>
      </w:r>
      <w:r>
        <w:rPr>
          <w:rFonts w:ascii="宋体" w:hAnsi="宋体" w:cs="宋体"/>
          <w:b/>
          <w:color w:val="auto"/>
          <w:kern w:val="1"/>
          <w:sz w:val="24"/>
          <w:szCs w:val="24"/>
          <w:highlight w:val="none"/>
        </w:rPr>
        <w:t>3</w:t>
      </w:r>
    </w:p>
    <w:p w14:paraId="65BB41B4">
      <w:pPr>
        <w:spacing w:line="360" w:lineRule="auto"/>
        <w:jc w:val="center"/>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工程总承包实施方案技术部分评分表</w:t>
      </w:r>
    </w:p>
    <w:bookmarkEnd w:id="361"/>
    <w:tbl>
      <w:tblPr>
        <w:tblStyle w:val="34"/>
        <w:tblW w:w="1413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40"/>
        <w:gridCol w:w="1231"/>
        <w:gridCol w:w="666"/>
        <w:gridCol w:w="10071"/>
      </w:tblGrid>
      <w:tr w14:paraId="4823A46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3" w:type="dxa"/>
            <w:gridSpan w:val="3"/>
            <w:tcBorders>
              <w:top w:val="single" w:color="auto" w:sz="8" w:space="0"/>
              <w:left w:val="single" w:color="auto" w:sz="4" w:space="0"/>
              <w:bottom w:val="single" w:color="auto" w:sz="4" w:space="0"/>
              <w:right w:val="single" w:color="auto" w:sz="4" w:space="0"/>
            </w:tcBorders>
            <w:vAlign w:val="center"/>
          </w:tcPr>
          <w:p w14:paraId="52082041">
            <w:pPr>
              <w:pStyle w:val="82"/>
              <w:spacing w:line="360" w:lineRule="auto"/>
              <w:jc w:val="center"/>
              <w:rPr>
                <w:color w:val="auto"/>
                <w:szCs w:val="21"/>
                <w:highlight w:val="none"/>
              </w:rPr>
            </w:pPr>
            <w:r>
              <w:rPr>
                <w:rFonts w:hint="eastAsia"/>
                <w:color w:val="auto"/>
                <w:szCs w:val="21"/>
                <w:highlight w:val="none"/>
              </w:rPr>
              <w:t>评分内容</w:t>
            </w:r>
          </w:p>
        </w:tc>
        <w:tc>
          <w:tcPr>
            <w:tcW w:w="666" w:type="dxa"/>
            <w:tcBorders>
              <w:top w:val="single" w:color="auto" w:sz="8" w:space="0"/>
              <w:left w:val="single" w:color="auto" w:sz="4" w:space="0"/>
              <w:bottom w:val="single" w:color="auto" w:sz="4" w:space="0"/>
              <w:right w:val="single" w:color="auto" w:sz="4" w:space="0"/>
            </w:tcBorders>
            <w:vAlign w:val="center"/>
          </w:tcPr>
          <w:p w14:paraId="0C984A83">
            <w:pPr>
              <w:pStyle w:val="82"/>
              <w:spacing w:line="360" w:lineRule="auto"/>
              <w:jc w:val="center"/>
              <w:rPr>
                <w:color w:val="auto"/>
                <w:szCs w:val="21"/>
                <w:highlight w:val="none"/>
              </w:rPr>
            </w:pPr>
            <w:r>
              <w:rPr>
                <w:rFonts w:hint="eastAsia"/>
                <w:color w:val="auto"/>
                <w:szCs w:val="21"/>
                <w:highlight w:val="none"/>
              </w:rPr>
              <w:t>分值</w:t>
            </w:r>
          </w:p>
        </w:tc>
        <w:tc>
          <w:tcPr>
            <w:tcW w:w="10071" w:type="dxa"/>
            <w:tcBorders>
              <w:top w:val="single" w:color="auto" w:sz="8" w:space="0"/>
              <w:left w:val="single" w:color="auto" w:sz="4" w:space="0"/>
              <w:bottom w:val="single" w:color="auto" w:sz="4" w:space="0"/>
              <w:right w:val="single" w:color="auto" w:sz="4" w:space="0"/>
            </w:tcBorders>
            <w:vAlign w:val="center"/>
          </w:tcPr>
          <w:p w14:paraId="01BE514D">
            <w:pPr>
              <w:pStyle w:val="82"/>
              <w:spacing w:line="360" w:lineRule="auto"/>
              <w:ind w:firstLine="420" w:firstLineChars="200"/>
              <w:jc w:val="center"/>
              <w:rPr>
                <w:color w:val="auto"/>
                <w:szCs w:val="21"/>
                <w:highlight w:val="none"/>
              </w:rPr>
            </w:pPr>
            <w:r>
              <w:rPr>
                <w:rFonts w:hint="eastAsia"/>
                <w:color w:val="auto"/>
                <w:szCs w:val="21"/>
                <w:highlight w:val="none"/>
              </w:rPr>
              <w:t>评审标准</w:t>
            </w:r>
          </w:p>
        </w:tc>
      </w:tr>
      <w:tr w14:paraId="7A005C6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restart"/>
            <w:tcBorders>
              <w:top w:val="single" w:color="auto" w:sz="4" w:space="0"/>
              <w:left w:val="single" w:color="auto" w:sz="8" w:space="0"/>
              <w:right w:val="single" w:color="auto" w:sz="4" w:space="0"/>
            </w:tcBorders>
            <w:vAlign w:val="center"/>
          </w:tcPr>
          <w:p w14:paraId="6DFAD471">
            <w:pPr>
              <w:spacing w:line="360" w:lineRule="auto"/>
              <w:rPr>
                <w:color w:val="auto"/>
                <w:szCs w:val="21"/>
                <w:highlight w:val="none"/>
              </w:rPr>
            </w:pPr>
            <w:r>
              <w:rPr>
                <w:rFonts w:hint="eastAsia"/>
                <w:color w:val="auto"/>
                <w:szCs w:val="21"/>
                <w:highlight w:val="none"/>
              </w:rPr>
              <w:t>工程总承包实施方案技术部分</w:t>
            </w:r>
          </w:p>
        </w:tc>
        <w:tc>
          <w:tcPr>
            <w:tcW w:w="840" w:type="dxa"/>
            <w:vMerge w:val="restart"/>
            <w:tcBorders>
              <w:top w:val="single" w:color="auto" w:sz="4" w:space="0"/>
              <w:left w:val="single" w:color="auto" w:sz="8" w:space="0"/>
              <w:bottom w:val="single" w:color="auto" w:sz="4" w:space="0"/>
              <w:right w:val="single" w:color="auto" w:sz="4" w:space="0"/>
            </w:tcBorders>
            <w:vAlign w:val="center"/>
          </w:tcPr>
          <w:p w14:paraId="58AFBB1B">
            <w:pPr>
              <w:spacing w:line="360" w:lineRule="auto"/>
              <w:rPr>
                <w:rFonts w:ascii="宋体" w:hAnsi="宋体" w:cs="宋体"/>
                <w:color w:val="auto"/>
                <w:szCs w:val="21"/>
                <w:highlight w:val="none"/>
              </w:rPr>
            </w:pPr>
            <w:r>
              <w:rPr>
                <w:rFonts w:hint="eastAsia" w:ascii="宋体" w:hAnsi="宋体" w:cs="宋体"/>
                <w:color w:val="auto"/>
                <w:szCs w:val="21"/>
                <w:highlight w:val="none"/>
              </w:rPr>
              <w:t>企业资信（</w:t>
            </w:r>
            <w:r>
              <w:rPr>
                <w:rFonts w:ascii="宋体" w:hAnsi="宋体" w:cs="宋体"/>
                <w:color w:val="auto"/>
                <w:szCs w:val="21"/>
                <w:highlight w:val="none"/>
              </w:rPr>
              <w:t>36</w:t>
            </w:r>
            <w:r>
              <w:rPr>
                <w:rFonts w:hint="eastAsia" w:ascii="宋体" w:hAnsi="宋体" w:cs="宋体"/>
                <w:color w:val="auto"/>
                <w:szCs w:val="21"/>
                <w:highlight w:val="none"/>
              </w:rPr>
              <w:t>分）</w:t>
            </w:r>
          </w:p>
        </w:tc>
        <w:tc>
          <w:tcPr>
            <w:tcW w:w="1231" w:type="dxa"/>
            <w:tcBorders>
              <w:top w:val="single" w:color="auto" w:sz="4" w:space="0"/>
              <w:left w:val="single" w:color="auto" w:sz="4" w:space="0"/>
              <w:bottom w:val="single" w:color="auto" w:sz="4" w:space="0"/>
              <w:right w:val="single" w:color="auto" w:sz="4" w:space="0"/>
            </w:tcBorders>
            <w:vAlign w:val="center"/>
          </w:tcPr>
          <w:p w14:paraId="64F59EA6">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设计业绩</w:t>
            </w:r>
          </w:p>
        </w:tc>
        <w:tc>
          <w:tcPr>
            <w:tcW w:w="666" w:type="dxa"/>
            <w:tcBorders>
              <w:top w:val="single" w:color="auto" w:sz="4" w:space="0"/>
              <w:left w:val="single" w:color="auto" w:sz="4" w:space="0"/>
              <w:bottom w:val="single" w:color="auto" w:sz="4" w:space="0"/>
              <w:right w:val="single" w:color="auto" w:sz="4" w:space="0"/>
            </w:tcBorders>
            <w:vAlign w:val="center"/>
          </w:tcPr>
          <w:p w14:paraId="24D51349">
            <w:pPr>
              <w:spacing w:line="276" w:lineRule="auto"/>
              <w:jc w:val="center"/>
              <w:rPr>
                <w:rFonts w:ascii="宋体" w:hAnsi="宋体" w:cs="宋体"/>
                <w:color w:val="auto"/>
                <w:szCs w:val="21"/>
                <w:highlight w:val="none"/>
              </w:rPr>
            </w:pPr>
            <w:r>
              <w:rPr>
                <w:rFonts w:ascii="宋体" w:hAnsi="宋体" w:cs="宋体"/>
                <w:color w:val="auto"/>
                <w:szCs w:val="21"/>
                <w:highlight w:val="none"/>
              </w:rPr>
              <w:t>4</w:t>
            </w:r>
          </w:p>
        </w:tc>
        <w:tc>
          <w:tcPr>
            <w:tcW w:w="10071" w:type="dxa"/>
            <w:tcBorders>
              <w:top w:val="single" w:color="auto" w:sz="4" w:space="0"/>
              <w:left w:val="single" w:color="auto" w:sz="4" w:space="0"/>
              <w:bottom w:val="single" w:color="auto" w:sz="4" w:space="0"/>
              <w:right w:val="single" w:color="auto" w:sz="4" w:space="0"/>
            </w:tcBorders>
            <w:vAlign w:val="center"/>
          </w:tcPr>
          <w:p w14:paraId="4889FE42">
            <w:pPr>
              <w:spacing w:line="276" w:lineRule="auto"/>
              <w:rPr>
                <w:rFonts w:ascii="宋体" w:hAnsi="宋体" w:cs="宋体"/>
                <w:color w:val="auto"/>
                <w:szCs w:val="21"/>
                <w:highlight w:val="none"/>
              </w:rPr>
            </w:pPr>
            <w:r>
              <w:rPr>
                <w:rFonts w:hint="eastAsia" w:ascii="宋体" w:hAnsi="宋体" w:cs="宋体"/>
                <w:color w:val="auto"/>
                <w:szCs w:val="21"/>
                <w:highlight w:val="none"/>
              </w:rPr>
              <w:t>自</w:t>
            </w:r>
            <w:r>
              <w:rPr>
                <w:rFonts w:ascii="宋体" w:hAnsi="宋体" w:cs="宋体"/>
                <w:color w:val="auto"/>
                <w:szCs w:val="21"/>
                <w:highlight w:val="none"/>
              </w:rPr>
              <w:t>2020</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日至投标文件递交截止日止，投标人（若为联合体，指承担设计任务的一方）完成过建筑面积≧</w:t>
            </w:r>
            <w:r>
              <w:rPr>
                <w:rFonts w:ascii="宋体" w:hAnsi="宋体" w:cs="宋体"/>
                <w:color w:val="auto"/>
                <w:szCs w:val="21"/>
                <w:highlight w:val="none"/>
              </w:rPr>
              <w:t>25000</w:t>
            </w:r>
            <w:r>
              <w:rPr>
                <w:rFonts w:hint="eastAsia" w:ascii="宋体" w:hAnsi="宋体" w:cs="宋体"/>
                <w:color w:val="auto"/>
                <w:szCs w:val="21"/>
                <w:highlight w:val="none"/>
              </w:rPr>
              <w:t>平方米的建筑工程设计业绩：每项得</w:t>
            </w:r>
            <w:r>
              <w:rPr>
                <w:rFonts w:ascii="宋体" w:hAnsi="宋体" w:cs="宋体"/>
                <w:color w:val="auto"/>
                <w:szCs w:val="21"/>
                <w:highlight w:val="none"/>
              </w:rPr>
              <w:t>1</w:t>
            </w:r>
            <w:r>
              <w:rPr>
                <w:rFonts w:hint="eastAsia" w:ascii="宋体" w:hAnsi="宋体" w:cs="宋体"/>
                <w:color w:val="auto"/>
                <w:szCs w:val="21"/>
                <w:highlight w:val="none"/>
              </w:rPr>
              <w:t>分，本项最高得</w:t>
            </w:r>
            <w:r>
              <w:rPr>
                <w:rFonts w:ascii="宋体" w:hAnsi="宋体" w:cs="宋体"/>
                <w:color w:val="auto"/>
                <w:szCs w:val="21"/>
                <w:highlight w:val="none"/>
              </w:rPr>
              <w:t>4</w:t>
            </w:r>
            <w:r>
              <w:rPr>
                <w:rFonts w:hint="eastAsia" w:ascii="宋体" w:hAnsi="宋体" w:cs="宋体"/>
                <w:color w:val="auto"/>
                <w:szCs w:val="21"/>
                <w:highlight w:val="none"/>
              </w:rPr>
              <w:t>分。</w:t>
            </w:r>
          </w:p>
        </w:tc>
      </w:tr>
      <w:tr w14:paraId="1A96AB1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77D76067">
            <w:pPr>
              <w:widowControl/>
              <w:jc w:val="left"/>
              <w:rPr>
                <w:color w:val="auto"/>
                <w:szCs w:val="21"/>
                <w:highlight w:val="none"/>
              </w:rPr>
            </w:pPr>
          </w:p>
        </w:tc>
        <w:tc>
          <w:tcPr>
            <w:tcW w:w="840" w:type="dxa"/>
            <w:vMerge w:val="continue"/>
            <w:tcBorders>
              <w:top w:val="single" w:color="auto" w:sz="4" w:space="0"/>
              <w:left w:val="single" w:color="auto" w:sz="8" w:space="0"/>
              <w:bottom w:val="single" w:color="auto" w:sz="4" w:space="0"/>
              <w:right w:val="single" w:color="auto" w:sz="4" w:space="0"/>
            </w:tcBorders>
            <w:vAlign w:val="center"/>
          </w:tcPr>
          <w:p w14:paraId="6A6FDA95">
            <w:pPr>
              <w:widowControl/>
              <w:jc w:val="left"/>
              <w:rPr>
                <w:rFonts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6E10B41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施工业绩</w:t>
            </w:r>
          </w:p>
        </w:tc>
        <w:tc>
          <w:tcPr>
            <w:tcW w:w="666" w:type="dxa"/>
            <w:tcBorders>
              <w:top w:val="single" w:color="auto" w:sz="4" w:space="0"/>
              <w:left w:val="single" w:color="auto" w:sz="4" w:space="0"/>
              <w:bottom w:val="single" w:color="auto" w:sz="4" w:space="0"/>
              <w:right w:val="single" w:color="auto" w:sz="4" w:space="0"/>
            </w:tcBorders>
            <w:vAlign w:val="center"/>
          </w:tcPr>
          <w:p w14:paraId="5EFFAB17">
            <w:pPr>
              <w:pStyle w:val="30"/>
              <w:widowControl/>
              <w:spacing w:line="276" w:lineRule="auto"/>
              <w:jc w:val="center"/>
              <w:rPr>
                <w:rFonts w:ascii="宋体" w:hAnsi="宋体" w:cs="宋体"/>
                <w:color w:val="auto"/>
                <w:sz w:val="21"/>
                <w:szCs w:val="21"/>
                <w:highlight w:val="none"/>
              </w:rPr>
            </w:pPr>
            <w:r>
              <w:rPr>
                <w:rFonts w:ascii="宋体" w:hAnsi="宋体" w:cs="宋体"/>
                <w:color w:val="auto"/>
                <w:sz w:val="21"/>
                <w:szCs w:val="21"/>
                <w:highlight w:val="none"/>
              </w:rPr>
              <w:t>10</w:t>
            </w:r>
          </w:p>
        </w:tc>
        <w:tc>
          <w:tcPr>
            <w:tcW w:w="10071" w:type="dxa"/>
            <w:tcBorders>
              <w:top w:val="single" w:color="auto" w:sz="4" w:space="0"/>
              <w:left w:val="single" w:color="auto" w:sz="4" w:space="0"/>
              <w:bottom w:val="single" w:color="auto" w:sz="4" w:space="0"/>
              <w:right w:val="single" w:color="auto" w:sz="4" w:space="0"/>
            </w:tcBorders>
            <w:vAlign w:val="center"/>
          </w:tcPr>
          <w:p w14:paraId="1302B8C1">
            <w:pPr>
              <w:spacing w:line="276" w:lineRule="auto"/>
              <w:ind w:right="134" w:rightChars="64"/>
              <w:rPr>
                <w:rFonts w:ascii="宋体" w:hAnsi="宋体" w:cs="宋体"/>
                <w:color w:val="auto"/>
                <w:szCs w:val="21"/>
                <w:highlight w:val="none"/>
              </w:rPr>
            </w:pPr>
            <w:r>
              <w:rPr>
                <w:rFonts w:hint="eastAsia" w:ascii="宋体" w:hAnsi="宋体" w:cs="宋体"/>
                <w:color w:val="auto"/>
                <w:szCs w:val="21"/>
                <w:highlight w:val="none"/>
              </w:rPr>
              <w:t>自</w:t>
            </w:r>
            <w:r>
              <w:rPr>
                <w:rFonts w:ascii="宋体" w:hAnsi="宋体" w:cs="宋体"/>
                <w:color w:val="auto"/>
                <w:szCs w:val="21"/>
                <w:highlight w:val="none"/>
              </w:rPr>
              <w:t>2020</w:t>
            </w:r>
            <w:r>
              <w:rPr>
                <w:rFonts w:hint="eastAsia" w:ascii="宋体" w:hAnsi="宋体" w:cs="宋体"/>
                <w:color w:val="auto"/>
                <w:szCs w:val="21"/>
                <w:highlight w:val="none"/>
              </w:rPr>
              <w:t>年</w:t>
            </w:r>
            <w:r>
              <w:rPr>
                <w:rFonts w:ascii="宋体" w:hAnsi="宋体" w:cs="宋体"/>
                <w:color w:val="auto"/>
                <w:szCs w:val="21"/>
                <w:highlight w:val="none"/>
              </w:rPr>
              <w:t>1</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日至投标文件递交截止日止，投标人（若为联合体，指联合体牵头方）完成过质量合格的工程造价≧</w:t>
            </w:r>
            <w:r>
              <w:rPr>
                <w:rFonts w:ascii="宋体" w:hAnsi="宋体" w:cs="宋体"/>
                <w:color w:val="auto"/>
                <w:szCs w:val="21"/>
                <w:highlight w:val="none"/>
              </w:rPr>
              <w:t>15000</w:t>
            </w:r>
            <w:r>
              <w:rPr>
                <w:rFonts w:hint="eastAsia" w:ascii="宋体" w:hAnsi="宋体" w:cs="宋体"/>
                <w:color w:val="auto"/>
                <w:szCs w:val="21"/>
                <w:highlight w:val="none"/>
              </w:rPr>
              <w:t>万元的建筑工程施工项目，每项得</w:t>
            </w:r>
            <w:r>
              <w:rPr>
                <w:rFonts w:ascii="宋体" w:hAnsi="宋体" w:cs="宋体"/>
                <w:color w:val="auto"/>
                <w:szCs w:val="21"/>
                <w:highlight w:val="none"/>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本项最高得</w:t>
            </w:r>
            <w:r>
              <w:rPr>
                <w:rFonts w:ascii="宋体" w:hAnsi="宋体" w:cs="宋体"/>
                <w:color w:val="auto"/>
                <w:szCs w:val="21"/>
                <w:highlight w:val="none"/>
              </w:rPr>
              <w:t>10</w:t>
            </w:r>
            <w:r>
              <w:rPr>
                <w:rFonts w:hint="eastAsia" w:ascii="宋体" w:hAnsi="宋体" w:cs="宋体"/>
                <w:color w:val="auto"/>
                <w:szCs w:val="21"/>
                <w:highlight w:val="none"/>
              </w:rPr>
              <w:t>分。</w:t>
            </w:r>
          </w:p>
        </w:tc>
      </w:tr>
      <w:tr w14:paraId="016A27C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515F29A3">
            <w:pPr>
              <w:widowControl/>
              <w:jc w:val="left"/>
              <w:rPr>
                <w:color w:val="auto"/>
                <w:szCs w:val="21"/>
                <w:highlight w:val="none"/>
              </w:rPr>
            </w:pPr>
          </w:p>
        </w:tc>
        <w:tc>
          <w:tcPr>
            <w:tcW w:w="840" w:type="dxa"/>
            <w:vMerge w:val="continue"/>
            <w:tcBorders>
              <w:top w:val="single" w:color="auto" w:sz="4" w:space="0"/>
              <w:left w:val="single" w:color="auto" w:sz="8" w:space="0"/>
              <w:bottom w:val="single" w:color="auto" w:sz="4" w:space="0"/>
              <w:right w:val="single" w:color="auto" w:sz="4" w:space="0"/>
            </w:tcBorders>
            <w:vAlign w:val="center"/>
          </w:tcPr>
          <w:p w14:paraId="6E9340B1">
            <w:pPr>
              <w:widowControl/>
              <w:jc w:val="left"/>
              <w:rPr>
                <w:rFonts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62738788">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设计业绩获奖</w:t>
            </w:r>
          </w:p>
        </w:tc>
        <w:tc>
          <w:tcPr>
            <w:tcW w:w="666" w:type="dxa"/>
            <w:tcBorders>
              <w:top w:val="single" w:color="auto" w:sz="4" w:space="0"/>
              <w:left w:val="single" w:color="auto" w:sz="4" w:space="0"/>
              <w:bottom w:val="single" w:color="auto" w:sz="4" w:space="0"/>
              <w:right w:val="single" w:color="auto" w:sz="4" w:space="0"/>
            </w:tcBorders>
            <w:vAlign w:val="center"/>
          </w:tcPr>
          <w:p w14:paraId="54294805">
            <w:pPr>
              <w:spacing w:line="276" w:lineRule="auto"/>
              <w:jc w:val="center"/>
              <w:rPr>
                <w:rFonts w:ascii="宋体" w:hAnsi="宋体" w:cs="宋体"/>
                <w:color w:val="auto"/>
                <w:szCs w:val="21"/>
                <w:highlight w:val="none"/>
              </w:rPr>
            </w:pPr>
            <w:r>
              <w:rPr>
                <w:rFonts w:ascii="宋体" w:hAnsi="宋体" w:cs="宋体"/>
                <w:color w:val="auto"/>
                <w:szCs w:val="21"/>
                <w:highlight w:val="none"/>
              </w:rPr>
              <w:t>6</w:t>
            </w:r>
          </w:p>
        </w:tc>
        <w:tc>
          <w:tcPr>
            <w:tcW w:w="10071" w:type="dxa"/>
            <w:tcBorders>
              <w:top w:val="single" w:color="auto" w:sz="4" w:space="0"/>
              <w:left w:val="single" w:color="auto" w:sz="4" w:space="0"/>
              <w:bottom w:val="single" w:color="auto" w:sz="4" w:space="0"/>
              <w:right w:val="single" w:color="auto" w:sz="4" w:space="0"/>
            </w:tcBorders>
            <w:vAlign w:val="center"/>
          </w:tcPr>
          <w:p w14:paraId="409A69D0">
            <w:pPr>
              <w:pStyle w:val="2"/>
              <w:spacing w:line="276" w:lineRule="auto"/>
              <w:rPr>
                <w:rFonts w:cs="宋体"/>
                <w:color w:val="auto"/>
                <w:sz w:val="21"/>
                <w:szCs w:val="21"/>
                <w:highlight w:val="none"/>
                <w:lang w:val="en-US"/>
              </w:rPr>
            </w:pPr>
            <w:r>
              <w:rPr>
                <w:rFonts w:hint="eastAsia" w:cs="宋体"/>
                <w:color w:val="auto"/>
                <w:sz w:val="21"/>
                <w:szCs w:val="21"/>
                <w:highlight w:val="none"/>
                <w:lang w:val="en-US"/>
              </w:rPr>
              <w:t>自</w:t>
            </w:r>
            <w:r>
              <w:rPr>
                <w:rFonts w:cs="宋体"/>
                <w:color w:val="auto"/>
                <w:sz w:val="21"/>
                <w:szCs w:val="21"/>
                <w:highlight w:val="none"/>
                <w:lang w:val="en-US"/>
              </w:rPr>
              <w:t>2020</w:t>
            </w:r>
            <w:r>
              <w:rPr>
                <w:rFonts w:hint="eastAsia" w:cs="宋体"/>
                <w:color w:val="auto"/>
                <w:sz w:val="21"/>
                <w:szCs w:val="21"/>
                <w:highlight w:val="none"/>
                <w:lang w:val="en-US"/>
              </w:rPr>
              <w:t>年</w:t>
            </w:r>
            <w:r>
              <w:rPr>
                <w:rFonts w:cs="宋体"/>
                <w:color w:val="auto"/>
                <w:sz w:val="21"/>
                <w:szCs w:val="21"/>
                <w:highlight w:val="none"/>
                <w:lang w:val="en-US"/>
              </w:rPr>
              <w:t>1</w:t>
            </w:r>
            <w:r>
              <w:rPr>
                <w:rFonts w:hint="eastAsia" w:cs="宋体"/>
                <w:color w:val="auto"/>
                <w:sz w:val="21"/>
                <w:szCs w:val="21"/>
                <w:highlight w:val="none"/>
                <w:lang w:val="en-US"/>
              </w:rPr>
              <w:t>月</w:t>
            </w:r>
            <w:r>
              <w:rPr>
                <w:rFonts w:cs="宋体"/>
                <w:color w:val="auto"/>
                <w:sz w:val="21"/>
                <w:szCs w:val="21"/>
                <w:highlight w:val="none"/>
                <w:lang w:val="en-US"/>
              </w:rPr>
              <w:t>1</w:t>
            </w:r>
            <w:r>
              <w:rPr>
                <w:rFonts w:hint="eastAsia" w:cs="宋体"/>
                <w:color w:val="auto"/>
                <w:sz w:val="21"/>
                <w:szCs w:val="21"/>
                <w:highlight w:val="none"/>
                <w:lang w:val="en-US"/>
              </w:rPr>
              <w:t>日至投标文件递交截止日止，投标人（若为联合体，指承担设计任务的一方）获得省级（或以上）奖项的，</w:t>
            </w:r>
            <w:r>
              <w:rPr>
                <w:rFonts w:hint="eastAsia" w:cs="宋体"/>
                <w:color w:val="auto"/>
                <w:sz w:val="21"/>
                <w:szCs w:val="21"/>
                <w:highlight w:val="none"/>
              </w:rPr>
              <w:t>每项</w:t>
            </w:r>
            <w:r>
              <w:rPr>
                <w:rFonts w:hint="eastAsia" w:cs="宋体"/>
                <w:color w:val="auto"/>
                <w:sz w:val="21"/>
                <w:szCs w:val="21"/>
                <w:highlight w:val="none"/>
                <w:lang w:val="en-US"/>
              </w:rPr>
              <w:t>得</w:t>
            </w:r>
            <w:r>
              <w:rPr>
                <w:rFonts w:cs="宋体"/>
                <w:color w:val="auto"/>
                <w:sz w:val="21"/>
                <w:szCs w:val="21"/>
                <w:highlight w:val="none"/>
                <w:lang w:val="en-US"/>
              </w:rPr>
              <w:t>2</w:t>
            </w:r>
            <w:r>
              <w:rPr>
                <w:rFonts w:hint="eastAsia" w:cs="宋体"/>
                <w:color w:val="auto"/>
                <w:sz w:val="21"/>
                <w:szCs w:val="21"/>
                <w:highlight w:val="none"/>
                <w:lang w:val="en-US"/>
              </w:rPr>
              <w:t>分；获得市级奖项的，</w:t>
            </w:r>
            <w:r>
              <w:rPr>
                <w:rFonts w:hint="eastAsia" w:cs="宋体"/>
                <w:color w:val="auto"/>
                <w:sz w:val="21"/>
                <w:szCs w:val="21"/>
                <w:highlight w:val="none"/>
              </w:rPr>
              <w:t>每项</w:t>
            </w:r>
            <w:r>
              <w:rPr>
                <w:rFonts w:hint="eastAsia" w:cs="宋体"/>
                <w:color w:val="auto"/>
                <w:sz w:val="21"/>
                <w:szCs w:val="21"/>
                <w:highlight w:val="none"/>
                <w:lang w:val="en-US"/>
              </w:rPr>
              <w:t>得</w:t>
            </w:r>
            <w:r>
              <w:rPr>
                <w:rFonts w:cs="宋体"/>
                <w:color w:val="auto"/>
                <w:sz w:val="21"/>
                <w:szCs w:val="21"/>
                <w:highlight w:val="none"/>
                <w:lang w:val="en-US"/>
              </w:rPr>
              <w:t>1</w:t>
            </w:r>
            <w:r>
              <w:rPr>
                <w:rFonts w:hint="eastAsia" w:cs="宋体"/>
                <w:color w:val="auto"/>
                <w:sz w:val="21"/>
                <w:szCs w:val="21"/>
                <w:highlight w:val="none"/>
                <w:lang w:val="en-US"/>
              </w:rPr>
              <w:t>分；本项最高得</w:t>
            </w:r>
            <w:r>
              <w:rPr>
                <w:rFonts w:cs="宋体"/>
                <w:color w:val="auto"/>
                <w:sz w:val="21"/>
                <w:szCs w:val="21"/>
                <w:highlight w:val="none"/>
                <w:lang w:val="en-US"/>
              </w:rPr>
              <w:t>6</w:t>
            </w:r>
            <w:r>
              <w:rPr>
                <w:rFonts w:hint="eastAsia" w:cs="宋体"/>
                <w:color w:val="auto"/>
                <w:sz w:val="21"/>
                <w:szCs w:val="21"/>
                <w:highlight w:val="none"/>
                <w:lang w:val="en-US"/>
              </w:rPr>
              <w:t>分。</w:t>
            </w:r>
          </w:p>
        </w:tc>
      </w:tr>
      <w:tr w14:paraId="4ED8203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7CDDDB3F">
            <w:pPr>
              <w:widowControl/>
              <w:jc w:val="left"/>
              <w:rPr>
                <w:color w:val="auto"/>
                <w:szCs w:val="21"/>
                <w:highlight w:val="none"/>
              </w:rPr>
            </w:pPr>
          </w:p>
        </w:tc>
        <w:tc>
          <w:tcPr>
            <w:tcW w:w="840" w:type="dxa"/>
            <w:vMerge w:val="continue"/>
            <w:tcBorders>
              <w:top w:val="single" w:color="auto" w:sz="4" w:space="0"/>
              <w:left w:val="single" w:color="auto" w:sz="8" w:space="0"/>
              <w:bottom w:val="single" w:color="auto" w:sz="4" w:space="0"/>
              <w:right w:val="single" w:color="auto" w:sz="4" w:space="0"/>
            </w:tcBorders>
            <w:vAlign w:val="center"/>
          </w:tcPr>
          <w:p w14:paraId="7781B222">
            <w:pPr>
              <w:widowControl/>
              <w:jc w:val="left"/>
              <w:rPr>
                <w:rFonts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1C3E717A">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施工业绩获奖</w:t>
            </w:r>
          </w:p>
        </w:tc>
        <w:tc>
          <w:tcPr>
            <w:tcW w:w="666" w:type="dxa"/>
            <w:tcBorders>
              <w:top w:val="single" w:color="auto" w:sz="4" w:space="0"/>
              <w:left w:val="single" w:color="auto" w:sz="4" w:space="0"/>
              <w:bottom w:val="single" w:color="auto" w:sz="4" w:space="0"/>
              <w:right w:val="single" w:color="auto" w:sz="4" w:space="0"/>
            </w:tcBorders>
            <w:vAlign w:val="center"/>
          </w:tcPr>
          <w:p w14:paraId="36B36FBC">
            <w:pPr>
              <w:pStyle w:val="30"/>
              <w:widowControl/>
              <w:spacing w:line="276" w:lineRule="auto"/>
              <w:jc w:val="center"/>
              <w:rPr>
                <w:rFonts w:ascii="宋体" w:hAnsi="宋体" w:cs="宋体"/>
                <w:color w:val="auto"/>
                <w:sz w:val="21"/>
                <w:szCs w:val="21"/>
                <w:highlight w:val="none"/>
              </w:rPr>
            </w:pPr>
            <w:r>
              <w:rPr>
                <w:rFonts w:ascii="宋体" w:hAnsi="宋体" w:cs="宋体"/>
                <w:color w:val="auto"/>
                <w:sz w:val="21"/>
                <w:szCs w:val="21"/>
                <w:highlight w:val="none"/>
              </w:rPr>
              <w:t>10</w:t>
            </w:r>
          </w:p>
        </w:tc>
        <w:tc>
          <w:tcPr>
            <w:tcW w:w="10071" w:type="dxa"/>
            <w:tcBorders>
              <w:top w:val="single" w:color="auto" w:sz="4" w:space="0"/>
              <w:left w:val="single" w:color="auto" w:sz="4" w:space="0"/>
              <w:bottom w:val="single" w:color="auto" w:sz="4" w:space="0"/>
              <w:right w:val="single" w:color="auto" w:sz="4" w:space="0"/>
            </w:tcBorders>
            <w:vAlign w:val="center"/>
          </w:tcPr>
          <w:p w14:paraId="608800FD">
            <w:pPr>
              <w:pStyle w:val="30"/>
              <w:widowControl/>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自</w:t>
            </w:r>
            <w:r>
              <w:rPr>
                <w:rFonts w:ascii="宋体" w:hAnsi="宋体" w:cs="宋体"/>
                <w:color w:val="auto"/>
                <w:sz w:val="21"/>
                <w:szCs w:val="21"/>
                <w:highlight w:val="none"/>
              </w:rPr>
              <w:t>2020</w:t>
            </w:r>
            <w:r>
              <w:rPr>
                <w:rFonts w:hint="eastAsia" w:ascii="宋体" w:hAnsi="宋体" w:cs="宋体"/>
                <w:color w:val="auto"/>
                <w:sz w:val="21"/>
                <w:szCs w:val="21"/>
                <w:highlight w:val="none"/>
              </w:rPr>
              <w:t>年</w:t>
            </w:r>
            <w:r>
              <w:rPr>
                <w:rFonts w:ascii="宋体" w:hAnsi="宋体" w:cs="宋体"/>
                <w:color w:val="auto"/>
                <w:sz w:val="21"/>
                <w:szCs w:val="21"/>
                <w:highlight w:val="none"/>
              </w:rPr>
              <w:t>1</w:t>
            </w:r>
            <w:r>
              <w:rPr>
                <w:rFonts w:hint="eastAsia" w:ascii="宋体" w:hAnsi="宋体" w:cs="宋体"/>
                <w:color w:val="auto"/>
                <w:sz w:val="21"/>
                <w:szCs w:val="21"/>
                <w:highlight w:val="none"/>
              </w:rPr>
              <w:t>月</w:t>
            </w:r>
            <w:r>
              <w:rPr>
                <w:rFonts w:ascii="宋体" w:hAnsi="宋体" w:cs="宋体"/>
                <w:color w:val="auto"/>
                <w:sz w:val="21"/>
                <w:szCs w:val="21"/>
                <w:highlight w:val="none"/>
              </w:rPr>
              <w:t>1</w:t>
            </w:r>
            <w:r>
              <w:rPr>
                <w:rFonts w:hint="eastAsia" w:ascii="宋体" w:hAnsi="宋体" w:cs="宋体"/>
                <w:color w:val="auto"/>
                <w:sz w:val="21"/>
                <w:szCs w:val="21"/>
                <w:highlight w:val="none"/>
              </w:rPr>
              <w:t>日至投标文件递交截止日止，投标人（若为联合体，指联合体牵头方）获得国家级工程质量奖项的，每项得</w:t>
            </w:r>
            <w:r>
              <w:rPr>
                <w:rFonts w:ascii="宋体" w:hAnsi="宋体" w:cs="宋体"/>
                <w:color w:val="auto"/>
                <w:sz w:val="21"/>
                <w:szCs w:val="21"/>
                <w:highlight w:val="none"/>
              </w:rPr>
              <w:t>3</w:t>
            </w:r>
            <w:r>
              <w:rPr>
                <w:rFonts w:hint="eastAsia" w:ascii="宋体" w:hAnsi="宋体" w:cs="宋体"/>
                <w:color w:val="auto"/>
                <w:sz w:val="21"/>
                <w:szCs w:val="21"/>
                <w:highlight w:val="none"/>
              </w:rPr>
              <w:t>分；获得省级工程质量奖项的，每项得</w:t>
            </w:r>
            <w:r>
              <w:rPr>
                <w:rFonts w:ascii="宋体" w:hAnsi="宋体" w:cs="宋体"/>
                <w:color w:val="auto"/>
                <w:sz w:val="21"/>
                <w:szCs w:val="21"/>
                <w:highlight w:val="none"/>
              </w:rPr>
              <w:t>2</w:t>
            </w:r>
            <w:r>
              <w:rPr>
                <w:rFonts w:hint="eastAsia" w:ascii="宋体" w:hAnsi="宋体" w:cs="宋体"/>
                <w:color w:val="auto"/>
                <w:sz w:val="21"/>
                <w:szCs w:val="21"/>
                <w:highlight w:val="none"/>
              </w:rPr>
              <w:t>分；获得市级工程质量奖项的，每项得</w:t>
            </w:r>
            <w:r>
              <w:rPr>
                <w:rFonts w:ascii="宋体" w:hAnsi="宋体" w:cs="宋体"/>
                <w:color w:val="auto"/>
                <w:sz w:val="21"/>
                <w:szCs w:val="21"/>
                <w:highlight w:val="none"/>
              </w:rPr>
              <w:t>1</w:t>
            </w:r>
            <w:r>
              <w:rPr>
                <w:rFonts w:hint="eastAsia" w:ascii="宋体" w:hAnsi="宋体" w:cs="宋体"/>
                <w:color w:val="auto"/>
                <w:sz w:val="21"/>
                <w:szCs w:val="21"/>
                <w:highlight w:val="none"/>
              </w:rPr>
              <w:t>分；本项最高得</w:t>
            </w:r>
            <w:r>
              <w:rPr>
                <w:rFonts w:ascii="宋体" w:hAnsi="宋体" w:cs="宋体"/>
                <w:color w:val="auto"/>
                <w:sz w:val="21"/>
                <w:szCs w:val="21"/>
                <w:highlight w:val="none"/>
              </w:rPr>
              <w:t>10</w:t>
            </w:r>
            <w:r>
              <w:rPr>
                <w:rFonts w:hint="eastAsia" w:ascii="宋体" w:hAnsi="宋体" w:cs="宋体"/>
                <w:color w:val="auto"/>
                <w:sz w:val="21"/>
                <w:szCs w:val="21"/>
                <w:highlight w:val="none"/>
              </w:rPr>
              <w:t>分。</w:t>
            </w:r>
          </w:p>
        </w:tc>
      </w:tr>
      <w:tr w14:paraId="1F6113C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65F5AF86">
            <w:pPr>
              <w:widowControl/>
              <w:jc w:val="left"/>
              <w:rPr>
                <w:color w:val="auto"/>
                <w:szCs w:val="21"/>
                <w:highlight w:val="none"/>
              </w:rPr>
            </w:pPr>
          </w:p>
        </w:tc>
        <w:tc>
          <w:tcPr>
            <w:tcW w:w="840" w:type="dxa"/>
            <w:vMerge w:val="continue"/>
            <w:tcBorders>
              <w:top w:val="single" w:color="auto" w:sz="4" w:space="0"/>
              <w:left w:val="single" w:color="auto" w:sz="8" w:space="0"/>
              <w:bottom w:val="single" w:color="auto" w:sz="4" w:space="0"/>
              <w:right w:val="single" w:color="auto" w:sz="4" w:space="0"/>
            </w:tcBorders>
            <w:vAlign w:val="center"/>
          </w:tcPr>
          <w:p w14:paraId="57009CA6">
            <w:pPr>
              <w:widowControl/>
              <w:jc w:val="left"/>
              <w:rPr>
                <w:rFonts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6195931D">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第三方信</w:t>
            </w:r>
          </w:p>
          <w:p w14:paraId="2CC6A89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用评价</w:t>
            </w:r>
          </w:p>
        </w:tc>
        <w:tc>
          <w:tcPr>
            <w:tcW w:w="666" w:type="dxa"/>
            <w:tcBorders>
              <w:top w:val="single" w:color="auto" w:sz="4" w:space="0"/>
              <w:left w:val="single" w:color="auto" w:sz="4" w:space="0"/>
              <w:bottom w:val="single" w:color="auto" w:sz="4" w:space="0"/>
              <w:right w:val="single" w:color="auto" w:sz="4" w:space="0"/>
            </w:tcBorders>
            <w:vAlign w:val="center"/>
          </w:tcPr>
          <w:p w14:paraId="2612BABD">
            <w:pPr>
              <w:spacing w:line="276" w:lineRule="auto"/>
              <w:ind w:firstLine="210" w:firstLineChars="100"/>
              <w:jc w:val="left"/>
              <w:rPr>
                <w:rFonts w:ascii="宋体" w:hAnsi="宋体" w:cs="宋体"/>
                <w:color w:val="auto"/>
                <w:szCs w:val="21"/>
                <w:highlight w:val="none"/>
              </w:rPr>
            </w:pPr>
            <w:r>
              <w:rPr>
                <w:rFonts w:ascii="宋体" w:hAnsi="宋体" w:cs="宋体"/>
                <w:color w:val="auto"/>
                <w:szCs w:val="21"/>
                <w:highlight w:val="none"/>
              </w:rPr>
              <w:t>6</w:t>
            </w:r>
          </w:p>
        </w:tc>
        <w:tc>
          <w:tcPr>
            <w:tcW w:w="10071" w:type="dxa"/>
            <w:tcBorders>
              <w:top w:val="single" w:color="auto" w:sz="4" w:space="0"/>
              <w:left w:val="single" w:color="auto" w:sz="4" w:space="0"/>
              <w:bottom w:val="single" w:color="auto" w:sz="4" w:space="0"/>
              <w:right w:val="single" w:color="auto" w:sz="4" w:space="0"/>
            </w:tcBorders>
            <w:vAlign w:val="center"/>
          </w:tcPr>
          <w:p w14:paraId="75ACF508">
            <w:pPr>
              <w:pStyle w:val="30"/>
              <w:widowControl/>
              <w:spacing w:line="276" w:lineRule="auto"/>
              <w:rPr>
                <w:rFonts w:ascii="宋体" w:hAnsi="宋体" w:cs="宋体"/>
                <w:color w:val="auto"/>
                <w:sz w:val="21"/>
                <w:szCs w:val="21"/>
                <w:highlight w:val="none"/>
              </w:rPr>
            </w:pPr>
            <w:r>
              <w:rPr>
                <w:rFonts w:hint="eastAsia" w:ascii="宋体" w:hAnsi="宋体" w:cs="宋体"/>
                <w:color w:val="auto"/>
                <w:sz w:val="21"/>
                <w:szCs w:val="21"/>
                <w:highlight w:val="none"/>
              </w:rPr>
              <w:t>投标人（若投标人为联合体，指联合体牵头方）具有有效的质量管理体系认证证书、职业健康安全管理体系认证证书、环境管理体系认证证书，每个得</w:t>
            </w:r>
            <w:r>
              <w:rPr>
                <w:rFonts w:ascii="宋体" w:hAnsi="宋体" w:cs="宋体"/>
                <w:color w:val="auto"/>
                <w:sz w:val="21"/>
                <w:szCs w:val="21"/>
                <w:highlight w:val="none"/>
              </w:rPr>
              <w:t>2</w:t>
            </w:r>
            <w:r>
              <w:rPr>
                <w:rFonts w:hint="eastAsia" w:ascii="宋体" w:hAnsi="宋体" w:cs="宋体"/>
                <w:color w:val="auto"/>
                <w:sz w:val="21"/>
                <w:szCs w:val="21"/>
                <w:highlight w:val="none"/>
              </w:rPr>
              <w:t>分，本项最高得</w:t>
            </w:r>
            <w:r>
              <w:rPr>
                <w:rFonts w:ascii="宋体" w:hAnsi="宋体" w:cs="宋体"/>
                <w:color w:val="auto"/>
                <w:sz w:val="21"/>
                <w:szCs w:val="21"/>
                <w:highlight w:val="none"/>
              </w:rPr>
              <w:t>6</w:t>
            </w:r>
            <w:r>
              <w:rPr>
                <w:rFonts w:hint="eastAsia" w:ascii="宋体" w:hAnsi="宋体" w:cs="宋体"/>
                <w:color w:val="auto"/>
                <w:sz w:val="21"/>
                <w:szCs w:val="21"/>
                <w:highlight w:val="none"/>
              </w:rPr>
              <w:t>分。</w:t>
            </w:r>
            <w:r>
              <w:rPr>
                <w:rFonts w:ascii="宋体" w:hAnsi="宋体" w:cs="宋体"/>
                <w:color w:val="auto"/>
                <w:sz w:val="21"/>
                <w:szCs w:val="21"/>
                <w:highlight w:val="none"/>
              </w:rPr>
              <w:t xml:space="preserve"> </w:t>
            </w:r>
          </w:p>
        </w:tc>
      </w:tr>
      <w:tr w14:paraId="5A39484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4AF452B8">
            <w:pPr>
              <w:widowControl/>
              <w:jc w:val="left"/>
              <w:rPr>
                <w:color w:val="auto"/>
                <w:szCs w:val="21"/>
                <w:highlight w:val="none"/>
              </w:rPr>
            </w:pPr>
          </w:p>
        </w:tc>
        <w:tc>
          <w:tcPr>
            <w:tcW w:w="840" w:type="dxa"/>
            <w:vMerge w:val="restart"/>
            <w:tcBorders>
              <w:top w:val="single" w:color="auto" w:sz="4" w:space="0"/>
              <w:left w:val="single" w:color="auto" w:sz="4" w:space="0"/>
              <w:right w:val="single" w:color="auto" w:sz="4" w:space="0"/>
            </w:tcBorders>
            <w:vAlign w:val="center"/>
          </w:tcPr>
          <w:p w14:paraId="21430842">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施工组织设计方案（</w:t>
            </w:r>
            <w:r>
              <w:rPr>
                <w:rFonts w:ascii="宋体" w:hAnsi="宋体" w:cs="宋体"/>
                <w:color w:val="auto"/>
                <w:szCs w:val="21"/>
                <w:highlight w:val="none"/>
              </w:rPr>
              <w:t>64</w:t>
            </w:r>
            <w:r>
              <w:rPr>
                <w:rFonts w:hint="eastAsia" w:ascii="宋体" w:hAnsi="宋体" w:cs="宋体"/>
                <w:color w:val="auto"/>
                <w:szCs w:val="21"/>
                <w:highlight w:val="none"/>
              </w:rPr>
              <w:t>分）</w:t>
            </w:r>
          </w:p>
        </w:tc>
        <w:tc>
          <w:tcPr>
            <w:tcW w:w="1231" w:type="dxa"/>
            <w:tcBorders>
              <w:top w:val="single" w:color="auto" w:sz="4" w:space="0"/>
              <w:left w:val="single" w:color="auto" w:sz="4" w:space="0"/>
              <w:right w:val="single" w:color="auto" w:sz="4" w:space="0"/>
            </w:tcBorders>
            <w:vAlign w:val="center"/>
          </w:tcPr>
          <w:p w14:paraId="1F6ACCD6">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设计和施工的融合措施</w:t>
            </w:r>
          </w:p>
        </w:tc>
        <w:tc>
          <w:tcPr>
            <w:tcW w:w="666" w:type="dxa"/>
            <w:tcBorders>
              <w:top w:val="single" w:color="auto" w:sz="4" w:space="0"/>
              <w:left w:val="single" w:color="auto" w:sz="4" w:space="0"/>
              <w:bottom w:val="single" w:color="auto" w:sz="4" w:space="0"/>
              <w:right w:val="single" w:color="auto" w:sz="4" w:space="0"/>
            </w:tcBorders>
            <w:vAlign w:val="center"/>
          </w:tcPr>
          <w:p w14:paraId="7556FA50">
            <w:pPr>
              <w:jc w:val="center"/>
              <w:rPr>
                <w:rFonts w:ascii="宋体" w:hAnsi="宋体" w:cs="宋体"/>
                <w:color w:val="auto"/>
                <w:szCs w:val="21"/>
                <w:highlight w:val="none"/>
              </w:rPr>
            </w:pPr>
            <w:r>
              <w:rPr>
                <w:rFonts w:ascii="宋体" w:hAnsi="宋体" w:cs="宋体"/>
                <w:color w:val="auto"/>
                <w:szCs w:val="21"/>
                <w:highlight w:val="none"/>
              </w:rPr>
              <w:t>26</w:t>
            </w:r>
          </w:p>
        </w:tc>
        <w:tc>
          <w:tcPr>
            <w:tcW w:w="10071" w:type="dxa"/>
            <w:tcBorders>
              <w:top w:val="single" w:color="auto" w:sz="4" w:space="0"/>
              <w:left w:val="single" w:color="auto" w:sz="4" w:space="0"/>
              <w:bottom w:val="single" w:color="auto" w:sz="4" w:space="0"/>
              <w:right w:val="single" w:color="auto" w:sz="4" w:space="0"/>
            </w:tcBorders>
            <w:vAlign w:val="center"/>
          </w:tcPr>
          <w:p w14:paraId="781A2636">
            <w:pPr>
              <w:pStyle w:val="30"/>
              <w:widowControl/>
              <w:spacing w:line="276" w:lineRule="auto"/>
              <w:rPr>
                <w:rFonts w:ascii="宋体" w:hAnsi="宋体"/>
                <w:b/>
                <w:color w:val="auto"/>
                <w:sz w:val="21"/>
                <w:szCs w:val="21"/>
                <w:highlight w:val="none"/>
              </w:rPr>
            </w:pPr>
            <w:r>
              <w:rPr>
                <w:rFonts w:hint="eastAsia"/>
                <w:b/>
                <w:bCs/>
                <w:color w:val="auto"/>
                <w:sz w:val="21"/>
                <w:szCs w:val="21"/>
                <w:highlight w:val="none"/>
              </w:rPr>
              <w:t>一、投标人（</w:t>
            </w:r>
            <w:r>
              <w:rPr>
                <w:rFonts w:hint="eastAsia" w:ascii="宋体" w:hAnsi="宋体"/>
                <w:b/>
                <w:bCs/>
                <w:color w:val="auto"/>
                <w:sz w:val="21"/>
                <w:szCs w:val="21"/>
                <w:highlight w:val="none"/>
              </w:rPr>
              <w:t>若为联合体，指承担设计任务的一方</w:t>
            </w:r>
            <w:r>
              <w:rPr>
                <w:rFonts w:hint="eastAsia"/>
                <w:b/>
                <w:bCs/>
                <w:color w:val="auto"/>
                <w:sz w:val="21"/>
                <w:szCs w:val="21"/>
                <w:highlight w:val="none"/>
              </w:rPr>
              <w:t>）拟投入的人员（本项最高得</w:t>
            </w:r>
            <w:r>
              <w:rPr>
                <w:b/>
                <w:bCs/>
                <w:color w:val="auto"/>
                <w:sz w:val="21"/>
                <w:szCs w:val="21"/>
                <w:highlight w:val="none"/>
              </w:rPr>
              <w:t>12</w:t>
            </w:r>
            <w:r>
              <w:rPr>
                <w:rFonts w:hint="eastAsia"/>
                <w:b/>
                <w:bCs/>
                <w:color w:val="auto"/>
                <w:sz w:val="21"/>
                <w:szCs w:val="21"/>
                <w:highlight w:val="none"/>
              </w:rPr>
              <w:t>分）：</w:t>
            </w:r>
          </w:p>
          <w:p w14:paraId="3D80E129">
            <w:pPr>
              <w:pStyle w:val="30"/>
              <w:widowControl/>
              <w:spacing w:line="276"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、设计负责人（最高得</w:t>
            </w:r>
            <w:r>
              <w:rPr>
                <w:rFonts w:ascii="宋体" w:hAnsi="宋体"/>
                <w:color w:val="auto"/>
                <w:sz w:val="21"/>
                <w:szCs w:val="21"/>
                <w:highlight w:val="none"/>
              </w:rPr>
              <w:t>6</w:t>
            </w:r>
            <w:r>
              <w:rPr>
                <w:rFonts w:hint="eastAsia" w:ascii="宋体" w:hAnsi="宋体"/>
                <w:color w:val="auto"/>
                <w:sz w:val="21"/>
                <w:szCs w:val="21"/>
                <w:highlight w:val="none"/>
              </w:rPr>
              <w:t>分）：</w:t>
            </w:r>
          </w:p>
          <w:p w14:paraId="16C830EC">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）具有一级注册建筑师证的，得</w:t>
            </w:r>
            <w:r>
              <w:rPr>
                <w:rFonts w:ascii="宋体" w:hAnsi="宋体"/>
                <w:color w:val="auto"/>
                <w:sz w:val="21"/>
                <w:szCs w:val="21"/>
                <w:highlight w:val="none"/>
              </w:rPr>
              <w:t>2</w:t>
            </w:r>
            <w:r>
              <w:rPr>
                <w:rFonts w:hint="eastAsia" w:ascii="宋体" w:hAnsi="宋体"/>
                <w:color w:val="auto"/>
                <w:sz w:val="21"/>
                <w:szCs w:val="21"/>
                <w:highlight w:val="none"/>
              </w:rPr>
              <w:t>分；</w:t>
            </w:r>
          </w:p>
          <w:p w14:paraId="27BF29B9">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）设计负责人自</w:t>
            </w:r>
            <w:r>
              <w:rPr>
                <w:rFonts w:ascii="宋体" w:hAnsi="宋体"/>
                <w:color w:val="auto"/>
                <w:sz w:val="21"/>
                <w:szCs w:val="21"/>
                <w:highlight w:val="none"/>
              </w:rPr>
              <w:t>2020</w:t>
            </w:r>
            <w:r>
              <w:rPr>
                <w:rFonts w:hint="eastAsia" w:ascii="宋体" w:hAnsi="宋体"/>
                <w:color w:val="auto"/>
                <w:sz w:val="21"/>
                <w:szCs w:val="21"/>
                <w:highlight w:val="none"/>
              </w:rPr>
              <w:t>年</w:t>
            </w:r>
            <w:r>
              <w:rPr>
                <w:rFonts w:ascii="宋体" w:hAnsi="宋体"/>
                <w:color w:val="auto"/>
                <w:sz w:val="21"/>
                <w:szCs w:val="21"/>
                <w:highlight w:val="none"/>
              </w:rPr>
              <w:t>1</w:t>
            </w:r>
            <w:r>
              <w:rPr>
                <w:rFonts w:hint="eastAsia" w:ascii="宋体" w:hAnsi="宋体"/>
                <w:color w:val="auto"/>
                <w:sz w:val="21"/>
                <w:szCs w:val="21"/>
                <w:highlight w:val="none"/>
              </w:rPr>
              <w:t>月</w:t>
            </w:r>
            <w:r>
              <w:rPr>
                <w:rFonts w:ascii="宋体" w:hAnsi="宋体"/>
                <w:color w:val="auto"/>
                <w:sz w:val="21"/>
                <w:szCs w:val="21"/>
                <w:highlight w:val="none"/>
              </w:rPr>
              <w:t>1</w:t>
            </w:r>
            <w:r>
              <w:rPr>
                <w:rFonts w:hint="eastAsia" w:ascii="宋体" w:hAnsi="宋体"/>
                <w:color w:val="auto"/>
                <w:sz w:val="21"/>
                <w:szCs w:val="21"/>
                <w:highlight w:val="none"/>
              </w:rPr>
              <w:t>日至投标文件递交截止日止，获得省级（或以上）设计奖项的，每项得</w:t>
            </w:r>
            <w:r>
              <w:rPr>
                <w:rFonts w:ascii="宋体" w:hAnsi="宋体"/>
                <w:color w:val="auto"/>
                <w:sz w:val="21"/>
                <w:szCs w:val="21"/>
                <w:highlight w:val="none"/>
              </w:rPr>
              <w:t>2</w:t>
            </w:r>
            <w:r>
              <w:rPr>
                <w:rFonts w:hint="eastAsia" w:ascii="宋体" w:hAnsi="宋体"/>
                <w:color w:val="auto"/>
                <w:sz w:val="21"/>
                <w:szCs w:val="21"/>
                <w:highlight w:val="none"/>
              </w:rPr>
              <w:t>分；获得市级设计奖项的，每项得</w:t>
            </w:r>
            <w:r>
              <w:rPr>
                <w:rFonts w:ascii="宋体" w:hAnsi="宋体"/>
                <w:color w:val="auto"/>
                <w:sz w:val="21"/>
                <w:szCs w:val="21"/>
                <w:highlight w:val="none"/>
              </w:rPr>
              <w:t>1</w:t>
            </w:r>
            <w:r>
              <w:rPr>
                <w:rFonts w:hint="eastAsia" w:ascii="宋体" w:hAnsi="宋体"/>
                <w:color w:val="auto"/>
                <w:sz w:val="21"/>
                <w:szCs w:val="21"/>
                <w:highlight w:val="none"/>
              </w:rPr>
              <w:t>分；本小项最高得</w:t>
            </w:r>
            <w:r>
              <w:rPr>
                <w:rFonts w:ascii="宋体" w:hAnsi="宋体"/>
                <w:color w:val="auto"/>
                <w:sz w:val="21"/>
                <w:szCs w:val="21"/>
                <w:highlight w:val="none"/>
              </w:rPr>
              <w:t>4</w:t>
            </w:r>
            <w:r>
              <w:rPr>
                <w:rFonts w:hint="eastAsia" w:ascii="宋体" w:hAnsi="宋体"/>
                <w:color w:val="auto"/>
                <w:sz w:val="21"/>
                <w:szCs w:val="21"/>
                <w:highlight w:val="none"/>
              </w:rPr>
              <w:t>分。</w:t>
            </w:r>
          </w:p>
          <w:p w14:paraId="550E35ED">
            <w:pPr>
              <w:pStyle w:val="30"/>
              <w:widowControl/>
              <w:spacing w:line="276" w:lineRule="auto"/>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、各专业设计负责人（最高得</w:t>
            </w:r>
            <w:r>
              <w:rPr>
                <w:rFonts w:ascii="宋体" w:hAnsi="宋体"/>
                <w:color w:val="auto"/>
                <w:sz w:val="21"/>
                <w:szCs w:val="21"/>
                <w:highlight w:val="none"/>
              </w:rPr>
              <w:t>6</w:t>
            </w:r>
            <w:r>
              <w:rPr>
                <w:rFonts w:hint="eastAsia" w:ascii="宋体" w:hAnsi="宋体"/>
                <w:color w:val="auto"/>
                <w:sz w:val="21"/>
                <w:szCs w:val="21"/>
                <w:highlight w:val="none"/>
              </w:rPr>
              <w:t>分）：</w:t>
            </w:r>
          </w:p>
          <w:p w14:paraId="6F45F937">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1</w:t>
            </w:r>
            <w:r>
              <w:rPr>
                <w:rFonts w:hint="eastAsia" w:ascii="宋体" w:hAnsi="宋体"/>
                <w:color w:val="auto"/>
                <w:sz w:val="21"/>
                <w:szCs w:val="21"/>
                <w:highlight w:val="none"/>
              </w:rPr>
              <w:t>）建筑专业设计负责人具有一级注册建筑师证的，得</w:t>
            </w:r>
            <w:r>
              <w:rPr>
                <w:rFonts w:ascii="宋体" w:hAnsi="宋体"/>
                <w:color w:val="auto"/>
                <w:sz w:val="21"/>
                <w:szCs w:val="21"/>
                <w:highlight w:val="none"/>
              </w:rPr>
              <w:t>1</w:t>
            </w:r>
            <w:r>
              <w:rPr>
                <w:rFonts w:hint="eastAsia" w:ascii="宋体" w:hAnsi="宋体"/>
                <w:color w:val="auto"/>
                <w:sz w:val="21"/>
                <w:szCs w:val="21"/>
                <w:highlight w:val="none"/>
              </w:rPr>
              <w:t>分；</w:t>
            </w:r>
          </w:p>
          <w:p w14:paraId="06AC2865">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2</w:t>
            </w:r>
            <w:r>
              <w:rPr>
                <w:rFonts w:hint="eastAsia" w:ascii="宋体" w:hAnsi="宋体"/>
                <w:color w:val="auto"/>
                <w:sz w:val="21"/>
                <w:szCs w:val="21"/>
                <w:highlight w:val="none"/>
              </w:rPr>
              <w:t>）结构专业设计负责人具有一级注册结构工程师证的，得</w:t>
            </w:r>
            <w:r>
              <w:rPr>
                <w:rFonts w:ascii="宋体" w:hAnsi="宋体"/>
                <w:color w:val="auto"/>
                <w:sz w:val="21"/>
                <w:szCs w:val="21"/>
                <w:highlight w:val="none"/>
              </w:rPr>
              <w:t>1</w:t>
            </w:r>
            <w:r>
              <w:rPr>
                <w:rFonts w:hint="eastAsia" w:ascii="宋体" w:hAnsi="宋体"/>
                <w:color w:val="auto"/>
                <w:sz w:val="21"/>
                <w:szCs w:val="21"/>
                <w:highlight w:val="none"/>
              </w:rPr>
              <w:t>分；</w:t>
            </w:r>
          </w:p>
          <w:p w14:paraId="305679FD">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）给排水专业设计负责人具有注册公用设备工程师（给水排水）证的，得</w:t>
            </w:r>
            <w:r>
              <w:rPr>
                <w:rFonts w:ascii="宋体" w:hAnsi="宋体"/>
                <w:color w:val="auto"/>
                <w:sz w:val="21"/>
                <w:szCs w:val="21"/>
                <w:highlight w:val="none"/>
              </w:rPr>
              <w:t>1</w:t>
            </w:r>
            <w:r>
              <w:rPr>
                <w:rFonts w:hint="eastAsia" w:ascii="宋体" w:hAnsi="宋体"/>
                <w:color w:val="auto"/>
                <w:sz w:val="21"/>
                <w:szCs w:val="21"/>
                <w:highlight w:val="none"/>
              </w:rPr>
              <w:t>分；</w:t>
            </w:r>
          </w:p>
          <w:p w14:paraId="28CAE82D">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）电气专业设计负责人具有注册电气工程师（供配电）证的，得</w:t>
            </w:r>
            <w:r>
              <w:rPr>
                <w:rFonts w:ascii="宋体" w:hAnsi="宋体"/>
                <w:color w:val="auto"/>
                <w:sz w:val="21"/>
                <w:szCs w:val="21"/>
                <w:highlight w:val="none"/>
              </w:rPr>
              <w:t>1</w:t>
            </w:r>
            <w:r>
              <w:rPr>
                <w:rFonts w:hint="eastAsia" w:ascii="宋体" w:hAnsi="宋体"/>
                <w:color w:val="auto"/>
                <w:sz w:val="21"/>
                <w:szCs w:val="21"/>
                <w:highlight w:val="none"/>
              </w:rPr>
              <w:t>分；</w:t>
            </w:r>
          </w:p>
          <w:p w14:paraId="10080075">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5</w:t>
            </w:r>
            <w:r>
              <w:rPr>
                <w:rFonts w:hint="eastAsia" w:ascii="宋体" w:hAnsi="宋体"/>
                <w:color w:val="auto"/>
                <w:sz w:val="21"/>
                <w:szCs w:val="21"/>
                <w:highlight w:val="none"/>
              </w:rPr>
              <w:t>）暖通专业设计负责人具有注册公用设备工程师（暖通空调）证的，得</w:t>
            </w:r>
            <w:r>
              <w:rPr>
                <w:rFonts w:ascii="宋体" w:hAnsi="宋体"/>
                <w:color w:val="auto"/>
                <w:sz w:val="21"/>
                <w:szCs w:val="21"/>
                <w:highlight w:val="none"/>
              </w:rPr>
              <w:t>1</w:t>
            </w:r>
            <w:r>
              <w:rPr>
                <w:rFonts w:hint="eastAsia" w:ascii="宋体" w:hAnsi="宋体"/>
                <w:color w:val="auto"/>
                <w:sz w:val="21"/>
                <w:szCs w:val="21"/>
                <w:highlight w:val="none"/>
              </w:rPr>
              <w:t>分；</w:t>
            </w:r>
          </w:p>
          <w:p w14:paraId="4B109D38">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6</w:t>
            </w:r>
            <w:r>
              <w:rPr>
                <w:rFonts w:hint="eastAsia" w:ascii="宋体" w:hAnsi="宋体"/>
                <w:color w:val="auto"/>
                <w:sz w:val="21"/>
                <w:szCs w:val="21"/>
                <w:highlight w:val="none"/>
              </w:rPr>
              <w:t>）上述</w:t>
            </w:r>
            <w:r>
              <w:rPr>
                <w:rFonts w:ascii="宋体" w:hAnsi="宋体"/>
                <w:color w:val="auto"/>
                <w:sz w:val="21"/>
                <w:szCs w:val="21"/>
                <w:highlight w:val="none"/>
              </w:rPr>
              <w:t>5</w:t>
            </w:r>
            <w:r>
              <w:rPr>
                <w:rFonts w:hint="eastAsia" w:ascii="宋体" w:hAnsi="宋体"/>
                <w:color w:val="auto"/>
                <w:sz w:val="21"/>
                <w:szCs w:val="21"/>
                <w:highlight w:val="none"/>
              </w:rPr>
              <w:t>个专业的专业设计负责人具有高级工程师（或以上）技术职称的，每人得</w:t>
            </w:r>
            <w:r>
              <w:rPr>
                <w:rFonts w:ascii="宋体" w:hAnsi="宋体"/>
                <w:color w:val="auto"/>
                <w:sz w:val="21"/>
                <w:szCs w:val="21"/>
                <w:highlight w:val="none"/>
              </w:rPr>
              <w:t>0.2</w:t>
            </w:r>
            <w:r>
              <w:rPr>
                <w:rFonts w:hint="eastAsia" w:ascii="宋体" w:hAnsi="宋体"/>
                <w:color w:val="auto"/>
                <w:sz w:val="21"/>
                <w:szCs w:val="21"/>
                <w:highlight w:val="none"/>
              </w:rPr>
              <w:t>分，最高得</w:t>
            </w:r>
            <w:r>
              <w:rPr>
                <w:rFonts w:ascii="宋体" w:hAnsi="宋体"/>
                <w:color w:val="auto"/>
                <w:sz w:val="21"/>
                <w:szCs w:val="21"/>
                <w:highlight w:val="none"/>
              </w:rPr>
              <w:t>1</w:t>
            </w:r>
            <w:r>
              <w:rPr>
                <w:rFonts w:hint="eastAsia" w:ascii="宋体" w:hAnsi="宋体"/>
                <w:color w:val="auto"/>
                <w:sz w:val="21"/>
                <w:szCs w:val="21"/>
                <w:highlight w:val="none"/>
              </w:rPr>
              <w:t>分；具有中级工程师技术职称的，每人得</w:t>
            </w:r>
            <w:r>
              <w:rPr>
                <w:rFonts w:ascii="宋体" w:hAnsi="宋体"/>
                <w:color w:val="auto"/>
                <w:sz w:val="21"/>
                <w:szCs w:val="21"/>
                <w:highlight w:val="none"/>
              </w:rPr>
              <w:t>0.1</w:t>
            </w:r>
            <w:r>
              <w:rPr>
                <w:rFonts w:hint="eastAsia" w:ascii="宋体" w:hAnsi="宋体"/>
                <w:color w:val="auto"/>
                <w:sz w:val="21"/>
                <w:szCs w:val="21"/>
                <w:highlight w:val="none"/>
              </w:rPr>
              <w:t>分，最高得</w:t>
            </w:r>
            <w:r>
              <w:rPr>
                <w:rFonts w:ascii="宋体" w:hAnsi="宋体"/>
                <w:color w:val="auto"/>
                <w:sz w:val="21"/>
                <w:szCs w:val="21"/>
                <w:highlight w:val="none"/>
              </w:rPr>
              <w:t>0.5</w:t>
            </w:r>
            <w:r>
              <w:rPr>
                <w:rFonts w:hint="eastAsia" w:ascii="宋体" w:hAnsi="宋体"/>
                <w:color w:val="auto"/>
                <w:sz w:val="21"/>
                <w:szCs w:val="21"/>
                <w:highlight w:val="none"/>
              </w:rPr>
              <w:t>分。本小项最高得</w:t>
            </w:r>
            <w:r>
              <w:rPr>
                <w:rFonts w:ascii="宋体" w:hAnsi="宋体"/>
                <w:color w:val="auto"/>
                <w:sz w:val="21"/>
                <w:szCs w:val="21"/>
                <w:highlight w:val="none"/>
              </w:rPr>
              <w:t>1</w:t>
            </w:r>
            <w:r>
              <w:rPr>
                <w:rFonts w:hint="eastAsia" w:ascii="宋体" w:hAnsi="宋体"/>
                <w:color w:val="auto"/>
                <w:sz w:val="21"/>
                <w:szCs w:val="21"/>
                <w:highlight w:val="none"/>
              </w:rPr>
              <w:t>分；</w:t>
            </w:r>
          </w:p>
          <w:p w14:paraId="77CDD9C2">
            <w:pPr>
              <w:pStyle w:val="30"/>
              <w:widowControl/>
              <w:spacing w:line="276" w:lineRule="auto"/>
              <w:rPr>
                <w:b/>
                <w:bCs/>
                <w:color w:val="auto"/>
                <w:sz w:val="21"/>
                <w:szCs w:val="21"/>
                <w:highlight w:val="none"/>
              </w:rPr>
            </w:pPr>
            <w:r>
              <w:rPr>
                <w:rFonts w:hint="eastAsia"/>
                <w:b/>
                <w:bCs/>
                <w:color w:val="auto"/>
                <w:sz w:val="21"/>
                <w:szCs w:val="21"/>
                <w:highlight w:val="none"/>
              </w:rPr>
              <w:t>二、投标人（</w:t>
            </w:r>
            <w:r>
              <w:rPr>
                <w:rFonts w:hint="eastAsia" w:ascii="宋体" w:hAnsi="宋体"/>
                <w:b/>
                <w:bCs/>
                <w:color w:val="auto"/>
                <w:sz w:val="21"/>
                <w:szCs w:val="21"/>
                <w:highlight w:val="none"/>
              </w:rPr>
              <w:t>若为联合体，指承担勘察任务的一方</w:t>
            </w:r>
            <w:r>
              <w:rPr>
                <w:rFonts w:hint="eastAsia"/>
                <w:b/>
                <w:bCs/>
                <w:color w:val="auto"/>
                <w:sz w:val="21"/>
                <w:szCs w:val="21"/>
                <w:highlight w:val="none"/>
              </w:rPr>
              <w:t>）拟投入的人员（</w:t>
            </w:r>
            <w:r>
              <w:rPr>
                <w:rFonts w:hint="eastAsia" w:ascii="宋体" w:hAnsi="宋体"/>
                <w:b/>
                <w:color w:val="auto"/>
                <w:sz w:val="21"/>
                <w:szCs w:val="21"/>
                <w:highlight w:val="none"/>
              </w:rPr>
              <w:t>本项最高得</w:t>
            </w:r>
            <w:r>
              <w:rPr>
                <w:rFonts w:ascii="宋体" w:hAnsi="宋体"/>
                <w:b/>
                <w:color w:val="auto"/>
                <w:sz w:val="21"/>
                <w:szCs w:val="21"/>
                <w:highlight w:val="none"/>
              </w:rPr>
              <w:t>4</w:t>
            </w:r>
            <w:r>
              <w:rPr>
                <w:rFonts w:hint="eastAsia" w:ascii="宋体" w:hAnsi="宋体"/>
                <w:b/>
                <w:color w:val="auto"/>
                <w:sz w:val="21"/>
                <w:szCs w:val="21"/>
                <w:highlight w:val="none"/>
              </w:rPr>
              <w:t>分）</w:t>
            </w:r>
          </w:p>
          <w:p w14:paraId="699C8786">
            <w:pPr>
              <w:pStyle w:val="30"/>
              <w:widowControl/>
              <w:spacing w:line="276"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、勘察负责人</w:t>
            </w:r>
          </w:p>
          <w:p w14:paraId="18E49968">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lang w:val="zh-TW"/>
              </w:rPr>
              <w:t>（</w:t>
            </w:r>
            <w:r>
              <w:rPr>
                <w:rFonts w:ascii="宋体" w:hAnsi="宋体"/>
                <w:color w:val="auto"/>
                <w:sz w:val="21"/>
                <w:szCs w:val="21"/>
                <w:highlight w:val="none"/>
                <w:lang w:val="zh-TW"/>
              </w:rPr>
              <w:t>1</w:t>
            </w:r>
            <w:r>
              <w:rPr>
                <w:rFonts w:hint="eastAsia" w:ascii="宋体" w:hAnsi="宋体"/>
                <w:color w:val="auto"/>
                <w:sz w:val="21"/>
                <w:szCs w:val="21"/>
                <w:highlight w:val="none"/>
                <w:lang w:val="zh-TW"/>
              </w:rPr>
              <w:t>）具有岩土工程相关专业高级（</w:t>
            </w:r>
            <w:r>
              <w:rPr>
                <w:rFonts w:hint="eastAsia" w:ascii="宋体" w:hAnsi="宋体"/>
                <w:color w:val="auto"/>
                <w:sz w:val="21"/>
                <w:szCs w:val="21"/>
                <w:highlight w:val="none"/>
              </w:rPr>
              <w:t>或以上）</w:t>
            </w:r>
            <w:r>
              <w:rPr>
                <w:rFonts w:hint="eastAsia" w:ascii="宋体" w:hAnsi="宋体"/>
                <w:color w:val="auto"/>
                <w:sz w:val="21"/>
                <w:szCs w:val="21"/>
                <w:highlight w:val="none"/>
                <w:lang w:val="zh-TW"/>
              </w:rPr>
              <w:t>工程师职称的，</w:t>
            </w:r>
            <w:r>
              <w:rPr>
                <w:rFonts w:hint="eastAsia" w:ascii="宋体" w:hAnsi="宋体"/>
                <w:color w:val="auto"/>
                <w:sz w:val="21"/>
                <w:szCs w:val="21"/>
                <w:highlight w:val="none"/>
              </w:rPr>
              <w:t>得</w:t>
            </w:r>
            <w:r>
              <w:rPr>
                <w:rFonts w:ascii="宋体" w:hAnsi="宋体"/>
                <w:color w:val="auto"/>
                <w:sz w:val="21"/>
                <w:szCs w:val="21"/>
                <w:highlight w:val="none"/>
              </w:rPr>
              <w:t>2</w:t>
            </w:r>
            <w:r>
              <w:rPr>
                <w:rFonts w:hint="eastAsia" w:ascii="宋体" w:hAnsi="宋体"/>
                <w:color w:val="auto"/>
                <w:sz w:val="21"/>
                <w:szCs w:val="21"/>
                <w:highlight w:val="none"/>
              </w:rPr>
              <w:t>分；</w:t>
            </w:r>
          </w:p>
          <w:p w14:paraId="49293DE3">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lang w:val="zh-TW"/>
              </w:rPr>
              <w:t>（</w:t>
            </w:r>
            <w:r>
              <w:rPr>
                <w:rFonts w:ascii="宋体" w:hAnsi="宋体"/>
                <w:color w:val="auto"/>
                <w:sz w:val="21"/>
                <w:szCs w:val="21"/>
                <w:highlight w:val="none"/>
                <w:lang w:val="zh-TW"/>
              </w:rPr>
              <w:t>2</w:t>
            </w:r>
            <w:r>
              <w:rPr>
                <w:rFonts w:hint="eastAsia" w:ascii="宋体" w:hAnsi="宋体"/>
                <w:color w:val="auto"/>
                <w:sz w:val="21"/>
                <w:szCs w:val="21"/>
                <w:highlight w:val="none"/>
                <w:lang w:val="zh-TW"/>
              </w:rPr>
              <w:t>）具有注册土木工程师（岩土）证书的得</w:t>
            </w:r>
            <w:r>
              <w:rPr>
                <w:rFonts w:ascii="宋体" w:hAnsi="宋体"/>
                <w:color w:val="auto"/>
                <w:sz w:val="21"/>
                <w:szCs w:val="21"/>
                <w:highlight w:val="none"/>
              </w:rPr>
              <w:t>2</w:t>
            </w:r>
            <w:r>
              <w:rPr>
                <w:rFonts w:hint="eastAsia" w:ascii="宋体" w:hAnsi="宋体"/>
                <w:color w:val="auto"/>
                <w:sz w:val="21"/>
                <w:szCs w:val="21"/>
                <w:highlight w:val="none"/>
                <w:lang w:val="zh-TW"/>
              </w:rPr>
              <w:t>分。</w:t>
            </w:r>
          </w:p>
          <w:p w14:paraId="1F738740">
            <w:pPr>
              <w:pStyle w:val="30"/>
              <w:widowControl/>
              <w:spacing w:line="276" w:lineRule="auto"/>
              <w:rPr>
                <w:rFonts w:ascii="宋体" w:hAnsi="宋体"/>
                <w:b/>
                <w:color w:val="auto"/>
                <w:sz w:val="21"/>
                <w:szCs w:val="21"/>
                <w:highlight w:val="none"/>
              </w:rPr>
            </w:pPr>
            <w:r>
              <w:rPr>
                <w:rFonts w:hint="eastAsia"/>
                <w:b/>
                <w:bCs/>
                <w:color w:val="auto"/>
                <w:sz w:val="21"/>
                <w:szCs w:val="21"/>
                <w:highlight w:val="none"/>
              </w:rPr>
              <w:t>三、投标人（若为联合体，指承担施工任务的一方）拟投入的人员（</w:t>
            </w:r>
            <w:r>
              <w:rPr>
                <w:rFonts w:hint="eastAsia" w:ascii="宋体" w:hAnsi="宋体"/>
                <w:b/>
                <w:color w:val="auto"/>
                <w:sz w:val="21"/>
                <w:szCs w:val="21"/>
                <w:highlight w:val="none"/>
              </w:rPr>
              <w:t>本项最高得</w:t>
            </w:r>
            <w:r>
              <w:rPr>
                <w:rFonts w:ascii="宋体" w:hAnsi="宋体"/>
                <w:b/>
                <w:color w:val="auto"/>
                <w:sz w:val="21"/>
                <w:szCs w:val="21"/>
                <w:highlight w:val="none"/>
              </w:rPr>
              <w:t>6</w:t>
            </w:r>
            <w:r>
              <w:rPr>
                <w:rFonts w:hint="eastAsia" w:ascii="宋体" w:hAnsi="宋体"/>
                <w:b/>
                <w:color w:val="auto"/>
                <w:sz w:val="21"/>
                <w:szCs w:val="21"/>
                <w:highlight w:val="none"/>
              </w:rPr>
              <w:t>分）</w:t>
            </w:r>
            <w:r>
              <w:rPr>
                <w:rFonts w:hint="eastAsia"/>
                <w:b/>
                <w:bCs/>
                <w:color w:val="auto"/>
                <w:sz w:val="21"/>
                <w:szCs w:val="21"/>
                <w:highlight w:val="none"/>
              </w:rPr>
              <w:t>：</w:t>
            </w:r>
          </w:p>
          <w:p w14:paraId="68747895">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1、项目负责人（最高得2分）：</w:t>
            </w:r>
          </w:p>
          <w:p w14:paraId="05E77732">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（1）具有建筑相关专业中级工程师（或以上）技术职称的，得2分；</w:t>
            </w:r>
          </w:p>
          <w:p w14:paraId="09A2E3D7">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安全</w:t>
            </w:r>
            <w:r>
              <w:rPr>
                <w:rFonts w:hint="eastAsia" w:ascii="宋体" w:hAnsi="宋体"/>
                <w:color w:val="auto"/>
                <w:sz w:val="21"/>
                <w:szCs w:val="21"/>
                <w:highlight w:val="none"/>
              </w:rPr>
              <w:t>负责人（最高得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p w14:paraId="48D1A390">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（1）具有建筑相关专业</w:t>
            </w:r>
            <w:r>
              <w:rPr>
                <w:rFonts w:hint="eastAsia" w:ascii="宋体" w:hAnsi="宋体"/>
                <w:color w:val="auto"/>
                <w:sz w:val="21"/>
                <w:szCs w:val="21"/>
                <w:highlight w:val="none"/>
                <w:lang w:eastAsia="zh-CN"/>
              </w:rPr>
              <w:t>中</w:t>
            </w:r>
            <w:r>
              <w:rPr>
                <w:rFonts w:hint="eastAsia" w:ascii="宋体" w:hAnsi="宋体"/>
                <w:color w:val="auto"/>
                <w:sz w:val="21"/>
                <w:szCs w:val="21"/>
                <w:highlight w:val="none"/>
              </w:rPr>
              <w:t>级工程师（或以上）技术职称的，得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p w14:paraId="73F4BA02">
            <w:pPr>
              <w:pStyle w:val="30"/>
              <w:widowControl/>
              <w:spacing w:line="276" w:lineRule="auto"/>
              <w:rPr>
                <w:rFonts w:ascii="宋体" w:hAnsi="宋体"/>
                <w:color w:val="auto"/>
                <w:sz w:val="21"/>
                <w:szCs w:val="21"/>
                <w:highlight w:val="none"/>
              </w:rPr>
            </w:pPr>
            <w:r>
              <w:rPr>
                <w:rFonts w:hint="eastAsia" w:ascii="宋体" w:hAnsi="宋体"/>
                <w:color w:val="auto"/>
                <w:sz w:val="21"/>
                <w:szCs w:val="21"/>
                <w:highlight w:val="none"/>
              </w:rPr>
              <w:t>3、质量负责人（最高得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p w14:paraId="4DC39690">
            <w:pPr>
              <w:pStyle w:val="30"/>
              <w:widowControl/>
              <w:spacing w:line="276" w:lineRule="auto"/>
              <w:rPr>
                <w:rFonts w:hint="eastAsia" w:ascii="宋体" w:hAnsi="宋体"/>
                <w:color w:val="auto"/>
                <w:sz w:val="21"/>
                <w:szCs w:val="21"/>
                <w:highlight w:val="none"/>
              </w:rPr>
            </w:pPr>
            <w:r>
              <w:rPr>
                <w:rFonts w:hint="eastAsia" w:ascii="宋体" w:hAnsi="宋体"/>
                <w:color w:val="auto"/>
                <w:sz w:val="21"/>
                <w:szCs w:val="21"/>
                <w:highlight w:val="none"/>
              </w:rPr>
              <w:t>（1）具有建筑相关专业</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级工程师（或以上）技术职称的，得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w:t>
            </w:r>
          </w:p>
          <w:p w14:paraId="6E6DB4DC">
            <w:pPr>
              <w:pStyle w:val="30"/>
              <w:widowControl/>
              <w:spacing w:line="276" w:lineRule="auto"/>
              <w:rPr>
                <w:b/>
                <w:bCs/>
                <w:color w:val="auto"/>
                <w:sz w:val="21"/>
                <w:szCs w:val="21"/>
                <w:highlight w:val="none"/>
              </w:rPr>
            </w:pPr>
            <w:r>
              <w:rPr>
                <w:rFonts w:hint="eastAsia"/>
                <w:b/>
                <w:bCs/>
                <w:color w:val="auto"/>
                <w:sz w:val="21"/>
                <w:szCs w:val="21"/>
                <w:highlight w:val="none"/>
              </w:rPr>
              <w:t>四、设计和施工的融合措施方案（本项最高得</w:t>
            </w:r>
            <w:r>
              <w:rPr>
                <w:b/>
                <w:bCs/>
                <w:color w:val="auto"/>
                <w:sz w:val="21"/>
                <w:szCs w:val="21"/>
                <w:highlight w:val="none"/>
              </w:rPr>
              <w:t>4</w:t>
            </w:r>
            <w:r>
              <w:rPr>
                <w:rFonts w:hint="eastAsia"/>
                <w:b/>
                <w:bCs/>
                <w:color w:val="auto"/>
                <w:sz w:val="21"/>
                <w:szCs w:val="21"/>
                <w:highlight w:val="none"/>
              </w:rPr>
              <w:t>分）：</w:t>
            </w:r>
          </w:p>
          <w:p w14:paraId="6639397A">
            <w:pPr>
              <w:pStyle w:val="30"/>
              <w:widowControl/>
              <w:spacing w:line="276" w:lineRule="auto"/>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、有设计和施工的融合措施的，得</w:t>
            </w:r>
            <w:r>
              <w:rPr>
                <w:rFonts w:ascii="宋体" w:hAnsi="宋体"/>
                <w:color w:val="auto"/>
                <w:sz w:val="21"/>
                <w:szCs w:val="21"/>
                <w:highlight w:val="none"/>
              </w:rPr>
              <w:t>1</w:t>
            </w:r>
            <w:r>
              <w:rPr>
                <w:rFonts w:hint="eastAsia" w:ascii="宋体" w:hAnsi="宋体"/>
                <w:color w:val="auto"/>
                <w:sz w:val="21"/>
                <w:szCs w:val="21"/>
                <w:highlight w:val="none"/>
              </w:rPr>
              <w:t>分，无得</w:t>
            </w:r>
            <w:r>
              <w:rPr>
                <w:rFonts w:ascii="宋体" w:hAnsi="宋体"/>
                <w:color w:val="auto"/>
                <w:sz w:val="21"/>
                <w:szCs w:val="21"/>
                <w:highlight w:val="none"/>
              </w:rPr>
              <w:t>0</w:t>
            </w:r>
            <w:r>
              <w:rPr>
                <w:rFonts w:hint="eastAsia" w:ascii="宋体" w:hAnsi="宋体"/>
                <w:color w:val="auto"/>
                <w:sz w:val="21"/>
                <w:szCs w:val="21"/>
                <w:highlight w:val="none"/>
              </w:rPr>
              <w:t>分；</w:t>
            </w:r>
          </w:p>
          <w:p w14:paraId="412640BA">
            <w:pPr>
              <w:pStyle w:val="30"/>
              <w:widowControl/>
              <w:spacing w:line="276" w:lineRule="auto"/>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、根据本工程的项目的特点，提出详细的可行设计和施工的融合措施方案。优得</w:t>
            </w:r>
            <w:r>
              <w:rPr>
                <w:rFonts w:ascii="宋体" w:hAnsi="宋体"/>
                <w:color w:val="auto"/>
                <w:sz w:val="21"/>
                <w:szCs w:val="21"/>
                <w:highlight w:val="none"/>
              </w:rPr>
              <w:t>3</w:t>
            </w:r>
            <w:r>
              <w:rPr>
                <w:rFonts w:hint="eastAsia" w:ascii="宋体" w:hAnsi="宋体"/>
                <w:color w:val="auto"/>
                <w:sz w:val="21"/>
                <w:szCs w:val="21"/>
                <w:highlight w:val="none"/>
              </w:rPr>
              <w:t>分，良得</w:t>
            </w:r>
            <w:r>
              <w:rPr>
                <w:rFonts w:ascii="宋体" w:hAnsi="宋体"/>
                <w:color w:val="auto"/>
                <w:sz w:val="21"/>
                <w:szCs w:val="21"/>
                <w:highlight w:val="none"/>
              </w:rPr>
              <w:t>2</w:t>
            </w:r>
            <w:r>
              <w:rPr>
                <w:rFonts w:hint="eastAsia" w:ascii="宋体" w:hAnsi="宋体"/>
                <w:color w:val="auto"/>
                <w:sz w:val="21"/>
                <w:szCs w:val="21"/>
                <w:highlight w:val="none"/>
              </w:rPr>
              <w:t>分，一般得</w:t>
            </w:r>
            <w:r>
              <w:rPr>
                <w:rFonts w:ascii="宋体" w:hAnsi="宋体"/>
                <w:color w:val="auto"/>
                <w:sz w:val="21"/>
                <w:szCs w:val="21"/>
                <w:highlight w:val="none"/>
              </w:rPr>
              <w:t>1</w:t>
            </w:r>
            <w:r>
              <w:rPr>
                <w:rFonts w:hint="eastAsia" w:ascii="宋体" w:hAnsi="宋体"/>
                <w:color w:val="auto"/>
                <w:sz w:val="21"/>
                <w:szCs w:val="21"/>
                <w:highlight w:val="none"/>
              </w:rPr>
              <w:t>分。</w:t>
            </w:r>
            <w:r>
              <w:rPr>
                <w:rFonts w:ascii="宋体" w:hAnsi="宋体"/>
                <w:color w:val="auto"/>
                <w:sz w:val="21"/>
                <w:szCs w:val="21"/>
                <w:highlight w:val="none"/>
              </w:rPr>
              <w:t xml:space="preserve"> </w:t>
            </w:r>
          </w:p>
        </w:tc>
      </w:tr>
      <w:tr w14:paraId="1FF0A4F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182510F2">
            <w:pPr>
              <w:widowControl/>
              <w:jc w:val="left"/>
              <w:rPr>
                <w:color w:val="auto"/>
                <w:szCs w:val="21"/>
                <w:highlight w:val="none"/>
              </w:rPr>
            </w:pPr>
          </w:p>
        </w:tc>
        <w:tc>
          <w:tcPr>
            <w:tcW w:w="840" w:type="dxa"/>
            <w:vMerge w:val="continue"/>
            <w:tcBorders>
              <w:left w:val="single" w:color="auto" w:sz="4" w:space="0"/>
              <w:right w:val="single" w:color="auto" w:sz="4" w:space="0"/>
            </w:tcBorders>
            <w:vAlign w:val="center"/>
          </w:tcPr>
          <w:p w14:paraId="2D426A6F">
            <w:pPr>
              <w:pStyle w:val="30"/>
              <w:widowControl/>
              <w:spacing w:line="216" w:lineRule="atLeast"/>
              <w:jc w:val="center"/>
              <w:rPr>
                <w:rFonts w:ascii="宋体" w:hAnsi="宋体"/>
                <w:color w:val="auto"/>
                <w:sz w:val="21"/>
                <w:szCs w:val="21"/>
                <w:highlight w:val="none"/>
              </w:rPr>
            </w:pPr>
          </w:p>
        </w:tc>
        <w:tc>
          <w:tcPr>
            <w:tcW w:w="1231" w:type="dxa"/>
            <w:tcBorders>
              <w:left w:val="single" w:color="auto" w:sz="4" w:space="0"/>
              <w:right w:val="single" w:color="auto" w:sz="4" w:space="0"/>
            </w:tcBorders>
            <w:vAlign w:val="center"/>
          </w:tcPr>
          <w:p w14:paraId="2CD5E4AD">
            <w:pPr>
              <w:autoSpaceDE w:val="0"/>
              <w:autoSpaceDN w:val="0"/>
              <w:adjustRightInd w:val="0"/>
              <w:spacing w:line="400" w:lineRule="exact"/>
              <w:jc w:val="center"/>
              <w:rPr>
                <w:rFonts w:ascii="宋体" w:hAnsi="宋体"/>
                <w:color w:val="auto"/>
                <w:szCs w:val="21"/>
                <w:highlight w:val="none"/>
              </w:rPr>
            </w:pPr>
            <w:r>
              <w:rPr>
                <w:rFonts w:hint="eastAsia" w:ascii="宋体" w:hAnsi="宋体" w:cs="宋体"/>
                <w:color w:val="auto"/>
                <w:szCs w:val="21"/>
                <w:highlight w:val="none"/>
              </w:rPr>
              <w:t>绿色节能控制措施</w:t>
            </w:r>
          </w:p>
        </w:tc>
        <w:tc>
          <w:tcPr>
            <w:tcW w:w="666" w:type="dxa"/>
            <w:tcBorders>
              <w:top w:val="single" w:color="auto" w:sz="4" w:space="0"/>
              <w:left w:val="single" w:color="auto" w:sz="4" w:space="0"/>
              <w:bottom w:val="single" w:color="auto" w:sz="4" w:space="0"/>
              <w:right w:val="single" w:color="auto" w:sz="4" w:space="0"/>
            </w:tcBorders>
            <w:vAlign w:val="center"/>
          </w:tcPr>
          <w:p w14:paraId="6D059E35">
            <w:pPr>
              <w:pStyle w:val="30"/>
              <w:widowControl/>
              <w:spacing w:line="216" w:lineRule="atLeast"/>
              <w:jc w:val="center"/>
              <w:rPr>
                <w:rFonts w:ascii="宋体" w:hAnsi="宋体"/>
                <w:color w:val="auto"/>
                <w:sz w:val="21"/>
                <w:szCs w:val="21"/>
                <w:highlight w:val="none"/>
              </w:rPr>
            </w:pPr>
            <w:r>
              <w:rPr>
                <w:rFonts w:ascii="宋体" w:hAnsi="宋体" w:cs="宋体"/>
                <w:color w:val="auto"/>
                <w:sz w:val="21"/>
                <w:szCs w:val="21"/>
                <w:highlight w:val="none"/>
              </w:rPr>
              <w:t>5</w:t>
            </w:r>
          </w:p>
        </w:tc>
        <w:tc>
          <w:tcPr>
            <w:tcW w:w="10071" w:type="dxa"/>
            <w:tcBorders>
              <w:top w:val="single" w:color="auto" w:sz="4" w:space="0"/>
              <w:left w:val="single" w:color="auto" w:sz="4" w:space="0"/>
              <w:bottom w:val="single" w:color="auto" w:sz="4" w:space="0"/>
              <w:right w:val="single" w:color="auto" w:sz="4" w:space="0"/>
            </w:tcBorders>
            <w:vAlign w:val="center"/>
          </w:tcPr>
          <w:p w14:paraId="4DB58CED">
            <w:pPr>
              <w:spacing w:line="276" w:lineRule="auto"/>
              <w:rPr>
                <w:rFonts w:hint="eastAsia"/>
                <w:color w:val="auto"/>
                <w:highlight w:val="none"/>
              </w:rPr>
            </w:pPr>
            <w:r>
              <w:rPr>
                <w:rFonts w:hint="eastAsia"/>
                <w:color w:val="auto"/>
                <w:highlight w:val="none"/>
                <w:lang w:val="en-US" w:eastAsia="zh-CN"/>
              </w:rPr>
              <w:t>1、</w:t>
            </w:r>
            <w:r>
              <w:rPr>
                <w:rFonts w:hint="eastAsia"/>
                <w:color w:val="auto"/>
                <w:highlight w:val="none"/>
              </w:rPr>
              <w:t>有建筑垃圾处理方案（现场破除的旧路面混凝土、砖渣等用于临时便道基础使用），采取污染防治措施，并承诺除临时施工便道外主体工程不得使用建筑垃圾，且现场土方利用须确保不参杂腐殖土。根据场地地质情况和标高，合理优化施工工艺与施工工序，平衡挖方与填方量，减少场地内土方外运。对既有结构保护施工措施科学合理、处理得当；相关工程施工方案充分考虑其可实施性和可操作性。提出详细可行的氢燃料电池汽车投入应用措施，混凝土搅拌车和建筑废弃物运输车中氢燃料电池汽车的投入比例≥30%（即：投入的氢燃料电池汽车/投入的总车辆数≥30%））</w:t>
            </w:r>
            <w:r>
              <w:rPr>
                <w:rFonts w:hint="eastAsia"/>
                <w:color w:val="auto"/>
                <w:highlight w:val="none"/>
                <w:lang w:eastAsia="zh-CN"/>
              </w:rPr>
              <w:t>，</w:t>
            </w:r>
            <w:r>
              <w:rPr>
                <w:rFonts w:hint="eastAsia"/>
                <w:color w:val="auto"/>
                <w:highlight w:val="none"/>
                <w:lang w:val="en-US" w:eastAsia="zh-CN"/>
              </w:rPr>
              <w:t>优得5</w:t>
            </w:r>
            <w:r>
              <w:rPr>
                <w:rFonts w:hint="eastAsia"/>
                <w:color w:val="auto"/>
                <w:highlight w:val="none"/>
              </w:rPr>
              <w:t>分。</w:t>
            </w:r>
          </w:p>
          <w:p w14:paraId="4F65AB38">
            <w:pPr>
              <w:spacing w:line="276" w:lineRule="auto"/>
              <w:rPr>
                <w:rFonts w:hint="default" w:eastAsia="宋体"/>
                <w:color w:val="auto"/>
                <w:highlight w:val="none"/>
                <w:lang w:val="en-US" w:eastAsia="zh-CN"/>
              </w:rPr>
            </w:pPr>
            <w:r>
              <w:rPr>
                <w:rFonts w:hint="eastAsia"/>
                <w:color w:val="auto"/>
                <w:highlight w:val="none"/>
                <w:lang w:val="en-US" w:eastAsia="zh-CN"/>
              </w:rPr>
              <w:t>2、</w:t>
            </w:r>
            <w:r>
              <w:rPr>
                <w:rFonts w:hint="eastAsia"/>
                <w:color w:val="auto"/>
                <w:highlight w:val="none"/>
              </w:rPr>
              <w:t>有建筑垃圾处理方案（现场破除的旧路面混凝土、砖渣等用于临时便道基础使用），采取污染防治措施，并承诺除临时施工便道外主体工程不得使用建筑垃圾，且现场土方利用须确保不参杂腐殖土。根据场地地质情况和标高，合理优化施工工艺与施工工序，平衡挖方与填方量，减少场地内土方外运。对既有结构保护施工措施较合理；相关工程施工方案充分考虑较合理。提出可行的氢燃料电池汽车投入应用措施（混凝土搅拌车和建筑废弃物运输车中氢燃料电池汽车的投入比例≥30%，（即：投入的氢燃料电池汽车/投入的总车辆数≥30%））</w:t>
            </w:r>
            <w:r>
              <w:rPr>
                <w:rFonts w:hint="eastAsia"/>
                <w:color w:val="auto"/>
                <w:highlight w:val="none"/>
                <w:lang w:eastAsia="zh-CN"/>
              </w:rPr>
              <w:t>，</w:t>
            </w:r>
            <w:r>
              <w:rPr>
                <w:rFonts w:hint="eastAsia"/>
                <w:color w:val="auto"/>
                <w:highlight w:val="none"/>
                <w:lang w:val="en-US" w:eastAsia="zh-CN"/>
              </w:rPr>
              <w:t>良得3分</w:t>
            </w:r>
          </w:p>
          <w:p w14:paraId="60ADD325">
            <w:pPr>
              <w:spacing w:line="276" w:lineRule="auto"/>
              <w:rPr>
                <w:rFonts w:hint="eastAsia"/>
                <w:color w:val="auto"/>
                <w:highlight w:val="none"/>
              </w:rPr>
            </w:pPr>
            <w:r>
              <w:rPr>
                <w:rFonts w:hint="eastAsia"/>
                <w:color w:val="auto"/>
                <w:highlight w:val="none"/>
                <w:lang w:val="en-US" w:eastAsia="zh-CN"/>
              </w:rPr>
              <w:t>3、</w:t>
            </w:r>
            <w:r>
              <w:rPr>
                <w:rFonts w:hint="eastAsia"/>
                <w:color w:val="auto"/>
                <w:highlight w:val="none"/>
              </w:rPr>
              <w:t>有建筑垃圾处理方案（现场破除的旧路面混凝土、砖渣等用于临时便道基础使用），采取污染防治措施，并承诺除临时施工便道外主体工程不得使用建筑垃圾，且现场土方利用须确保不参杂腐殖土。根据场地地质情况和标高，合理优化施工工艺与施工工序，平衡挖方与填方量，减少场地内土方外运。对既有结构有基本保护施工措施；有基本的相关工程施工方案。有氢燃料电池汽车投入应用措施（混凝土搅拌车和建筑废弃物运输车中氢燃料电池汽车的投入比例≥30%，（即：投入的氢燃料电池汽车/投入的总车辆数≥30%））</w:t>
            </w:r>
            <w:r>
              <w:rPr>
                <w:rFonts w:hint="eastAsia"/>
                <w:color w:val="auto"/>
                <w:highlight w:val="none"/>
                <w:lang w:eastAsia="zh-CN"/>
              </w:rPr>
              <w:t>，</w:t>
            </w:r>
            <w:r>
              <w:rPr>
                <w:rFonts w:hint="eastAsia"/>
                <w:color w:val="auto"/>
                <w:highlight w:val="none"/>
                <w:lang w:val="en-US" w:eastAsia="zh-CN"/>
              </w:rPr>
              <w:t>一般得1分</w:t>
            </w:r>
            <w:r>
              <w:rPr>
                <w:rFonts w:hint="eastAsia"/>
                <w:color w:val="auto"/>
                <w:highlight w:val="none"/>
              </w:rPr>
              <w:t>。</w:t>
            </w:r>
          </w:p>
          <w:p w14:paraId="54123509">
            <w:pPr>
              <w:spacing w:line="276" w:lineRule="auto"/>
              <w:rPr>
                <w:rFonts w:ascii="宋体" w:hAnsi="宋体"/>
                <w:color w:val="auto"/>
                <w:szCs w:val="21"/>
                <w:highlight w:val="none"/>
              </w:rPr>
            </w:pPr>
            <w:r>
              <w:rPr>
                <w:rFonts w:hint="eastAsia"/>
                <w:color w:val="auto"/>
                <w:highlight w:val="none"/>
                <w:lang w:val="en-US" w:eastAsia="zh-CN"/>
              </w:rPr>
              <w:t>4、</w:t>
            </w:r>
            <w:r>
              <w:rPr>
                <w:rFonts w:hint="eastAsia"/>
                <w:color w:val="auto"/>
                <w:highlight w:val="none"/>
              </w:rPr>
              <w:t>无建筑垃圾处理方案及污染防治措施，无既有结构保护措施的</w:t>
            </w:r>
            <w:r>
              <w:rPr>
                <w:rFonts w:hint="eastAsia"/>
                <w:color w:val="auto"/>
                <w:highlight w:val="none"/>
                <w:lang w:eastAsia="zh-CN"/>
              </w:rPr>
              <w:t>，</w:t>
            </w:r>
            <w:r>
              <w:rPr>
                <w:rFonts w:hint="eastAsia"/>
                <w:color w:val="auto"/>
                <w:highlight w:val="none"/>
                <w:lang w:val="en-US" w:eastAsia="zh-CN"/>
              </w:rPr>
              <w:t>得0</w:t>
            </w:r>
            <w:r>
              <w:rPr>
                <w:rFonts w:hint="eastAsia"/>
                <w:color w:val="auto"/>
                <w:highlight w:val="none"/>
              </w:rPr>
              <w:t>分。</w:t>
            </w:r>
          </w:p>
        </w:tc>
      </w:tr>
      <w:tr w14:paraId="5EA74C2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52523CC1">
            <w:pPr>
              <w:widowControl/>
              <w:jc w:val="left"/>
              <w:rPr>
                <w:color w:val="auto"/>
                <w:szCs w:val="21"/>
                <w:highlight w:val="none"/>
              </w:rPr>
            </w:pPr>
          </w:p>
        </w:tc>
        <w:tc>
          <w:tcPr>
            <w:tcW w:w="840" w:type="dxa"/>
            <w:vMerge w:val="continue"/>
            <w:tcBorders>
              <w:left w:val="single" w:color="auto" w:sz="4" w:space="0"/>
              <w:right w:val="single" w:color="auto" w:sz="4" w:space="0"/>
            </w:tcBorders>
            <w:vAlign w:val="center"/>
          </w:tcPr>
          <w:p w14:paraId="53C121E4">
            <w:pPr>
              <w:pStyle w:val="30"/>
              <w:widowControl/>
              <w:spacing w:line="216" w:lineRule="atLeast"/>
              <w:jc w:val="center"/>
              <w:rPr>
                <w:rFonts w:ascii="宋体" w:hAnsi="宋体"/>
                <w:color w:val="auto"/>
                <w:sz w:val="21"/>
                <w:szCs w:val="21"/>
                <w:highlight w:val="none"/>
              </w:rPr>
            </w:pPr>
          </w:p>
        </w:tc>
        <w:tc>
          <w:tcPr>
            <w:tcW w:w="1231" w:type="dxa"/>
            <w:tcBorders>
              <w:left w:val="single" w:color="auto" w:sz="4" w:space="0"/>
              <w:right w:val="single" w:color="auto" w:sz="4" w:space="0"/>
            </w:tcBorders>
            <w:vAlign w:val="center"/>
          </w:tcPr>
          <w:p w14:paraId="3964F3DB">
            <w:pPr>
              <w:autoSpaceDE w:val="0"/>
              <w:autoSpaceDN w:val="0"/>
              <w:adjustRightInd w:val="0"/>
              <w:spacing w:line="400" w:lineRule="exact"/>
              <w:jc w:val="center"/>
              <w:rPr>
                <w:rFonts w:ascii="宋体" w:hAnsi="宋体"/>
                <w:color w:val="auto"/>
                <w:szCs w:val="21"/>
                <w:highlight w:val="none"/>
              </w:rPr>
            </w:pPr>
            <w:r>
              <w:rPr>
                <w:rFonts w:hint="eastAsia" w:ascii="宋体" w:hAnsi="宋体" w:cs="宋体"/>
                <w:color w:val="auto"/>
                <w:szCs w:val="21"/>
                <w:highlight w:val="none"/>
              </w:rPr>
              <w:t>安全控制措施</w:t>
            </w:r>
          </w:p>
        </w:tc>
        <w:tc>
          <w:tcPr>
            <w:tcW w:w="666" w:type="dxa"/>
            <w:tcBorders>
              <w:top w:val="single" w:color="auto" w:sz="4" w:space="0"/>
              <w:left w:val="single" w:color="auto" w:sz="4" w:space="0"/>
              <w:bottom w:val="single" w:color="auto" w:sz="4" w:space="0"/>
              <w:right w:val="single" w:color="auto" w:sz="4" w:space="0"/>
            </w:tcBorders>
            <w:vAlign w:val="center"/>
          </w:tcPr>
          <w:p w14:paraId="20DACA3A">
            <w:pPr>
              <w:pStyle w:val="30"/>
              <w:widowControl/>
              <w:spacing w:line="216" w:lineRule="atLeast"/>
              <w:jc w:val="center"/>
              <w:rPr>
                <w:rFonts w:ascii="宋体" w:hAnsi="宋体"/>
                <w:color w:val="auto"/>
                <w:sz w:val="21"/>
                <w:szCs w:val="21"/>
                <w:highlight w:val="none"/>
              </w:rPr>
            </w:pPr>
            <w:r>
              <w:rPr>
                <w:rFonts w:ascii="宋体" w:hAnsi="宋体" w:cs="宋体"/>
                <w:color w:val="auto"/>
                <w:sz w:val="21"/>
                <w:szCs w:val="21"/>
                <w:highlight w:val="none"/>
              </w:rPr>
              <w:t>5</w:t>
            </w:r>
          </w:p>
        </w:tc>
        <w:tc>
          <w:tcPr>
            <w:tcW w:w="10071" w:type="dxa"/>
            <w:tcBorders>
              <w:top w:val="single" w:color="auto" w:sz="4" w:space="0"/>
              <w:left w:val="single" w:color="auto" w:sz="4" w:space="0"/>
              <w:bottom w:val="single" w:color="auto" w:sz="4" w:space="0"/>
              <w:right w:val="single" w:color="auto" w:sz="4" w:space="0"/>
            </w:tcBorders>
            <w:vAlign w:val="center"/>
          </w:tcPr>
          <w:p w14:paraId="4B3BEE8E">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w:t>
            </w:r>
            <w:r>
              <w:rPr>
                <w:rFonts w:hint="eastAsia" w:ascii="宋体" w:hAnsi="宋体" w:cs="宋体"/>
                <w:color w:val="auto"/>
                <w:sz w:val="21"/>
                <w:szCs w:val="21"/>
                <w:highlight w:val="none"/>
              </w:rPr>
              <w:t>安全控制措施</w:t>
            </w:r>
            <w:r>
              <w:rPr>
                <w:rFonts w:hint="eastAsia" w:ascii="宋体" w:hAnsi="宋体"/>
                <w:color w:val="auto"/>
                <w:sz w:val="21"/>
                <w:szCs w:val="21"/>
                <w:highlight w:val="none"/>
              </w:rPr>
              <w:t>，有得</w:t>
            </w:r>
            <w:r>
              <w:rPr>
                <w:rFonts w:ascii="宋体" w:hAnsi="宋体"/>
                <w:color w:val="auto"/>
                <w:sz w:val="21"/>
                <w:szCs w:val="21"/>
                <w:highlight w:val="none"/>
              </w:rPr>
              <w:t>1</w:t>
            </w:r>
            <w:r>
              <w:rPr>
                <w:rFonts w:hint="eastAsia" w:ascii="宋体" w:hAnsi="宋体"/>
                <w:color w:val="auto"/>
                <w:sz w:val="21"/>
                <w:szCs w:val="21"/>
                <w:highlight w:val="none"/>
              </w:rPr>
              <w:t>分，无得</w:t>
            </w:r>
            <w:r>
              <w:rPr>
                <w:rFonts w:ascii="宋体" w:hAnsi="宋体"/>
                <w:color w:val="auto"/>
                <w:sz w:val="21"/>
                <w:szCs w:val="21"/>
                <w:highlight w:val="none"/>
              </w:rPr>
              <w:t>0</w:t>
            </w:r>
            <w:r>
              <w:rPr>
                <w:rFonts w:hint="eastAsia" w:ascii="宋体" w:hAnsi="宋体"/>
                <w:color w:val="auto"/>
                <w:sz w:val="21"/>
                <w:szCs w:val="21"/>
                <w:highlight w:val="none"/>
              </w:rPr>
              <w:t>分；</w:t>
            </w:r>
          </w:p>
          <w:p w14:paraId="38AFC424">
            <w:pPr>
              <w:pStyle w:val="3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、上述方案确保不发生等级安全事故，安全文明施工措施完整、具体、可行、合理，在典型位置的安全措施先进可靠，对降低施工作业周边的影响有合理可行的措施。优得</w:t>
            </w:r>
            <w:r>
              <w:rPr>
                <w:rFonts w:ascii="宋体" w:hAnsi="宋体"/>
                <w:color w:val="auto"/>
                <w:sz w:val="21"/>
                <w:szCs w:val="21"/>
                <w:highlight w:val="none"/>
              </w:rPr>
              <w:t>4</w:t>
            </w:r>
            <w:r>
              <w:rPr>
                <w:rFonts w:hint="eastAsia" w:ascii="宋体" w:hAnsi="宋体"/>
                <w:color w:val="auto"/>
                <w:sz w:val="21"/>
                <w:szCs w:val="21"/>
                <w:highlight w:val="none"/>
              </w:rPr>
              <w:t>分，良得</w:t>
            </w:r>
            <w:r>
              <w:rPr>
                <w:rFonts w:ascii="宋体" w:hAnsi="宋体"/>
                <w:color w:val="auto"/>
                <w:sz w:val="21"/>
                <w:szCs w:val="21"/>
                <w:highlight w:val="none"/>
              </w:rPr>
              <w:t>2</w:t>
            </w:r>
            <w:r>
              <w:rPr>
                <w:rFonts w:hint="eastAsia" w:ascii="宋体" w:hAnsi="宋体"/>
                <w:color w:val="auto"/>
                <w:sz w:val="21"/>
                <w:szCs w:val="21"/>
                <w:highlight w:val="none"/>
              </w:rPr>
              <w:t>分，一般得</w:t>
            </w:r>
            <w:r>
              <w:rPr>
                <w:rFonts w:ascii="宋体" w:hAnsi="宋体"/>
                <w:color w:val="auto"/>
                <w:sz w:val="21"/>
                <w:szCs w:val="21"/>
                <w:highlight w:val="none"/>
              </w:rPr>
              <w:t>1</w:t>
            </w:r>
            <w:r>
              <w:rPr>
                <w:rFonts w:hint="eastAsia" w:ascii="宋体" w:hAnsi="宋体"/>
                <w:color w:val="auto"/>
                <w:sz w:val="21"/>
                <w:szCs w:val="21"/>
                <w:highlight w:val="none"/>
              </w:rPr>
              <w:t>分。</w:t>
            </w:r>
          </w:p>
        </w:tc>
      </w:tr>
      <w:tr w14:paraId="7652BA2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68CCB1C2">
            <w:pPr>
              <w:widowControl/>
              <w:jc w:val="left"/>
              <w:rPr>
                <w:color w:val="auto"/>
                <w:szCs w:val="21"/>
                <w:highlight w:val="none"/>
              </w:rPr>
            </w:pPr>
          </w:p>
        </w:tc>
        <w:tc>
          <w:tcPr>
            <w:tcW w:w="840" w:type="dxa"/>
            <w:vMerge w:val="continue"/>
            <w:tcBorders>
              <w:left w:val="single" w:color="auto" w:sz="4" w:space="0"/>
              <w:right w:val="single" w:color="auto" w:sz="4" w:space="0"/>
            </w:tcBorders>
            <w:vAlign w:val="center"/>
          </w:tcPr>
          <w:p w14:paraId="14EF4802">
            <w:pPr>
              <w:pStyle w:val="30"/>
              <w:widowControl/>
              <w:spacing w:line="216" w:lineRule="atLeast"/>
              <w:jc w:val="center"/>
              <w:rPr>
                <w:rFonts w:ascii="宋体" w:hAnsi="宋体"/>
                <w:color w:val="auto"/>
                <w:sz w:val="21"/>
                <w:szCs w:val="21"/>
                <w:highlight w:val="none"/>
              </w:rPr>
            </w:pPr>
          </w:p>
        </w:tc>
        <w:tc>
          <w:tcPr>
            <w:tcW w:w="1231" w:type="dxa"/>
            <w:tcBorders>
              <w:left w:val="single" w:color="auto" w:sz="4" w:space="0"/>
              <w:right w:val="single" w:color="auto" w:sz="4" w:space="0"/>
            </w:tcBorders>
            <w:vAlign w:val="center"/>
          </w:tcPr>
          <w:p w14:paraId="7752C7B2">
            <w:pPr>
              <w:pStyle w:val="30"/>
              <w:widowControl/>
              <w:spacing w:line="216" w:lineRule="atLeast"/>
              <w:jc w:val="center"/>
              <w:rPr>
                <w:rFonts w:ascii="宋体" w:hAnsi="宋体"/>
                <w:color w:val="auto"/>
                <w:sz w:val="21"/>
                <w:szCs w:val="21"/>
                <w:highlight w:val="none"/>
              </w:rPr>
            </w:pPr>
            <w:r>
              <w:rPr>
                <w:rFonts w:hint="eastAsia" w:ascii="宋体" w:hAnsi="宋体"/>
                <w:color w:val="auto"/>
                <w:sz w:val="21"/>
                <w:szCs w:val="21"/>
                <w:highlight w:val="none"/>
              </w:rPr>
              <w:t>质量控制措施</w:t>
            </w:r>
          </w:p>
        </w:tc>
        <w:tc>
          <w:tcPr>
            <w:tcW w:w="666" w:type="dxa"/>
            <w:tcBorders>
              <w:top w:val="single" w:color="auto" w:sz="4" w:space="0"/>
              <w:left w:val="single" w:color="auto" w:sz="4" w:space="0"/>
              <w:bottom w:val="single" w:color="auto" w:sz="4" w:space="0"/>
              <w:right w:val="single" w:color="auto" w:sz="4" w:space="0"/>
            </w:tcBorders>
            <w:vAlign w:val="center"/>
          </w:tcPr>
          <w:p w14:paraId="6E0E3432">
            <w:pPr>
              <w:pStyle w:val="30"/>
              <w:widowControl/>
              <w:spacing w:line="216" w:lineRule="atLeast"/>
              <w:jc w:val="center"/>
              <w:rPr>
                <w:rFonts w:ascii="宋体" w:hAnsi="宋体"/>
                <w:color w:val="auto"/>
                <w:sz w:val="21"/>
                <w:szCs w:val="21"/>
                <w:highlight w:val="none"/>
              </w:rPr>
            </w:pPr>
            <w:r>
              <w:rPr>
                <w:rFonts w:ascii="宋体" w:hAnsi="宋体"/>
                <w:color w:val="auto"/>
                <w:sz w:val="21"/>
                <w:szCs w:val="21"/>
                <w:highlight w:val="none"/>
              </w:rPr>
              <w:t>5</w:t>
            </w:r>
          </w:p>
        </w:tc>
        <w:tc>
          <w:tcPr>
            <w:tcW w:w="10071" w:type="dxa"/>
            <w:tcBorders>
              <w:top w:val="single" w:color="auto" w:sz="4" w:space="0"/>
              <w:left w:val="single" w:color="auto" w:sz="4" w:space="0"/>
              <w:bottom w:val="single" w:color="auto" w:sz="4" w:space="0"/>
              <w:right w:val="single" w:color="auto" w:sz="4" w:space="0"/>
            </w:tcBorders>
            <w:vAlign w:val="center"/>
          </w:tcPr>
          <w:p w14:paraId="5B9D8EDC">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、质量控制措施，有得</w:t>
            </w:r>
            <w:r>
              <w:rPr>
                <w:rFonts w:ascii="宋体" w:hAnsi="宋体"/>
                <w:color w:val="auto"/>
                <w:sz w:val="21"/>
                <w:szCs w:val="21"/>
                <w:highlight w:val="none"/>
              </w:rPr>
              <w:t>1</w:t>
            </w:r>
            <w:r>
              <w:rPr>
                <w:rFonts w:hint="eastAsia" w:ascii="宋体" w:hAnsi="宋体"/>
                <w:color w:val="auto"/>
                <w:sz w:val="21"/>
                <w:szCs w:val="21"/>
                <w:highlight w:val="none"/>
              </w:rPr>
              <w:t>分，无得</w:t>
            </w:r>
            <w:r>
              <w:rPr>
                <w:rFonts w:ascii="宋体" w:hAnsi="宋体"/>
                <w:color w:val="auto"/>
                <w:sz w:val="21"/>
                <w:szCs w:val="21"/>
                <w:highlight w:val="none"/>
              </w:rPr>
              <w:t>0</w:t>
            </w:r>
            <w:r>
              <w:rPr>
                <w:rFonts w:hint="eastAsia" w:ascii="宋体" w:hAnsi="宋体"/>
                <w:color w:val="auto"/>
                <w:sz w:val="21"/>
                <w:szCs w:val="21"/>
                <w:highlight w:val="none"/>
              </w:rPr>
              <w:t>分；</w:t>
            </w:r>
          </w:p>
          <w:p w14:paraId="3F59A909">
            <w:pPr>
              <w:pStyle w:val="3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、根据本工程的质量目标，针对项目的特点，从质量保证体系、材料的检测、质量通病的防治等方面提出详细的质量保证措施。优得</w:t>
            </w:r>
            <w:r>
              <w:rPr>
                <w:rFonts w:ascii="宋体" w:hAnsi="宋体"/>
                <w:color w:val="auto"/>
                <w:sz w:val="21"/>
                <w:szCs w:val="21"/>
                <w:highlight w:val="none"/>
              </w:rPr>
              <w:t>4</w:t>
            </w:r>
            <w:r>
              <w:rPr>
                <w:rFonts w:hint="eastAsia" w:ascii="宋体" w:hAnsi="宋体"/>
                <w:color w:val="auto"/>
                <w:sz w:val="21"/>
                <w:szCs w:val="21"/>
                <w:highlight w:val="none"/>
              </w:rPr>
              <w:t>分，良得</w:t>
            </w:r>
            <w:r>
              <w:rPr>
                <w:rFonts w:ascii="宋体" w:hAnsi="宋体"/>
                <w:color w:val="auto"/>
                <w:sz w:val="21"/>
                <w:szCs w:val="21"/>
                <w:highlight w:val="none"/>
              </w:rPr>
              <w:t>2</w:t>
            </w:r>
            <w:r>
              <w:rPr>
                <w:rFonts w:hint="eastAsia" w:ascii="宋体" w:hAnsi="宋体"/>
                <w:color w:val="auto"/>
                <w:sz w:val="21"/>
                <w:szCs w:val="21"/>
                <w:highlight w:val="none"/>
              </w:rPr>
              <w:t>分，一般得</w:t>
            </w:r>
            <w:r>
              <w:rPr>
                <w:rFonts w:ascii="宋体" w:hAnsi="宋体"/>
                <w:color w:val="auto"/>
                <w:sz w:val="21"/>
                <w:szCs w:val="21"/>
                <w:highlight w:val="none"/>
              </w:rPr>
              <w:t>1</w:t>
            </w:r>
            <w:r>
              <w:rPr>
                <w:rFonts w:hint="eastAsia" w:ascii="宋体" w:hAnsi="宋体"/>
                <w:color w:val="auto"/>
                <w:sz w:val="21"/>
                <w:szCs w:val="21"/>
                <w:highlight w:val="none"/>
              </w:rPr>
              <w:t>分。</w:t>
            </w:r>
          </w:p>
        </w:tc>
      </w:tr>
      <w:tr w14:paraId="2712E6D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742222DD">
            <w:pPr>
              <w:widowControl/>
              <w:jc w:val="left"/>
              <w:rPr>
                <w:color w:val="auto"/>
                <w:szCs w:val="21"/>
                <w:highlight w:val="none"/>
              </w:rPr>
            </w:pPr>
          </w:p>
        </w:tc>
        <w:tc>
          <w:tcPr>
            <w:tcW w:w="840" w:type="dxa"/>
            <w:vMerge w:val="continue"/>
            <w:tcBorders>
              <w:left w:val="single" w:color="auto" w:sz="4" w:space="0"/>
              <w:right w:val="single" w:color="auto" w:sz="4" w:space="0"/>
            </w:tcBorders>
            <w:vAlign w:val="center"/>
          </w:tcPr>
          <w:p w14:paraId="3B2A6913">
            <w:pPr>
              <w:pStyle w:val="30"/>
              <w:widowControl/>
              <w:spacing w:line="216" w:lineRule="atLeast"/>
              <w:jc w:val="center"/>
              <w:rPr>
                <w:rFonts w:ascii="宋体" w:hAnsi="宋体"/>
                <w:color w:val="auto"/>
                <w:sz w:val="21"/>
                <w:szCs w:val="21"/>
                <w:highlight w:val="none"/>
              </w:rPr>
            </w:pPr>
          </w:p>
        </w:tc>
        <w:tc>
          <w:tcPr>
            <w:tcW w:w="1231" w:type="dxa"/>
            <w:tcBorders>
              <w:left w:val="single" w:color="auto" w:sz="4" w:space="0"/>
              <w:right w:val="single" w:color="auto" w:sz="4" w:space="0"/>
            </w:tcBorders>
            <w:vAlign w:val="center"/>
          </w:tcPr>
          <w:p w14:paraId="251567DC">
            <w:pPr>
              <w:pStyle w:val="30"/>
              <w:widowControl/>
              <w:spacing w:line="216" w:lineRule="atLeast"/>
              <w:jc w:val="center"/>
              <w:rPr>
                <w:rFonts w:ascii="宋体" w:hAnsi="宋体"/>
                <w:color w:val="auto"/>
                <w:sz w:val="21"/>
                <w:szCs w:val="21"/>
                <w:highlight w:val="none"/>
              </w:rPr>
            </w:pPr>
            <w:r>
              <w:rPr>
                <w:rFonts w:hint="eastAsia" w:ascii="宋体" w:hAnsi="宋体"/>
                <w:color w:val="auto"/>
                <w:sz w:val="21"/>
                <w:szCs w:val="21"/>
                <w:highlight w:val="none"/>
              </w:rPr>
              <w:t>进度控制措施</w:t>
            </w:r>
          </w:p>
        </w:tc>
        <w:tc>
          <w:tcPr>
            <w:tcW w:w="666" w:type="dxa"/>
            <w:tcBorders>
              <w:top w:val="single" w:color="auto" w:sz="4" w:space="0"/>
              <w:left w:val="single" w:color="auto" w:sz="4" w:space="0"/>
              <w:bottom w:val="single" w:color="auto" w:sz="4" w:space="0"/>
              <w:right w:val="single" w:color="auto" w:sz="4" w:space="0"/>
            </w:tcBorders>
            <w:vAlign w:val="center"/>
          </w:tcPr>
          <w:p w14:paraId="54FAAAC6">
            <w:pPr>
              <w:pStyle w:val="30"/>
              <w:widowControl/>
              <w:spacing w:line="216" w:lineRule="atLeast"/>
              <w:jc w:val="center"/>
              <w:rPr>
                <w:rFonts w:ascii="宋体" w:hAnsi="宋体"/>
                <w:color w:val="auto"/>
                <w:sz w:val="21"/>
                <w:szCs w:val="21"/>
                <w:highlight w:val="none"/>
              </w:rPr>
            </w:pPr>
            <w:r>
              <w:rPr>
                <w:rFonts w:ascii="宋体" w:hAnsi="宋体"/>
                <w:color w:val="auto"/>
                <w:sz w:val="21"/>
                <w:szCs w:val="21"/>
                <w:highlight w:val="none"/>
              </w:rPr>
              <w:t>4</w:t>
            </w:r>
          </w:p>
        </w:tc>
        <w:tc>
          <w:tcPr>
            <w:tcW w:w="10071" w:type="dxa"/>
            <w:tcBorders>
              <w:top w:val="single" w:color="auto" w:sz="4" w:space="0"/>
              <w:left w:val="single" w:color="auto" w:sz="4" w:space="0"/>
              <w:bottom w:val="single" w:color="auto" w:sz="4" w:space="0"/>
              <w:right w:val="single" w:color="auto" w:sz="4" w:space="0"/>
            </w:tcBorders>
            <w:vAlign w:val="center"/>
          </w:tcPr>
          <w:p w14:paraId="52F12CD1">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、进度控制措施，有得</w:t>
            </w:r>
            <w:r>
              <w:rPr>
                <w:rFonts w:ascii="宋体" w:hAnsi="宋体"/>
                <w:color w:val="auto"/>
                <w:sz w:val="21"/>
                <w:szCs w:val="21"/>
                <w:highlight w:val="none"/>
              </w:rPr>
              <w:t>1</w:t>
            </w:r>
            <w:r>
              <w:rPr>
                <w:rFonts w:hint="eastAsia" w:ascii="宋体" w:hAnsi="宋体"/>
                <w:color w:val="auto"/>
                <w:sz w:val="21"/>
                <w:szCs w:val="21"/>
                <w:highlight w:val="none"/>
              </w:rPr>
              <w:t>分，无得</w:t>
            </w:r>
            <w:r>
              <w:rPr>
                <w:rFonts w:ascii="宋体" w:hAnsi="宋体"/>
                <w:color w:val="auto"/>
                <w:sz w:val="21"/>
                <w:szCs w:val="21"/>
                <w:highlight w:val="none"/>
              </w:rPr>
              <w:t>0</w:t>
            </w:r>
            <w:r>
              <w:rPr>
                <w:rFonts w:hint="eastAsia" w:ascii="宋体" w:hAnsi="宋体"/>
                <w:color w:val="auto"/>
                <w:sz w:val="21"/>
                <w:szCs w:val="21"/>
                <w:highlight w:val="none"/>
              </w:rPr>
              <w:t>分；</w:t>
            </w:r>
          </w:p>
          <w:p w14:paraId="3A2787D3">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、分析准确、措施得当。针对项目特点编制施工总进度计划及工期保证措施，确保实现工程进度目标。优得</w:t>
            </w:r>
            <w:r>
              <w:rPr>
                <w:rFonts w:ascii="宋体" w:hAnsi="宋体"/>
                <w:color w:val="auto"/>
                <w:sz w:val="21"/>
                <w:szCs w:val="21"/>
                <w:highlight w:val="none"/>
              </w:rPr>
              <w:t>3</w:t>
            </w:r>
            <w:r>
              <w:rPr>
                <w:rFonts w:hint="eastAsia" w:ascii="宋体" w:hAnsi="宋体"/>
                <w:color w:val="auto"/>
                <w:sz w:val="21"/>
                <w:szCs w:val="21"/>
                <w:highlight w:val="none"/>
              </w:rPr>
              <w:t>分，良得</w:t>
            </w:r>
            <w:r>
              <w:rPr>
                <w:rFonts w:ascii="宋体" w:hAnsi="宋体"/>
                <w:color w:val="auto"/>
                <w:sz w:val="21"/>
                <w:szCs w:val="21"/>
                <w:highlight w:val="none"/>
              </w:rPr>
              <w:t>2</w:t>
            </w:r>
            <w:r>
              <w:rPr>
                <w:rFonts w:hint="eastAsia" w:ascii="宋体" w:hAnsi="宋体"/>
                <w:color w:val="auto"/>
                <w:sz w:val="21"/>
                <w:szCs w:val="21"/>
                <w:highlight w:val="none"/>
              </w:rPr>
              <w:t>分，一般得</w:t>
            </w:r>
            <w:r>
              <w:rPr>
                <w:rFonts w:ascii="宋体" w:hAnsi="宋体"/>
                <w:color w:val="auto"/>
                <w:sz w:val="21"/>
                <w:szCs w:val="21"/>
                <w:highlight w:val="none"/>
              </w:rPr>
              <w:t>1</w:t>
            </w:r>
            <w:r>
              <w:rPr>
                <w:rFonts w:hint="eastAsia" w:ascii="宋体" w:hAnsi="宋体"/>
                <w:color w:val="auto"/>
                <w:sz w:val="21"/>
                <w:szCs w:val="21"/>
                <w:highlight w:val="none"/>
              </w:rPr>
              <w:t>分。</w:t>
            </w:r>
          </w:p>
        </w:tc>
      </w:tr>
      <w:tr w14:paraId="4C56672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557F5C88">
            <w:pPr>
              <w:widowControl/>
              <w:jc w:val="left"/>
              <w:rPr>
                <w:color w:val="auto"/>
                <w:szCs w:val="21"/>
                <w:highlight w:val="none"/>
              </w:rPr>
            </w:pPr>
          </w:p>
        </w:tc>
        <w:tc>
          <w:tcPr>
            <w:tcW w:w="840" w:type="dxa"/>
            <w:vMerge w:val="continue"/>
            <w:tcBorders>
              <w:left w:val="single" w:color="auto" w:sz="4" w:space="0"/>
              <w:right w:val="single" w:color="auto" w:sz="4" w:space="0"/>
            </w:tcBorders>
            <w:vAlign w:val="center"/>
          </w:tcPr>
          <w:p w14:paraId="3FDB5EEA">
            <w:pPr>
              <w:pStyle w:val="30"/>
              <w:widowControl/>
              <w:spacing w:line="216" w:lineRule="atLeast"/>
              <w:jc w:val="center"/>
              <w:rPr>
                <w:rFonts w:ascii="宋体" w:hAnsi="宋体"/>
                <w:color w:val="auto"/>
                <w:sz w:val="21"/>
                <w:szCs w:val="21"/>
                <w:highlight w:val="none"/>
              </w:rPr>
            </w:pPr>
          </w:p>
        </w:tc>
        <w:tc>
          <w:tcPr>
            <w:tcW w:w="1231" w:type="dxa"/>
            <w:tcBorders>
              <w:left w:val="single" w:color="auto" w:sz="4" w:space="0"/>
              <w:right w:val="single" w:color="auto" w:sz="4" w:space="0"/>
            </w:tcBorders>
            <w:vAlign w:val="center"/>
          </w:tcPr>
          <w:p w14:paraId="56FC4692">
            <w:pPr>
              <w:pStyle w:val="30"/>
              <w:widowControl/>
              <w:spacing w:line="216" w:lineRule="atLeast"/>
              <w:jc w:val="center"/>
              <w:rPr>
                <w:rFonts w:ascii="宋体" w:hAnsi="宋体"/>
                <w:color w:val="auto"/>
                <w:sz w:val="21"/>
                <w:szCs w:val="21"/>
                <w:highlight w:val="none"/>
              </w:rPr>
            </w:pPr>
            <w:r>
              <w:rPr>
                <w:rFonts w:hint="eastAsia" w:ascii="宋体" w:hAnsi="宋体"/>
                <w:color w:val="auto"/>
                <w:sz w:val="21"/>
                <w:szCs w:val="21"/>
                <w:highlight w:val="none"/>
              </w:rPr>
              <w:t>投资控制措施</w:t>
            </w:r>
          </w:p>
        </w:tc>
        <w:tc>
          <w:tcPr>
            <w:tcW w:w="666" w:type="dxa"/>
            <w:tcBorders>
              <w:top w:val="single" w:color="auto" w:sz="4" w:space="0"/>
              <w:left w:val="single" w:color="auto" w:sz="4" w:space="0"/>
              <w:bottom w:val="single" w:color="auto" w:sz="4" w:space="0"/>
              <w:right w:val="single" w:color="auto" w:sz="4" w:space="0"/>
            </w:tcBorders>
            <w:vAlign w:val="center"/>
          </w:tcPr>
          <w:p w14:paraId="444426AC">
            <w:pPr>
              <w:pStyle w:val="30"/>
              <w:widowControl/>
              <w:spacing w:line="216" w:lineRule="atLeast"/>
              <w:ind w:firstLine="210" w:firstLineChars="100"/>
              <w:rPr>
                <w:rFonts w:ascii="宋体" w:hAnsi="宋体"/>
                <w:color w:val="auto"/>
                <w:sz w:val="21"/>
                <w:szCs w:val="21"/>
                <w:highlight w:val="none"/>
              </w:rPr>
            </w:pPr>
            <w:r>
              <w:rPr>
                <w:rFonts w:ascii="宋体" w:hAnsi="宋体"/>
                <w:color w:val="auto"/>
                <w:sz w:val="21"/>
                <w:szCs w:val="21"/>
                <w:highlight w:val="none"/>
              </w:rPr>
              <w:t>4</w:t>
            </w:r>
          </w:p>
        </w:tc>
        <w:tc>
          <w:tcPr>
            <w:tcW w:w="10071" w:type="dxa"/>
            <w:tcBorders>
              <w:top w:val="single" w:color="auto" w:sz="4" w:space="0"/>
              <w:left w:val="single" w:color="auto" w:sz="4" w:space="0"/>
              <w:bottom w:val="single" w:color="auto" w:sz="4" w:space="0"/>
              <w:right w:val="single" w:color="auto" w:sz="4" w:space="0"/>
            </w:tcBorders>
            <w:vAlign w:val="center"/>
          </w:tcPr>
          <w:p w14:paraId="39206212">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、投资控制措施，有得</w:t>
            </w:r>
            <w:r>
              <w:rPr>
                <w:rFonts w:ascii="宋体" w:hAnsi="宋体"/>
                <w:color w:val="auto"/>
                <w:sz w:val="21"/>
                <w:szCs w:val="21"/>
                <w:highlight w:val="none"/>
              </w:rPr>
              <w:t>1</w:t>
            </w:r>
            <w:r>
              <w:rPr>
                <w:rFonts w:hint="eastAsia" w:ascii="宋体" w:hAnsi="宋体"/>
                <w:color w:val="auto"/>
                <w:sz w:val="21"/>
                <w:szCs w:val="21"/>
                <w:highlight w:val="none"/>
              </w:rPr>
              <w:t>分，无得</w:t>
            </w:r>
            <w:r>
              <w:rPr>
                <w:rFonts w:ascii="宋体" w:hAnsi="宋体"/>
                <w:color w:val="auto"/>
                <w:sz w:val="21"/>
                <w:szCs w:val="21"/>
                <w:highlight w:val="none"/>
              </w:rPr>
              <w:t>0</w:t>
            </w:r>
            <w:r>
              <w:rPr>
                <w:rFonts w:hint="eastAsia" w:ascii="宋体" w:hAnsi="宋体"/>
                <w:color w:val="auto"/>
                <w:sz w:val="21"/>
                <w:szCs w:val="21"/>
                <w:highlight w:val="none"/>
              </w:rPr>
              <w:t>分；</w:t>
            </w:r>
          </w:p>
          <w:p w14:paraId="3DE38439">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、建设过程中，总承包商能有效保证业主利益，有效降低业主投资风险的措施。优得</w:t>
            </w:r>
            <w:r>
              <w:rPr>
                <w:rFonts w:ascii="宋体" w:hAnsi="宋体"/>
                <w:color w:val="auto"/>
                <w:sz w:val="21"/>
                <w:szCs w:val="21"/>
                <w:highlight w:val="none"/>
              </w:rPr>
              <w:t>3</w:t>
            </w:r>
            <w:r>
              <w:rPr>
                <w:rFonts w:hint="eastAsia" w:ascii="宋体" w:hAnsi="宋体"/>
                <w:color w:val="auto"/>
                <w:sz w:val="21"/>
                <w:szCs w:val="21"/>
                <w:highlight w:val="none"/>
              </w:rPr>
              <w:t>分，良得</w:t>
            </w:r>
            <w:r>
              <w:rPr>
                <w:rFonts w:ascii="宋体" w:hAnsi="宋体"/>
                <w:color w:val="auto"/>
                <w:sz w:val="21"/>
                <w:szCs w:val="21"/>
                <w:highlight w:val="none"/>
              </w:rPr>
              <w:t>2</w:t>
            </w:r>
            <w:r>
              <w:rPr>
                <w:rFonts w:hint="eastAsia" w:ascii="宋体" w:hAnsi="宋体"/>
                <w:color w:val="auto"/>
                <w:sz w:val="21"/>
                <w:szCs w:val="21"/>
                <w:highlight w:val="none"/>
              </w:rPr>
              <w:t>分，一般得</w:t>
            </w:r>
            <w:r>
              <w:rPr>
                <w:rFonts w:ascii="宋体" w:hAnsi="宋体"/>
                <w:color w:val="auto"/>
                <w:sz w:val="21"/>
                <w:szCs w:val="21"/>
                <w:highlight w:val="none"/>
              </w:rPr>
              <w:t>1</w:t>
            </w:r>
            <w:r>
              <w:rPr>
                <w:rFonts w:hint="eastAsia" w:ascii="宋体" w:hAnsi="宋体"/>
                <w:color w:val="auto"/>
                <w:sz w:val="21"/>
                <w:szCs w:val="21"/>
                <w:highlight w:val="none"/>
              </w:rPr>
              <w:t>分。</w:t>
            </w:r>
          </w:p>
        </w:tc>
      </w:tr>
      <w:tr w14:paraId="241B05E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14C4DDD5">
            <w:pPr>
              <w:widowControl/>
              <w:jc w:val="left"/>
              <w:rPr>
                <w:color w:val="auto"/>
                <w:szCs w:val="21"/>
                <w:highlight w:val="none"/>
              </w:rPr>
            </w:pPr>
          </w:p>
        </w:tc>
        <w:tc>
          <w:tcPr>
            <w:tcW w:w="840" w:type="dxa"/>
            <w:vMerge w:val="continue"/>
            <w:tcBorders>
              <w:left w:val="single" w:color="auto" w:sz="4" w:space="0"/>
              <w:right w:val="single" w:color="auto" w:sz="4" w:space="0"/>
            </w:tcBorders>
            <w:vAlign w:val="center"/>
          </w:tcPr>
          <w:p w14:paraId="1EDEAB4A">
            <w:pPr>
              <w:pStyle w:val="30"/>
              <w:widowControl/>
              <w:spacing w:line="216" w:lineRule="atLeast"/>
              <w:jc w:val="center"/>
              <w:rPr>
                <w:rFonts w:ascii="宋体" w:hAnsi="宋体"/>
                <w:color w:val="auto"/>
                <w:sz w:val="21"/>
                <w:szCs w:val="21"/>
                <w:highlight w:val="none"/>
              </w:rPr>
            </w:pPr>
          </w:p>
        </w:tc>
        <w:tc>
          <w:tcPr>
            <w:tcW w:w="1231" w:type="dxa"/>
            <w:tcBorders>
              <w:left w:val="single" w:color="auto" w:sz="4" w:space="0"/>
              <w:right w:val="single" w:color="auto" w:sz="4" w:space="0"/>
            </w:tcBorders>
            <w:vAlign w:val="center"/>
          </w:tcPr>
          <w:p w14:paraId="4A005080">
            <w:pPr>
              <w:pStyle w:val="30"/>
              <w:widowControl/>
              <w:spacing w:line="216" w:lineRule="atLeast"/>
              <w:jc w:val="center"/>
              <w:rPr>
                <w:rFonts w:ascii="宋体" w:hAnsi="宋体"/>
                <w:color w:val="auto"/>
                <w:sz w:val="21"/>
                <w:szCs w:val="21"/>
                <w:highlight w:val="none"/>
              </w:rPr>
            </w:pPr>
            <w:r>
              <w:rPr>
                <w:rFonts w:hint="eastAsia" w:ascii="宋体" w:hAnsi="宋体"/>
                <w:color w:val="auto"/>
                <w:sz w:val="21"/>
                <w:szCs w:val="21"/>
                <w:highlight w:val="none"/>
              </w:rPr>
              <w:t>工程重点及难点分析及措施</w:t>
            </w:r>
          </w:p>
        </w:tc>
        <w:tc>
          <w:tcPr>
            <w:tcW w:w="666" w:type="dxa"/>
            <w:tcBorders>
              <w:top w:val="single" w:color="auto" w:sz="4" w:space="0"/>
              <w:left w:val="single" w:color="auto" w:sz="4" w:space="0"/>
              <w:bottom w:val="single" w:color="auto" w:sz="4" w:space="0"/>
              <w:right w:val="single" w:color="auto" w:sz="4" w:space="0"/>
            </w:tcBorders>
            <w:vAlign w:val="center"/>
          </w:tcPr>
          <w:p w14:paraId="34C1F5C0">
            <w:pPr>
              <w:pStyle w:val="30"/>
              <w:widowControl/>
              <w:spacing w:line="216" w:lineRule="atLeast"/>
              <w:ind w:firstLine="210" w:firstLineChars="100"/>
              <w:rPr>
                <w:rFonts w:ascii="宋体" w:hAnsi="宋体"/>
                <w:color w:val="auto"/>
                <w:sz w:val="21"/>
                <w:szCs w:val="21"/>
                <w:highlight w:val="none"/>
              </w:rPr>
            </w:pPr>
            <w:r>
              <w:rPr>
                <w:rFonts w:ascii="宋体" w:hAnsi="宋体"/>
                <w:color w:val="auto"/>
                <w:sz w:val="21"/>
                <w:szCs w:val="21"/>
                <w:highlight w:val="none"/>
              </w:rPr>
              <w:t>5</w:t>
            </w:r>
          </w:p>
        </w:tc>
        <w:tc>
          <w:tcPr>
            <w:tcW w:w="10071" w:type="dxa"/>
            <w:tcBorders>
              <w:top w:val="single" w:color="auto" w:sz="4" w:space="0"/>
              <w:left w:val="single" w:color="auto" w:sz="4" w:space="0"/>
              <w:bottom w:val="single" w:color="auto" w:sz="4" w:space="0"/>
              <w:right w:val="single" w:color="auto" w:sz="4" w:space="0"/>
            </w:tcBorders>
            <w:vAlign w:val="center"/>
          </w:tcPr>
          <w:p w14:paraId="1A977FEC">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、工程重点、难点分析，有得</w:t>
            </w:r>
            <w:r>
              <w:rPr>
                <w:rFonts w:ascii="宋体" w:hAnsi="宋体"/>
                <w:color w:val="auto"/>
                <w:sz w:val="21"/>
                <w:szCs w:val="21"/>
                <w:highlight w:val="none"/>
              </w:rPr>
              <w:t>1</w:t>
            </w:r>
            <w:r>
              <w:rPr>
                <w:rFonts w:hint="eastAsia" w:ascii="宋体" w:hAnsi="宋体"/>
                <w:color w:val="auto"/>
                <w:sz w:val="21"/>
                <w:szCs w:val="21"/>
                <w:highlight w:val="none"/>
              </w:rPr>
              <w:t>分，无得</w:t>
            </w:r>
            <w:r>
              <w:rPr>
                <w:rFonts w:ascii="宋体" w:hAnsi="宋体"/>
                <w:color w:val="auto"/>
                <w:sz w:val="21"/>
                <w:szCs w:val="21"/>
                <w:highlight w:val="none"/>
              </w:rPr>
              <w:t>0</w:t>
            </w:r>
            <w:r>
              <w:rPr>
                <w:rFonts w:hint="eastAsia" w:ascii="宋体" w:hAnsi="宋体"/>
                <w:color w:val="auto"/>
                <w:sz w:val="21"/>
                <w:szCs w:val="21"/>
                <w:highlight w:val="none"/>
              </w:rPr>
              <w:t>分；</w:t>
            </w:r>
          </w:p>
          <w:p w14:paraId="58A8C6F8">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、针对项目工程概况、特点编制工程重点、难点分析及措施。分析准确、措施得当。优得</w:t>
            </w:r>
            <w:r>
              <w:rPr>
                <w:rFonts w:ascii="宋体" w:hAnsi="宋体"/>
                <w:color w:val="auto"/>
                <w:sz w:val="21"/>
                <w:szCs w:val="21"/>
                <w:highlight w:val="none"/>
              </w:rPr>
              <w:t>4</w:t>
            </w:r>
            <w:r>
              <w:rPr>
                <w:rFonts w:hint="eastAsia" w:ascii="宋体" w:hAnsi="宋体"/>
                <w:color w:val="auto"/>
                <w:sz w:val="21"/>
                <w:szCs w:val="21"/>
                <w:highlight w:val="none"/>
              </w:rPr>
              <w:t>分，良得</w:t>
            </w:r>
            <w:r>
              <w:rPr>
                <w:rFonts w:ascii="宋体" w:hAnsi="宋体"/>
                <w:color w:val="auto"/>
                <w:sz w:val="21"/>
                <w:szCs w:val="21"/>
                <w:highlight w:val="none"/>
              </w:rPr>
              <w:t>3</w:t>
            </w:r>
            <w:r>
              <w:rPr>
                <w:rFonts w:hint="eastAsia" w:ascii="宋体" w:hAnsi="宋体"/>
                <w:color w:val="auto"/>
                <w:sz w:val="21"/>
                <w:szCs w:val="21"/>
                <w:highlight w:val="none"/>
              </w:rPr>
              <w:t>分，一般得</w:t>
            </w:r>
            <w:r>
              <w:rPr>
                <w:rFonts w:ascii="宋体" w:hAnsi="宋体"/>
                <w:color w:val="auto"/>
                <w:sz w:val="21"/>
                <w:szCs w:val="21"/>
                <w:highlight w:val="none"/>
              </w:rPr>
              <w:t>1</w:t>
            </w:r>
            <w:r>
              <w:rPr>
                <w:rFonts w:hint="eastAsia" w:ascii="宋体" w:hAnsi="宋体"/>
                <w:color w:val="auto"/>
                <w:sz w:val="21"/>
                <w:szCs w:val="21"/>
                <w:highlight w:val="none"/>
              </w:rPr>
              <w:t>分。</w:t>
            </w:r>
          </w:p>
        </w:tc>
      </w:tr>
      <w:tr w14:paraId="4B86F93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right w:val="single" w:color="auto" w:sz="4" w:space="0"/>
            </w:tcBorders>
            <w:vAlign w:val="center"/>
          </w:tcPr>
          <w:p w14:paraId="422E48B6">
            <w:pPr>
              <w:widowControl/>
              <w:jc w:val="left"/>
              <w:rPr>
                <w:color w:val="auto"/>
                <w:szCs w:val="21"/>
                <w:highlight w:val="none"/>
              </w:rPr>
            </w:pPr>
          </w:p>
        </w:tc>
        <w:tc>
          <w:tcPr>
            <w:tcW w:w="840" w:type="dxa"/>
            <w:vMerge w:val="continue"/>
            <w:tcBorders>
              <w:left w:val="single" w:color="auto" w:sz="4" w:space="0"/>
              <w:right w:val="single" w:color="auto" w:sz="4" w:space="0"/>
            </w:tcBorders>
            <w:vAlign w:val="center"/>
          </w:tcPr>
          <w:p w14:paraId="5616309B">
            <w:pPr>
              <w:pStyle w:val="30"/>
              <w:widowControl/>
              <w:spacing w:line="216" w:lineRule="atLeast"/>
              <w:jc w:val="center"/>
              <w:rPr>
                <w:rFonts w:ascii="宋体" w:hAnsi="宋体"/>
                <w:color w:val="auto"/>
                <w:sz w:val="21"/>
                <w:szCs w:val="21"/>
                <w:highlight w:val="none"/>
              </w:rPr>
            </w:pPr>
          </w:p>
        </w:tc>
        <w:tc>
          <w:tcPr>
            <w:tcW w:w="1231" w:type="dxa"/>
            <w:tcBorders>
              <w:left w:val="single" w:color="auto" w:sz="4" w:space="0"/>
              <w:right w:val="single" w:color="auto" w:sz="4" w:space="0"/>
            </w:tcBorders>
            <w:vAlign w:val="center"/>
          </w:tcPr>
          <w:p w14:paraId="4BFDA020">
            <w:pPr>
              <w:pStyle w:val="30"/>
              <w:widowControl/>
              <w:spacing w:line="216" w:lineRule="atLeast"/>
              <w:jc w:val="center"/>
              <w:rPr>
                <w:rFonts w:ascii="宋体" w:hAnsi="宋体"/>
                <w:color w:val="auto"/>
                <w:sz w:val="21"/>
                <w:szCs w:val="21"/>
                <w:highlight w:val="none"/>
              </w:rPr>
            </w:pPr>
            <w:r>
              <w:rPr>
                <w:rFonts w:hint="eastAsia" w:ascii="宋体" w:hAnsi="宋体" w:cs="宋体"/>
                <w:color w:val="auto"/>
                <w:sz w:val="21"/>
                <w:szCs w:val="21"/>
                <w:highlight w:val="none"/>
              </w:rPr>
              <w:t>总体施工组织布置及规划</w:t>
            </w:r>
          </w:p>
        </w:tc>
        <w:tc>
          <w:tcPr>
            <w:tcW w:w="666" w:type="dxa"/>
            <w:tcBorders>
              <w:top w:val="single" w:color="auto" w:sz="4" w:space="0"/>
              <w:left w:val="single" w:color="auto" w:sz="4" w:space="0"/>
              <w:bottom w:val="single" w:color="auto" w:sz="4" w:space="0"/>
              <w:right w:val="single" w:color="auto" w:sz="4" w:space="0"/>
            </w:tcBorders>
            <w:vAlign w:val="center"/>
          </w:tcPr>
          <w:p w14:paraId="6791C494">
            <w:pPr>
              <w:pStyle w:val="30"/>
              <w:widowControl/>
              <w:spacing w:line="216" w:lineRule="atLeast"/>
              <w:ind w:firstLine="210" w:firstLineChars="100"/>
              <w:rPr>
                <w:rFonts w:ascii="宋体" w:hAnsi="宋体"/>
                <w:color w:val="auto"/>
                <w:sz w:val="21"/>
                <w:szCs w:val="21"/>
                <w:highlight w:val="none"/>
              </w:rPr>
            </w:pPr>
            <w:r>
              <w:rPr>
                <w:rFonts w:ascii="宋体" w:hAnsi="宋体"/>
                <w:color w:val="auto"/>
                <w:sz w:val="21"/>
                <w:szCs w:val="21"/>
                <w:highlight w:val="none"/>
              </w:rPr>
              <w:t>5</w:t>
            </w:r>
          </w:p>
        </w:tc>
        <w:tc>
          <w:tcPr>
            <w:tcW w:w="10071" w:type="dxa"/>
            <w:tcBorders>
              <w:top w:val="single" w:color="auto" w:sz="4" w:space="0"/>
              <w:left w:val="single" w:color="auto" w:sz="4" w:space="0"/>
              <w:bottom w:val="single" w:color="auto" w:sz="4" w:space="0"/>
              <w:right w:val="single" w:color="auto" w:sz="4" w:space="0"/>
            </w:tcBorders>
            <w:vAlign w:val="center"/>
          </w:tcPr>
          <w:p w14:paraId="22673685">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、总体施工组织布置及规划，有得</w:t>
            </w:r>
            <w:r>
              <w:rPr>
                <w:rFonts w:ascii="宋体" w:hAnsi="宋体"/>
                <w:color w:val="auto"/>
                <w:sz w:val="21"/>
                <w:szCs w:val="21"/>
                <w:highlight w:val="none"/>
              </w:rPr>
              <w:t>1</w:t>
            </w:r>
            <w:r>
              <w:rPr>
                <w:rFonts w:hint="eastAsia" w:ascii="宋体" w:hAnsi="宋体"/>
                <w:color w:val="auto"/>
                <w:sz w:val="21"/>
                <w:szCs w:val="21"/>
                <w:highlight w:val="none"/>
              </w:rPr>
              <w:t>分，无得</w:t>
            </w:r>
            <w:r>
              <w:rPr>
                <w:rFonts w:ascii="宋体" w:hAnsi="宋体"/>
                <w:color w:val="auto"/>
                <w:sz w:val="21"/>
                <w:szCs w:val="21"/>
                <w:highlight w:val="none"/>
              </w:rPr>
              <w:t>0</w:t>
            </w:r>
            <w:r>
              <w:rPr>
                <w:rFonts w:hint="eastAsia" w:ascii="宋体" w:hAnsi="宋体"/>
                <w:color w:val="auto"/>
                <w:sz w:val="21"/>
                <w:szCs w:val="21"/>
                <w:highlight w:val="none"/>
              </w:rPr>
              <w:t>分；</w:t>
            </w:r>
          </w:p>
          <w:p w14:paraId="6BD1FEB6">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、上述方案切实可行，针对本项目编制的总体部署、平面布置、资源配置等，总体方案针对性强、规划切合项目实际情况。优得</w:t>
            </w:r>
            <w:r>
              <w:rPr>
                <w:rFonts w:ascii="宋体" w:hAnsi="宋体"/>
                <w:color w:val="auto"/>
                <w:sz w:val="21"/>
                <w:szCs w:val="21"/>
                <w:highlight w:val="none"/>
              </w:rPr>
              <w:t>4</w:t>
            </w:r>
            <w:r>
              <w:rPr>
                <w:rFonts w:hint="eastAsia" w:ascii="宋体" w:hAnsi="宋体"/>
                <w:color w:val="auto"/>
                <w:sz w:val="21"/>
                <w:szCs w:val="21"/>
                <w:highlight w:val="none"/>
              </w:rPr>
              <w:t>分，良得</w:t>
            </w:r>
            <w:r>
              <w:rPr>
                <w:rFonts w:ascii="宋体" w:hAnsi="宋体"/>
                <w:color w:val="auto"/>
                <w:sz w:val="21"/>
                <w:szCs w:val="21"/>
                <w:highlight w:val="none"/>
              </w:rPr>
              <w:t>2</w:t>
            </w:r>
            <w:r>
              <w:rPr>
                <w:rFonts w:hint="eastAsia" w:ascii="宋体" w:hAnsi="宋体"/>
                <w:color w:val="auto"/>
                <w:sz w:val="21"/>
                <w:szCs w:val="21"/>
                <w:highlight w:val="none"/>
              </w:rPr>
              <w:t>分，一般得</w:t>
            </w:r>
            <w:r>
              <w:rPr>
                <w:rFonts w:ascii="宋体" w:hAnsi="宋体"/>
                <w:color w:val="auto"/>
                <w:sz w:val="21"/>
                <w:szCs w:val="21"/>
                <w:highlight w:val="none"/>
              </w:rPr>
              <w:t>1</w:t>
            </w:r>
            <w:r>
              <w:rPr>
                <w:rFonts w:hint="eastAsia" w:ascii="宋体" w:hAnsi="宋体"/>
                <w:color w:val="auto"/>
                <w:sz w:val="21"/>
                <w:szCs w:val="21"/>
                <w:highlight w:val="none"/>
              </w:rPr>
              <w:t>分。</w:t>
            </w:r>
          </w:p>
        </w:tc>
      </w:tr>
      <w:tr w14:paraId="1D20706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22" w:type="dxa"/>
            <w:vMerge w:val="continue"/>
            <w:tcBorders>
              <w:left w:val="single" w:color="auto" w:sz="8" w:space="0"/>
              <w:bottom w:val="single" w:color="auto" w:sz="4" w:space="0"/>
              <w:right w:val="single" w:color="auto" w:sz="4" w:space="0"/>
            </w:tcBorders>
            <w:vAlign w:val="center"/>
          </w:tcPr>
          <w:p w14:paraId="78EBDE7D">
            <w:pPr>
              <w:widowControl/>
              <w:jc w:val="left"/>
              <w:rPr>
                <w:color w:val="auto"/>
                <w:szCs w:val="21"/>
                <w:highlight w:val="none"/>
              </w:rPr>
            </w:pPr>
          </w:p>
        </w:tc>
        <w:tc>
          <w:tcPr>
            <w:tcW w:w="840" w:type="dxa"/>
            <w:vMerge w:val="continue"/>
            <w:tcBorders>
              <w:left w:val="single" w:color="auto" w:sz="4" w:space="0"/>
              <w:right w:val="single" w:color="auto" w:sz="4" w:space="0"/>
            </w:tcBorders>
            <w:vAlign w:val="center"/>
          </w:tcPr>
          <w:p w14:paraId="1272CA87">
            <w:pPr>
              <w:pStyle w:val="30"/>
              <w:widowControl/>
              <w:spacing w:line="216" w:lineRule="atLeast"/>
              <w:jc w:val="center"/>
              <w:rPr>
                <w:rFonts w:ascii="宋体" w:hAnsi="宋体"/>
                <w:color w:val="auto"/>
                <w:sz w:val="21"/>
                <w:szCs w:val="21"/>
                <w:highlight w:val="none"/>
              </w:rPr>
            </w:pPr>
          </w:p>
        </w:tc>
        <w:tc>
          <w:tcPr>
            <w:tcW w:w="1231" w:type="dxa"/>
            <w:tcBorders>
              <w:left w:val="single" w:color="auto" w:sz="4" w:space="0"/>
              <w:right w:val="single" w:color="auto" w:sz="4" w:space="0"/>
            </w:tcBorders>
            <w:vAlign w:val="center"/>
          </w:tcPr>
          <w:p w14:paraId="6D5E4A45">
            <w:pPr>
              <w:pStyle w:val="30"/>
              <w:widowControl/>
              <w:spacing w:line="216" w:lineRule="atLeast"/>
              <w:rPr>
                <w:rFonts w:ascii="宋体" w:hAnsi="宋体"/>
                <w:color w:val="auto"/>
                <w:sz w:val="21"/>
                <w:szCs w:val="21"/>
                <w:highlight w:val="none"/>
              </w:rPr>
            </w:pPr>
            <w:r>
              <w:rPr>
                <w:rFonts w:hint="eastAsia" w:ascii="宋体" w:hAnsi="宋体"/>
                <w:color w:val="auto"/>
                <w:sz w:val="21"/>
                <w:szCs w:val="21"/>
                <w:highlight w:val="none"/>
              </w:rPr>
              <w:t>施工方案与技术措施</w:t>
            </w:r>
          </w:p>
        </w:tc>
        <w:tc>
          <w:tcPr>
            <w:tcW w:w="666" w:type="dxa"/>
            <w:tcBorders>
              <w:top w:val="single" w:color="auto" w:sz="4" w:space="0"/>
              <w:left w:val="single" w:color="auto" w:sz="4" w:space="0"/>
              <w:bottom w:val="single" w:color="auto" w:sz="4" w:space="0"/>
              <w:right w:val="single" w:color="auto" w:sz="4" w:space="0"/>
            </w:tcBorders>
            <w:vAlign w:val="center"/>
          </w:tcPr>
          <w:p w14:paraId="7BA2A3F2">
            <w:pPr>
              <w:pStyle w:val="30"/>
              <w:widowControl/>
              <w:spacing w:line="216" w:lineRule="atLeast"/>
              <w:jc w:val="center"/>
              <w:rPr>
                <w:rFonts w:ascii="宋体" w:hAnsi="宋体"/>
                <w:color w:val="auto"/>
                <w:sz w:val="21"/>
                <w:szCs w:val="21"/>
                <w:highlight w:val="none"/>
              </w:rPr>
            </w:pPr>
            <w:r>
              <w:rPr>
                <w:rFonts w:ascii="宋体" w:hAnsi="宋体"/>
                <w:color w:val="auto"/>
                <w:sz w:val="21"/>
                <w:szCs w:val="21"/>
                <w:highlight w:val="none"/>
              </w:rPr>
              <w:t>5</w:t>
            </w:r>
          </w:p>
        </w:tc>
        <w:tc>
          <w:tcPr>
            <w:tcW w:w="10071" w:type="dxa"/>
            <w:tcBorders>
              <w:top w:val="single" w:color="auto" w:sz="4" w:space="0"/>
              <w:left w:val="single" w:color="auto" w:sz="4" w:space="0"/>
              <w:bottom w:val="single" w:color="auto" w:sz="4" w:space="0"/>
              <w:right w:val="single" w:color="auto" w:sz="4" w:space="0"/>
            </w:tcBorders>
            <w:vAlign w:val="center"/>
          </w:tcPr>
          <w:p w14:paraId="7392ECA4">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、施工方案与技术措施，有得</w:t>
            </w:r>
            <w:r>
              <w:rPr>
                <w:rFonts w:ascii="宋体" w:hAnsi="宋体"/>
                <w:color w:val="auto"/>
                <w:sz w:val="21"/>
                <w:szCs w:val="21"/>
                <w:highlight w:val="none"/>
              </w:rPr>
              <w:t>1</w:t>
            </w:r>
            <w:r>
              <w:rPr>
                <w:rFonts w:hint="eastAsia" w:ascii="宋体" w:hAnsi="宋体"/>
                <w:color w:val="auto"/>
                <w:sz w:val="21"/>
                <w:szCs w:val="21"/>
                <w:highlight w:val="none"/>
              </w:rPr>
              <w:t>分，无得</w:t>
            </w:r>
            <w:r>
              <w:rPr>
                <w:rFonts w:ascii="宋体" w:hAnsi="宋体"/>
                <w:color w:val="auto"/>
                <w:sz w:val="21"/>
                <w:szCs w:val="21"/>
                <w:highlight w:val="none"/>
              </w:rPr>
              <w:t>0</w:t>
            </w:r>
            <w:r>
              <w:rPr>
                <w:rFonts w:hint="eastAsia" w:ascii="宋体" w:hAnsi="宋体"/>
                <w:color w:val="auto"/>
                <w:sz w:val="21"/>
                <w:szCs w:val="21"/>
                <w:highlight w:val="none"/>
              </w:rPr>
              <w:t>分；</w:t>
            </w:r>
          </w:p>
          <w:p w14:paraId="13498601">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、关键技术工艺把握及应用准确，施工方案与技术措施完整、具体，针对性强。优得</w:t>
            </w:r>
            <w:r>
              <w:rPr>
                <w:rFonts w:ascii="宋体" w:hAnsi="宋体"/>
                <w:color w:val="auto"/>
                <w:sz w:val="21"/>
                <w:szCs w:val="21"/>
                <w:highlight w:val="none"/>
              </w:rPr>
              <w:t>4</w:t>
            </w:r>
            <w:r>
              <w:rPr>
                <w:rFonts w:hint="eastAsia" w:ascii="宋体" w:hAnsi="宋体"/>
                <w:color w:val="auto"/>
                <w:sz w:val="21"/>
                <w:szCs w:val="21"/>
                <w:highlight w:val="none"/>
              </w:rPr>
              <w:t>分，良得</w:t>
            </w:r>
            <w:r>
              <w:rPr>
                <w:rFonts w:ascii="宋体" w:hAnsi="宋体"/>
                <w:color w:val="auto"/>
                <w:sz w:val="21"/>
                <w:szCs w:val="21"/>
                <w:highlight w:val="none"/>
              </w:rPr>
              <w:t>2</w:t>
            </w:r>
            <w:r>
              <w:rPr>
                <w:rFonts w:hint="eastAsia" w:ascii="宋体" w:hAnsi="宋体"/>
                <w:color w:val="auto"/>
                <w:sz w:val="21"/>
                <w:szCs w:val="21"/>
                <w:highlight w:val="none"/>
              </w:rPr>
              <w:t>分，一般得</w:t>
            </w:r>
            <w:r>
              <w:rPr>
                <w:rFonts w:ascii="宋体" w:hAnsi="宋体"/>
                <w:color w:val="auto"/>
                <w:sz w:val="21"/>
                <w:szCs w:val="21"/>
                <w:highlight w:val="none"/>
              </w:rPr>
              <w:t>1</w:t>
            </w:r>
            <w:r>
              <w:rPr>
                <w:rFonts w:hint="eastAsia" w:ascii="宋体" w:hAnsi="宋体"/>
                <w:color w:val="auto"/>
                <w:sz w:val="21"/>
                <w:szCs w:val="21"/>
                <w:highlight w:val="none"/>
              </w:rPr>
              <w:t>分。</w:t>
            </w:r>
          </w:p>
        </w:tc>
      </w:tr>
      <w:tr w14:paraId="2EA06F6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93" w:type="dxa"/>
            <w:gridSpan w:val="3"/>
            <w:tcBorders>
              <w:top w:val="single" w:color="auto" w:sz="4" w:space="0"/>
              <w:left w:val="single" w:color="auto" w:sz="8" w:space="0"/>
              <w:bottom w:val="single" w:color="auto" w:sz="4" w:space="0"/>
              <w:right w:val="single" w:color="auto" w:sz="4" w:space="0"/>
            </w:tcBorders>
            <w:vAlign w:val="center"/>
          </w:tcPr>
          <w:p w14:paraId="1340A87A">
            <w:pPr>
              <w:pStyle w:val="30"/>
              <w:widowControl/>
              <w:spacing w:line="216" w:lineRule="atLeast"/>
              <w:jc w:val="center"/>
              <w:rPr>
                <w:rFonts w:ascii="宋体" w:hAnsi="宋体"/>
                <w:color w:val="auto"/>
                <w:sz w:val="21"/>
                <w:szCs w:val="21"/>
                <w:highlight w:val="none"/>
              </w:rPr>
            </w:pPr>
            <w:r>
              <w:rPr>
                <w:rFonts w:hint="eastAsia" w:ascii="宋体" w:hAnsi="宋体"/>
                <w:color w:val="auto"/>
                <w:sz w:val="21"/>
                <w:szCs w:val="21"/>
                <w:highlight w:val="none"/>
              </w:rPr>
              <w:t>总计</w:t>
            </w:r>
          </w:p>
        </w:tc>
        <w:tc>
          <w:tcPr>
            <w:tcW w:w="666" w:type="dxa"/>
            <w:tcBorders>
              <w:top w:val="single" w:color="auto" w:sz="4" w:space="0"/>
              <w:left w:val="single" w:color="auto" w:sz="4" w:space="0"/>
              <w:bottom w:val="single" w:color="auto" w:sz="4" w:space="0"/>
              <w:right w:val="single" w:color="auto" w:sz="4" w:space="0"/>
            </w:tcBorders>
            <w:vAlign w:val="center"/>
          </w:tcPr>
          <w:p w14:paraId="5F73C278">
            <w:pPr>
              <w:pStyle w:val="30"/>
              <w:widowControl/>
              <w:spacing w:line="216" w:lineRule="atLeast"/>
              <w:rPr>
                <w:rFonts w:ascii="宋体" w:hAnsi="宋体"/>
                <w:color w:val="auto"/>
                <w:sz w:val="21"/>
                <w:szCs w:val="21"/>
                <w:highlight w:val="none"/>
              </w:rPr>
            </w:pPr>
            <w:r>
              <w:rPr>
                <w:rFonts w:ascii="宋体" w:hAnsi="宋体"/>
                <w:color w:val="auto"/>
                <w:sz w:val="21"/>
                <w:szCs w:val="21"/>
                <w:highlight w:val="none"/>
              </w:rPr>
              <w:t>100</w:t>
            </w:r>
          </w:p>
        </w:tc>
        <w:tc>
          <w:tcPr>
            <w:tcW w:w="10071" w:type="dxa"/>
            <w:tcBorders>
              <w:top w:val="single" w:color="auto" w:sz="4" w:space="0"/>
              <w:left w:val="single" w:color="auto" w:sz="4" w:space="0"/>
              <w:bottom w:val="single" w:color="auto" w:sz="4" w:space="0"/>
              <w:right w:val="single" w:color="auto" w:sz="4" w:space="0"/>
            </w:tcBorders>
            <w:vAlign w:val="center"/>
          </w:tcPr>
          <w:p w14:paraId="2F67A367">
            <w:pPr>
              <w:pStyle w:val="30"/>
              <w:widowControl/>
              <w:spacing w:line="216" w:lineRule="atLeast"/>
              <w:rPr>
                <w:rFonts w:ascii="宋体" w:hAnsi="宋体"/>
                <w:color w:val="auto"/>
                <w:sz w:val="21"/>
                <w:szCs w:val="21"/>
                <w:highlight w:val="none"/>
              </w:rPr>
            </w:pPr>
          </w:p>
        </w:tc>
      </w:tr>
    </w:tbl>
    <w:p w14:paraId="3248278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14:paraId="08F07992">
      <w:pPr>
        <w:snapToGrid w:val="0"/>
        <w:spacing w:line="360" w:lineRule="auto"/>
        <w:ind w:firstLine="422" w:firstLineChars="200"/>
        <w:jc w:val="left"/>
        <w:rPr>
          <w:rFonts w:ascii="宋体" w:hAnsi="宋体" w:cs="宋体"/>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、设计业绩：</w:t>
      </w:r>
      <w:r>
        <w:rPr>
          <w:rFonts w:hint="eastAsia" w:ascii="宋体" w:hAnsi="宋体" w:cs="宋体"/>
          <w:color w:val="auto"/>
          <w:szCs w:val="21"/>
          <w:highlight w:val="none"/>
        </w:rPr>
        <w:t>需提供中标通知书或合同关键页、初步设计审查文件或施工图审查完成证明或项目业主对其履约情况的证明材料或经业主确认的竣工验收证明材料的原件扫描件，提供的材料须能体现建筑面积等指标。完成时间以提供的初步设计审查文件或施工图审查完成证明或业主单位开具的项目履约证明或有经业主确认的竣工验收证明材料为准，否则不予计分。</w:t>
      </w:r>
    </w:p>
    <w:p w14:paraId="721AFC5F">
      <w:pPr>
        <w:snapToGrid w:val="0"/>
        <w:spacing w:line="360" w:lineRule="auto"/>
        <w:ind w:firstLine="422" w:firstLineChars="200"/>
        <w:jc w:val="left"/>
        <w:rPr>
          <w:rFonts w:ascii="宋体" w:hAnsi="宋体" w:cs="宋体"/>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、施工业绩：</w:t>
      </w:r>
      <w:r>
        <w:rPr>
          <w:rFonts w:hint="eastAsia" w:ascii="宋体" w:hAnsi="宋体" w:cs="宋体"/>
          <w:color w:val="auto"/>
          <w:szCs w:val="21"/>
          <w:highlight w:val="none"/>
        </w:rPr>
        <w:t>需提供①中标通知书或免招标的证明、②施工合同、③竣工验收文件。业绩金额以中标通知书为准，中标通知书上没有金额或免招标的，以施工合同（不含补充合同）为准；完成时间以竣工验收文件为准，验收文件至少具有建设单位、设计、施工和监理单位盖章。如未提供相关证明材料或前述证明材料不能直接反映评分要求的特征和必要信息，该项业绩不予认定。</w:t>
      </w:r>
    </w:p>
    <w:p w14:paraId="61B2CF4A">
      <w:pPr>
        <w:snapToGrid w:val="0"/>
        <w:spacing w:line="360" w:lineRule="auto"/>
        <w:ind w:firstLine="422" w:firstLineChars="200"/>
        <w:jc w:val="left"/>
        <w:rPr>
          <w:rFonts w:ascii="宋体" w:hAnsi="宋体" w:cs="宋体"/>
          <w:bCs/>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、业绩奖项：</w:t>
      </w:r>
      <w:r>
        <w:rPr>
          <w:rFonts w:hint="eastAsia" w:ascii="宋体" w:hAnsi="宋体" w:cs="宋体"/>
          <w:bCs/>
          <w:color w:val="auto"/>
          <w:szCs w:val="21"/>
          <w:highlight w:val="none"/>
        </w:rPr>
        <w:t xml:space="preserve"> </w:t>
      </w:r>
    </w:p>
    <w:p w14:paraId="4DF5334D">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3.1 </w:t>
      </w:r>
      <w:r>
        <w:rPr>
          <w:rFonts w:hint="eastAsia" w:ascii="宋体" w:hAnsi="宋体" w:cs="宋体"/>
          <w:color w:val="auto"/>
          <w:szCs w:val="21"/>
          <w:highlight w:val="none"/>
        </w:rPr>
        <w:t>设计业绩获奖：投标人须提供获奖证书原件扫描件或网站查询打印。获奖只计算承建单位，不含参建单位。同一项目获奖按最高级别奖项只计一次得分，时间以获奖证书发证日期为准。不按要求提供不予计分。国家级奖项指由住建部颁发的全国优秀工程勘察设计奖、中国勘察设计协会颁发的全国优秀工程勘察设计行业奖；省级奖项指由省级工程勘察设计行业协会颁发的省级优秀工程勘察设计奖；市级奖项指由市级工程勘察设计行业协会颁发的市级优秀工程勘察设计奖；</w:t>
      </w:r>
    </w:p>
    <w:p w14:paraId="533BD842">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 xml:space="preserve">3.2 </w:t>
      </w:r>
      <w:r>
        <w:rPr>
          <w:rFonts w:hint="eastAsia" w:ascii="宋体" w:hAnsi="宋体" w:cs="宋体"/>
          <w:color w:val="auto"/>
          <w:szCs w:val="21"/>
          <w:highlight w:val="none"/>
        </w:rPr>
        <w:t>施工业绩获奖：提供网上公示获奖网页截图或获奖证书原件扫描件并加盖投标人（或联合体牵头方）电子印章。获奖只计算承建单位，不含参建单位。同一项目获奖按最高级别奖项只计一次得分，时间以获奖证书发证日期为准。国家级工程质量奖项指中国建设工程鲁班奖、或国家优质工程金质奖（金奖）、或国家优质工程奖、或中国土木工程詹天佑奖；省级工程质量奖项和市级工程质量奖项对应为工程的质量类获奖，非质量类获奖不予计算。</w:t>
      </w:r>
    </w:p>
    <w:p w14:paraId="02C523DA">
      <w:pPr>
        <w:snapToGrid w:val="0"/>
        <w:spacing w:line="360" w:lineRule="auto"/>
        <w:ind w:firstLine="422" w:firstLineChars="200"/>
        <w:jc w:val="left"/>
        <w:rPr>
          <w:rFonts w:ascii="宋体" w:hAnsi="宋体" w:cs="宋体"/>
          <w:color w:val="auto"/>
          <w:szCs w:val="21"/>
          <w:highlight w:val="none"/>
          <w:lang w:val="zh-CN"/>
        </w:rPr>
      </w:pPr>
      <w:r>
        <w:rPr>
          <w:rFonts w:ascii="宋体" w:hAnsi="宋体" w:cs="宋体"/>
          <w:b/>
          <w:color w:val="auto"/>
          <w:szCs w:val="21"/>
          <w:highlight w:val="none"/>
        </w:rPr>
        <w:t>4</w:t>
      </w:r>
      <w:r>
        <w:rPr>
          <w:rFonts w:hint="eastAsia" w:ascii="宋体" w:hAnsi="宋体" w:cs="宋体"/>
          <w:b/>
          <w:color w:val="auto"/>
          <w:szCs w:val="21"/>
          <w:highlight w:val="none"/>
          <w:lang w:val="zh-CN"/>
        </w:rPr>
        <w:t>、社会第三方信用评价</w:t>
      </w:r>
      <w:r>
        <w:rPr>
          <w:rFonts w:hint="eastAsia" w:ascii="宋体" w:hAnsi="宋体" w:cs="宋体"/>
          <w:b/>
          <w:color w:val="auto"/>
          <w:szCs w:val="21"/>
          <w:highlight w:val="none"/>
        </w:rPr>
        <w:t>：</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证书原件扫描件。</w:t>
      </w:r>
    </w:p>
    <w:p w14:paraId="5D7A152D">
      <w:pPr>
        <w:spacing w:line="360" w:lineRule="auto"/>
        <w:ind w:right="210" w:rightChars="100" w:firstLine="422" w:firstLineChars="200"/>
        <w:rPr>
          <w:rFonts w:ascii="宋体" w:hAnsi="宋体" w:cs="宋体"/>
          <w:b/>
          <w:color w:val="auto"/>
          <w:szCs w:val="21"/>
          <w:highlight w:val="none"/>
          <w:lang w:val="zh-CN"/>
        </w:rPr>
      </w:pPr>
      <w:r>
        <w:rPr>
          <w:rFonts w:ascii="宋体" w:hAnsi="宋体" w:cs="宋体"/>
          <w:b/>
          <w:color w:val="auto"/>
          <w:szCs w:val="21"/>
          <w:highlight w:val="none"/>
          <w:lang w:val="zh-CN"/>
        </w:rPr>
        <w:t>5</w:t>
      </w:r>
      <w:r>
        <w:rPr>
          <w:rFonts w:hint="eastAsia" w:ascii="宋体" w:hAnsi="宋体" w:cs="宋体"/>
          <w:b/>
          <w:color w:val="auto"/>
          <w:szCs w:val="21"/>
          <w:highlight w:val="none"/>
          <w:lang w:val="zh-CN"/>
        </w:rPr>
        <w:t>、项目管理机构人员配备：</w:t>
      </w:r>
    </w:p>
    <w:p w14:paraId="56727B2E">
      <w:pPr>
        <w:snapToGrid w:val="0"/>
        <w:spacing w:line="360" w:lineRule="auto"/>
        <w:ind w:firstLine="420" w:firstLineChars="200"/>
        <w:jc w:val="left"/>
        <w:rPr>
          <w:rFonts w:ascii="宋体" w:hAnsi="宋体" w:cs="宋体"/>
          <w:bCs/>
          <w:color w:val="auto"/>
          <w:szCs w:val="21"/>
          <w:highlight w:val="none"/>
          <w:lang w:val="zh-CN"/>
        </w:rPr>
      </w:pPr>
      <w:r>
        <w:rPr>
          <w:rFonts w:ascii="宋体" w:hAnsi="宋体" w:cs="宋体"/>
          <w:bCs/>
          <w:color w:val="auto"/>
          <w:szCs w:val="21"/>
          <w:highlight w:val="none"/>
        </w:rPr>
        <w:t>5.1</w:t>
      </w:r>
      <w:r>
        <w:rPr>
          <w:rFonts w:hint="eastAsia" w:ascii="宋体" w:hAnsi="宋体" w:cs="宋体"/>
          <w:bCs/>
          <w:color w:val="auto"/>
          <w:szCs w:val="21"/>
          <w:highlight w:val="none"/>
        </w:rPr>
        <w:t>所有人员均不得兼任，须提供对应的职称证书、注册证书、资格证书（如有）、获奖证书（如有）等原件扫描件及近一个月</w:t>
      </w:r>
      <w:r>
        <w:rPr>
          <w:rFonts w:hint="eastAsia" w:ascii="宋体" w:hAnsi="宋体" w:cs="宋体"/>
          <w:bCs/>
          <w:color w:val="auto"/>
          <w:kern w:val="2"/>
          <w:szCs w:val="21"/>
          <w:highlight w:val="none"/>
        </w:rPr>
        <w:t>（</w:t>
      </w:r>
      <w:r>
        <w:rPr>
          <w:rFonts w:ascii="宋体" w:hAnsi="宋体" w:cs="宋体"/>
          <w:bCs/>
          <w:color w:val="auto"/>
          <w:kern w:val="2"/>
          <w:szCs w:val="21"/>
          <w:highlight w:val="none"/>
        </w:rPr>
        <w:t>2025</w:t>
      </w:r>
      <w:r>
        <w:rPr>
          <w:rFonts w:hint="eastAsia" w:ascii="宋体" w:hAnsi="宋体" w:cs="宋体"/>
          <w:bCs/>
          <w:color w:val="auto"/>
          <w:kern w:val="2"/>
          <w:szCs w:val="21"/>
          <w:highlight w:val="none"/>
        </w:rPr>
        <w:t>年</w:t>
      </w:r>
      <w:r>
        <w:rPr>
          <w:rFonts w:ascii="宋体" w:hAnsi="宋体" w:cs="宋体"/>
          <w:bCs/>
          <w:color w:val="auto"/>
          <w:kern w:val="2"/>
          <w:szCs w:val="21"/>
          <w:highlight w:val="none"/>
        </w:rPr>
        <w:t>8</w:t>
      </w:r>
      <w:r>
        <w:rPr>
          <w:rFonts w:hint="eastAsia" w:ascii="宋体" w:hAnsi="宋体" w:cs="宋体"/>
          <w:bCs/>
          <w:color w:val="auto"/>
          <w:kern w:val="2"/>
          <w:szCs w:val="21"/>
          <w:highlight w:val="none"/>
        </w:rPr>
        <w:t>月）</w:t>
      </w:r>
      <w:r>
        <w:rPr>
          <w:rFonts w:hint="eastAsia" w:ascii="宋体" w:hAnsi="宋体" w:cs="宋体"/>
          <w:bCs/>
          <w:color w:val="auto"/>
          <w:szCs w:val="21"/>
          <w:highlight w:val="none"/>
        </w:rPr>
        <w:t>由社保行政主管部门出具的社保证明资料。项目管理机构人员仅指注册在本公司人员，不含子公司人员，如投标申请人为集团公司，则不含其集团下属的子公司人员。</w:t>
      </w:r>
      <w:r>
        <w:rPr>
          <w:rFonts w:hint="eastAsia" w:ascii="宋体" w:hAnsi="宋体" w:cs="宋体"/>
          <w:bCs/>
          <w:color w:val="auto"/>
          <w:szCs w:val="21"/>
          <w:highlight w:val="none"/>
          <w:lang w:val="zh-CN"/>
        </w:rPr>
        <w:t>一人多证的，按最高级别仅计取一次得分。所有人员均不得兼任，否则兼任人员不计分。</w:t>
      </w:r>
    </w:p>
    <w:p w14:paraId="5953B212">
      <w:pPr>
        <w:spacing w:line="360" w:lineRule="auto"/>
        <w:ind w:right="210" w:rightChars="100" w:firstLine="420" w:firstLineChars="200"/>
        <w:rPr>
          <w:rFonts w:hint="default" w:ascii="宋体" w:hAnsi="宋体" w:eastAsia="宋体" w:cs="宋体"/>
          <w:bCs/>
          <w:color w:val="auto"/>
          <w:szCs w:val="21"/>
          <w:highlight w:val="none"/>
          <w:lang w:val="en-US" w:eastAsia="zh-CN"/>
        </w:rPr>
      </w:pPr>
      <w:r>
        <w:rPr>
          <w:rFonts w:ascii="宋体" w:hAnsi="宋体" w:cs="宋体"/>
          <w:bCs/>
          <w:color w:val="auto"/>
          <w:szCs w:val="21"/>
          <w:highlight w:val="none"/>
        </w:rPr>
        <w:t>5.2</w:t>
      </w:r>
      <w:r>
        <w:rPr>
          <w:rFonts w:hint="eastAsia" w:ascii="宋体" w:hAnsi="宋体" w:cs="宋体"/>
          <w:bCs/>
          <w:color w:val="auto"/>
          <w:szCs w:val="21"/>
          <w:highlight w:val="none"/>
        </w:rPr>
        <w:t>设计负责人获奖要求材料同“</w:t>
      </w:r>
      <w:r>
        <w:rPr>
          <w:rFonts w:ascii="宋体" w:hAnsi="宋体" w:cs="宋体"/>
          <w:bCs/>
          <w:color w:val="auto"/>
          <w:szCs w:val="21"/>
          <w:highlight w:val="none"/>
        </w:rPr>
        <w:t xml:space="preserve">3.1 </w:t>
      </w:r>
      <w:r>
        <w:rPr>
          <w:rFonts w:hint="eastAsia" w:ascii="宋体" w:hAnsi="宋体" w:cs="宋体"/>
          <w:bCs/>
          <w:color w:val="auto"/>
          <w:szCs w:val="21"/>
          <w:highlight w:val="none"/>
        </w:rPr>
        <w:t>设计业绩获奖”的要求。</w:t>
      </w:r>
      <w:r>
        <w:rPr>
          <w:rFonts w:hint="eastAsia" w:ascii="宋体" w:hAnsi="宋体" w:cs="宋体"/>
          <w:bCs/>
          <w:color w:val="auto"/>
          <w:szCs w:val="21"/>
          <w:highlight w:val="none"/>
          <w:lang w:val="en-US" w:eastAsia="zh-CN"/>
        </w:rPr>
        <w:t>证明材料须体现设计负责人名字，否则不予得分。</w:t>
      </w:r>
    </w:p>
    <w:p w14:paraId="42F015C8">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lang w:val="zh-CN"/>
        </w:rPr>
        <w:t>本评分表中所需要的证明材料可为原件扫描件、网页截图（或</w:t>
      </w:r>
      <w:r>
        <w:rPr>
          <w:rFonts w:hint="eastAsia" w:ascii="宋体" w:hAnsi="宋体" w:cs="宋体"/>
          <w:color w:val="auto"/>
          <w:szCs w:val="21"/>
          <w:highlight w:val="none"/>
          <w:lang w:bidi="ar"/>
        </w:rPr>
        <w:t>查询页面</w:t>
      </w:r>
      <w:r>
        <w:rPr>
          <w:rFonts w:hint="eastAsia" w:ascii="宋体" w:hAnsi="宋体" w:cs="宋体"/>
          <w:color w:val="auto"/>
          <w:szCs w:val="21"/>
          <w:highlight w:val="none"/>
          <w:lang w:val="zh-CN"/>
        </w:rPr>
        <w:t>）打印件、电子版证书文件等投标人认为应提供的资料，投标人提供的证明材料必须加盖投标人（</w:t>
      </w:r>
      <w:r>
        <w:rPr>
          <w:rFonts w:hint="eastAsia" w:ascii="宋体" w:hAnsi="宋体" w:cs="宋体"/>
          <w:color w:val="auto"/>
          <w:szCs w:val="21"/>
          <w:highlight w:val="none"/>
        </w:rPr>
        <w:t>若为联合体投标，指联合体牵头方</w:t>
      </w:r>
      <w:r>
        <w:rPr>
          <w:rFonts w:hint="eastAsia" w:ascii="宋体" w:hAnsi="宋体" w:cs="宋体"/>
          <w:color w:val="auto"/>
          <w:szCs w:val="21"/>
          <w:highlight w:val="none"/>
          <w:lang w:val="zh-CN"/>
        </w:rPr>
        <w:t>）电子印章且内容必须清晰可辨，如因提供证明资料内容模糊或不全导致评标时无法判断或辨认的，视为证明资料不提供或提供不完整或提供不符合要求，该评分项不得分。</w:t>
      </w:r>
    </w:p>
    <w:p w14:paraId="501D8287">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所有评委分数汇总后的算术平均值为投标人的最终得分。分数出现小数点，保留小数点后二位小数，第三位小数四舍五入。</w:t>
      </w:r>
    </w:p>
    <w:p w14:paraId="79A86F7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评委签名：</w:t>
      </w:r>
      <w:r>
        <w:rPr>
          <w:rFonts w:ascii="宋体" w:hAnsi="宋体" w:cs="宋体"/>
          <w:color w:val="auto"/>
          <w:szCs w:val="21"/>
          <w:highlight w:val="none"/>
        </w:rPr>
        <w:t xml:space="preserve">                                                 </w:t>
      </w:r>
      <w:r>
        <w:rPr>
          <w:rFonts w:hint="eastAsia" w:ascii="宋体" w:hAnsi="宋体" w:cs="宋体"/>
          <w:color w:val="auto"/>
          <w:szCs w:val="21"/>
          <w:highlight w:val="none"/>
        </w:rPr>
        <w:t>日期：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68FE6786">
      <w:pPr>
        <w:pStyle w:val="2"/>
        <w:rPr>
          <w:rFonts w:cs="宋体"/>
          <w:color w:val="auto"/>
          <w:sz w:val="21"/>
          <w:szCs w:val="21"/>
          <w:highlight w:val="none"/>
        </w:rPr>
        <w:sectPr>
          <w:headerReference r:id="rId13" w:type="default"/>
          <w:footerReference r:id="rId14" w:type="default"/>
          <w:pgSz w:w="16840" w:h="11907" w:orient="landscape"/>
          <w:pgMar w:top="1304" w:right="1361" w:bottom="1304" w:left="1304" w:header="851" w:footer="720" w:gutter="0"/>
          <w:cols w:space="720" w:num="1"/>
        </w:sectPr>
      </w:pPr>
    </w:p>
    <w:bookmarkEnd w:id="362"/>
    <w:p w14:paraId="5C7D1A90">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w:t>
      </w:r>
      <w:r>
        <w:rPr>
          <w:rFonts w:ascii="宋体" w:hAnsi="宋体" w:cs="宋体"/>
          <w:b/>
          <w:color w:val="auto"/>
          <w:kern w:val="1"/>
          <w:sz w:val="24"/>
          <w:highlight w:val="none"/>
        </w:rPr>
        <w:t>3</w:t>
      </w:r>
    </w:p>
    <w:p w14:paraId="59789F0D">
      <w:pPr>
        <w:spacing w:before="120"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建安工程费投标报价综合评分表</w:t>
      </w:r>
    </w:p>
    <w:p w14:paraId="592442DC">
      <w:pP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4"/>
        <w:tblW w:w="0" w:type="auto"/>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13276855">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512CCA22">
            <w:pPr>
              <w:tabs>
                <w:tab w:val="left" w:pos="0"/>
              </w:tabs>
              <w:spacing w:line="360" w:lineRule="auto"/>
              <w:jc w:val="center"/>
              <w:rPr>
                <w:rFonts w:ascii="宋体" w:hAnsi="宋体" w:cs="宋体"/>
                <w:color w:val="auto"/>
                <w:kern w:val="1"/>
                <w:sz w:val="24"/>
                <w:highlight w:val="none"/>
              </w:rPr>
            </w:pPr>
            <w:r>
              <w:rPr>
                <w:rFonts w:hint="eastAsia" w:ascii="宋体" w:hAnsi="宋体" w:cs="宋体"/>
                <w:color w:val="auto"/>
                <w:kern w:val="1"/>
                <w:sz w:val="24"/>
                <w:highlight w:val="none"/>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660A2BF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4C18ED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FE80343">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6E1FF7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09226AF">
            <w:pPr>
              <w:tabs>
                <w:tab w:val="left" w:pos="0"/>
              </w:tabs>
              <w:spacing w:line="360" w:lineRule="auto"/>
              <w:ind w:left="563" w:hanging="84"/>
              <w:rPr>
                <w:rFonts w:ascii="宋体" w:hAnsi="宋体" w:cs="宋体"/>
                <w:color w:val="auto"/>
                <w:kern w:val="1"/>
                <w:sz w:val="24"/>
                <w:highlight w:val="none"/>
              </w:rPr>
            </w:pPr>
          </w:p>
        </w:tc>
      </w:tr>
      <w:tr w14:paraId="2C35C3B3">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52194847">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建安工程费投标报价</w:t>
            </w:r>
            <w:r>
              <w:rPr>
                <w:rFonts w:ascii="宋体" w:hAnsi="宋体" w:cs="宋体"/>
                <w:color w:val="auto"/>
                <w:kern w:val="1"/>
                <w:sz w:val="24"/>
                <w:highlight w:val="none"/>
              </w:rPr>
              <w:t>PT</w:t>
            </w:r>
            <w:r>
              <w:rPr>
                <w:rFonts w:hint="eastAsia" w:ascii="宋体" w:hAnsi="宋体" w:cs="宋体"/>
                <w:color w:val="auto"/>
                <w:kern w:val="1"/>
                <w:sz w:val="24"/>
                <w:highlight w:val="none"/>
              </w:rPr>
              <w:t>（元）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79BB7BBB">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DE117C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53C613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D50DCB2">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893E948">
            <w:pPr>
              <w:tabs>
                <w:tab w:val="left" w:pos="0"/>
              </w:tabs>
              <w:spacing w:line="360" w:lineRule="auto"/>
              <w:ind w:left="563" w:hanging="84"/>
              <w:rPr>
                <w:rFonts w:ascii="宋体" w:hAnsi="宋体" w:cs="宋体"/>
                <w:color w:val="auto"/>
                <w:kern w:val="1"/>
                <w:sz w:val="24"/>
                <w:highlight w:val="none"/>
              </w:rPr>
            </w:pPr>
          </w:p>
        </w:tc>
      </w:tr>
      <w:tr w14:paraId="32356FF3">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AEB91B3">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178E5816">
            <w:pPr>
              <w:tabs>
                <w:tab w:val="left" w:pos="0"/>
              </w:tabs>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评标基准价（</w:t>
            </w:r>
            <w:r>
              <w:rPr>
                <w:rFonts w:ascii="宋体" w:hAnsi="宋体" w:cs="宋体"/>
                <w:color w:val="auto"/>
                <w:kern w:val="1"/>
                <w:sz w:val="24"/>
                <w:highlight w:val="none"/>
              </w:rPr>
              <w:t>PC</w:t>
            </w:r>
            <w:r>
              <w:rPr>
                <w:rFonts w:hint="eastAsia" w:ascii="宋体" w:hAnsi="宋体" w:cs="宋体"/>
                <w:color w:val="auto"/>
                <w:kern w:val="1"/>
                <w:sz w:val="24"/>
                <w:highlight w:val="none"/>
              </w:rPr>
              <w:t>）：</w:t>
            </w:r>
          </w:p>
        </w:tc>
      </w:tr>
      <w:tr w14:paraId="12CFD526">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246D4CD">
            <w:pPr>
              <w:tabs>
                <w:tab w:val="left" w:pos="0"/>
              </w:tabs>
              <w:spacing w:line="360" w:lineRule="auto"/>
              <w:rPr>
                <w:rFonts w:ascii="宋体" w:hAnsi="宋体" w:cs="宋体"/>
                <w:color w:val="auto"/>
                <w:spacing w:val="-10"/>
                <w:kern w:val="1"/>
                <w:sz w:val="24"/>
                <w:highlight w:val="none"/>
              </w:rPr>
            </w:pPr>
            <w:r>
              <w:rPr>
                <w:rFonts w:hint="eastAsia" w:ascii="宋体" w:hAnsi="宋体" w:cs="宋体"/>
                <w:color w:val="auto"/>
                <w:spacing w:val="-10"/>
                <w:kern w:val="1"/>
                <w:sz w:val="24"/>
                <w:highlight w:val="none"/>
              </w:rPr>
              <w:t>偏差（（</w:t>
            </w:r>
            <w:r>
              <w:rPr>
                <w:rFonts w:ascii="宋体" w:hAnsi="宋体" w:cs="宋体"/>
                <w:color w:val="auto"/>
                <w:spacing w:val="-10"/>
                <w:kern w:val="1"/>
                <w:sz w:val="24"/>
                <w:highlight w:val="none"/>
              </w:rPr>
              <w:t>PT-PC</w:t>
            </w:r>
            <w:r>
              <w:rPr>
                <w:rFonts w:hint="eastAsia" w:ascii="宋体" w:hAnsi="宋体" w:cs="宋体"/>
                <w:color w:val="auto"/>
                <w:spacing w:val="-10"/>
                <w:kern w:val="1"/>
                <w:sz w:val="24"/>
                <w:highlight w:val="none"/>
              </w:rPr>
              <w:t>）</w:t>
            </w:r>
            <w:r>
              <w:rPr>
                <w:rFonts w:ascii="宋体" w:hAnsi="宋体" w:cs="宋体"/>
                <w:color w:val="auto"/>
                <w:spacing w:val="-10"/>
                <w:kern w:val="1"/>
                <w:sz w:val="24"/>
                <w:highlight w:val="none"/>
              </w:rPr>
              <w:t>/PC</w:t>
            </w:r>
            <w:r>
              <w:rPr>
                <w:rFonts w:hint="eastAsia" w:ascii="宋体" w:hAnsi="宋体" w:cs="宋体"/>
                <w:color w:val="auto"/>
                <w:spacing w:val="-10"/>
                <w:kern w:val="1"/>
                <w:sz w:val="24"/>
                <w:highlight w:val="none"/>
              </w:rPr>
              <w:t>）（</w:t>
            </w:r>
            <w:r>
              <w:rPr>
                <w:rFonts w:ascii="宋体" w:hAnsi="宋体" w:cs="宋体"/>
                <w:color w:val="auto"/>
                <w:spacing w:val="-10"/>
                <w:kern w:val="1"/>
                <w:sz w:val="24"/>
                <w:highlight w:val="none"/>
              </w:rPr>
              <w:t>%</w:t>
            </w:r>
            <w:r>
              <w:rPr>
                <w:rFonts w:hint="eastAsia" w:ascii="宋体" w:hAnsi="宋体" w:cs="宋体"/>
                <w:color w:val="auto"/>
                <w:spacing w:val="-10"/>
                <w:kern w:val="1"/>
                <w:sz w:val="24"/>
                <w:highlight w:val="none"/>
              </w:rPr>
              <w:t>）</w:t>
            </w:r>
          </w:p>
        </w:tc>
        <w:tc>
          <w:tcPr>
            <w:tcW w:w="1233" w:type="dxa"/>
            <w:tcBorders>
              <w:top w:val="single" w:color="000000" w:sz="4" w:space="0"/>
              <w:left w:val="single" w:color="000000" w:sz="4" w:space="0"/>
              <w:bottom w:val="single" w:color="000000" w:sz="4" w:space="0"/>
              <w:right w:val="single" w:color="000000" w:sz="4" w:space="0"/>
            </w:tcBorders>
            <w:vAlign w:val="center"/>
          </w:tcPr>
          <w:p w14:paraId="4362F1FD">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845186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FF66636">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8323A4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E32EF69">
            <w:pPr>
              <w:tabs>
                <w:tab w:val="left" w:pos="0"/>
              </w:tabs>
              <w:spacing w:line="360" w:lineRule="auto"/>
              <w:ind w:left="563" w:hanging="84"/>
              <w:rPr>
                <w:rFonts w:ascii="宋体" w:hAnsi="宋体" w:cs="宋体"/>
                <w:color w:val="auto"/>
                <w:kern w:val="1"/>
                <w:sz w:val="24"/>
                <w:highlight w:val="none"/>
              </w:rPr>
            </w:pPr>
          </w:p>
        </w:tc>
      </w:tr>
      <w:tr w14:paraId="718D0AA8">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543E4C18">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减分（</w:t>
            </w:r>
            <w:r>
              <w:rPr>
                <w:rFonts w:ascii="宋体" w:hAnsi="宋体" w:cs="宋体"/>
                <w:color w:val="auto"/>
                <w:kern w:val="1"/>
                <w:sz w:val="24"/>
                <w:highlight w:val="none"/>
              </w:rPr>
              <w:t>A</w:t>
            </w:r>
            <w:r>
              <w:rPr>
                <w:rFonts w:hint="eastAsia" w:ascii="宋体" w:hAnsi="宋体" w:cs="宋体"/>
                <w:color w:val="auto"/>
                <w:kern w:val="1"/>
                <w:sz w:val="24"/>
                <w:highlight w:val="none"/>
              </w:rPr>
              <w:t>）</w:t>
            </w:r>
          </w:p>
        </w:tc>
        <w:tc>
          <w:tcPr>
            <w:tcW w:w="1233" w:type="dxa"/>
            <w:tcBorders>
              <w:top w:val="single" w:color="000000" w:sz="4" w:space="0"/>
              <w:left w:val="single" w:color="000000" w:sz="4" w:space="0"/>
              <w:bottom w:val="single" w:color="000000" w:sz="4" w:space="0"/>
              <w:right w:val="single" w:color="000000" w:sz="4" w:space="0"/>
            </w:tcBorders>
            <w:vAlign w:val="center"/>
          </w:tcPr>
          <w:p w14:paraId="5A6186A6">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6E38B9D">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76EF4BB">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D0D51A5">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351FE2C">
            <w:pPr>
              <w:tabs>
                <w:tab w:val="left" w:pos="0"/>
              </w:tabs>
              <w:spacing w:line="360" w:lineRule="auto"/>
              <w:ind w:left="563" w:hanging="84"/>
              <w:rPr>
                <w:rFonts w:ascii="宋体" w:hAnsi="宋体" w:cs="宋体"/>
                <w:color w:val="auto"/>
                <w:kern w:val="1"/>
                <w:sz w:val="24"/>
                <w:highlight w:val="none"/>
              </w:rPr>
            </w:pPr>
          </w:p>
        </w:tc>
      </w:tr>
      <w:tr w14:paraId="35B5D335">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C725E27">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经济得分</w:t>
            </w:r>
            <w:r>
              <w:rPr>
                <w:rFonts w:ascii="宋体" w:hAnsi="宋体" w:cs="宋体"/>
                <w:color w:val="auto"/>
                <w:kern w:val="1"/>
                <w:sz w:val="24"/>
                <w:highlight w:val="none"/>
              </w:rPr>
              <w:t>(I=100-A)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4F4F20F6">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2CFB133">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B94FD5D">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ADC83A3">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115400A">
            <w:pPr>
              <w:tabs>
                <w:tab w:val="left" w:pos="0"/>
              </w:tabs>
              <w:spacing w:line="360" w:lineRule="auto"/>
              <w:ind w:left="563" w:hanging="84"/>
              <w:rPr>
                <w:rFonts w:ascii="宋体" w:hAnsi="宋体" w:cs="宋体"/>
                <w:color w:val="auto"/>
                <w:kern w:val="1"/>
                <w:sz w:val="24"/>
                <w:highlight w:val="none"/>
              </w:rPr>
            </w:pPr>
          </w:p>
        </w:tc>
      </w:tr>
      <w:tr w14:paraId="3A1D5696">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338BB8C7">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5BB6DEE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12924E2">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665E6D9">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D1F1122">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6D440BB">
            <w:pPr>
              <w:tabs>
                <w:tab w:val="left" w:pos="0"/>
              </w:tabs>
              <w:spacing w:line="360" w:lineRule="auto"/>
              <w:ind w:left="563" w:hanging="84"/>
              <w:rPr>
                <w:rFonts w:ascii="宋体" w:hAnsi="宋体" w:cs="宋体"/>
                <w:color w:val="auto"/>
                <w:kern w:val="1"/>
                <w:sz w:val="24"/>
                <w:highlight w:val="none"/>
              </w:rPr>
            </w:pPr>
          </w:p>
        </w:tc>
      </w:tr>
    </w:tbl>
    <w:p w14:paraId="4B9D134B">
      <w:pPr>
        <w:spacing w:line="360" w:lineRule="auto"/>
        <w:rPr>
          <w:rFonts w:ascii="宋体" w:hAnsi="宋体" w:cs="宋体"/>
          <w:color w:val="auto"/>
          <w:kern w:val="1"/>
          <w:szCs w:val="21"/>
          <w:highlight w:val="none"/>
        </w:rPr>
        <w:sectPr>
          <w:headerReference r:id="rId15" w:type="default"/>
          <w:footerReference r:id="rId16" w:type="default"/>
          <w:pgSz w:w="11907" w:h="16840"/>
          <w:pgMar w:top="1361" w:right="1304" w:bottom="1304" w:left="1304" w:header="851" w:footer="720" w:gutter="0"/>
          <w:cols w:space="720" w:num="1"/>
        </w:sectPr>
      </w:pPr>
      <w:r>
        <w:rPr>
          <w:rFonts w:hint="eastAsia" w:ascii="宋体" w:hAnsi="宋体" w:cs="宋体"/>
          <w:color w:val="auto"/>
          <w:kern w:val="1"/>
          <w:szCs w:val="21"/>
          <w:highlight w:val="none"/>
        </w:rPr>
        <w:t>评委签名：</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日期：</w:t>
      </w:r>
    </w:p>
    <w:p w14:paraId="2FDD8E05">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w:t>
      </w:r>
      <w:r>
        <w:rPr>
          <w:rFonts w:ascii="宋体" w:hAnsi="宋体" w:cs="宋体"/>
          <w:b/>
          <w:color w:val="auto"/>
          <w:kern w:val="1"/>
          <w:sz w:val="24"/>
          <w:highlight w:val="none"/>
        </w:rPr>
        <w:t>4</w:t>
      </w:r>
    </w:p>
    <w:p w14:paraId="58ED143D">
      <w:pPr>
        <w:spacing w:before="120"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建安工程费投标报价算术复核表</w:t>
      </w:r>
    </w:p>
    <w:p w14:paraId="23C5B5AA">
      <w:pPr>
        <w:spacing w:line="360" w:lineRule="auto"/>
        <w:ind w:firstLine="420" w:firstLineChars="200"/>
        <w:jc w:val="left"/>
        <w:rPr>
          <w:rFonts w:ascii="宋体" w:hAnsi="宋体" w:cs="宋体"/>
          <w:color w:val="auto"/>
          <w:kern w:val="1"/>
          <w:highlight w:val="none"/>
        </w:rPr>
      </w:pPr>
      <w:r>
        <w:rPr>
          <w:rFonts w:hint="eastAsia" w:ascii="宋体" w:hAnsi="宋体" w:cs="宋体"/>
          <w:color w:val="auto"/>
          <w:kern w:val="1"/>
          <w:highlight w:val="none"/>
        </w:rPr>
        <w:t>项目名称：</w:t>
      </w:r>
    </w:p>
    <w:tbl>
      <w:tblPr>
        <w:tblStyle w:val="34"/>
        <w:tblW w:w="0" w:type="auto"/>
        <w:tblInd w:w="288" w:type="dxa"/>
        <w:tblLayout w:type="fixed"/>
        <w:tblCellMar>
          <w:top w:w="0" w:type="dxa"/>
          <w:left w:w="108" w:type="dxa"/>
          <w:bottom w:w="0" w:type="dxa"/>
          <w:right w:w="108" w:type="dxa"/>
        </w:tblCellMar>
      </w:tblPr>
      <w:tblGrid>
        <w:gridCol w:w="888"/>
        <w:gridCol w:w="4440"/>
        <w:gridCol w:w="3060"/>
        <w:gridCol w:w="3240"/>
        <w:gridCol w:w="2376"/>
      </w:tblGrid>
      <w:tr w14:paraId="2A5D437A">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152607C">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430EE4AF">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6CDE9D22">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原建安工程费投标报价（</w:t>
            </w:r>
            <w:r>
              <w:rPr>
                <w:rFonts w:ascii="宋体" w:hAnsi="宋体" w:cs="宋体"/>
                <w:color w:val="auto"/>
                <w:kern w:val="1"/>
                <w:sz w:val="24"/>
                <w:szCs w:val="24"/>
                <w:highlight w:val="none"/>
              </w:rPr>
              <w:t>A</w:t>
            </w:r>
            <w:r>
              <w:rPr>
                <w:rFonts w:hint="eastAsia" w:ascii="宋体" w:hAnsi="宋体" w:cs="宋体"/>
                <w:color w:val="auto"/>
                <w:kern w:val="1"/>
                <w:sz w:val="24"/>
                <w:szCs w:val="24"/>
                <w:highlight w:val="none"/>
              </w:rPr>
              <w:t>）</w:t>
            </w:r>
          </w:p>
        </w:tc>
        <w:tc>
          <w:tcPr>
            <w:tcW w:w="3240" w:type="dxa"/>
            <w:tcBorders>
              <w:top w:val="single" w:color="000000" w:sz="4" w:space="0"/>
              <w:left w:val="single" w:color="000000" w:sz="4" w:space="0"/>
              <w:bottom w:val="single" w:color="000000" w:sz="4" w:space="0"/>
              <w:right w:val="single" w:color="000000" w:sz="4" w:space="0"/>
            </w:tcBorders>
            <w:vAlign w:val="center"/>
          </w:tcPr>
          <w:p w14:paraId="16CB3350">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算术复核后的建安工程费投标报价（</w:t>
            </w:r>
            <w:r>
              <w:rPr>
                <w:rFonts w:ascii="宋体" w:hAnsi="宋体" w:cs="宋体"/>
                <w:color w:val="auto"/>
                <w:kern w:val="1"/>
                <w:sz w:val="24"/>
                <w:szCs w:val="24"/>
                <w:highlight w:val="none"/>
              </w:rPr>
              <w:t>B</w:t>
            </w:r>
            <w:r>
              <w:rPr>
                <w:rFonts w:hint="eastAsia" w:ascii="宋体" w:hAnsi="宋体" w:cs="宋体"/>
                <w:color w:val="auto"/>
                <w:kern w:val="1"/>
                <w:sz w:val="24"/>
                <w:szCs w:val="24"/>
                <w:highlight w:val="none"/>
              </w:rPr>
              <w:t>）</w:t>
            </w:r>
          </w:p>
        </w:tc>
        <w:tc>
          <w:tcPr>
            <w:tcW w:w="2376" w:type="dxa"/>
            <w:tcBorders>
              <w:top w:val="single" w:color="000000" w:sz="4" w:space="0"/>
              <w:left w:val="single" w:color="000000" w:sz="4" w:space="0"/>
              <w:bottom w:val="single" w:color="000000" w:sz="4" w:space="0"/>
              <w:right w:val="single" w:color="000000" w:sz="4" w:space="0"/>
            </w:tcBorders>
            <w:vAlign w:val="center"/>
          </w:tcPr>
          <w:p w14:paraId="31305BE6">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误差率（</w:t>
            </w:r>
            <w:r>
              <w:rPr>
                <w:rFonts w:ascii="宋体" w:hAnsi="宋体" w:cs="宋体"/>
                <w:color w:val="auto"/>
                <w:kern w:val="1"/>
                <w:sz w:val="24"/>
                <w:szCs w:val="24"/>
                <w:highlight w:val="none"/>
              </w:rPr>
              <w:t>r=|A-B|/A</w:t>
            </w:r>
            <w:r>
              <w:rPr>
                <w:rFonts w:hint="eastAsia" w:ascii="宋体" w:hAnsi="宋体" w:cs="宋体"/>
                <w:color w:val="auto"/>
                <w:kern w:val="1"/>
                <w:sz w:val="24"/>
                <w:szCs w:val="24"/>
                <w:highlight w:val="none"/>
              </w:rPr>
              <w:t>×</w:t>
            </w:r>
            <w:r>
              <w:rPr>
                <w:rFonts w:ascii="宋体" w:hAnsi="宋体" w:cs="宋体"/>
                <w:color w:val="auto"/>
                <w:kern w:val="1"/>
                <w:sz w:val="24"/>
                <w:szCs w:val="24"/>
                <w:highlight w:val="none"/>
              </w:rPr>
              <w:t>100%</w:t>
            </w:r>
            <w:r>
              <w:rPr>
                <w:rFonts w:hint="eastAsia" w:ascii="宋体" w:hAnsi="宋体" w:cs="宋体"/>
                <w:color w:val="auto"/>
                <w:kern w:val="1"/>
                <w:sz w:val="24"/>
                <w:szCs w:val="24"/>
                <w:highlight w:val="none"/>
              </w:rPr>
              <w:t>）</w:t>
            </w:r>
          </w:p>
        </w:tc>
      </w:tr>
      <w:tr w14:paraId="311D6EB9">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41316FD">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CB4E5ED">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16B1A46">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85EF310">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624B8BC">
            <w:pPr>
              <w:spacing w:line="360" w:lineRule="auto"/>
              <w:rPr>
                <w:rFonts w:ascii="宋体" w:hAnsi="宋体" w:cs="宋体"/>
                <w:b/>
                <w:color w:val="auto"/>
                <w:kern w:val="1"/>
                <w:sz w:val="24"/>
                <w:szCs w:val="24"/>
                <w:highlight w:val="none"/>
              </w:rPr>
            </w:pPr>
          </w:p>
        </w:tc>
      </w:tr>
      <w:tr w14:paraId="5569BD79">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2DE9E36">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151E50CF">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9A0F9EB">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67C6B149">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5EE3EE13">
            <w:pPr>
              <w:spacing w:line="360" w:lineRule="auto"/>
              <w:rPr>
                <w:rFonts w:ascii="宋体" w:hAnsi="宋体" w:cs="宋体"/>
                <w:b/>
                <w:color w:val="auto"/>
                <w:kern w:val="1"/>
                <w:sz w:val="24"/>
                <w:szCs w:val="24"/>
                <w:highlight w:val="none"/>
              </w:rPr>
            </w:pPr>
          </w:p>
        </w:tc>
      </w:tr>
      <w:tr w14:paraId="095A841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AACE013">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4B5EBAA">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9D81261">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DA365DC">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07F88D9">
            <w:pPr>
              <w:spacing w:line="360" w:lineRule="auto"/>
              <w:rPr>
                <w:rFonts w:ascii="宋体" w:hAnsi="宋体" w:cs="宋体"/>
                <w:b/>
                <w:color w:val="auto"/>
                <w:kern w:val="1"/>
                <w:sz w:val="24"/>
                <w:szCs w:val="24"/>
                <w:highlight w:val="none"/>
              </w:rPr>
            </w:pPr>
          </w:p>
        </w:tc>
      </w:tr>
      <w:tr w14:paraId="7399903F">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4314063">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6513566">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22765910">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1104FE65">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3F7B594">
            <w:pPr>
              <w:spacing w:line="360" w:lineRule="auto"/>
              <w:rPr>
                <w:rFonts w:ascii="宋体" w:hAnsi="宋体" w:cs="宋体"/>
                <w:b/>
                <w:color w:val="auto"/>
                <w:kern w:val="1"/>
                <w:sz w:val="24"/>
                <w:szCs w:val="24"/>
                <w:highlight w:val="none"/>
              </w:rPr>
            </w:pPr>
          </w:p>
        </w:tc>
      </w:tr>
      <w:tr w14:paraId="6A286644">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576BA45">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16DEC79B">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E74DC45">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069E850">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3A27FB74">
            <w:pPr>
              <w:spacing w:line="360" w:lineRule="auto"/>
              <w:rPr>
                <w:rFonts w:ascii="宋体" w:hAnsi="宋体" w:cs="宋体"/>
                <w:b/>
                <w:color w:val="auto"/>
                <w:kern w:val="1"/>
                <w:sz w:val="24"/>
                <w:szCs w:val="24"/>
                <w:highlight w:val="none"/>
              </w:rPr>
            </w:pPr>
          </w:p>
        </w:tc>
      </w:tr>
      <w:tr w14:paraId="3619EF38">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6FA0075">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E839CAB">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A7E59D6">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2426ED6C">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58B2FDF0">
            <w:pPr>
              <w:spacing w:line="360" w:lineRule="auto"/>
              <w:rPr>
                <w:rFonts w:ascii="宋体" w:hAnsi="宋体" w:cs="宋体"/>
                <w:b/>
                <w:color w:val="auto"/>
                <w:kern w:val="1"/>
                <w:sz w:val="24"/>
                <w:szCs w:val="24"/>
                <w:highlight w:val="none"/>
              </w:rPr>
            </w:pPr>
          </w:p>
        </w:tc>
      </w:tr>
      <w:tr w14:paraId="31D4A664">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B153359">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2268548">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263AD6E0">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D22F619">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5871ED1">
            <w:pPr>
              <w:spacing w:line="360" w:lineRule="auto"/>
              <w:rPr>
                <w:rFonts w:ascii="宋体" w:hAnsi="宋体" w:cs="宋体"/>
                <w:b/>
                <w:color w:val="auto"/>
                <w:kern w:val="1"/>
                <w:sz w:val="24"/>
                <w:szCs w:val="24"/>
                <w:highlight w:val="none"/>
              </w:rPr>
            </w:pPr>
          </w:p>
        </w:tc>
      </w:tr>
      <w:tr w14:paraId="4AE79821">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0B3F204">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A23F69C">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4E819C9">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3024044">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A4975FC">
            <w:pPr>
              <w:spacing w:line="360" w:lineRule="auto"/>
              <w:rPr>
                <w:rFonts w:ascii="宋体" w:hAnsi="宋体" w:cs="宋体"/>
                <w:b/>
                <w:color w:val="auto"/>
                <w:kern w:val="1"/>
                <w:sz w:val="24"/>
                <w:szCs w:val="24"/>
                <w:highlight w:val="none"/>
              </w:rPr>
            </w:pPr>
          </w:p>
        </w:tc>
      </w:tr>
    </w:tbl>
    <w:p w14:paraId="168AE76D">
      <w:pPr>
        <w:spacing w:line="360" w:lineRule="auto"/>
        <w:rPr>
          <w:rFonts w:ascii="宋体" w:hAnsi="宋体" w:cs="宋体"/>
          <w:b/>
          <w:color w:val="auto"/>
          <w:kern w:val="1"/>
          <w:sz w:val="24"/>
          <w:szCs w:val="24"/>
          <w:highlight w:val="none"/>
        </w:rPr>
      </w:pPr>
    </w:p>
    <w:p w14:paraId="4EA592ED">
      <w:pPr>
        <w:spacing w:line="360" w:lineRule="auto"/>
        <w:rPr>
          <w:rFonts w:ascii="宋体" w:hAnsi="宋体" w:cs="宋体"/>
          <w:color w:val="auto"/>
          <w:kern w:val="1"/>
          <w:sz w:val="24"/>
          <w:highlight w:val="none"/>
        </w:rPr>
      </w:pPr>
      <w:r>
        <w:rPr>
          <w:rFonts w:hint="eastAsia" w:ascii="宋体" w:hAnsi="宋体" w:cs="宋体"/>
          <w:color w:val="auto"/>
          <w:kern w:val="1"/>
          <w:sz w:val="24"/>
          <w:szCs w:val="24"/>
          <w:highlight w:val="none"/>
        </w:rPr>
        <w:t>评委签名：</w:t>
      </w:r>
      <w:r>
        <w:rPr>
          <w:rFonts w:ascii="宋体" w:hAnsi="宋体" w:cs="宋体"/>
          <w:color w:val="auto"/>
          <w:kern w:val="1"/>
          <w:sz w:val="24"/>
          <w:szCs w:val="24"/>
          <w:highlight w:val="none"/>
        </w:rPr>
        <w:t xml:space="preserve">                                                 </w:t>
      </w:r>
      <w:r>
        <w:rPr>
          <w:rFonts w:hint="eastAsia" w:ascii="宋体" w:hAnsi="宋体" w:cs="宋体"/>
          <w:color w:val="auto"/>
          <w:kern w:val="1"/>
          <w:sz w:val="24"/>
          <w:highlight w:val="none"/>
        </w:rPr>
        <w:t>日期：</w:t>
      </w:r>
    </w:p>
    <w:p w14:paraId="4F7D5C10">
      <w:pPr>
        <w:spacing w:line="360" w:lineRule="auto"/>
        <w:rPr>
          <w:rFonts w:ascii="宋体" w:hAnsi="宋体" w:cs="宋体"/>
          <w:color w:val="auto"/>
          <w:kern w:val="1"/>
          <w:sz w:val="24"/>
          <w:highlight w:val="none"/>
        </w:rPr>
      </w:pPr>
    </w:p>
    <w:p w14:paraId="02C461B5">
      <w:pPr>
        <w:spacing w:line="360" w:lineRule="auto"/>
        <w:rPr>
          <w:rFonts w:ascii="宋体" w:hAnsi="宋体" w:cs="宋体"/>
          <w:color w:val="auto"/>
          <w:kern w:val="1"/>
          <w:szCs w:val="21"/>
          <w:highlight w:val="none"/>
        </w:rPr>
        <w:sectPr>
          <w:headerReference r:id="rId17" w:type="default"/>
          <w:footerReference r:id="rId18" w:type="default"/>
          <w:pgSz w:w="16840" w:h="11907" w:orient="landscape"/>
          <w:pgMar w:top="1304" w:right="1361" w:bottom="1304" w:left="1304" w:header="851" w:footer="720" w:gutter="0"/>
          <w:cols w:space="720" w:num="1"/>
        </w:sectPr>
      </w:pPr>
    </w:p>
    <w:p w14:paraId="426234C3">
      <w:pPr>
        <w:pStyle w:val="3"/>
        <w:spacing w:line="360" w:lineRule="auto"/>
        <w:jc w:val="center"/>
        <w:rPr>
          <w:rFonts w:ascii="宋体" w:hAnsi="宋体" w:cs="宋体"/>
          <w:color w:val="auto"/>
          <w:kern w:val="1"/>
          <w:highlight w:val="none"/>
        </w:rPr>
      </w:pPr>
      <w:bookmarkStart w:id="363" w:name="_Toc25769"/>
      <w:bookmarkEnd w:id="363"/>
      <w:bookmarkStart w:id="364" w:name="_Toc3141"/>
      <w:r>
        <w:rPr>
          <w:rFonts w:hint="eastAsia" w:ascii="宋体" w:hAnsi="宋体" w:cs="宋体"/>
          <w:color w:val="auto"/>
          <w:kern w:val="1"/>
          <w:highlight w:val="none"/>
        </w:rPr>
        <w:t>第四章</w:t>
      </w:r>
      <w:r>
        <w:rPr>
          <w:rFonts w:ascii="宋体" w:hAnsi="宋体" w:cs="宋体"/>
          <w:color w:val="auto"/>
          <w:kern w:val="1"/>
          <w:highlight w:val="none"/>
        </w:rPr>
        <w:t xml:space="preserve"> </w:t>
      </w:r>
      <w:r>
        <w:rPr>
          <w:rFonts w:hint="eastAsia" w:ascii="宋体" w:hAnsi="宋体" w:cs="宋体"/>
          <w:color w:val="auto"/>
          <w:kern w:val="1"/>
          <w:highlight w:val="none"/>
        </w:rPr>
        <w:t>合同条款及格式</w:t>
      </w:r>
      <w:bookmarkEnd w:id="364"/>
    </w:p>
    <w:p w14:paraId="57F5E32E">
      <w:pPr>
        <w:spacing w:line="360" w:lineRule="auto"/>
        <w:jc w:val="center"/>
        <w:rPr>
          <w:rFonts w:ascii="宋体" w:hAnsi="宋体" w:cs="宋体"/>
          <w:b/>
          <w:color w:val="auto"/>
          <w:kern w:val="1"/>
          <w:sz w:val="24"/>
          <w:highlight w:val="none"/>
        </w:rPr>
      </w:pPr>
      <w:r>
        <w:rPr>
          <w:rFonts w:ascii="宋体" w:hAnsi="宋体" w:cs="宋体"/>
          <w:b/>
          <w:color w:val="auto"/>
          <w:kern w:val="1"/>
          <w:sz w:val="24"/>
          <w:highlight w:val="none"/>
        </w:rPr>
        <w:t xml:space="preserve">      (</w:t>
      </w:r>
      <w:r>
        <w:rPr>
          <w:rFonts w:hint="eastAsia" w:ascii="宋体" w:hAnsi="宋体" w:cs="宋体"/>
          <w:b/>
          <w:color w:val="auto"/>
          <w:kern w:val="1"/>
          <w:sz w:val="24"/>
          <w:highlight w:val="none"/>
        </w:rPr>
        <w:t>另册</w:t>
      </w:r>
      <w:r>
        <w:rPr>
          <w:rFonts w:ascii="宋体" w:hAnsi="宋体" w:cs="宋体"/>
          <w:b/>
          <w:color w:val="auto"/>
          <w:kern w:val="1"/>
          <w:sz w:val="24"/>
          <w:highlight w:val="none"/>
        </w:rPr>
        <w:t>)</w:t>
      </w:r>
    </w:p>
    <w:p w14:paraId="3000CA2D">
      <w:pPr>
        <w:pStyle w:val="2"/>
        <w:spacing w:line="360" w:lineRule="auto"/>
        <w:rPr>
          <w:rFonts w:cs="宋体"/>
          <w:b/>
          <w:color w:val="auto"/>
          <w:kern w:val="1"/>
          <w:sz w:val="28"/>
          <w:szCs w:val="28"/>
          <w:highlight w:val="none"/>
        </w:rPr>
      </w:pPr>
      <w:r>
        <w:rPr>
          <w:rFonts w:cs="宋体"/>
          <w:b/>
          <w:color w:val="auto"/>
          <w:kern w:val="1"/>
          <w:sz w:val="28"/>
          <w:szCs w:val="28"/>
          <w:highlight w:val="none"/>
        </w:rPr>
        <w:br w:type="page"/>
      </w:r>
    </w:p>
    <w:p w14:paraId="58F8ABF5">
      <w:pPr>
        <w:pStyle w:val="3"/>
        <w:spacing w:line="360" w:lineRule="auto"/>
        <w:jc w:val="center"/>
        <w:rPr>
          <w:color w:val="auto"/>
          <w:highlight w:val="none"/>
        </w:rPr>
      </w:pPr>
      <w:bookmarkStart w:id="365" w:name="_Toc1084"/>
      <w:r>
        <w:rPr>
          <w:rFonts w:hint="eastAsia"/>
          <w:color w:val="auto"/>
          <w:highlight w:val="none"/>
        </w:rPr>
        <w:t>第五章</w:t>
      </w:r>
      <w:r>
        <w:rPr>
          <w:color w:val="auto"/>
          <w:highlight w:val="none"/>
        </w:rPr>
        <w:t xml:space="preserve"> </w:t>
      </w:r>
      <w:r>
        <w:rPr>
          <w:rFonts w:hint="eastAsia"/>
          <w:color w:val="auto"/>
          <w:highlight w:val="none"/>
        </w:rPr>
        <w:t>招标人要求</w:t>
      </w:r>
      <w:bookmarkEnd w:id="365"/>
    </w:p>
    <w:p w14:paraId="4E1E136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一、施工现场建筑垃圾源头减量的具体要求和建筑垃圾综合利用产品的使用要求：</w:t>
      </w:r>
    </w:p>
    <w:p w14:paraId="7C698D5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r>
        <w:rPr>
          <w:rFonts w:ascii="宋体" w:hAnsi="宋体" w:cs="宋体"/>
          <w:color w:val="auto"/>
          <w:sz w:val="24"/>
          <w:szCs w:val="24"/>
          <w:highlight w:val="none"/>
        </w:rPr>
        <w:t>1</w:t>
      </w:r>
      <w:r>
        <w:rPr>
          <w:rFonts w:hint="eastAsia" w:ascii="宋体" w:hAnsi="宋体" w:cs="宋体"/>
          <w:color w:val="auto"/>
          <w:sz w:val="24"/>
          <w:szCs w:val="24"/>
          <w:highlight w:val="none"/>
        </w:rPr>
        <w:t>）工程概况和施工单位基本信息；（</w:t>
      </w:r>
      <w:r>
        <w:rPr>
          <w:rFonts w:ascii="宋体" w:hAnsi="宋体" w:cs="宋体"/>
          <w:color w:val="auto"/>
          <w:sz w:val="24"/>
          <w:szCs w:val="24"/>
          <w:highlight w:val="none"/>
        </w:rPr>
        <w:t>2</w:t>
      </w:r>
      <w:r>
        <w:rPr>
          <w:rFonts w:hint="eastAsia" w:ascii="宋体" w:hAnsi="宋体" w:cs="宋体"/>
          <w:color w:val="auto"/>
          <w:sz w:val="24"/>
          <w:szCs w:val="24"/>
          <w:highlight w:val="none"/>
        </w:rPr>
        <w:t>）建筑垃圾产生量与种类；（</w:t>
      </w:r>
      <w:r>
        <w:rPr>
          <w:rFonts w:ascii="宋体" w:hAnsi="宋体" w:cs="宋体"/>
          <w:color w:val="auto"/>
          <w:sz w:val="24"/>
          <w:szCs w:val="24"/>
          <w:highlight w:val="none"/>
        </w:rPr>
        <w:t>3</w:t>
      </w:r>
      <w:r>
        <w:rPr>
          <w:rFonts w:hint="eastAsia" w:ascii="宋体" w:hAnsi="宋体" w:cs="宋体"/>
          <w:color w:val="auto"/>
          <w:sz w:val="24"/>
          <w:szCs w:val="24"/>
          <w:highlight w:val="none"/>
        </w:rPr>
        <w:t>）建筑垃圾源头减量、分类收集、综合利用、污染防治的措施和目标；（</w:t>
      </w:r>
      <w:r>
        <w:rPr>
          <w:rFonts w:ascii="宋体" w:hAnsi="宋体" w:cs="宋体"/>
          <w:color w:val="auto"/>
          <w:sz w:val="24"/>
          <w:szCs w:val="24"/>
          <w:highlight w:val="none"/>
        </w:rPr>
        <w:t>4</w:t>
      </w:r>
      <w:r>
        <w:rPr>
          <w:rFonts w:hint="eastAsia" w:ascii="宋体" w:hAnsi="宋体" w:cs="宋体"/>
          <w:color w:val="auto"/>
          <w:sz w:val="24"/>
          <w:szCs w:val="24"/>
          <w:highlight w:val="none"/>
        </w:rPr>
        <w:t>）需要外运的建筑垃圾种类、数量与运输的时间、路线、方式和运输单位；（</w:t>
      </w:r>
      <w:r>
        <w:rPr>
          <w:rFonts w:ascii="宋体" w:hAnsi="宋体" w:cs="宋体"/>
          <w:color w:val="auto"/>
          <w:sz w:val="24"/>
          <w:szCs w:val="24"/>
          <w:highlight w:val="none"/>
        </w:rPr>
        <w:t>5</w:t>
      </w:r>
      <w:r>
        <w:rPr>
          <w:rFonts w:hint="eastAsia" w:ascii="宋体" w:hAnsi="宋体" w:cs="宋体"/>
          <w:color w:val="auto"/>
          <w:sz w:val="24"/>
          <w:szCs w:val="24"/>
          <w:highlight w:val="none"/>
        </w:rPr>
        <w:t>）建筑垃圾回填、消纳、综合利用场所名称；（</w:t>
      </w:r>
      <w:r>
        <w:rPr>
          <w:rFonts w:ascii="宋体" w:hAnsi="宋体" w:cs="宋体"/>
          <w:color w:val="auto"/>
          <w:sz w:val="24"/>
          <w:szCs w:val="24"/>
          <w:highlight w:val="none"/>
        </w:rPr>
        <w:t>6</w:t>
      </w:r>
      <w:r>
        <w:rPr>
          <w:rFonts w:hint="eastAsia" w:ascii="宋体" w:hAnsi="宋体" w:cs="宋体"/>
          <w:color w:val="auto"/>
          <w:sz w:val="24"/>
          <w:szCs w:val="24"/>
          <w:highlight w:val="none"/>
        </w:rPr>
        <w:t>）法律、法规规定的其他内容。</w:t>
      </w:r>
    </w:p>
    <w:p w14:paraId="5EC1CDC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建筑垃圾应当按照国家有关规定进行分类，实行分类收集、分类贮存、分类运输、分类处置。</w:t>
      </w:r>
    </w:p>
    <w:p w14:paraId="68F07ED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41A9F00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运输建筑垃圾应当遵守下列规定：（</w:t>
      </w:r>
      <w:r>
        <w:rPr>
          <w:rFonts w:ascii="宋体" w:hAnsi="宋体" w:cs="宋体"/>
          <w:color w:val="auto"/>
          <w:sz w:val="24"/>
          <w:szCs w:val="24"/>
          <w:highlight w:val="none"/>
        </w:rPr>
        <w:t>1</w:t>
      </w:r>
      <w:r>
        <w:rPr>
          <w:rFonts w:hint="eastAsia" w:ascii="宋体" w:hAnsi="宋体" w:cs="宋体"/>
          <w:color w:val="auto"/>
          <w:sz w:val="24"/>
          <w:szCs w:val="24"/>
          <w:highlight w:val="none"/>
        </w:rPr>
        <w:t>）建立建筑垃圾运输管理台账；（</w:t>
      </w:r>
      <w:r>
        <w:rPr>
          <w:rFonts w:ascii="宋体" w:hAnsi="宋体" w:cs="宋体"/>
          <w:color w:val="auto"/>
          <w:sz w:val="24"/>
          <w:szCs w:val="24"/>
          <w:highlight w:val="none"/>
        </w:rPr>
        <w:t>2</w:t>
      </w:r>
      <w:r>
        <w:rPr>
          <w:rFonts w:hint="eastAsia" w:ascii="宋体" w:hAnsi="宋体" w:cs="宋体"/>
          <w:color w:val="auto"/>
          <w:sz w:val="24"/>
          <w:szCs w:val="24"/>
          <w:highlight w:val="none"/>
        </w:rPr>
        <w:t>）不得将工程渣土、工程泥浆与其他建筑垃圾混合运输；（</w:t>
      </w:r>
      <w:r>
        <w:rPr>
          <w:rFonts w:ascii="宋体" w:hAnsi="宋体" w:cs="宋体"/>
          <w:color w:val="auto"/>
          <w:sz w:val="24"/>
          <w:szCs w:val="24"/>
          <w:highlight w:val="none"/>
        </w:rPr>
        <w:t>3</w:t>
      </w:r>
      <w:r>
        <w:rPr>
          <w:rFonts w:hint="eastAsia" w:ascii="宋体" w:hAnsi="宋体" w:cs="宋体"/>
          <w:color w:val="auto"/>
          <w:sz w:val="24"/>
          <w:szCs w:val="24"/>
          <w:highlight w:val="none"/>
        </w:rPr>
        <w:t>）保持运输车辆、船舶等运输工具的行驶记录、卫星定位等电子装置正常使用；（</w:t>
      </w:r>
      <w:r>
        <w:rPr>
          <w:rFonts w:ascii="宋体" w:hAnsi="宋体" w:cs="宋体"/>
          <w:color w:val="auto"/>
          <w:sz w:val="24"/>
          <w:szCs w:val="24"/>
          <w:highlight w:val="none"/>
        </w:rPr>
        <w:t>4</w:t>
      </w:r>
      <w:r>
        <w:rPr>
          <w:rFonts w:hint="eastAsia" w:ascii="宋体" w:hAnsi="宋体" w:cs="宋体"/>
          <w:color w:val="auto"/>
          <w:sz w:val="24"/>
          <w:szCs w:val="24"/>
          <w:highlight w:val="none"/>
        </w:rPr>
        <w:t>）运输过程中保持运输工具整洁，采取密闭或者其他有效措施防止遗撒建筑垃圾，不得擅自倾倒、抛撒建筑垃圾；（</w:t>
      </w:r>
      <w:r>
        <w:rPr>
          <w:rFonts w:ascii="宋体" w:hAnsi="宋体" w:cs="宋体"/>
          <w:color w:val="auto"/>
          <w:sz w:val="24"/>
          <w:szCs w:val="24"/>
          <w:highlight w:val="none"/>
        </w:rPr>
        <w:t>5</w:t>
      </w:r>
      <w:r>
        <w:rPr>
          <w:rFonts w:hint="eastAsia" w:ascii="宋体" w:hAnsi="宋体" w:cs="宋体"/>
          <w:color w:val="auto"/>
          <w:sz w:val="24"/>
          <w:szCs w:val="24"/>
          <w:highlight w:val="none"/>
        </w:rPr>
        <w:t>）按照建筑垃圾处理方案确定的时间、路线、方式、场所进行运输。建筑垃圾运输车辆、船舶应当符合相应的载运技术条件。建筑垃圾处置场所为陆域的，不得采用开底式船舶运输建筑垃圾。</w:t>
      </w:r>
    </w:p>
    <w:p w14:paraId="71DEE53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工程泥浆应当在施工现场进行脱水固化处理。施工现场不具备条件的，应当采用罐装器具密闭运输至依法设置的建筑垃圾处置场所进行处置。水上工程中依法无需经脱水处理的除外。</w:t>
      </w:r>
    </w:p>
    <w:p w14:paraId="33C9565F">
      <w:pPr>
        <w:spacing w:line="360" w:lineRule="auto"/>
        <w:ind w:firstLine="480" w:firstLineChars="200"/>
        <w:rPr>
          <w:rFonts w:ascii="方正小标宋简体" w:hAnsi="Arial" w:eastAsia="方正小标宋简体"/>
          <w:b/>
          <w:bCs/>
          <w:color w:val="auto"/>
          <w:sz w:val="36"/>
          <w:szCs w:val="36"/>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建设单位和施工单位严格遵守并执行《广东省建筑垃圾管理条例》。</w:t>
      </w:r>
    </w:p>
    <w:p w14:paraId="160BD50D">
      <w:pPr>
        <w:spacing w:line="360" w:lineRule="auto"/>
        <w:rPr>
          <w:color w:val="auto"/>
          <w:highlight w:val="none"/>
        </w:rPr>
      </w:pPr>
      <w:r>
        <w:rPr>
          <w:rFonts w:hint="eastAsia" w:ascii="宋体" w:hAnsi="宋体" w:cs="宋体"/>
          <w:color w:val="auto"/>
          <w:sz w:val="24"/>
          <w:szCs w:val="24"/>
          <w:highlight w:val="none"/>
        </w:rPr>
        <w:t>二、勘察设计任务书（另册）</w:t>
      </w:r>
    </w:p>
    <w:p w14:paraId="7635C66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三、本项目含有装配式施工，并在相应的设计及施工阶段</w:t>
      </w:r>
      <w:r>
        <w:rPr>
          <w:rFonts w:hint="eastAsia" w:ascii="宋体" w:hAnsi="宋体" w:cs="宋体"/>
          <w:snapToGrid w:val="0"/>
          <w:color w:val="auto"/>
          <w:sz w:val="24"/>
          <w:szCs w:val="24"/>
          <w:highlight w:val="none"/>
        </w:rPr>
        <w:t>引入BIM建筑信息模型，施工单位应配合BIM技术应用服务单位，采用</w:t>
      </w:r>
      <w:r>
        <w:rPr>
          <w:rFonts w:hint="eastAsia" w:ascii="宋体" w:hAnsi="宋体" w:cs="宋体"/>
          <w:color w:val="auto"/>
          <w:sz w:val="24"/>
          <w:szCs w:val="24"/>
          <w:highlight w:val="none"/>
        </w:rPr>
        <w:t>装配式建筑技术，最终以签订合同内容为准。</w:t>
      </w:r>
    </w:p>
    <w:p w14:paraId="01783F17">
      <w:pPr>
        <w:pStyle w:val="2"/>
        <w:spacing w:line="360" w:lineRule="auto"/>
        <w:jc w:val="center"/>
        <w:rPr>
          <w:b/>
          <w:bCs/>
          <w:color w:val="auto"/>
          <w:sz w:val="44"/>
          <w:szCs w:val="44"/>
          <w:highlight w:val="none"/>
        </w:rPr>
        <w:sectPr>
          <w:pgSz w:w="11907" w:h="16840"/>
          <w:pgMar w:top="1361" w:right="1304" w:bottom="1304" w:left="1304" w:header="851" w:footer="992" w:gutter="0"/>
          <w:cols w:space="425" w:num="1"/>
          <w:docGrid w:linePitch="312" w:charSpace="0"/>
        </w:sectPr>
      </w:pPr>
      <w:r>
        <w:rPr>
          <w:color w:val="auto"/>
          <w:highlight w:val="none"/>
        </w:rPr>
        <w:br w:type="page"/>
      </w:r>
    </w:p>
    <w:p w14:paraId="61303ECE">
      <w:pPr>
        <w:pStyle w:val="3"/>
        <w:spacing w:line="360" w:lineRule="auto"/>
        <w:jc w:val="center"/>
        <w:rPr>
          <w:color w:val="auto"/>
          <w:highlight w:val="none"/>
        </w:rPr>
      </w:pPr>
      <w:bookmarkStart w:id="366" w:name="_Toc1392"/>
      <w:r>
        <w:rPr>
          <w:rFonts w:hint="eastAsia"/>
          <w:color w:val="auto"/>
          <w:highlight w:val="none"/>
        </w:rPr>
        <w:t>第六章</w:t>
      </w:r>
      <w:r>
        <w:rPr>
          <w:color w:val="auto"/>
          <w:highlight w:val="none"/>
        </w:rPr>
        <w:t xml:space="preserve"> </w:t>
      </w:r>
      <w:r>
        <w:rPr>
          <w:rFonts w:hint="eastAsia"/>
          <w:color w:val="auto"/>
          <w:highlight w:val="none"/>
        </w:rPr>
        <w:t>招标人提供的资料</w:t>
      </w:r>
      <w:bookmarkEnd w:id="366"/>
    </w:p>
    <w:p w14:paraId="535E2D44">
      <w:pPr>
        <w:tabs>
          <w:tab w:val="left" w:pos="573"/>
        </w:tabs>
        <w:spacing w:line="360" w:lineRule="auto"/>
        <w:jc w:val="center"/>
        <w:rPr>
          <w:rFonts w:ascii="方正小标宋简体" w:hAnsi="Arial" w:eastAsia="方正小标宋简体"/>
          <w:b/>
          <w:bCs/>
          <w:color w:val="auto"/>
          <w:sz w:val="36"/>
          <w:szCs w:val="36"/>
          <w:highlight w:val="none"/>
        </w:rPr>
      </w:pPr>
      <w:bookmarkStart w:id="367" w:name="_Toc436834201"/>
      <w:bookmarkEnd w:id="367"/>
      <w:bookmarkStart w:id="368" w:name="_Toc436834794"/>
      <w:bookmarkEnd w:id="368"/>
      <w:bookmarkStart w:id="369" w:name="_Toc439246070"/>
      <w:bookmarkEnd w:id="369"/>
      <w:bookmarkStart w:id="370" w:name="_Toc439240671"/>
      <w:bookmarkEnd w:id="370"/>
      <w:r>
        <w:rPr>
          <w:rFonts w:hint="eastAsia" w:ascii="方正小标宋简体" w:hAnsi="Arial" w:eastAsia="方正小标宋简体"/>
          <w:b/>
          <w:bCs/>
          <w:color w:val="auto"/>
          <w:sz w:val="36"/>
          <w:szCs w:val="36"/>
          <w:highlight w:val="none"/>
        </w:rPr>
        <w:t>红线图（另册）</w:t>
      </w:r>
    </w:p>
    <w:p w14:paraId="3FF4F1A8">
      <w:pP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60E287FB">
      <w:pPr>
        <w:pStyle w:val="3"/>
        <w:spacing w:line="360" w:lineRule="auto"/>
        <w:jc w:val="center"/>
        <w:rPr>
          <w:color w:val="auto"/>
          <w:highlight w:val="none"/>
        </w:rPr>
      </w:pPr>
      <w:bookmarkStart w:id="371" w:name="_Toc16136"/>
      <w:bookmarkEnd w:id="371"/>
      <w:bookmarkStart w:id="372" w:name="_Toc30645"/>
      <w:r>
        <w:rPr>
          <w:rFonts w:hint="eastAsia"/>
          <w:color w:val="auto"/>
          <w:highlight w:val="none"/>
        </w:rPr>
        <w:t>第七章</w:t>
      </w:r>
      <w:r>
        <w:rPr>
          <w:color w:val="auto"/>
          <w:highlight w:val="none"/>
        </w:rPr>
        <w:t xml:space="preserve"> </w:t>
      </w:r>
      <w:r>
        <w:rPr>
          <w:rFonts w:hint="eastAsia"/>
          <w:color w:val="auto"/>
          <w:highlight w:val="none"/>
        </w:rPr>
        <w:t>投标文件格式</w:t>
      </w:r>
      <w:bookmarkEnd w:id="372"/>
    </w:p>
    <w:p w14:paraId="55D6BB77">
      <w:pPr>
        <w:widowControl/>
        <w:adjustRightInd w:val="0"/>
        <w:snapToGrid w:val="0"/>
        <w:spacing w:line="360" w:lineRule="auto"/>
        <w:ind w:right="102"/>
        <w:jc w:val="center"/>
        <w:rPr>
          <w:color w:val="auto"/>
          <w:highlight w:val="none"/>
        </w:rPr>
      </w:pPr>
      <w:r>
        <w:rPr>
          <w:rFonts w:ascii="宋体" w:hAnsi="宋体" w:cs="宋体"/>
          <w:color w:val="auto"/>
          <w:kern w:val="1"/>
          <w:sz w:val="20"/>
          <w:szCs w:val="20"/>
          <w:highlight w:val="none"/>
          <w:lang w:val="zh-CN"/>
        </w:rPr>
        <w:br w:type="page"/>
      </w:r>
      <w:r>
        <w:rPr>
          <w:color w:val="auto"/>
          <w:highlight w:val="none"/>
        </w:rPr>
        <w:t xml:space="preserve"> </w:t>
      </w:r>
    </w:p>
    <w:p w14:paraId="49D5D97C">
      <w:pPr>
        <w:pStyle w:val="2"/>
        <w:spacing w:line="360" w:lineRule="auto"/>
        <w:rPr>
          <w:color w:val="auto"/>
          <w:highlight w:val="none"/>
        </w:rPr>
      </w:pPr>
    </w:p>
    <w:p w14:paraId="1A8D0F80">
      <w:pPr>
        <w:spacing w:line="360" w:lineRule="auto"/>
        <w:jc w:val="center"/>
        <w:rPr>
          <w:rFonts w:ascii="宋体" w:hAnsi="宋体" w:cs="宋体"/>
          <w:b/>
          <w:color w:val="auto"/>
          <w:kern w:val="1"/>
          <w:sz w:val="30"/>
          <w:szCs w:val="30"/>
          <w:highlight w:val="none"/>
        </w:rPr>
      </w:pPr>
    </w:p>
    <w:p w14:paraId="211CDF75">
      <w:pPr>
        <w:pStyle w:val="2"/>
        <w:spacing w:line="360" w:lineRule="auto"/>
        <w:rPr>
          <w:rFonts w:cs="宋体"/>
          <w:b/>
          <w:color w:val="auto"/>
          <w:kern w:val="1"/>
          <w:sz w:val="30"/>
          <w:szCs w:val="30"/>
          <w:highlight w:val="none"/>
        </w:rPr>
      </w:pPr>
    </w:p>
    <w:p w14:paraId="79925E29">
      <w:pPr>
        <w:pStyle w:val="2"/>
        <w:spacing w:line="360" w:lineRule="auto"/>
        <w:rPr>
          <w:rFonts w:cs="宋体"/>
          <w:b/>
          <w:color w:val="auto"/>
          <w:kern w:val="1"/>
          <w:sz w:val="30"/>
          <w:szCs w:val="30"/>
          <w:highlight w:val="none"/>
        </w:rPr>
      </w:pPr>
    </w:p>
    <w:p w14:paraId="678379F7">
      <w:pPr>
        <w:pStyle w:val="2"/>
        <w:spacing w:line="360" w:lineRule="auto"/>
        <w:rPr>
          <w:rFonts w:cs="宋体"/>
          <w:b/>
          <w:color w:val="auto"/>
          <w:kern w:val="1"/>
          <w:sz w:val="30"/>
          <w:szCs w:val="30"/>
          <w:highlight w:val="none"/>
        </w:rPr>
      </w:pPr>
    </w:p>
    <w:p w14:paraId="373B2AF3">
      <w:pPr>
        <w:spacing w:line="360" w:lineRule="auto"/>
        <w:jc w:val="center"/>
        <w:rPr>
          <w:rFonts w:ascii="宋体" w:hAnsi="宋体" w:cs="宋体"/>
          <w:b/>
          <w:color w:val="auto"/>
          <w:kern w:val="1"/>
          <w:sz w:val="30"/>
          <w:szCs w:val="30"/>
          <w:highlight w:val="none"/>
        </w:rPr>
      </w:pPr>
    </w:p>
    <w:p w14:paraId="5AF617BE">
      <w:pPr>
        <w:spacing w:line="360" w:lineRule="auto"/>
        <w:jc w:val="center"/>
        <w:rPr>
          <w:rFonts w:ascii="宋体" w:hAnsi="宋体" w:cs="宋体"/>
          <w:b/>
          <w:color w:val="auto"/>
          <w:kern w:val="1"/>
          <w:sz w:val="30"/>
          <w:szCs w:val="30"/>
          <w:highlight w:val="none"/>
        </w:rPr>
      </w:pPr>
    </w:p>
    <w:p w14:paraId="1669784D">
      <w:pPr>
        <w:spacing w:line="360" w:lineRule="auto"/>
        <w:jc w:val="center"/>
        <w:rPr>
          <w:rFonts w:ascii="宋体" w:hAnsi="宋体" w:cs="宋体"/>
          <w:b/>
          <w:color w:val="auto"/>
          <w:kern w:val="1"/>
          <w:sz w:val="30"/>
          <w:szCs w:val="30"/>
          <w:highlight w:val="none"/>
        </w:rPr>
      </w:pPr>
    </w:p>
    <w:p w14:paraId="62BB7191">
      <w:pPr>
        <w:spacing w:line="360" w:lineRule="auto"/>
        <w:jc w:val="center"/>
        <w:rPr>
          <w:rFonts w:ascii="宋体" w:hAnsi="宋体" w:cs="宋体"/>
          <w:b/>
          <w:color w:val="auto"/>
          <w:kern w:val="1"/>
          <w:sz w:val="30"/>
          <w:szCs w:val="30"/>
          <w:highlight w:val="none"/>
        </w:rPr>
      </w:pPr>
    </w:p>
    <w:p w14:paraId="55C4B45C">
      <w:pPr>
        <w:spacing w:line="360" w:lineRule="auto"/>
        <w:jc w:val="center"/>
        <w:rPr>
          <w:rFonts w:ascii="宋体" w:hAnsi="宋体" w:cs="宋体"/>
          <w:b/>
          <w:color w:val="auto"/>
          <w:kern w:val="1"/>
          <w:sz w:val="30"/>
          <w:szCs w:val="30"/>
          <w:highlight w:val="none"/>
        </w:rPr>
      </w:pPr>
    </w:p>
    <w:p w14:paraId="1195B7FC">
      <w:pP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w:t>
      </w:r>
      <w:r>
        <w:rPr>
          <w:rFonts w:ascii="宋体" w:hAnsi="宋体" w:cs="宋体"/>
          <w:b/>
          <w:color w:val="auto"/>
          <w:kern w:val="1"/>
          <w:sz w:val="36"/>
          <w:szCs w:val="36"/>
          <w:highlight w:val="none"/>
        </w:rPr>
        <w:t xml:space="preserve">  </w:t>
      </w:r>
      <w:r>
        <w:rPr>
          <w:rFonts w:hint="eastAsia" w:ascii="宋体" w:hAnsi="宋体" w:cs="宋体"/>
          <w:b/>
          <w:color w:val="auto"/>
          <w:kern w:val="1"/>
          <w:sz w:val="36"/>
          <w:szCs w:val="36"/>
          <w:highlight w:val="none"/>
        </w:rPr>
        <w:t>工程总承包实施方案技术投标文件格式</w:t>
      </w:r>
    </w:p>
    <w:p w14:paraId="49729578">
      <w:pPr>
        <w:spacing w:line="360" w:lineRule="auto"/>
        <w:jc w:val="center"/>
        <w:rPr>
          <w:rFonts w:ascii="宋体" w:hAnsi="宋体" w:cs="宋体"/>
          <w:b/>
          <w:color w:val="auto"/>
          <w:kern w:val="1"/>
          <w:sz w:val="30"/>
          <w:szCs w:val="30"/>
          <w:highlight w:val="none"/>
        </w:rPr>
      </w:pPr>
    </w:p>
    <w:p w14:paraId="2BBF243D">
      <w:pPr>
        <w:spacing w:line="360" w:lineRule="auto"/>
        <w:jc w:val="center"/>
        <w:rPr>
          <w:rFonts w:ascii="宋体" w:hAnsi="宋体" w:cs="宋体"/>
          <w:b/>
          <w:color w:val="auto"/>
          <w:kern w:val="1"/>
          <w:sz w:val="30"/>
          <w:szCs w:val="30"/>
          <w:highlight w:val="none"/>
        </w:rPr>
      </w:pPr>
    </w:p>
    <w:p w14:paraId="5F0BB850">
      <w:pPr>
        <w:spacing w:line="360" w:lineRule="auto"/>
        <w:jc w:val="center"/>
        <w:rPr>
          <w:rFonts w:ascii="宋体" w:hAnsi="宋体" w:cs="宋体"/>
          <w:b/>
          <w:color w:val="auto"/>
          <w:kern w:val="1"/>
          <w:sz w:val="30"/>
          <w:szCs w:val="30"/>
          <w:highlight w:val="none"/>
        </w:rPr>
        <w:sectPr>
          <w:headerReference r:id="rId19" w:type="default"/>
          <w:footerReference r:id="rId20" w:type="default"/>
          <w:pgSz w:w="11907" w:h="16840"/>
          <w:pgMar w:top="1361" w:right="1304" w:bottom="1304" w:left="1304" w:header="851" w:footer="720" w:gutter="0"/>
          <w:cols w:space="720" w:num="1"/>
        </w:sectPr>
      </w:pPr>
    </w:p>
    <w:p w14:paraId="02330DC6">
      <w:pPr>
        <w:widowControl/>
        <w:jc w:val="left"/>
        <w:rPr>
          <w:rFonts w:ascii="宋体" w:hAnsi="宋体" w:cs="宋体"/>
          <w:b/>
          <w:color w:val="auto"/>
          <w:kern w:val="1"/>
          <w:sz w:val="24"/>
          <w:highlight w:val="none"/>
        </w:rPr>
      </w:pPr>
      <w:r>
        <w:rPr>
          <w:rFonts w:ascii="宋体" w:hAnsi="宋体" w:cs="宋体"/>
          <w:b/>
          <w:color w:val="auto"/>
          <w:kern w:val="1"/>
          <w:sz w:val="24"/>
          <w:highlight w:val="none"/>
        </w:rPr>
        <w:br w:type="page"/>
      </w:r>
    </w:p>
    <w:p w14:paraId="6CB1F64B">
      <w:pPr>
        <w:widowControl/>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1</w:t>
      </w:r>
      <w:r>
        <w:rPr>
          <w:rFonts w:hint="eastAsia" w:ascii="宋体" w:hAnsi="宋体" w:cs="宋体"/>
          <w:b/>
          <w:color w:val="auto"/>
          <w:kern w:val="1"/>
          <w:sz w:val="24"/>
          <w:highlight w:val="none"/>
        </w:rPr>
        <w:t>：</w:t>
      </w:r>
    </w:p>
    <w:p w14:paraId="0E02E273">
      <w:pPr>
        <w:widowControl/>
        <w:adjustRightInd w:val="0"/>
        <w:snapToGrid w:val="0"/>
        <w:spacing w:line="360" w:lineRule="auto"/>
        <w:ind w:right="102"/>
        <w:jc w:val="center"/>
        <w:rPr>
          <w:rFonts w:ascii="宋体" w:hAnsi="宋体" w:cs="宋体"/>
          <w:b/>
          <w:bCs/>
          <w:color w:val="auto"/>
          <w:kern w:val="1"/>
          <w:sz w:val="44"/>
          <w:szCs w:val="44"/>
          <w:highlight w:val="none"/>
          <w:lang w:val="zh-CN"/>
        </w:rPr>
      </w:pPr>
      <w:r>
        <w:rPr>
          <w:rFonts w:hint="eastAsia" w:ascii="宋体" w:hAnsi="宋体" w:cs="宋体"/>
          <w:b/>
          <w:bCs/>
          <w:color w:val="auto"/>
          <w:kern w:val="1"/>
          <w:sz w:val="44"/>
          <w:szCs w:val="44"/>
          <w:highlight w:val="none"/>
          <w:lang w:val="zh-CN"/>
        </w:rPr>
        <w:t>投标函</w:t>
      </w:r>
    </w:p>
    <w:p w14:paraId="7D23262E">
      <w:pPr>
        <w:widowControl/>
        <w:adjustRightInd w:val="0"/>
        <w:snapToGrid w:val="0"/>
        <w:spacing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47B4BF89">
      <w:pPr>
        <w:pStyle w:val="2"/>
        <w:adjustRightInd w:val="0"/>
        <w:snapToGrid w:val="0"/>
        <w:spacing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cs="宋体"/>
          <w:color w:val="auto"/>
          <w:sz w:val="21"/>
          <w:szCs w:val="21"/>
          <w:highlight w:val="none"/>
          <w:u w:val="single"/>
        </w:rPr>
        <w:t xml:space="preserve">             </w:t>
      </w:r>
      <w:r>
        <w:rPr>
          <w:rFonts w:hint="eastAsia" w:cs="宋体"/>
          <w:color w:val="auto"/>
          <w:sz w:val="21"/>
          <w:szCs w:val="21"/>
          <w:highlight w:val="none"/>
          <w:u w:val="single"/>
        </w:rPr>
        <w:t>（投标人名称）</w:t>
      </w:r>
      <w:r>
        <w:rPr>
          <w:rFonts w:hint="eastAsia" w:cs="宋体"/>
          <w:color w:val="auto"/>
          <w:sz w:val="21"/>
          <w:szCs w:val="21"/>
          <w:highlight w:val="none"/>
        </w:rPr>
        <w:t>已理解招标文件的全部内容，我方作为投标人正式授权</w:t>
      </w:r>
      <w:r>
        <w:rPr>
          <w:rFonts w:cs="宋体"/>
          <w:color w:val="auto"/>
          <w:sz w:val="21"/>
          <w:szCs w:val="21"/>
          <w:highlight w:val="none"/>
          <w:u w:val="single"/>
          <w:lang w:val="en-US"/>
        </w:rPr>
        <w:t xml:space="preserve">        </w:t>
      </w:r>
      <w:r>
        <w:rPr>
          <w:rFonts w:hint="eastAsia" w:cs="宋体"/>
          <w:color w:val="auto"/>
          <w:sz w:val="21"/>
          <w:szCs w:val="21"/>
          <w:highlight w:val="none"/>
          <w:u w:val="single"/>
        </w:rPr>
        <w:t>（授权代表全名</w:t>
      </w:r>
      <w:r>
        <w:rPr>
          <w:rFonts w:cs="宋体"/>
          <w:color w:val="auto"/>
          <w:sz w:val="21"/>
          <w:szCs w:val="21"/>
          <w:highlight w:val="none"/>
          <w:u w:val="single"/>
        </w:rPr>
        <w:t xml:space="preserve">, </w:t>
      </w:r>
      <w:r>
        <w:rPr>
          <w:rFonts w:hint="eastAsia" w:cs="宋体"/>
          <w:color w:val="auto"/>
          <w:sz w:val="21"/>
          <w:szCs w:val="21"/>
          <w:highlight w:val="none"/>
          <w:u w:val="single"/>
        </w:rPr>
        <w:t>职务</w:t>
      </w:r>
      <w:r>
        <w:rPr>
          <w:rFonts w:hint="eastAsia" w:cs="宋体"/>
          <w:color w:val="auto"/>
          <w:sz w:val="21"/>
          <w:szCs w:val="21"/>
          <w:highlight w:val="none"/>
        </w:rPr>
        <w:t>）代表我方进行有关本投标活动的一切事宜，考虑本企业自身的实力及特点，做出如下承诺：</w:t>
      </w:r>
    </w:p>
    <w:p w14:paraId="638C0F42">
      <w:pPr>
        <w:widowControl/>
        <w:adjustRightInd w:val="0"/>
        <w:snapToGrid w:val="0"/>
        <w:spacing w:line="360" w:lineRule="auto"/>
        <w:ind w:right="102" w:firstLine="420"/>
        <w:jc w:val="left"/>
        <w:rPr>
          <w:rFonts w:ascii="宋体" w:hAnsi="宋体" w:cs="宋体"/>
          <w:color w:val="auto"/>
          <w:kern w:val="1"/>
          <w:szCs w:val="21"/>
          <w:highlight w:val="none"/>
        </w:rPr>
      </w:pPr>
      <w:r>
        <w:rPr>
          <w:rFonts w:ascii="宋体" w:hAnsi="宋体" w:cs="宋体"/>
          <w:color w:val="auto"/>
          <w:kern w:val="1"/>
          <w:szCs w:val="21"/>
          <w:highlight w:val="none"/>
          <w:lang w:val="zh-CN"/>
        </w:rPr>
        <w:t>1</w:t>
      </w:r>
      <w:r>
        <w:rPr>
          <w:rFonts w:hint="eastAsia" w:ascii="宋体" w:hAnsi="宋体" w:cs="宋体"/>
          <w:color w:val="auto"/>
          <w:kern w:val="1"/>
          <w:szCs w:val="21"/>
          <w:highlight w:val="none"/>
          <w:lang w:val="zh-CN"/>
        </w:rPr>
        <w:t>、我方已详细研究了本项目招标文件的所有内容包括修正文（如果有）和所有已提供的参考资料以及合同条款和有关附件，并完全明白</w:t>
      </w:r>
      <w:r>
        <w:rPr>
          <w:rFonts w:ascii="宋体" w:hAnsi="宋体" w:cs="宋体"/>
          <w:color w:val="auto"/>
          <w:kern w:val="1"/>
          <w:szCs w:val="21"/>
          <w:highlight w:val="none"/>
          <w:lang w:val="zh-CN"/>
        </w:rPr>
        <w:t xml:space="preserve">, </w:t>
      </w:r>
      <w:r>
        <w:rPr>
          <w:rFonts w:hint="eastAsia" w:ascii="宋体" w:hAnsi="宋体" w:cs="宋体"/>
          <w:color w:val="auto"/>
          <w:kern w:val="1"/>
          <w:szCs w:val="21"/>
          <w:highlight w:val="none"/>
          <w:lang w:val="zh-CN"/>
        </w:rPr>
        <w:t>我方放弃在此方面提出含糊意见或误解的一切权力。</w:t>
      </w:r>
    </w:p>
    <w:p w14:paraId="58290C77">
      <w:pPr>
        <w:widowControl/>
        <w:adjustRightInd w:val="0"/>
        <w:snapToGrid w:val="0"/>
        <w:spacing w:line="360" w:lineRule="auto"/>
        <w:ind w:right="102" w:firstLine="420"/>
        <w:jc w:val="left"/>
        <w:rPr>
          <w:rFonts w:ascii="宋体" w:hAnsi="宋体" w:cs="宋体"/>
          <w:color w:val="auto"/>
          <w:kern w:val="1"/>
          <w:szCs w:val="21"/>
          <w:highlight w:val="none"/>
        </w:rPr>
      </w:pPr>
      <w:r>
        <w:rPr>
          <w:rFonts w:ascii="宋体" w:hAnsi="宋体" w:cs="宋体"/>
          <w:color w:val="auto"/>
          <w:kern w:val="1"/>
          <w:szCs w:val="21"/>
          <w:highlight w:val="none"/>
          <w:lang w:val="zh-CN"/>
        </w:rPr>
        <w:t>2</w:t>
      </w:r>
      <w:r>
        <w:rPr>
          <w:rFonts w:hint="eastAsia" w:ascii="宋体" w:hAnsi="宋体" w:cs="宋体"/>
          <w:color w:val="auto"/>
          <w:kern w:val="1"/>
          <w:szCs w:val="21"/>
          <w:highlight w:val="none"/>
          <w:lang w:val="zh-CN"/>
        </w:rPr>
        <w:t>、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2F5024F2">
      <w:pPr>
        <w:widowControl/>
        <w:adjustRightInd w:val="0"/>
        <w:snapToGrid w:val="0"/>
        <w:spacing w:line="360" w:lineRule="auto"/>
        <w:ind w:right="102" w:firstLine="420"/>
        <w:jc w:val="left"/>
        <w:rPr>
          <w:rFonts w:ascii="宋体" w:hAnsi="宋体" w:cs="宋体"/>
          <w:color w:val="auto"/>
          <w:kern w:val="1"/>
          <w:szCs w:val="21"/>
          <w:highlight w:val="none"/>
        </w:rPr>
      </w:pPr>
      <w:r>
        <w:rPr>
          <w:rFonts w:ascii="宋体" w:hAnsi="宋体" w:cs="宋体"/>
          <w:color w:val="auto"/>
          <w:kern w:val="1"/>
          <w:szCs w:val="21"/>
          <w:highlight w:val="none"/>
          <w:lang w:val="zh-CN"/>
        </w:rPr>
        <w:t>3</w:t>
      </w:r>
      <w:r>
        <w:rPr>
          <w:rFonts w:hint="eastAsia" w:ascii="宋体" w:hAnsi="宋体" w:cs="宋体"/>
          <w:color w:val="auto"/>
          <w:kern w:val="1"/>
          <w:szCs w:val="21"/>
          <w:highlight w:val="none"/>
          <w:lang w:val="zh-CN"/>
        </w:rPr>
        <w:t>、我方同意按照贵方可能提出的要求，提供与我方投标有关的任何其它数据或信息。</w:t>
      </w:r>
    </w:p>
    <w:p w14:paraId="6E833CB9">
      <w:pPr>
        <w:widowControl/>
        <w:adjustRightInd w:val="0"/>
        <w:snapToGrid w:val="0"/>
        <w:spacing w:line="360" w:lineRule="auto"/>
        <w:ind w:right="102" w:firstLine="420"/>
        <w:jc w:val="left"/>
        <w:rPr>
          <w:rFonts w:ascii="宋体" w:hAnsi="宋体" w:cs="宋体"/>
          <w:color w:val="auto"/>
          <w:kern w:val="1"/>
          <w:szCs w:val="21"/>
          <w:highlight w:val="none"/>
        </w:rPr>
      </w:pPr>
      <w:r>
        <w:rPr>
          <w:rFonts w:ascii="宋体" w:hAnsi="宋体" w:cs="宋体"/>
          <w:color w:val="auto"/>
          <w:kern w:val="1"/>
          <w:szCs w:val="21"/>
          <w:highlight w:val="none"/>
          <w:lang w:val="zh-CN"/>
        </w:rPr>
        <w:t>4</w:t>
      </w:r>
      <w:r>
        <w:rPr>
          <w:rFonts w:hint="eastAsia" w:ascii="宋体" w:hAnsi="宋体" w:cs="宋体"/>
          <w:color w:val="auto"/>
          <w:kern w:val="1"/>
          <w:szCs w:val="21"/>
          <w:highlight w:val="none"/>
          <w:lang w:val="zh-CN"/>
        </w:rPr>
        <w:t>、本投标文件的有效期至投标截止日后</w:t>
      </w:r>
      <w:r>
        <w:rPr>
          <w:rFonts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日历天内有效，如中标，有效期将自动延至勘察设计施工总承包合同终止日为止。</w:t>
      </w:r>
    </w:p>
    <w:p w14:paraId="63B290FF">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ascii="宋体" w:hAnsi="宋体" w:cs="宋体"/>
          <w:color w:val="auto"/>
          <w:kern w:val="1"/>
          <w:szCs w:val="21"/>
          <w:highlight w:val="none"/>
          <w:lang w:val="zh-CN"/>
        </w:rPr>
        <w:t>5</w:t>
      </w:r>
      <w:r>
        <w:rPr>
          <w:rFonts w:hint="eastAsia" w:ascii="宋体" w:hAnsi="宋体" w:cs="宋体"/>
          <w:color w:val="auto"/>
          <w:kern w:val="1"/>
          <w:szCs w:val="21"/>
          <w:highlight w:val="none"/>
          <w:lang w:val="zh-CN"/>
        </w:rPr>
        <w:t>、我方的</w:t>
      </w:r>
      <w:r>
        <w:rPr>
          <w:rFonts w:hint="eastAsia" w:ascii="宋体" w:hAnsi="宋体" w:cs="宋体"/>
          <w:b/>
          <w:color w:val="auto"/>
          <w:kern w:val="1"/>
          <w:szCs w:val="21"/>
          <w:highlight w:val="none"/>
        </w:rPr>
        <w:t>总投标报价为人民币</w:t>
      </w:r>
      <w:r>
        <w:rPr>
          <w:rFonts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single"/>
        </w:rPr>
        <w:t>：</w:t>
      </w:r>
      <w:r>
        <w:rPr>
          <w:rFonts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）【其中：总勘察费为</w:t>
      </w:r>
      <w:r>
        <w:rPr>
          <w:rFonts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元，勘察费下浮率为</w:t>
      </w:r>
      <w:r>
        <w:rPr>
          <w:rFonts w:ascii="宋体" w:hAnsi="宋体" w:cs="宋体"/>
          <w:b/>
          <w:color w:val="auto"/>
          <w:kern w:val="1"/>
          <w:szCs w:val="21"/>
          <w:highlight w:val="none"/>
          <w:u w:val="single"/>
          <w:lang w:bidi="ar"/>
        </w:rPr>
        <w:t xml:space="preserve">    </w:t>
      </w:r>
      <w:r>
        <w:rPr>
          <w:rFonts w:ascii="宋体" w:hAnsi="宋体" w:cs="宋体"/>
          <w:b/>
          <w:color w:val="auto"/>
          <w:kern w:val="1"/>
          <w:szCs w:val="21"/>
          <w:highlight w:val="none"/>
        </w:rPr>
        <w:t>%</w:t>
      </w:r>
      <w:r>
        <w:rPr>
          <w:rFonts w:hint="eastAsia" w:ascii="宋体" w:hAnsi="宋体" w:cs="宋体"/>
          <w:b/>
          <w:color w:val="auto"/>
          <w:kern w:val="1"/>
          <w:szCs w:val="21"/>
          <w:highlight w:val="none"/>
        </w:rPr>
        <w:t>，总设计费为</w:t>
      </w:r>
      <w:r>
        <w:rPr>
          <w:rFonts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元，设计费下浮率为</w:t>
      </w:r>
      <w:r>
        <w:rPr>
          <w:rFonts w:ascii="宋体" w:hAnsi="宋体" w:cs="宋体"/>
          <w:b/>
          <w:color w:val="auto"/>
          <w:kern w:val="1"/>
          <w:szCs w:val="21"/>
          <w:highlight w:val="none"/>
          <w:u w:val="single"/>
          <w:lang w:bidi="ar"/>
        </w:rPr>
        <w:t xml:space="preserve">    </w:t>
      </w:r>
      <w:r>
        <w:rPr>
          <w:rFonts w:ascii="宋体" w:hAnsi="宋体" w:cs="宋体"/>
          <w:b/>
          <w:color w:val="auto"/>
          <w:kern w:val="1"/>
          <w:szCs w:val="21"/>
          <w:highlight w:val="none"/>
        </w:rPr>
        <w:t>%</w:t>
      </w:r>
      <w:r>
        <w:rPr>
          <w:rFonts w:hint="eastAsia" w:ascii="宋体" w:hAnsi="宋体" w:cs="宋体"/>
          <w:b/>
          <w:color w:val="auto"/>
          <w:kern w:val="1"/>
          <w:szCs w:val="21"/>
          <w:highlight w:val="none"/>
        </w:rPr>
        <w:t>，总</w:t>
      </w:r>
      <w:r>
        <w:rPr>
          <w:rFonts w:hint="eastAsia" w:ascii="宋体" w:hAnsi="宋体" w:cs="宋体"/>
          <w:b/>
          <w:bCs/>
          <w:color w:val="auto"/>
          <w:kern w:val="1"/>
          <w:szCs w:val="21"/>
          <w:highlight w:val="none"/>
        </w:rPr>
        <w:t>建安工程费</w:t>
      </w:r>
      <w:r>
        <w:rPr>
          <w:rFonts w:hint="eastAsia" w:ascii="宋体" w:hAnsi="宋体" w:cs="宋体"/>
          <w:b/>
          <w:color w:val="auto"/>
          <w:kern w:val="1"/>
          <w:szCs w:val="21"/>
          <w:highlight w:val="none"/>
        </w:rPr>
        <w:t>为</w:t>
      </w:r>
      <w:r>
        <w:rPr>
          <w:rFonts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w:t>
      </w:r>
      <w:r>
        <w:rPr>
          <w:rFonts w:hint="eastAsia" w:ascii="宋体" w:hAnsi="宋体" w:cs="宋体"/>
          <w:b/>
          <w:bCs/>
          <w:color w:val="auto"/>
          <w:kern w:val="1"/>
          <w:szCs w:val="21"/>
          <w:highlight w:val="none"/>
        </w:rPr>
        <w:t>建安工程费</w:t>
      </w:r>
      <w:r>
        <w:rPr>
          <w:rFonts w:hint="eastAsia" w:ascii="宋体" w:hAnsi="宋体" w:cs="宋体"/>
          <w:b/>
          <w:color w:val="auto"/>
          <w:kern w:val="1"/>
          <w:szCs w:val="21"/>
          <w:highlight w:val="none"/>
        </w:rPr>
        <w:t>下浮率为</w:t>
      </w:r>
      <w:r>
        <w:rPr>
          <w:rFonts w:ascii="宋体" w:hAnsi="宋体" w:cs="宋体"/>
          <w:b/>
          <w:color w:val="auto"/>
          <w:kern w:val="1"/>
          <w:szCs w:val="21"/>
          <w:highlight w:val="none"/>
          <w:u w:val="single"/>
          <w:lang w:bidi="ar"/>
        </w:rPr>
        <w:t xml:space="preserve">    </w:t>
      </w:r>
      <w:r>
        <w:rPr>
          <w:rFonts w:ascii="宋体" w:hAnsi="宋体" w:cs="宋体"/>
          <w:b/>
          <w:color w:val="auto"/>
          <w:kern w:val="1"/>
          <w:szCs w:val="21"/>
          <w:highlight w:val="none"/>
        </w:rPr>
        <w:t>%</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并且已包括完成本项目招标公告第</w:t>
      </w:r>
      <w:r>
        <w:rPr>
          <w:rFonts w:ascii="宋体" w:hAnsi="宋体" w:cs="宋体"/>
          <w:color w:val="auto"/>
          <w:kern w:val="1"/>
          <w:szCs w:val="21"/>
          <w:highlight w:val="none"/>
          <w:lang w:val="zh-CN"/>
        </w:rPr>
        <w:t>2</w:t>
      </w:r>
      <w:r>
        <w:rPr>
          <w:rFonts w:hint="eastAsia" w:ascii="宋体" w:hAnsi="宋体" w:cs="宋体"/>
          <w:color w:val="auto"/>
          <w:kern w:val="1"/>
          <w:szCs w:val="21"/>
          <w:highlight w:val="none"/>
          <w:lang w:val="zh-CN"/>
        </w:rPr>
        <w:t>点所述招标内容和服务范围所包含全部工作的费用。（注：报价以元为单位，小数点后保留二位小数，第三位小数四舍五入。）</w:t>
      </w:r>
    </w:p>
    <w:p w14:paraId="21669067">
      <w:pPr>
        <w:widowControl/>
        <w:adjustRightInd w:val="0"/>
        <w:snapToGrid w:val="0"/>
        <w:spacing w:line="360" w:lineRule="auto"/>
        <w:ind w:right="102" w:firstLine="420"/>
        <w:jc w:val="left"/>
        <w:rPr>
          <w:rFonts w:ascii="宋体" w:hAnsi="宋体" w:cs="宋体"/>
          <w:color w:val="auto"/>
          <w:kern w:val="1"/>
          <w:szCs w:val="21"/>
          <w:highlight w:val="none"/>
        </w:rPr>
      </w:pPr>
      <w:r>
        <w:rPr>
          <w:rFonts w:ascii="宋体" w:hAnsi="宋体" w:cs="宋体"/>
          <w:color w:val="auto"/>
          <w:kern w:val="1"/>
          <w:szCs w:val="21"/>
          <w:highlight w:val="none"/>
          <w:lang w:val="zh-CN"/>
        </w:rPr>
        <w:t>6</w:t>
      </w:r>
      <w:r>
        <w:rPr>
          <w:rFonts w:hint="eastAsia" w:ascii="宋体" w:hAnsi="宋体" w:cs="宋体"/>
          <w:color w:val="auto"/>
          <w:kern w:val="1"/>
          <w:szCs w:val="21"/>
          <w:highlight w:val="none"/>
          <w:lang w:val="zh-CN"/>
        </w:rPr>
        <w:t>、我方如果中标，将按招标文件合同条款以及我方在投标文件中的承诺签订合同。</w:t>
      </w:r>
    </w:p>
    <w:p w14:paraId="6D5905B2">
      <w:pPr>
        <w:widowControl/>
        <w:adjustRightInd w:val="0"/>
        <w:snapToGrid w:val="0"/>
        <w:spacing w:line="360" w:lineRule="auto"/>
        <w:ind w:right="102" w:firstLine="420"/>
        <w:jc w:val="left"/>
        <w:rPr>
          <w:rFonts w:ascii="宋体" w:hAnsi="宋体" w:cs="宋体"/>
          <w:color w:val="auto"/>
          <w:kern w:val="1"/>
          <w:szCs w:val="21"/>
          <w:highlight w:val="none"/>
        </w:rPr>
      </w:pPr>
      <w:r>
        <w:rPr>
          <w:rFonts w:ascii="宋体" w:hAnsi="宋体" w:cs="宋体"/>
          <w:color w:val="auto"/>
          <w:kern w:val="1"/>
          <w:szCs w:val="21"/>
          <w:highlight w:val="none"/>
          <w:lang w:val="zh-CN"/>
        </w:rPr>
        <w:t>7</w:t>
      </w:r>
      <w:r>
        <w:rPr>
          <w:rFonts w:hint="eastAsia" w:ascii="宋体" w:hAnsi="宋体" w:cs="宋体"/>
          <w:color w:val="auto"/>
          <w:kern w:val="1"/>
          <w:szCs w:val="21"/>
          <w:highlight w:val="none"/>
          <w:lang w:val="zh-CN"/>
        </w:rPr>
        <w:t>、我方完全接受招标人对本项目功能需求和相关建设标准的要求。如果中标，我方保证本工程的投资、工期、质量、安全、绿色等级等控制目标按照招标文件要求完成。</w:t>
      </w:r>
    </w:p>
    <w:p w14:paraId="05275513">
      <w:pPr>
        <w:widowControl/>
        <w:adjustRightInd w:val="0"/>
        <w:snapToGrid w:val="0"/>
        <w:spacing w:line="360" w:lineRule="auto"/>
        <w:ind w:right="102" w:firstLine="420"/>
        <w:jc w:val="left"/>
        <w:rPr>
          <w:rFonts w:ascii="宋体" w:hAnsi="宋体" w:cs="宋体"/>
          <w:color w:val="auto"/>
          <w:kern w:val="1"/>
          <w:szCs w:val="21"/>
          <w:highlight w:val="none"/>
        </w:rPr>
      </w:pPr>
      <w:r>
        <w:rPr>
          <w:rFonts w:ascii="宋体" w:hAnsi="宋体" w:cs="宋体"/>
          <w:color w:val="auto"/>
          <w:kern w:val="1"/>
          <w:szCs w:val="21"/>
          <w:highlight w:val="none"/>
          <w:lang w:val="zh-CN"/>
        </w:rPr>
        <w:t>8</w:t>
      </w:r>
      <w:r>
        <w:rPr>
          <w:rFonts w:hint="eastAsia" w:ascii="宋体" w:hAnsi="宋体" w:cs="宋体"/>
          <w:color w:val="auto"/>
          <w:kern w:val="1"/>
          <w:szCs w:val="21"/>
          <w:highlight w:val="none"/>
          <w:lang w:val="zh-CN"/>
        </w:rPr>
        <w:t>、我方拟委派</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247B7701">
      <w:pPr>
        <w:widowControl/>
        <w:adjustRightInd w:val="0"/>
        <w:snapToGrid w:val="0"/>
        <w:spacing w:line="360" w:lineRule="auto"/>
        <w:ind w:right="102" w:firstLine="420"/>
        <w:jc w:val="left"/>
        <w:rPr>
          <w:rFonts w:ascii="宋体" w:hAnsi="宋体" w:cs="宋体"/>
          <w:color w:val="auto"/>
          <w:kern w:val="1"/>
          <w:szCs w:val="21"/>
          <w:highlight w:val="none"/>
        </w:rPr>
      </w:pPr>
      <w:r>
        <w:rPr>
          <w:rFonts w:ascii="宋体" w:hAnsi="宋体" w:cs="宋体"/>
          <w:color w:val="auto"/>
          <w:kern w:val="1"/>
          <w:szCs w:val="21"/>
          <w:highlight w:val="none"/>
          <w:lang w:val="zh-CN"/>
        </w:rPr>
        <w:t>9</w:t>
      </w:r>
      <w:r>
        <w:rPr>
          <w:rFonts w:hint="eastAsia" w:ascii="宋体" w:hAnsi="宋体" w:cs="宋体"/>
          <w:color w:val="auto"/>
          <w:kern w:val="1"/>
          <w:szCs w:val="21"/>
          <w:highlight w:val="none"/>
          <w:lang w:val="zh-CN"/>
        </w:rPr>
        <w:t>、我方如果中标，承诺在中标通知书发出后</w:t>
      </w:r>
      <w:r>
        <w:rPr>
          <w:rFonts w:ascii="宋体" w:hAnsi="宋体" w:cs="宋体"/>
          <w:color w:val="auto"/>
          <w:kern w:val="1"/>
          <w:szCs w:val="21"/>
          <w:highlight w:val="none"/>
          <w:lang w:val="zh-CN"/>
        </w:rPr>
        <w:t>20</w:t>
      </w:r>
      <w:r>
        <w:rPr>
          <w:rFonts w:hint="eastAsia" w:ascii="宋体" w:hAnsi="宋体" w:cs="宋体"/>
          <w:color w:val="auto"/>
          <w:kern w:val="1"/>
          <w:szCs w:val="21"/>
          <w:highlight w:val="none"/>
          <w:lang w:val="zh-CN"/>
        </w:rPr>
        <w:t>个日历天内按招标文件的规定向贵方提交银行履约保函，承诺在中标通知书发出后</w:t>
      </w:r>
      <w:r>
        <w:rPr>
          <w:rFonts w:ascii="宋体" w:hAnsi="宋体" w:cs="宋体"/>
          <w:color w:val="auto"/>
          <w:kern w:val="1"/>
          <w:szCs w:val="21"/>
          <w:highlight w:val="none"/>
          <w:lang w:val="zh-CN"/>
        </w:rPr>
        <w:t>30</w:t>
      </w:r>
      <w:r>
        <w:rPr>
          <w:rFonts w:hint="eastAsia" w:ascii="宋体" w:hAnsi="宋体" w:cs="宋体"/>
          <w:color w:val="auto"/>
          <w:kern w:val="1"/>
          <w:szCs w:val="21"/>
          <w:highlight w:val="none"/>
          <w:lang w:val="zh-CN"/>
        </w:rPr>
        <w:t>个日历天内与贵方签署项目合同。</w:t>
      </w:r>
    </w:p>
    <w:p w14:paraId="31CB9FFC">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4866E62B">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7E6BBAD4">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77409ADF">
      <w:pPr>
        <w:widowControl/>
        <w:wordWrap w:val="0"/>
        <w:adjustRightInd w:val="0"/>
        <w:snapToGrid w:val="0"/>
        <w:spacing w:line="360" w:lineRule="auto"/>
        <w:ind w:right="102"/>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项目负责人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7693936A">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设计负责人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31127D6D">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项目技术负责人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336D480">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地址：</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07F5ED96">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电话：</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p>
    <w:p w14:paraId="391A8265">
      <w:pPr>
        <w:spacing w:line="360" w:lineRule="auto"/>
        <w:ind w:firstLine="5250" w:firstLineChars="2500"/>
        <w:rPr>
          <w:rFonts w:ascii="宋体" w:hAnsi="宋体" w:cs="宋体"/>
          <w:b/>
          <w:color w:val="auto"/>
          <w:kern w:val="1"/>
          <w:sz w:val="24"/>
          <w:highlight w:val="none"/>
        </w:rPr>
      </w:pPr>
      <w:r>
        <w:rPr>
          <w:rFonts w:hint="eastAsia" w:ascii="宋体" w:hAnsi="宋体" w:cs="宋体"/>
          <w:color w:val="auto"/>
          <w:kern w:val="1"/>
          <w:szCs w:val="21"/>
          <w:highlight w:val="none"/>
          <w:lang w:val="zh-CN"/>
        </w:rPr>
        <w:t>日期：</w:t>
      </w:r>
      <w:r>
        <w:rPr>
          <w:rFonts w:ascii="宋体" w:hAnsi="宋体" w:cs="宋体"/>
          <w:color w:val="auto"/>
          <w:kern w:val="1"/>
          <w:szCs w:val="21"/>
          <w:highlight w:val="none"/>
          <w:lang w:val="zh-CN"/>
        </w:rPr>
        <w:t>______</w:t>
      </w:r>
      <w:r>
        <w:rPr>
          <w:rFonts w:hint="eastAsia" w:ascii="宋体" w:hAnsi="宋体" w:cs="宋体"/>
          <w:color w:val="auto"/>
          <w:kern w:val="1"/>
          <w:szCs w:val="21"/>
          <w:highlight w:val="none"/>
          <w:lang w:val="zh-CN"/>
        </w:rPr>
        <w:t>年</w:t>
      </w:r>
      <w:r>
        <w:rPr>
          <w:rFonts w:ascii="宋体" w:hAnsi="宋体" w:cs="宋体"/>
          <w:color w:val="auto"/>
          <w:kern w:val="1"/>
          <w:szCs w:val="21"/>
          <w:highlight w:val="none"/>
          <w:lang w:val="zh-CN"/>
        </w:rPr>
        <w:t>_______</w:t>
      </w:r>
      <w:r>
        <w:rPr>
          <w:rFonts w:hint="eastAsia" w:ascii="宋体" w:hAnsi="宋体" w:cs="宋体"/>
          <w:color w:val="auto"/>
          <w:kern w:val="1"/>
          <w:szCs w:val="21"/>
          <w:highlight w:val="none"/>
          <w:lang w:val="zh-CN"/>
        </w:rPr>
        <w:t>月</w:t>
      </w:r>
      <w:r>
        <w:rPr>
          <w:rFonts w:ascii="宋体" w:hAnsi="宋体" w:cs="宋体"/>
          <w:color w:val="auto"/>
          <w:kern w:val="1"/>
          <w:szCs w:val="21"/>
          <w:highlight w:val="none"/>
          <w:lang w:val="zh-CN"/>
        </w:rPr>
        <w:t>______</w:t>
      </w:r>
      <w:r>
        <w:rPr>
          <w:rFonts w:hint="eastAsia" w:ascii="宋体" w:hAnsi="宋体" w:cs="宋体"/>
          <w:color w:val="auto"/>
          <w:kern w:val="1"/>
          <w:szCs w:val="21"/>
          <w:highlight w:val="none"/>
          <w:lang w:val="zh-CN"/>
        </w:rPr>
        <w:t>日</w:t>
      </w:r>
    </w:p>
    <w:p w14:paraId="730CF5BA">
      <w:pPr>
        <w:spacing w:line="360" w:lineRule="auto"/>
        <w:rPr>
          <w:rFonts w:ascii="宋体" w:hAnsi="宋体" w:cs="宋体"/>
          <w:b/>
          <w:color w:val="auto"/>
          <w:kern w:val="1"/>
          <w:sz w:val="24"/>
          <w:highlight w:val="none"/>
        </w:rPr>
      </w:pPr>
    </w:p>
    <w:p w14:paraId="01F116A3">
      <w:pPr>
        <w:pStyle w:val="2"/>
        <w:spacing w:line="360" w:lineRule="auto"/>
        <w:rPr>
          <w:rFonts w:cs="宋体"/>
          <w:b/>
          <w:color w:val="auto"/>
          <w:kern w:val="1"/>
          <w:szCs w:val="21"/>
          <w:highlight w:val="none"/>
        </w:rPr>
      </w:pPr>
      <w:r>
        <w:rPr>
          <w:rFonts w:hint="eastAsia" w:cs="宋体"/>
          <w:b/>
          <w:color w:val="auto"/>
          <w:kern w:val="1"/>
          <w:szCs w:val="21"/>
          <w:highlight w:val="none"/>
        </w:rPr>
        <w:t>注：联合体投标的，“投标人”一栏需书写所有联合体成员的单位全称，可由牵头方签署、盖章。</w:t>
      </w:r>
    </w:p>
    <w:p w14:paraId="559A4630">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3E6AD1E5">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勘察设计投标书</w:t>
      </w:r>
    </w:p>
    <w:p w14:paraId="50646C95">
      <w:pP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4262F16A">
      <w:pPr>
        <w:pStyle w:val="2"/>
        <w:spacing w:line="360" w:lineRule="auto"/>
        <w:rPr>
          <w:rFonts w:cs="宋体"/>
          <w:color w:val="auto"/>
          <w:sz w:val="21"/>
          <w:szCs w:val="21"/>
          <w:highlight w:val="none"/>
        </w:rPr>
      </w:pPr>
    </w:p>
    <w:p w14:paraId="0B9FE5FD">
      <w:pPr>
        <w:pStyle w:val="2"/>
        <w:spacing w:line="360" w:lineRule="auto"/>
        <w:rPr>
          <w:rFonts w:cs="宋体"/>
          <w:color w:val="auto"/>
          <w:sz w:val="21"/>
          <w:szCs w:val="21"/>
          <w:highlight w:val="none"/>
        </w:rPr>
      </w:pPr>
      <w:r>
        <w:rPr>
          <w:rFonts w:hint="eastAsia" w:cs="宋体"/>
          <w:color w:val="auto"/>
          <w:sz w:val="21"/>
          <w:szCs w:val="21"/>
          <w:highlight w:val="none"/>
        </w:rPr>
        <w:t>致：</w:t>
      </w:r>
      <w:r>
        <w:rPr>
          <w:rFonts w:cs="宋体"/>
          <w:color w:val="auto"/>
          <w:sz w:val="21"/>
          <w:szCs w:val="21"/>
          <w:highlight w:val="none"/>
          <w:u w:val="single"/>
        </w:rPr>
        <w:t xml:space="preserve">                                    </w:t>
      </w:r>
      <w:r>
        <w:rPr>
          <w:rFonts w:hint="eastAsia" w:cs="宋体"/>
          <w:color w:val="auto"/>
          <w:sz w:val="21"/>
          <w:szCs w:val="21"/>
          <w:highlight w:val="none"/>
        </w:rPr>
        <w:t>（招标人名称）</w:t>
      </w:r>
    </w:p>
    <w:p w14:paraId="150560C3">
      <w:pPr>
        <w:spacing w:line="360" w:lineRule="auto"/>
        <w:jc w:val="left"/>
        <w:rPr>
          <w:rFonts w:ascii="宋体" w:hAnsi="宋体" w:cs="宋体"/>
          <w:color w:val="auto"/>
          <w:kern w:val="1"/>
          <w:szCs w:val="20"/>
          <w:highlight w:val="none"/>
        </w:rPr>
      </w:pPr>
    </w:p>
    <w:p w14:paraId="281B4FEB">
      <w:pPr>
        <w:pStyle w:val="2"/>
        <w:spacing w:line="360" w:lineRule="auto"/>
        <w:ind w:firstLine="480"/>
        <w:rPr>
          <w:rFonts w:cs="宋体"/>
          <w:color w:val="auto"/>
          <w:sz w:val="21"/>
          <w:szCs w:val="21"/>
          <w:highlight w:val="none"/>
        </w:rPr>
      </w:pPr>
      <w:r>
        <w:rPr>
          <w:rFonts w:hint="eastAsia" w:cs="宋体"/>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556D62AC">
      <w:pPr>
        <w:pStyle w:val="2"/>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2A5F209D">
      <w:pPr>
        <w:pStyle w:val="2"/>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75E4A825">
      <w:pPr>
        <w:pStyle w:val="2"/>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602C4D3D">
      <w:pPr>
        <w:spacing w:line="360" w:lineRule="auto"/>
        <w:ind w:firstLine="480"/>
        <w:rPr>
          <w:rFonts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7E573589">
      <w:pPr>
        <w:spacing w:line="360" w:lineRule="auto"/>
        <w:rPr>
          <w:rFonts w:ascii="宋体" w:hAnsi="宋体" w:cs="宋体"/>
          <w:color w:val="auto"/>
          <w:kern w:val="1"/>
          <w:szCs w:val="21"/>
          <w:highlight w:val="none"/>
        </w:rPr>
      </w:pPr>
    </w:p>
    <w:p w14:paraId="2CE75B63">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（盖章）</w:t>
      </w:r>
    </w:p>
    <w:p w14:paraId="1EC5A7BC">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w:t>
      </w:r>
      <w:r>
        <w:rPr>
          <w:rFonts w:ascii="宋体" w:hAnsi="宋体" w:cs="宋体"/>
          <w:color w:val="auto"/>
          <w:kern w:val="1"/>
          <w:szCs w:val="21"/>
          <w:highlight w:val="none"/>
        </w:rPr>
        <w:t>(</w:t>
      </w:r>
      <w:r>
        <w:rPr>
          <w:rFonts w:hint="eastAsia" w:ascii="宋体" w:hAnsi="宋体" w:cs="宋体"/>
          <w:color w:val="auto"/>
          <w:kern w:val="1"/>
          <w:szCs w:val="21"/>
          <w:highlight w:val="none"/>
        </w:rPr>
        <w:t>签名或盖章</w:t>
      </w:r>
      <w:r>
        <w:rPr>
          <w:rFonts w:ascii="宋体" w:hAnsi="宋体" w:cs="宋体"/>
          <w:color w:val="auto"/>
          <w:kern w:val="1"/>
          <w:szCs w:val="21"/>
          <w:highlight w:val="none"/>
        </w:rPr>
        <w:t>)</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046C9ABD">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年</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日</w:t>
      </w:r>
    </w:p>
    <w:p w14:paraId="5EC37CC5">
      <w:pPr>
        <w:pStyle w:val="2"/>
        <w:rPr>
          <w:color w:val="auto"/>
          <w:highlight w:val="none"/>
          <w:lang w:val="en-US"/>
        </w:rPr>
      </w:pPr>
    </w:p>
    <w:p w14:paraId="5DFE2F4C">
      <w:pPr>
        <w:pStyle w:val="2"/>
        <w:spacing w:line="360" w:lineRule="auto"/>
        <w:rPr>
          <w:rFonts w:cs="宋体"/>
          <w:b/>
          <w:color w:val="auto"/>
          <w:kern w:val="1"/>
          <w:szCs w:val="21"/>
          <w:highlight w:val="none"/>
        </w:rPr>
      </w:pPr>
      <w:r>
        <w:rPr>
          <w:rFonts w:hint="eastAsia" w:cs="宋体"/>
          <w:b/>
          <w:color w:val="auto"/>
          <w:kern w:val="1"/>
          <w:szCs w:val="21"/>
          <w:highlight w:val="none"/>
        </w:rPr>
        <w:t>注：联合体投标的，“投标人”一栏需书写所有联合体成员的单位全称，可由牵头方签署、盖章。</w:t>
      </w:r>
    </w:p>
    <w:p w14:paraId="72A58B46">
      <w:pP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0FD173D2">
      <w:pPr>
        <w:spacing w:line="360" w:lineRule="auto"/>
        <w:jc w:val="center"/>
        <w:rPr>
          <w:rFonts w:ascii="宋体" w:hAnsi="宋体" w:cs="宋体"/>
          <w:b/>
          <w:color w:val="auto"/>
          <w:kern w:val="1"/>
          <w:sz w:val="36"/>
          <w:szCs w:val="36"/>
          <w:highlight w:val="none"/>
          <w:lang w:val="zh-CN"/>
        </w:rPr>
      </w:pPr>
      <w:r>
        <w:rPr>
          <w:rFonts w:hint="eastAsia" w:ascii="宋体" w:hAnsi="宋体" w:cs="宋体"/>
          <w:b/>
          <w:color w:val="auto"/>
          <w:kern w:val="1"/>
          <w:sz w:val="36"/>
          <w:szCs w:val="36"/>
          <w:highlight w:val="none"/>
          <w:lang w:val="zh-CN"/>
        </w:rPr>
        <w:t>技术投标书</w:t>
      </w:r>
    </w:p>
    <w:p w14:paraId="0B458920">
      <w:pPr>
        <w:spacing w:line="360" w:lineRule="auto"/>
        <w:jc w:val="center"/>
        <w:rPr>
          <w:rFonts w:ascii="宋体" w:hAnsi="宋体" w:cs="宋体"/>
          <w:b/>
          <w:color w:val="auto"/>
          <w:kern w:val="1"/>
          <w:sz w:val="32"/>
          <w:szCs w:val="32"/>
          <w:highlight w:val="none"/>
          <w:lang w:val="zh-CN"/>
        </w:rPr>
      </w:pPr>
    </w:p>
    <w:p w14:paraId="27F31367">
      <w:pP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年</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月</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日</w:t>
      </w:r>
    </w:p>
    <w:tbl>
      <w:tblPr>
        <w:tblStyle w:val="34"/>
        <w:tblW w:w="0" w:type="auto"/>
        <w:tblInd w:w="0" w:type="dxa"/>
        <w:tblLayout w:type="fixed"/>
        <w:tblCellMar>
          <w:top w:w="0" w:type="dxa"/>
          <w:left w:w="108" w:type="dxa"/>
          <w:bottom w:w="0" w:type="dxa"/>
          <w:right w:w="108" w:type="dxa"/>
        </w:tblCellMar>
      </w:tblPr>
      <w:tblGrid>
        <w:gridCol w:w="3048"/>
        <w:gridCol w:w="2294"/>
        <w:gridCol w:w="3933"/>
      </w:tblGrid>
      <w:tr w14:paraId="6A165A38">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78FC512">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工</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程</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名</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E3DF7A5">
            <w:pPr>
              <w:spacing w:line="360" w:lineRule="auto"/>
              <w:rPr>
                <w:rFonts w:ascii="宋体" w:hAnsi="宋体" w:cs="宋体"/>
                <w:b/>
                <w:color w:val="auto"/>
                <w:kern w:val="1"/>
                <w:sz w:val="24"/>
                <w:highlight w:val="none"/>
                <w:lang w:val="zh-CN"/>
              </w:rPr>
            </w:pPr>
          </w:p>
        </w:tc>
      </w:tr>
      <w:tr w14:paraId="41E31357">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5D225D3">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标</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总</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工</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0DEE94A">
            <w:pPr>
              <w:spacing w:line="360" w:lineRule="auto"/>
              <w:ind w:left="236" w:hanging="236"/>
              <w:rPr>
                <w:rFonts w:ascii="宋体" w:hAnsi="宋体" w:cs="宋体"/>
                <w:b/>
                <w:color w:val="auto"/>
                <w:kern w:val="1"/>
                <w:sz w:val="24"/>
                <w:highlight w:val="none"/>
                <w:lang w:val="zh-CN"/>
              </w:rPr>
            </w:pPr>
          </w:p>
        </w:tc>
      </w:tr>
      <w:tr w14:paraId="6CA48A6F">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AABC4E4">
            <w:pPr>
              <w:spacing w:line="360" w:lineRule="auto"/>
              <w:jc w:val="center"/>
              <w:rPr>
                <w:rFonts w:ascii="宋体" w:hAnsi="宋体" w:cs="宋体"/>
                <w:b/>
                <w:color w:val="auto"/>
                <w:kern w:val="1"/>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7DAD319">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28AB2768">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BD9C40C">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275B822">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75AB8D56">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B9E80A3">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262A9D48">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姓</w:t>
            </w:r>
            <w:r>
              <w:rPr>
                <w:rFonts w:ascii="宋体" w:hAnsi="宋体" w:cs="宋体"/>
                <w:b/>
                <w:color w:val="auto"/>
                <w:kern w:val="1"/>
                <w:sz w:val="24"/>
                <w:highlight w:val="none"/>
              </w:rPr>
              <w:t xml:space="preserve">    </w:t>
            </w:r>
            <w:r>
              <w:rPr>
                <w:rFonts w:hint="eastAsia" w:ascii="宋体" w:hAnsi="宋体" w:cs="宋体"/>
                <w:b/>
                <w:color w:val="auto"/>
                <w:kern w:val="1"/>
                <w:sz w:val="24"/>
                <w:highlight w:val="none"/>
              </w:rPr>
              <w:t>名</w:t>
            </w:r>
          </w:p>
        </w:tc>
        <w:tc>
          <w:tcPr>
            <w:tcW w:w="3933" w:type="dxa"/>
            <w:tcBorders>
              <w:top w:val="single" w:color="000000" w:sz="4" w:space="0"/>
              <w:left w:val="single" w:color="000000" w:sz="4" w:space="0"/>
              <w:bottom w:val="single" w:color="000000" w:sz="4" w:space="0"/>
              <w:right w:val="single" w:color="000000" w:sz="4" w:space="0"/>
            </w:tcBorders>
          </w:tcPr>
          <w:p w14:paraId="3E9C2B90">
            <w:pPr>
              <w:spacing w:line="360" w:lineRule="auto"/>
              <w:rPr>
                <w:rFonts w:ascii="宋体" w:hAnsi="宋体" w:cs="宋体"/>
                <w:b/>
                <w:color w:val="auto"/>
                <w:kern w:val="1"/>
                <w:sz w:val="24"/>
                <w:highlight w:val="none"/>
                <w:lang w:val="zh-CN"/>
              </w:rPr>
            </w:pPr>
          </w:p>
        </w:tc>
      </w:tr>
      <w:tr w14:paraId="180A3A1F">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7985478A">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23441785">
            <w:pPr>
              <w:spacing w:line="360" w:lineRule="auto"/>
              <w:jc w:val="center"/>
              <w:rPr>
                <w:rFonts w:ascii="宋体" w:hAnsi="宋体"/>
                <w:color w:val="auto"/>
                <w:sz w:val="24"/>
                <w:szCs w:val="24"/>
                <w:highlight w:val="none"/>
              </w:rPr>
            </w:pPr>
            <w:r>
              <w:rPr>
                <w:rFonts w:hint="eastAsia" w:ascii="宋体" w:hAnsi="宋体" w:cs="宋体"/>
                <w:b/>
                <w:color w:val="auto"/>
                <w:kern w:val="1"/>
                <w:sz w:val="24"/>
                <w:highlight w:val="none"/>
              </w:rPr>
              <w:t>姓</w:t>
            </w:r>
            <w:r>
              <w:rPr>
                <w:rFonts w:ascii="宋体" w:hAnsi="宋体" w:cs="宋体"/>
                <w:b/>
                <w:color w:val="auto"/>
                <w:kern w:val="1"/>
                <w:sz w:val="24"/>
                <w:highlight w:val="none"/>
              </w:rPr>
              <w:t xml:space="preserve">    </w:t>
            </w:r>
            <w:r>
              <w:rPr>
                <w:rFonts w:hint="eastAsia" w:ascii="宋体" w:hAnsi="宋体" w:cs="宋体"/>
                <w:b/>
                <w:color w:val="auto"/>
                <w:kern w:val="1"/>
                <w:sz w:val="24"/>
                <w:highlight w:val="none"/>
              </w:rPr>
              <w:t>名</w:t>
            </w:r>
          </w:p>
        </w:tc>
        <w:tc>
          <w:tcPr>
            <w:tcW w:w="3933" w:type="dxa"/>
            <w:tcBorders>
              <w:top w:val="single" w:color="000000" w:sz="4" w:space="0"/>
              <w:left w:val="single" w:color="000000" w:sz="4" w:space="0"/>
              <w:bottom w:val="single" w:color="000000" w:sz="4" w:space="0"/>
              <w:right w:val="single" w:color="000000" w:sz="4" w:space="0"/>
            </w:tcBorders>
          </w:tcPr>
          <w:p w14:paraId="3CFEC737">
            <w:pPr>
              <w:spacing w:line="360" w:lineRule="auto"/>
              <w:rPr>
                <w:rFonts w:ascii="宋体" w:hAnsi="宋体" w:cs="宋体"/>
                <w:b/>
                <w:color w:val="auto"/>
                <w:kern w:val="1"/>
                <w:sz w:val="24"/>
                <w:highlight w:val="none"/>
                <w:lang w:val="zh-CN"/>
              </w:rPr>
            </w:pPr>
          </w:p>
        </w:tc>
      </w:tr>
      <w:tr w14:paraId="4869029A">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DD9C388">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5A407BD8">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w:t>
            </w:r>
            <w:r>
              <w:rPr>
                <w:rFonts w:ascii="宋体" w:hAnsi="宋体" w:cs="宋体"/>
                <w:b/>
                <w:color w:val="auto"/>
                <w:kern w:val="1"/>
                <w:sz w:val="24"/>
                <w:highlight w:val="none"/>
              </w:rPr>
              <w:t xml:space="preserve">    </w:t>
            </w:r>
            <w:r>
              <w:rPr>
                <w:rFonts w:hint="eastAsia" w:ascii="宋体" w:hAnsi="宋体" w:cs="宋体"/>
                <w:b/>
                <w:color w:val="auto"/>
                <w:kern w:val="1"/>
                <w:sz w:val="24"/>
                <w:highlight w:val="none"/>
              </w:rPr>
              <w:t>名</w:t>
            </w:r>
          </w:p>
        </w:tc>
        <w:tc>
          <w:tcPr>
            <w:tcW w:w="3933" w:type="dxa"/>
            <w:tcBorders>
              <w:top w:val="single" w:color="000000" w:sz="4" w:space="0"/>
              <w:left w:val="single" w:color="000000" w:sz="4" w:space="0"/>
              <w:bottom w:val="single" w:color="000000" w:sz="4" w:space="0"/>
              <w:right w:val="single" w:color="000000" w:sz="4" w:space="0"/>
            </w:tcBorders>
          </w:tcPr>
          <w:p w14:paraId="725E6CD3">
            <w:pPr>
              <w:spacing w:line="360" w:lineRule="auto"/>
              <w:rPr>
                <w:rFonts w:ascii="宋体" w:hAnsi="宋体" w:cs="宋体"/>
                <w:b/>
                <w:color w:val="auto"/>
                <w:kern w:val="1"/>
                <w:sz w:val="24"/>
                <w:highlight w:val="none"/>
                <w:lang w:val="zh-CN"/>
              </w:rPr>
            </w:pPr>
          </w:p>
        </w:tc>
      </w:tr>
      <w:tr w14:paraId="728070CD">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4F348C2">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71648F38">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w:t>
            </w:r>
            <w:r>
              <w:rPr>
                <w:rFonts w:ascii="宋体" w:hAnsi="宋体" w:cs="宋体"/>
                <w:b/>
                <w:color w:val="auto"/>
                <w:kern w:val="1"/>
                <w:sz w:val="24"/>
                <w:highlight w:val="none"/>
              </w:rPr>
              <w:t xml:space="preserve">    </w:t>
            </w:r>
            <w:r>
              <w:rPr>
                <w:rFonts w:hint="eastAsia" w:ascii="宋体" w:hAnsi="宋体" w:cs="宋体"/>
                <w:b/>
                <w:color w:val="auto"/>
                <w:kern w:val="1"/>
                <w:sz w:val="24"/>
                <w:highlight w:val="none"/>
              </w:rPr>
              <w:t>名</w:t>
            </w:r>
          </w:p>
        </w:tc>
        <w:tc>
          <w:tcPr>
            <w:tcW w:w="3933" w:type="dxa"/>
            <w:tcBorders>
              <w:top w:val="single" w:color="000000" w:sz="4" w:space="0"/>
              <w:left w:val="single" w:color="000000" w:sz="4" w:space="0"/>
              <w:bottom w:val="single" w:color="000000" w:sz="4" w:space="0"/>
              <w:right w:val="single" w:color="000000" w:sz="4" w:space="0"/>
            </w:tcBorders>
          </w:tcPr>
          <w:p w14:paraId="1F519FF4">
            <w:pPr>
              <w:spacing w:line="360" w:lineRule="auto"/>
              <w:rPr>
                <w:rFonts w:ascii="宋体" w:hAnsi="宋体" w:cs="宋体"/>
                <w:b/>
                <w:color w:val="auto"/>
                <w:kern w:val="1"/>
                <w:sz w:val="24"/>
                <w:highlight w:val="none"/>
                <w:lang w:val="zh-CN"/>
              </w:rPr>
            </w:pPr>
          </w:p>
        </w:tc>
      </w:tr>
      <w:tr w14:paraId="7F7388F7">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EFC7877">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法</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定</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代</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表</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人</w:t>
            </w:r>
          </w:p>
          <w:p w14:paraId="567B8243">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E7C19AE">
            <w:pPr>
              <w:spacing w:line="360" w:lineRule="auto"/>
              <w:rPr>
                <w:rFonts w:ascii="宋体" w:hAnsi="宋体" w:cs="宋体"/>
                <w:b/>
                <w:color w:val="auto"/>
                <w:kern w:val="1"/>
                <w:sz w:val="24"/>
                <w:highlight w:val="none"/>
                <w:lang w:val="zh-CN"/>
              </w:rPr>
            </w:pPr>
          </w:p>
        </w:tc>
      </w:tr>
      <w:tr w14:paraId="12F315BF">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75A3E0D">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授</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权</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委</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托</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人</w:t>
            </w:r>
          </w:p>
          <w:p w14:paraId="59807437">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DE1D40F">
            <w:pPr>
              <w:spacing w:line="360" w:lineRule="auto"/>
              <w:rPr>
                <w:rFonts w:ascii="宋体" w:hAnsi="宋体" w:cs="宋体"/>
                <w:b/>
                <w:color w:val="auto"/>
                <w:kern w:val="1"/>
                <w:sz w:val="24"/>
                <w:highlight w:val="none"/>
                <w:lang w:val="zh-CN"/>
              </w:rPr>
            </w:pPr>
          </w:p>
        </w:tc>
      </w:tr>
      <w:tr w14:paraId="2393565F">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3352A82">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标</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单</w:t>
            </w:r>
            <w:r>
              <w:rPr>
                <w:rFonts w:ascii="宋体" w:hAnsi="宋体" w:cs="宋体"/>
                <w:b/>
                <w:color w:val="auto"/>
                <w:kern w:val="1"/>
                <w:sz w:val="24"/>
                <w:highlight w:val="none"/>
                <w:lang w:val="zh-CN"/>
              </w:rPr>
              <w:t xml:space="preserve">  </w:t>
            </w:r>
            <w:r>
              <w:rPr>
                <w:rFonts w:hint="eastAsia" w:ascii="宋体" w:hAnsi="宋体" w:cs="宋体"/>
                <w:b/>
                <w:color w:val="auto"/>
                <w:kern w:val="1"/>
                <w:sz w:val="24"/>
                <w:highlight w:val="none"/>
                <w:lang w:val="zh-CN"/>
              </w:rPr>
              <w:t>位</w:t>
            </w:r>
          </w:p>
          <w:p w14:paraId="0BBAF803">
            <w:pPr>
              <w:spacing w:line="360" w:lineRule="auto"/>
              <w:ind w:firstLine="239"/>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18352208">
            <w:pPr>
              <w:spacing w:line="360" w:lineRule="auto"/>
              <w:rPr>
                <w:rFonts w:ascii="宋体" w:hAnsi="宋体" w:cs="宋体"/>
                <w:b/>
                <w:color w:val="auto"/>
                <w:kern w:val="1"/>
                <w:sz w:val="24"/>
                <w:highlight w:val="none"/>
                <w:lang w:val="zh-CN"/>
              </w:rPr>
            </w:pPr>
          </w:p>
        </w:tc>
      </w:tr>
    </w:tbl>
    <w:p w14:paraId="5618ECAE">
      <w:pPr>
        <w:pStyle w:val="2"/>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注：联合体投标的，“投标单位”一栏需书写所有联合体成员的单位全称，可由牵头方签署、盖章。</w:t>
      </w:r>
    </w:p>
    <w:p w14:paraId="3002D833">
      <w:pPr>
        <w:snapToGrid w:val="0"/>
        <w:spacing w:line="360" w:lineRule="auto"/>
        <w:ind w:firstLine="420" w:firstLineChars="200"/>
        <w:rPr>
          <w:rFonts w:ascii="宋体" w:hAnsi="宋体"/>
          <w:color w:val="auto"/>
          <w:highlight w:val="none"/>
        </w:rPr>
      </w:pPr>
      <w:r>
        <w:rPr>
          <w:color w:val="auto"/>
          <w:highlight w:val="none"/>
        </w:rPr>
        <w:br w:type="page"/>
      </w:r>
      <w:bookmarkStart w:id="373" w:name="_Hlk69827517"/>
      <w:r>
        <w:rPr>
          <w:rFonts w:hint="eastAsia" w:ascii="宋体" w:hAnsi="宋体" w:cs="宋体"/>
          <w:b/>
          <w:color w:val="auto"/>
          <w:kern w:val="1"/>
          <w:sz w:val="24"/>
          <w:highlight w:val="none"/>
          <w:lang w:val="zh-CN"/>
        </w:rPr>
        <w:t>技术投标书附表：</w:t>
      </w:r>
    </w:p>
    <w:tbl>
      <w:tblPr>
        <w:tblStyle w:val="34"/>
        <w:tblW w:w="5000" w:type="pct"/>
        <w:tblInd w:w="0" w:type="dxa"/>
        <w:tblLayout w:type="autofit"/>
        <w:tblCellMar>
          <w:top w:w="0" w:type="dxa"/>
          <w:left w:w="0" w:type="dxa"/>
          <w:bottom w:w="0" w:type="dxa"/>
          <w:right w:w="0" w:type="dxa"/>
        </w:tblCellMar>
      </w:tblPr>
      <w:tblGrid>
        <w:gridCol w:w="590"/>
        <w:gridCol w:w="1071"/>
        <w:gridCol w:w="2608"/>
        <w:gridCol w:w="1633"/>
        <w:gridCol w:w="3427"/>
      </w:tblGrid>
      <w:tr w14:paraId="781F81A1">
        <w:tblPrEx>
          <w:tblCellMar>
            <w:top w:w="0" w:type="dxa"/>
            <w:left w:w="0" w:type="dxa"/>
            <w:bottom w:w="0" w:type="dxa"/>
            <w:right w:w="0" w:type="dxa"/>
          </w:tblCellMar>
        </w:tblPrEx>
        <w:trPr>
          <w:trHeight w:val="1160" w:hRule="atLeast"/>
        </w:trPr>
        <w:tc>
          <w:tcPr>
            <w:tcW w:w="5000" w:type="pct"/>
            <w:gridSpan w:val="5"/>
            <w:tcBorders>
              <w:top w:val="nil"/>
              <w:left w:val="nil"/>
              <w:bottom w:val="single" w:color="000000" w:sz="4" w:space="0"/>
              <w:right w:val="nil"/>
            </w:tcBorders>
            <w:noWrap/>
            <w:tcMar>
              <w:top w:w="15" w:type="dxa"/>
              <w:left w:w="15" w:type="dxa"/>
              <w:right w:w="15" w:type="dxa"/>
            </w:tcMar>
            <w:vAlign w:val="center"/>
          </w:tcPr>
          <w:p w14:paraId="2A6838B1">
            <w:pPr>
              <w:widowControl/>
              <w:spacing w:line="360" w:lineRule="auto"/>
              <w:jc w:val="center"/>
              <w:textAlignment w:val="center"/>
              <w:rPr>
                <w:rFonts w:ascii="宋体" w:hAnsi="宋体" w:cs="方正大标宋简体"/>
                <w:b/>
                <w:color w:val="auto"/>
                <w:sz w:val="32"/>
                <w:szCs w:val="32"/>
                <w:highlight w:val="none"/>
              </w:rPr>
            </w:pPr>
            <w:r>
              <w:rPr>
                <w:rFonts w:hint="eastAsia" w:ascii="宋体" w:hAnsi="宋体" w:cs="方正大标宋简体"/>
                <w:b/>
                <w:color w:val="auto"/>
                <w:sz w:val="32"/>
                <w:szCs w:val="32"/>
                <w:highlight w:val="none"/>
                <w:lang w:bidi="ar"/>
              </w:rPr>
              <w:t>工程总承包项目管理团队人员信息表</w:t>
            </w:r>
          </w:p>
        </w:tc>
      </w:tr>
      <w:tr w14:paraId="7A1792E6">
        <w:tblPrEx>
          <w:tblCellMar>
            <w:top w:w="0" w:type="dxa"/>
            <w:left w:w="0" w:type="dxa"/>
            <w:bottom w:w="0" w:type="dxa"/>
            <w:right w:w="0" w:type="dxa"/>
          </w:tblCellMar>
        </w:tblPrEx>
        <w:trPr>
          <w:trHeight w:val="975" w:hRule="atLeast"/>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7115C">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38758">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46736">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67CEA">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580EA">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33AF0AF6">
        <w:tblPrEx>
          <w:tblCellMar>
            <w:top w:w="0" w:type="dxa"/>
            <w:left w:w="0" w:type="dxa"/>
            <w:bottom w:w="0" w:type="dxa"/>
            <w:right w:w="0" w:type="dxa"/>
          </w:tblCellMar>
        </w:tblPrEx>
        <w:trPr>
          <w:trHeight w:val="357"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9ADAC">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00FE4">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A9535">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07756">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2EBE6">
            <w:pPr>
              <w:spacing w:line="360" w:lineRule="auto"/>
              <w:jc w:val="center"/>
              <w:rPr>
                <w:rFonts w:ascii="仿宋" w:hAnsi="仿宋" w:eastAsia="仿宋" w:cs="仿宋"/>
                <w:color w:val="auto"/>
                <w:sz w:val="24"/>
                <w:szCs w:val="24"/>
                <w:highlight w:val="none"/>
              </w:rPr>
            </w:pPr>
          </w:p>
        </w:tc>
      </w:tr>
      <w:tr w14:paraId="3C69A422">
        <w:tblPrEx>
          <w:tblCellMar>
            <w:top w:w="0" w:type="dxa"/>
            <w:left w:w="0" w:type="dxa"/>
            <w:bottom w:w="0" w:type="dxa"/>
            <w:right w:w="0" w:type="dxa"/>
          </w:tblCellMar>
        </w:tblPrEx>
        <w:trPr>
          <w:trHeight w:val="406"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2DEA3">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E2542">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28FB6">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CC2AD">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CA084">
            <w:pPr>
              <w:spacing w:line="360" w:lineRule="auto"/>
              <w:jc w:val="center"/>
              <w:rPr>
                <w:rFonts w:ascii="仿宋" w:hAnsi="仿宋" w:eastAsia="仿宋" w:cs="仿宋"/>
                <w:color w:val="auto"/>
                <w:sz w:val="24"/>
                <w:szCs w:val="24"/>
                <w:highlight w:val="none"/>
              </w:rPr>
            </w:pPr>
          </w:p>
        </w:tc>
      </w:tr>
      <w:tr w14:paraId="4EE10055">
        <w:tblPrEx>
          <w:tblCellMar>
            <w:top w:w="0" w:type="dxa"/>
            <w:left w:w="0" w:type="dxa"/>
            <w:bottom w:w="0" w:type="dxa"/>
            <w:right w:w="0" w:type="dxa"/>
          </w:tblCellMar>
        </w:tblPrEx>
        <w:trPr>
          <w:trHeight w:val="39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3FBF0">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FC7D9">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498B0">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C9D26">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654B0">
            <w:pPr>
              <w:spacing w:line="360" w:lineRule="auto"/>
              <w:jc w:val="center"/>
              <w:rPr>
                <w:rFonts w:ascii="仿宋" w:hAnsi="仿宋" w:eastAsia="仿宋" w:cs="仿宋"/>
                <w:color w:val="auto"/>
                <w:sz w:val="24"/>
                <w:szCs w:val="24"/>
                <w:highlight w:val="none"/>
              </w:rPr>
            </w:pPr>
          </w:p>
        </w:tc>
      </w:tr>
      <w:tr w14:paraId="743AEC8A">
        <w:tblPrEx>
          <w:tblCellMar>
            <w:top w:w="0" w:type="dxa"/>
            <w:left w:w="0" w:type="dxa"/>
            <w:bottom w:w="0" w:type="dxa"/>
            <w:right w:w="0" w:type="dxa"/>
          </w:tblCellMar>
        </w:tblPrEx>
        <w:trPr>
          <w:trHeight w:val="403"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DA0E0">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7A721">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EE2B0">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357A4">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15D3D">
            <w:pPr>
              <w:spacing w:line="360" w:lineRule="auto"/>
              <w:jc w:val="center"/>
              <w:rPr>
                <w:rFonts w:ascii="仿宋" w:hAnsi="仿宋" w:eastAsia="仿宋" w:cs="仿宋"/>
                <w:color w:val="auto"/>
                <w:sz w:val="24"/>
                <w:szCs w:val="24"/>
                <w:highlight w:val="none"/>
              </w:rPr>
            </w:pPr>
          </w:p>
        </w:tc>
      </w:tr>
      <w:tr w14:paraId="1B35D068">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15965">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ECF72">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323C1">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1147B">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3C4A7">
            <w:pPr>
              <w:spacing w:line="360" w:lineRule="auto"/>
              <w:jc w:val="center"/>
              <w:rPr>
                <w:rFonts w:ascii="仿宋" w:hAnsi="仿宋" w:eastAsia="仿宋" w:cs="仿宋"/>
                <w:color w:val="auto"/>
                <w:sz w:val="24"/>
                <w:szCs w:val="24"/>
                <w:highlight w:val="none"/>
              </w:rPr>
            </w:pPr>
          </w:p>
        </w:tc>
      </w:tr>
      <w:tr w14:paraId="114F92A8">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35E80">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208F9">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FC369">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52994">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41C83">
            <w:pPr>
              <w:spacing w:line="360" w:lineRule="auto"/>
              <w:jc w:val="center"/>
              <w:rPr>
                <w:rFonts w:ascii="仿宋" w:hAnsi="仿宋" w:eastAsia="仿宋" w:cs="仿宋"/>
                <w:color w:val="auto"/>
                <w:sz w:val="24"/>
                <w:szCs w:val="24"/>
                <w:highlight w:val="none"/>
              </w:rPr>
            </w:pPr>
          </w:p>
        </w:tc>
      </w:tr>
      <w:tr w14:paraId="2803D485">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20C74">
            <w:pPr>
              <w:widowControl/>
              <w:spacing w:line="360" w:lineRule="auto"/>
              <w:jc w:val="center"/>
              <w:textAlignment w:val="center"/>
              <w:rPr>
                <w:rFonts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048FC">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FD727">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2ADE6">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DF1C2">
            <w:pPr>
              <w:spacing w:line="360" w:lineRule="auto"/>
              <w:jc w:val="center"/>
              <w:rPr>
                <w:rFonts w:ascii="仿宋" w:hAnsi="仿宋" w:eastAsia="仿宋" w:cs="仿宋"/>
                <w:color w:val="auto"/>
                <w:sz w:val="24"/>
                <w:szCs w:val="24"/>
                <w:highlight w:val="none"/>
              </w:rPr>
            </w:pPr>
          </w:p>
        </w:tc>
      </w:tr>
      <w:tr w14:paraId="2B45B018">
        <w:tblPrEx>
          <w:tblCellMar>
            <w:top w:w="0" w:type="dxa"/>
            <w:left w:w="0" w:type="dxa"/>
            <w:bottom w:w="0" w:type="dxa"/>
            <w:right w:w="0" w:type="dxa"/>
          </w:tblCellMar>
        </w:tblPrEx>
        <w:trPr>
          <w:trHeight w:val="40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0B866">
            <w:pPr>
              <w:widowControl/>
              <w:spacing w:line="360" w:lineRule="auto"/>
              <w:jc w:val="center"/>
              <w:textAlignment w:val="center"/>
              <w:rPr>
                <w:rFonts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FFFE8">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1BE73">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40398">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26899">
            <w:pPr>
              <w:spacing w:line="360" w:lineRule="auto"/>
              <w:jc w:val="center"/>
              <w:rPr>
                <w:rFonts w:ascii="仿宋" w:hAnsi="仿宋" w:eastAsia="仿宋" w:cs="仿宋"/>
                <w:color w:val="auto"/>
                <w:sz w:val="24"/>
                <w:szCs w:val="24"/>
                <w:highlight w:val="none"/>
              </w:rPr>
            </w:pPr>
          </w:p>
        </w:tc>
      </w:tr>
      <w:tr w14:paraId="5C41E8CA">
        <w:tblPrEx>
          <w:tblCellMar>
            <w:top w:w="0" w:type="dxa"/>
            <w:left w:w="0" w:type="dxa"/>
            <w:bottom w:w="0" w:type="dxa"/>
            <w:right w:w="0" w:type="dxa"/>
          </w:tblCellMar>
        </w:tblPrEx>
        <w:trPr>
          <w:trHeight w:val="390"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54784">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A289E">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D09F7">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DBEAC">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3A261">
            <w:pPr>
              <w:spacing w:line="360" w:lineRule="auto"/>
              <w:jc w:val="center"/>
              <w:rPr>
                <w:rFonts w:ascii="仿宋" w:hAnsi="仿宋" w:eastAsia="仿宋" w:cs="仿宋"/>
                <w:color w:val="auto"/>
                <w:sz w:val="24"/>
                <w:szCs w:val="24"/>
                <w:highlight w:val="none"/>
              </w:rPr>
            </w:pPr>
          </w:p>
        </w:tc>
      </w:tr>
      <w:tr w14:paraId="5D357FCA">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B5D69">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2A9D6">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8F472">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87B9C">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6B1DB">
            <w:pPr>
              <w:spacing w:line="360" w:lineRule="auto"/>
              <w:jc w:val="center"/>
              <w:rPr>
                <w:rFonts w:ascii="仿宋" w:hAnsi="仿宋" w:eastAsia="仿宋" w:cs="仿宋"/>
                <w:color w:val="auto"/>
                <w:sz w:val="24"/>
                <w:szCs w:val="24"/>
                <w:highlight w:val="none"/>
              </w:rPr>
            </w:pPr>
          </w:p>
        </w:tc>
      </w:tr>
      <w:tr w14:paraId="19FB3394">
        <w:tblPrEx>
          <w:tblCellMar>
            <w:top w:w="0" w:type="dxa"/>
            <w:left w:w="0" w:type="dxa"/>
            <w:bottom w:w="0" w:type="dxa"/>
            <w:right w:w="0" w:type="dxa"/>
          </w:tblCellMar>
        </w:tblPrEx>
        <w:trPr>
          <w:trHeight w:val="401"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A33D0">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3A127">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9E619">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964C0">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8DE05">
            <w:pPr>
              <w:spacing w:line="360" w:lineRule="auto"/>
              <w:jc w:val="center"/>
              <w:rPr>
                <w:rFonts w:ascii="仿宋" w:hAnsi="仿宋" w:eastAsia="仿宋" w:cs="仿宋"/>
                <w:color w:val="auto"/>
                <w:sz w:val="24"/>
                <w:szCs w:val="24"/>
                <w:highlight w:val="none"/>
              </w:rPr>
            </w:pPr>
          </w:p>
        </w:tc>
      </w:tr>
      <w:tr w14:paraId="2768FE3A">
        <w:tblPrEx>
          <w:tblCellMar>
            <w:top w:w="0" w:type="dxa"/>
            <w:left w:w="0" w:type="dxa"/>
            <w:bottom w:w="0" w:type="dxa"/>
            <w:right w:w="0" w:type="dxa"/>
          </w:tblCellMar>
        </w:tblPrEx>
        <w:trPr>
          <w:trHeight w:val="394"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CFFD7">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71EB5">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3B5E5">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A6F0D">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2551A">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4B6358DC">
        <w:tblPrEx>
          <w:tblCellMar>
            <w:top w:w="0" w:type="dxa"/>
            <w:left w:w="0" w:type="dxa"/>
            <w:bottom w:w="0" w:type="dxa"/>
            <w:right w:w="0" w:type="dxa"/>
          </w:tblCellMar>
        </w:tblPrEx>
        <w:trPr>
          <w:trHeight w:val="1393"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E52CF">
            <w:pPr>
              <w:widowControl/>
              <w:jc w:val="left"/>
              <w:textAlignment w:val="center"/>
              <w:rPr>
                <w:rStyle w:val="90"/>
                <w:rFonts w:hint="default" w:ascii="宋体" w:hAnsi="宋体" w:eastAsia="宋体"/>
                <w:color w:val="auto"/>
                <w:sz w:val="24"/>
                <w:szCs w:val="24"/>
                <w:highlight w:val="none"/>
                <w:lang w:bidi="ar"/>
              </w:rPr>
            </w:pPr>
            <w:r>
              <w:rPr>
                <w:rStyle w:val="90"/>
                <w:rFonts w:hint="default" w:ascii="宋体" w:hAnsi="宋体" w:eastAsia="宋体"/>
                <w:color w:val="auto"/>
                <w:sz w:val="24"/>
                <w:szCs w:val="24"/>
                <w:highlight w:val="none"/>
                <w:lang w:bidi="ar"/>
              </w:rPr>
              <w:t>备注：</w:t>
            </w:r>
          </w:p>
          <w:p w14:paraId="204B3EF2">
            <w:pPr>
              <w:widowControl/>
              <w:jc w:val="left"/>
              <w:textAlignment w:val="center"/>
              <w:rPr>
                <w:rStyle w:val="90"/>
                <w:rFonts w:hint="default" w:ascii="宋体" w:hAnsi="宋体" w:eastAsia="宋体"/>
                <w:color w:val="auto"/>
                <w:sz w:val="24"/>
                <w:szCs w:val="24"/>
                <w:highlight w:val="none"/>
                <w:lang w:bidi="ar"/>
              </w:rPr>
            </w:pPr>
            <w:r>
              <w:rPr>
                <w:rStyle w:val="90"/>
                <w:rFonts w:hint="default" w:ascii="宋体" w:hAnsi="宋体" w:eastAsia="宋体"/>
                <w:color w:val="auto"/>
                <w:sz w:val="24"/>
                <w:szCs w:val="24"/>
                <w:highlight w:val="none"/>
                <w:lang w:bidi="ar"/>
              </w:rPr>
              <w:t>1、“岗位”要求</w:t>
            </w:r>
            <w:r>
              <w:rPr>
                <w:rStyle w:val="55"/>
                <w:b/>
                <w:bCs/>
                <w:color w:val="auto"/>
                <w:highlight w:val="none"/>
                <w:lang w:bidi="ar"/>
              </w:rPr>
              <w:t>[</w:t>
            </w:r>
            <w:r>
              <w:rPr>
                <w:rStyle w:val="55"/>
                <w:rFonts w:hint="eastAsia"/>
                <w:b/>
                <w:bCs/>
                <w:color w:val="auto"/>
                <w:highlight w:val="none"/>
                <w:lang w:bidi="ar"/>
              </w:rPr>
              <w:t>除项目负责人（兼施工项目负责人）、设计负责人和专职安全员外</w:t>
            </w:r>
            <w:r>
              <w:rPr>
                <w:rStyle w:val="55"/>
                <w:b/>
                <w:bCs/>
                <w:color w:val="auto"/>
                <w:highlight w:val="none"/>
                <w:lang w:bidi="ar"/>
              </w:rPr>
              <w:t>]</w:t>
            </w:r>
            <w:r>
              <w:rPr>
                <w:rStyle w:val="90"/>
                <w:rFonts w:hint="default" w:ascii="宋体" w:hAnsi="宋体" w:eastAsia="宋体"/>
                <w:color w:val="auto"/>
                <w:sz w:val="24"/>
                <w:szCs w:val="24"/>
                <w:highlight w:val="none"/>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14:paraId="2B357B47">
            <w:pPr>
              <w:widowControl/>
              <w:jc w:val="left"/>
              <w:textAlignment w:val="center"/>
              <w:rPr>
                <w:rStyle w:val="90"/>
                <w:rFonts w:hint="default" w:ascii="宋体" w:hAnsi="宋体" w:eastAsia="宋体"/>
                <w:color w:val="auto"/>
                <w:sz w:val="24"/>
                <w:szCs w:val="24"/>
                <w:highlight w:val="none"/>
                <w:lang w:bidi="ar"/>
              </w:rPr>
            </w:pPr>
            <w:r>
              <w:rPr>
                <w:rStyle w:val="90"/>
                <w:rFonts w:hint="default" w:ascii="宋体" w:hAnsi="宋体" w:eastAsia="宋体"/>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1B9426B">
            <w:pPr>
              <w:widowControl/>
              <w:jc w:val="left"/>
              <w:textAlignment w:val="center"/>
              <w:rPr>
                <w:rFonts w:ascii="宋体" w:hAnsi="宋体" w:cs="仿宋"/>
                <w:color w:val="auto"/>
                <w:sz w:val="24"/>
                <w:szCs w:val="24"/>
                <w:highlight w:val="none"/>
              </w:rPr>
            </w:pPr>
            <w:bookmarkStart w:id="374" w:name="_Hlk61431742"/>
            <w:r>
              <w:rPr>
                <w:rStyle w:val="90"/>
                <w:rFonts w:hint="default" w:ascii="宋体" w:hAnsi="宋体" w:eastAsia="宋体"/>
                <w:color w:val="auto"/>
                <w:sz w:val="24"/>
                <w:szCs w:val="24"/>
                <w:highlight w:val="none"/>
                <w:lang w:bidi="ar"/>
              </w:rPr>
              <w:t>3、如评标办法对投标人拟投入的项目管理团队进行评审的，如相同岗位投入人员姓名与本表不一致的，以本表中姓名为准；</w:t>
            </w:r>
            <w:bookmarkEnd w:id="374"/>
            <w:r>
              <w:rPr>
                <w:rStyle w:val="90"/>
                <w:rFonts w:hint="default" w:ascii="宋体" w:hAnsi="宋体" w:eastAsia="宋体"/>
                <w:color w:val="auto"/>
                <w:sz w:val="24"/>
                <w:szCs w:val="24"/>
                <w:highlight w:val="none"/>
                <w:lang w:bidi="ar"/>
              </w:rPr>
              <w:t>投标人提供的团队人员职称或资格（含证书编号）情况与本表不一致的，以投标人提供的相关证明材料为准。</w:t>
            </w:r>
          </w:p>
        </w:tc>
      </w:tr>
      <w:bookmarkEnd w:id="373"/>
    </w:tbl>
    <w:p w14:paraId="3C7C79A2">
      <w:pPr>
        <w:pStyle w:val="2"/>
        <w:spacing w:line="360" w:lineRule="auto"/>
        <w:rPr>
          <w:color w:val="auto"/>
          <w:sz w:val="24"/>
          <w:highlight w:val="none"/>
          <w:lang w:val="en-US"/>
        </w:rPr>
      </w:pPr>
    </w:p>
    <w:p w14:paraId="763AA7AA">
      <w:pPr>
        <w:spacing w:line="360" w:lineRule="auto"/>
        <w:rPr>
          <w:rFonts w:ascii="宋体" w:hAnsi="宋体" w:cs="宋体"/>
          <w:b/>
          <w:color w:val="auto"/>
          <w:kern w:val="1"/>
          <w:sz w:val="24"/>
          <w:highlight w:val="none"/>
          <w:lang w:val="zh-CN"/>
        </w:rPr>
      </w:pPr>
      <w:r>
        <w:rPr>
          <w:rFonts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671D9C66">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117DC75E">
      <w:pPr>
        <w:spacing w:line="360" w:lineRule="auto"/>
        <w:jc w:val="center"/>
        <w:rPr>
          <w:rFonts w:ascii="宋体" w:hAnsi="宋体" w:cs="宋体"/>
          <w:b/>
          <w:color w:val="auto"/>
          <w:kern w:val="1"/>
          <w:sz w:val="24"/>
          <w:highlight w:val="none"/>
        </w:rPr>
      </w:pPr>
    </w:p>
    <w:p w14:paraId="7D9BC242">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（招标人名称）       </w:t>
      </w:r>
    </w:p>
    <w:p w14:paraId="20336F4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（项目名称）</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招标文件的全部内容，我司：</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投标人名称</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已作为投标人正式授权</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授权代表全名，职务</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代表我司进行有关本投标的一切事宜。</w:t>
      </w:r>
    </w:p>
    <w:p w14:paraId="1595E63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352F8714">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1</w:t>
      </w:r>
      <w:r>
        <w:rPr>
          <w:rFonts w:hint="eastAsia" w:ascii="宋体" w:hAnsi="宋体" w:cs="宋体"/>
          <w:color w:val="auto"/>
          <w:kern w:val="1"/>
          <w:szCs w:val="21"/>
          <w:highlight w:val="none"/>
        </w:rPr>
        <w:t>．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03D9F03B">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 </w:t>
      </w:r>
      <w:r>
        <w:rPr>
          <w:rFonts w:hint="eastAsia" w:ascii="宋体" w:hAnsi="宋体" w:cs="宋体"/>
          <w:color w:val="auto"/>
          <w:kern w:val="1"/>
          <w:szCs w:val="21"/>
          <w:highlight w:val="none"/>
        </w:rPr>
        <w:t>我司已充分阅读了本项目招标文件并充分了解有关报价方式及变更、结算方式，我司完全响应招标文件的规定。</w:t>
      </w:r>
    </w:p>
    <w:p w14:paraId="241D4D93">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3</w:t>
      </w:r>
      <w:r>
        <w:rPr>
          <w:rFonts w:hint="eastAsia" w:ascii="宋体" w:hAnsi="宋体" w:cs="宋体"/>
          <w:color w:val="auto"/>
          <w:kern w:val="1"/>
          <w:szCs w:val="21"/>
          <w:highlight w:val="none"/>
        </w:rPr>
        <w:t>．本投标文件的有效期为投标截止日后</w:t>
      </w:r>
      <w:r>
        <w:rPr>
          <w:rFonts w:ascii="宋体" w:hAnsi="宋体" w:cs="宋体"/>
          <w:color w:val="auto"/>
          <w:kern w:val="1"/>
          <w:szCs w:val="21"/>
          <w:highlight w:val="none"/>
        </w:rPr>
        <w:t>120</w:t>
      </w:r>
      <w:r>
        <w:rPr>
          <w:rFonts w:hint="eastAsia" w:ascii="宋体" w:hAnsi="宋体" w:cs="宋体"/>
          <w:color w:val="auto"/>
          <w:kern w:val="1"/>
          <w:szCs w:val="21"/>
          <w:highlight w:val="none"/>
        </w:rPr>
        <w:t>天内有效；</w:t>
      </w:r>
    </w:p>
    <w:p w14:paraId="0F4A81A6">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4</w:t>
      </w:r>
      <w:r>
        <w:rPr>
          <w:rFonts w:hint="eastAsia" w:ascii="宋体" w:hAnsi="宋体" w:cs="宋体"/>
          <w:color w:val="auto"/>
          <w:kern w:val="1"/>
          <w:szCs w:val="21"/>
          <w:highlight w:val="none"/>
        </w:rPr>
        <w:t>．我司承诺投标文件中的一切资料、数据是真实的，并承担由此引起的一切责任。</w:t>
      </w:r>
    </w:p>
    <w:p w14:paraId="29CEB45A">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5</w:t>
      </w:r>
      <w:r>
        <w:rPr>
          <w:rFonts w:hint="eastAsia" w:ascii="宋体" w:hAnsi="宋体" w:cs="宋体"/>
          <w:color w:val="auto"/>
          <w:kern w:val="1"/>
          <w:szCs w:val="21"/>
          <w:highlight w:val="none"/>
        </w:rPr>
        <w:t>．我司明白并愿意若在规定的投标截止时间之后至投标有效期之内撤回投标，则招标人有权就其撤回行为报告政府主管部门载入不良信用记录。</w:t>
      </w:r>
    </w:p>
    <w:p w14:paraId="6197D663">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6</w:t>
      </w:r>
      <w:r>
        <w:rPr>
          <w:rFonts w:hint="eastAsia" w:ascii="宋体" w:hAnsi="宋体" w:cs="宋体"/>
          <w:color w:val="auto"/>
          <w:kern w:val="1"/>
          <w:szCs w:val="21"/>
          <w:highlight w:val="none"/>
        </w:rPr>
        <w:t>．我司同意按照贵司可能提出的要求而提供与投标有关的任何其它数据或信息。</w:t>
      </w:r>
    </w:p>
    <w:p w14:paraId="0A6636C6">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w:t>
      </w:r>
      <w:r>
        <w:rPr>
          <w:rFonts w:hint="eastAsia" w:ascii="宋体" w:hAnsi="宋体" w:cs="宋体"/>
          <w:color w:val="auto"/>
          <w:kern w:val="1"/>
          <w:szCs w:val="21"/>
          <w:highlight w:val="none"/>
        </w:rPr>
        <w:t>．我司如果中标，我司保证：</w:t>
      </w:r>
    </w:p>
    <w:p w14:paraId="1A9F126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7.1</w:t>
      </w:r>
      <w:r>
        <w:rPr>
          <w:rFonts w:hint="eastAsia" w:ascii="宋体" w:hAnsi="宋体" w:cs="宋体"/>
          <w:color w:val="auto"/>
          <w:kern w:val="1"/>
          <w:szCs w:val="21"/>
          <w:highlight w:val="none"/>
        </w:rPr>
        <w:t>保证履行招标文件以及招标文件修改书</w:t>
      </w:r>
      <w:r>
        <w:rPr>
          <w:rFonts w:ascii="宋体" w:hAnsi="宋体" w:cs="宋体"/>
          <w:color w:val="auto"/>
          <w:kern w:val="1"/>
          <w:szCs w:val="21"/>
          <w:highlight w:val="none"/>
        </w:rPr>
        <w:t>(</w:t>
      </w:r>
      <w:r>
        <w:rPr>
          <w:rFonts w:hint="eastAsia" w:ascii="宋体" w:hAnsi="宋体" w:cs="宋体"/>
          <w:color w:val="auto"/>
          <w:kern w:val="1"/>
          <w:szCs w:val="21"/>
          <w:highlight w:val="none"/>
        </w:rPr>
        <w:t>如有</w:t>
      </w:r>
      <w:r>
        <w:rPr>
          <w:rFonts w:ascii="宋体" w:hAnsi="宋体" w:cs="宋体"/>
          <w:color w:val="auto"/>
          <w:kern w:val="1"/>
          <w:szCs w:val="21"/>
          <w:highlight w:val="none"/>
        </w:rPr>
        <w:t>)</w:t>
      </w:r>
      <w:r>
        <w:rPr>
          <w:rFonts w:hint="eastAsia" w:ascii="宋体" w:hAnsi="宋体" w:cs="宋体"/>
          <w:color w:val="auto"/>
          <w:kern w:val="1"/>
          <w:szCs w:val="21"/>
          <w:highlight w:val="none"/>
        </w:rPr>
        <w:t>中的全部责任和义务，在中标通知书规定的时间内签订合同，并严格按国家有关法规履行我司的全部责任，按质、按量、按期完成合同约定的全部任务。</w:t>
      </w:r>
    </w:p>
    <w:p w14:paraId="08CC6D37">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7.2</w:t>
      </w:r>
      <w:r>
        <w:rPr>
          <w:rFonts w:hint="eastAsia" w:ascii="宋体" w:hAnsi="宋体" w:cs="宋体"/>
          <w:color w:val="auto"/>
          <w:kern w:val="1"/>
          <w:szCs w:val="21"/>
          <w:highlight w:val="none"/>
        </w:rPr>
        <w:t>保证将我司的资质承包范围不能涵盖或不具备相应能力</w:t>
      </w:r>
      <w:r>
        <w:rPr>
          <w:rFonts w:ascii="宋体" w:hAnsi="宋体" w:cs="宋体"/>
          <w:color w:val="auto"/>
          <w:kern w:val="1"/>
          <w:szCs w:val="21"/>
          <w:highlight w:val="none"/>
        </w:rPr>
        <w:t>(</w:t>
      </w:r>
      <w:r>
        <w:rPr>
          <w:rFonts w:hint="eastAsia" w:ascii="宋体" w:hAnsi="宋体" w:cs="宋体"/>
          <w:color w:val="auto"/>
          <w:kern w:val="1"/>
          <w:szCs w:val="21"/>
          <w:highlight w:val="none"/>
        </w:rPr>
        <w:t>该能力须保证进度和质量且须获得招标人认可</w:t>
      </w:r>
      <w:r>
        <w:rPr>
          <w:rFonts w:ascii="宋体" w:hAnsi="宋体" w:cs="宋体"/>
          <w:color w:val="auto"/>
          <w:kern w:val="1"/>
          <w:szCs w:val="21"/>
          <w:highlight w:val="none"/>
        </w:rPr>
        <w:t>)</w:t>
      </w:r>
      <w:r>
        <w:rPr>
          <w:rFonts w:hint="eastAsia" w:ascii="宋体" w:hAnsi="宋体" w:cs="宋体"/>
          <w:color w:val="auto"/>
          <w:kern w:val="1"/>
          <w:szCs w:val="21"/>
          <w:highlight w:val="none"/>
        </w:rPr>
        <w:t>的部分专业工程（如果有），委托获得招标人批准的具备相应专业资质和能力的单位实施，确保项目质量及进度。</w:t>
      </w:r>
    </w:p>
    <w:p w14:paraId="14CB13DB">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7.3</w:t>
      </w:r>
      <w:r>
        <w:rPr>
          <w:rFonts w:hint="eastAsia" w:ascii="宋体" w:hAnsi="宋体" w:cs="宋体"/>
          <w:color w:val="auto"/>
          <w:kern w:val="1"/>
          <w:szCs w:val="21"/>
          <w:highlight w:val="none"/>
        </w:rPr>
        <w:t>保证所完成的设计将完全符合国家相关规范要求，符合或优于招标文件、技术条件、合同条款的要求。若我司完成的勘察设计方案未能达到招标人（或相关政府部门）的要求，我司将无条件根据要求进行修改勘察设计方案，直至得到招标人（及相关政府部门）的认可为止。</w:t>
      </w:r>
    </w:p>
    <w:p w14:paraId="2C141948">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7.4</w:t>
      </w:r>
      <w:r>
        <w:rPr>
          <w:rFonts w:hint="eastAsia" w:ascii="宋体" w:hAnsi="宋体" w:cs="宋体"/>
          <w:color w:val="auto"/>
          <w:kern w:val="1"/>
          <w:szCs w:val="21"/>
          <w:highlight w:val="none"/>
        </w:rPr>
        <w:t>保证尽一切力量确保投标承诺的竣工日期，若我司未能按投标承诺的工期完成本项目，除承担合同约定的违约责任外，招标人有权解除合同，我司承担由于违约解除合同退场造成的对招标人的一切损失。</w:t>
      </w:r>
    </w:p>
    <w:p w14:paraId="5696D1AC">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7.5</w:t>
      </w:r>
      <w:r>
        <w:rPr>
          <w:rFonts w:hint="eastAsia" w:ascii="宋体" w:hAnsi="宋体" w:cs="宋体"/>
          <w:color w:val="auto"/>
          <w:kern w:val="1"/>
          <w:szCs w:val="21"/>
          <w:highlight w:val="none"/>
        </w:rPr>
        <w:t>保证投标所报的项目负责人、设计负责人在本项目合同签订后</w:t>
      </w:r>
      <w:r>
        <w:rPr>
          <w:rFonts w:ascii="宋体" w:hAnsi="宋体" w:cs="宋体"/>
          <w:color w:val="auto"/>
          <w:kern w:val="1"/>
          <w:szCs w:val="21"/>
          <w:highlight w:val="none"/>
        </w:rPr>
        <w:t>7</w:t>
      </w:r>
      <w:r>
        <w:rPr>
          <w:rFonts w:hint="eastAsia" w:ascii="宋体" w:hAnsi="宋体" w:cs="宋体"/>
          <w:color w:val="auto"/>
          <w:kern w:val="1"/>
          <w:szCs w:val="21"/>
          <w:highlight w:val="none"/>
        </w:rPr>
        <w:t>日内到职，全过程服务于本项目，在过程中非不可抗力或招标人要求不得更换。我司违反以上承诺的，同意按合同条款的规定承担违约责任。</w:t>
      </w:r>
    </w:p>
    <w:p w14:paraId="0FF7D0BC">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7.6</w:t>
      </w:r>
      <w:r>
        <w:rPr>
          <w:rFonts w:hint="eastAsia" w:ascii="宋体" w:hAnsi="宋体" w:cs="宋体"/>
          <w:color w:val="auto"/>
          <w:kern w:val="1"/>
          <w:szCs w:val="21"/>
          <w:highlight w:val="none"/>
        </w:rPr>
        <w:t>保证所投入本项目的主要材料、设备质量符合或优于招标文件要求，所投入本项目的辅助设备、材料与主要材料、设备质量一致并有良好的配套性。</w:t>
      </w:r>
    </w:p>
    <w:p w14:paraId="08A6523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7.7</w:t>
      </w:r>
      <w:r>
        <w:rPr>
          <w:rFonts w:hint="eastAsia" w:ascii="宋体" w:hAnsi="宋体" w:cs="宋体"/>
          <w:color w:val="auto"/>
          <w:kern w:val="1"/>
          <w:szCs w:val="21"/>
          <w:highlight w:val="none"/>
        </w:rPr>
        <w:t>保证按照招标文件的要求确保安全生产及文明施工，如有违反，我司愿意按合同约定承担违约责任，并为此负相关的法律责任。</w:t>
      </w:r>
    </w:p>
    <w:p w14:paraId="79EBC070">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7.8</w:t>
      </w:r>
      <w:r>
        <w:rPr>
          <w:rFonts w:hint="eastAsia" w:ascii="宋体" w:hAnsi="宋体" w:cs="宋体"/>
          <w:color w:val="auto"/>
          <w:kern w:val="1"/>
          <w:szCs w:val="21"/>
          <w:highlight w:val="none"/>
        </w:rPr>
        <w:t>保证按国家的有关规定制订保证民工工资支付的方案及保证措施，否则，我司愿按合同条款规定承担违约责任并赔偿招标人的全部损失。</w:t>
      </w:r>
    </w:p>
    <w:p w14:paraId="54EA8865">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7.9</w:t>
      </w:r>
      <w:r>
        <w:rPr>
          <w:rFonts w:hint="eastAsia" w:ascii="宋体" w:hAnsi="宋体" w:cs="宋体"/>
          <w:color w:val="auto"/>
          <w:kern w:val="1"/>
          <w:szCs w:val="21"/>
          <w:highlight w:val="none"/>
        </w:rPr>
        <w:t>保证按施工期间做好安全文明和交通保证措施，施工区全封闭围挡，根据工程进度计划分段施工分期围挡。最大限度满足交通和市民出行方便，施工行为做到便民，不扰民。</w:t>
      </w:r>
    </w:p>
    <w:p w14:paraId="5E84835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7.10</w:t>
      </w:r>
      <w:r>
        <w:rPr>
          <w:rFonts w:hint="eastAsia" w:ascii="宋体" w:hAnsi="宋体" w:cs="宋体"/>
          <w:color w:val="auto"/>
          <w:kern w:val="1"/>
          <w:szCs w:val="21"/>
          <w:highlight w:val="none"/>
        </w:rPr>
        <w:t>保证按发包方工期要求编制施工进度计划，计划内容全面详实，根据项目特点合理组织分段施工，分段逐步移交。</w:t>
      </w:r>
    </w:p>
    <w:p w14:paraId="05E464A6">
      <w:pPr>
        <w:spacing w:line="360" w:lineRule="auto"/>
        <w:ind w:firstLine="3360"/>
        <w:rPr>
          <w:rFonts w:ascii="宋体" w:hAnsi="宋体" w:cs="宋体"/>
          <w:color w:val="auto"/>
          <w:kern w:val="1"/>
          <w:szCs w:val="21"/>
          <w:highlight w:val="none"/>
        </w:rPr>
      </w:pPr>
    </w:p>
    <w:p w14:paraId="783E400E">
      <w:pP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（盖章）</w:t>
      </w:r>
    </w:p>
    <w:p w14:paraId="01B8C28C">
      <w:pPr>
        <w:wordWrap w:val="0"/>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w:t>
      </w:r>
      <w:r>
        <w:rPr>
          <w:rFonts w:ascii="宋体" w:hAnsi="宋体" w:cs="宋体"/>
          <w:color w:val="auto"/>
          <w:kern w:val="1"/>
          <w:szCs w:val="21"/>
          <w:highlight w:val="none"/>
        </w:rPr>
        <w:t>(</w:t>
      </w:r>
      <w:r>
        <w:rPr>
          <w:rFonts w:hint="eastAsia" w:ascii="宋体" w:hAnsi="宋体" w:cs="宋体"/>
          <w:color w:val="auto"/>
          <w:kern w:val="1"/>
          <w:szCs w:val="21"/>
          <w:highlight w:val="none"/>
        </w:rPr>
        <w:t>签名或盖章</w:t>
      </w:r>
      <w:r>
        <w:rPr>
          <w:rFonts w:ascii="宋体" w:hAnsi="宋体" w:cs="宋体"/>
          <w:color w:val="auto"/>
          <w:kern w:val="1"/>
          <w:szCs w:val="21"/>
          <w:highlight w:val="none"/>
        </w:rPr>
        <w:t>)</w:t>
      </w:r>
      <w:r>
        <w:rPr>
          <w:rFonts w:hint="eastAsia" w:ascii="宋体" w:hAnsi="宋体" w:cs="宋体"/>
          <w:color w:val="auto"/>
          <w:kern w:val="1"/>
          <w:szCs w:val="21"/>
          <w:highlight w:val="none"/>
        </w:rPr>
        <w:t>：</w:t>
      </w:r>
      <w:r>
        <w:rPr>
          <w:rFonts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项目负责人（签名或盖章）：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p>
    <w:p w14:paraId="5B285F6C">
      <w:pPr>
        <w:spacing w:line="360" w:lineRule="auto"/>
        <w:ind w:firstLine="4830" w:firstLineChars="2300"/>
        <w:rPr>
          <w:rFonts w:ascii="宋体" w:hAnsi="宋体" w:cs="宋体"/>
          <w:color w:val="auto"/>
          <w:kern w:val="1"/>
          <w:szCs w:val="21"/>
          <w:highlight w:val="none"/>
          <w:u w:val="single"/>
        </w:rPr>
      </w:pPr>
      <w:r>
        <w:rPr>
          <w:rFonts w:hint="eastAsia" w:ascii="宋体" w:hAnsi="宋体" w:cs="宋体"/>
          <w:color w:val="auto"/>
          <w:kern w:val="1"/>
          <w:szCs w:val="21"/>
          <w:highlight w:val="none"/>
        </w:rPr>
        <w:t>设计负责人（签名或盖章）：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A4881E5">
      <w:pPr>
        <w:spacing w:line="360" w:lineRule="auto"/>
        <w:ind w:firstLine="4410" w:firstLineChars="2100"/>
        <w:rPr>
          <w:rFonts w:ascii="宋体" w:hAnsi="宋体" w:cs="宋体"/>
          <w:color w:val="auto"/>
          <w:kern w:val="1"/>
          <w:szCs w:val="21"/>
          <w:highlight w:val="none"/>
          <w:u w:val="single"/>
        </w:rPr>
      </w:pPr>
      <w:r>
        <w:rPr>
          <w:rFonts w:hint="eastAsia" w:ascii="宋体" w:hAnsi="宋体" w:cs="宋体"/>
          <w:color w:val="auto"/>
          <w:kern w:val="1"/>
          <w:szCs w:val="21"/>
          <w:highlight w:val="none"/>
        </w:rPr>
        <w:t>项目技术负责人（签名或盖章）：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13E76516">
      <w:pPr>
        <w:spacing w:line="360" w:lineRule="auto"/>
        <w:ind w:firstLine="3360"/>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日</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期：</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年</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月</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日</w:t>
      </w:r>
    </w:p>
    <w:p w14:paraId="301A3EF7">
      <w:pPr>
        <w:pStyle w:val="2"/>
        <w:rPr>
          <w:color w:val="auto"/>
          <w:highlight w:val="none"/>
          <w:lang w:val="en-US"/>
        </w:rPr>
      </w:pPr>
    </w:p>
    <w:p w14:paraId="44AFB5B8">
      <w:pPr>
        <w:pStyle w:val="2"/>
        <w:spacing w:line="360" w:lineRule="auto"/>
        <w:rPr>
          <w:b/>
          <w:color w:val="auto"/>
          <w:szCs w:val="21"/>
          <w:highlight w:val="none"/>
        </w:rPr>
      </w:pPr>
      <w:r>
        <w:rPr>
          <w:rFonts w:hint="eastAsia"/>
          <w:b/>
          <w:color w:val="auto"/>
          <w:szCs w:val="21"/>
          <w:highlight w:val="none"/>
        </w:rPr>
        <w:t>注：联合体投标的，“投标人”一栏需书写所有联合体成员的单位全称，可由牵头方签字、盖章。</w:t>
      </w:r>
    </w:p>
    <w:p w14:paraId="1FAF9D5E">
      <w:pPr>
        <w:pStyle w:val="2"/>
        <w:spacing w:line="360" w:lineRule="auto"/>
        <w:rPr>
          <w:rFonts w:cs="宋体"/>
          <w:b/>
          <w:color w:val="auto"/>
          <w:kern w:val="1"/>
          <w:sz w:val="24"/>
          <w:highlight w:val="none"/>
        </w:rPr>
      </w:pPr>
    </w:p>
    <w:p w14:paraId="3B6AABA4">
      <w:pPr>
        <w:spacing w:line="360" w:lineRule="auto"/>
        <w:ind w:firstLine="420"/>
        <w:rPr>
          <w:rFonts w:ascii="宋体" w:hAnsi="宋体" w:cs="宋体"/>
          <w:color w:val="auto"/>
          <w:kern w:val="1"/>
          <w:szCs w:val="21"/>
          <w:highlight w:val="none"/>
        </w:rPr>
      </w:pPr>
    </w:p>
    <w:p w14:paraId="02BE62F3">
      <w:pPr>
        <w:spacing w:line="360" w:lineRule="auto"/>
        <w:rPr>
          <w:rFonts w:ascii="宋体" w:hAnsi="宋体" w:cs="宋体"/>
          <w:b/>
          <w:color w:val="auto"/>
          <w:kern w:val="1"/>
          <w:sz w:val="24"/>
          <w:highlight w:val="none"/>
          <w:lang w:val="zh-CN"/>
        </w:rPr>
      </w:pPr>
      <w:r>
        <w:rPr>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0ECEC4BF">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0A09385F">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2DB29658">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）第　号</w:t>
      </w:r>
    </w:p>
    <w:tbl>
      <w:tblPr>
        <w:tblStyle w:val="34"/>
        <w:tblW w:w="0" w:type="auto"/>
        <w:tblInd w:w="0" w:type="dxa"/>
        <w:tblLayout w:type="fixed"/>
        <w:tblCellMar>
          <w:top w:w="0" w:type="dxa"/>
          <w:left w:w="108" w:type="dxa"/>
          <w:bottom w:w="0" w:type="dxa"/>
          <w:right w:w="108" w:type="dxa"/>
        </w:tblCellMar>
      </w:tblPr>
      <w:tblGrid>
        <w:gridCol w:w="9455"/>
      </w:tblGrid>
      <w:tr w14:paraId="557A7480">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43D44DFD">
            <w:pPr>
              <w:spacing w:line="360" w:lineRule="auto"/>
              <w:rPr>
                <w:rFonts w:ascii="宋体" w:hAnsi="宋体" w:cs="宋体"/>
                <w:color w:val="auto"/>
                <w:kern w:val="1"/>
                <w:szCs w:val="21"/>
                <w:highlight w:val="none"/>
                <w:u w:val="single"/>
              </w:rPr>
            </w:pPr>
          </w:p>
          <w:p w14:paraId="749F7858">
            <w:pPr>
              <w:spacing w:line="360" w:lineRule="auto"/>
              <w:rPr>
                <w:rFonts w:ascii="宋体" w:hAnsi="宋体" w:cs="宋体"/>
                <w:color w:val="auto"/>
                <w:kern w:val="1"/>
                <w:szCs w:val="21"/>
                <w:highlight w:val="none"/>
              </w:rPr>
            </w:pP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2C775B31">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p>
          <w:p w14:paraId="3D17C796">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身份证号码：</w:t>
            </w:r>
            <w:r>
              <w:rPr>
                <w:rFonts w:hint="eastAsia" w:ascii="宋体" w:hAnsi="宋体" w:cs="宋体"/>
                <w:color w:val="auto"/>
                <w:kern w:val="1"/>
                <w:szCs w:val="21"/>
                <w:highlight w:val="none"/>
                <w:u w:val="single"/>
              </w:rPr>
              <w:t>　　　　　　　　　　</w:t>
            </w:r>
          </w:p>
          <w:p w14:paraId="65A1532A">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61802511">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16AABE2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5BB22530">
            <w:pPr>
              <w:spacing w:line="360" w:lineRule="auto"/>
              <w:ind w:firstLine="3360" w:firstLineChars="1600"/>
              <w:rPr>
                <w:rFonts w:ascii="宋体" w:hAnsi="宋体" w:cs="宋体"/>
                <w:color w:val="auto"/>
                <w:kern w:val="1"/>
                <w:szCs w:val="21"/>
                <w:highlight w:val="none"/>
                <w:u w:val="single"/>
              </w:rPr>
            </w:pPr>
            <w:r>
              <w:rPr>
                <w:rFonts w:hint="eastAsia" w:ascii="宋体" w:hAnsi="宋体" w:cs="宋体"/>
                <w:color w:val="auto"/>
                <w:kern w:val="1"/>
                <w:szCs w:val="21"/>
                <w:highlight w:val="none"/>
              </w:rPr>
              <w:t>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年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1A8D2EA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1</w:t>
      </w:r>
      <w:r>
        <w:rPr>
          <w:rFonts w:hint="eastAsia" w:ascii="宋体" w:hAnsi="宋体" w:cs="宋体"/>
          <w:color w:val="auto"/>
          <w:kern w:val="1"/>
          <w:szCs w:val="21"/>
          <w:highlight w:val="none"/>
        </w:rPr>
        <w:t>、法定代表人证明书也可以采用工商行政管理局统一印制的格式。</w:t>
      </w:r>
    </w:p>
    <w:p w14:paraId="0C389202">
      <w:pPr>
        <w:spacing w:line="360" w:lineRule="auto"/>
        <w:ind w:firstLine="424" w:firstLineChars="202"/>
        <w:rPr>
          <w:rFonts w:ascii="宋体" w:hAnsi="宋体" w:cs="宋体"/>
          <w:color w:val="auto"/>
          <w:kern w:val="1"/>
          <w:szCs w:val="21"/>
          <w:highlight w:val="none"/>
        </w:rPr>
      </w:pPr>
      <w:r>
        <w:rPr>
          <w:rFonts w:ascii="宋体" w:hAnsi="宋体" w:cs="宋体"/>
          <w:color w:val="auto"/>
          <w:kern w:val="1"/>
          <w:szCs w:val="21"/>
          <w:highlight w:val="none"/>
        </w:rPr>
        <w:t>2</w:t>
      </w:r>
      <w:r>
        <w:rPr>
          <w:rFonts w:hint="eastAsia" w:ascii="宋体" w:hAnsi="宋体" w:cs="宋体"/>
          <w:color w:val="auto"/>
          <w:kern w:val="1"/>
          <w:szCs w:val="21"/>
          <w:highlight w:val="none"/>
        </w:rPr>
        <w:t>、联合体投标的，本证明书由联合体牵头方出具。</w:t>
      </w:r>
    </w:p>
    <w:p w14:paraId="48346B33">
      <w:pPr>
        <w:spacing w:line="360" w:lineRule="auto"/>
        <w:ind w:firstLine="424" w:firstLineChars="202"/>
        <w:rPr>
          <w:rFonts w:ascii="宋体" w:hAnsi="宋体" w:cs="宋体"/>
          <w:color w:val="auto"/>
          <w:kern w:val="1"/>
          <w:szCs w:val="21"/>
          <w:highlight w:val="none"/>
        </w:rPr>
      </w:pPr>
      <w:r>
        <w:rPr>
          <w:rFonts w:ascii="宋体" w:hAnsi="宋体" w:cs="宋体"/>
          <w:color w:val="auto"/>
          <w:kern w:val="1"/>
          <w:szCs w:val="21"/>
          <w:highlight w:val="none"/>
        </w:rPr>
        <w:t>3</w:t>
      </w:r>
      <w:r>
        <w:rPr>
          <w:rFonts w:hint="eastAsia" w:ascii="宋体" w:hAnsi="宋体" w:cs="宋体"/>
          <w:color w:val="auto"/>
          <w:kern w:val="1"/>
          <w:szCs w:val="21"/>
          <w:highlight w:val="none"/>
        </w:rPr>
        <w:t>、附法定代表人身份证原件扫描件。</w:t>
      </w:r>
    </w:p>
    <w:p w14:paraId="7B343CB4">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5016082B">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）第　号</w:t>
      </w:r>
    </w:p>
    <w:tbl>
      <w:tblPr>
        <w:tblStyle w:val="34"/>
        <w:tblW w:w="0" w:type="auto"/>
        <w:tblInd w:w="0" w:type="dxa"/>
        <w:tblLayout w:type="fixed"/>
        <w:tblCellMar>
          <w:top w:w="0" w:type="dxa"/>
          <w:left w:w="108" w:type="dxa"/>
          <w:bottom w:w="0" w:type="dxa"/>
          <w:right w:w="108" w:type="dxa"/>
        </w:tblCellMar>
      </w:tblPr>
      <w:tblGrid>
        <w:gridCol w:w="9243"/>
      </w:tblGrid>
      <w:tr w14:paraId="7176618B">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1AEEF588">
            <w:pPr>
              <w:spacing w:line="360" w:lineRule="auto"/>
              <w:ind w:firstLine="480"/>
              <w:rPr>
                <w:rFonts w:ascii="宋体" w:hAnsi="宋体" w:cs="宋体"/>
                <w:color w:val="auto"/>
                <w:kern w:val="1"/>
                <w:szCs w:val="21"/>
                <w:highlight w:val="none"/>
                <w:u w:val="single"/>
              </w:rPr>
            </w:pPr>
            <w:r>
              <w:rPr>
                <w:rFonts w:hint="eastAsia" w:ascii="宋体" w:hAnsi="宋体" w:cs="宋体"/>
                <w:color w:val="auto"/>
                <w:kern w:val="1"/>
                <w:szCs w:val="21"/>
                <w:highlight w:val="none"/>
              </w:rPr>
              <w:t>兹授权</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w:t>
            </w:r>
          </w:p>
          <w:p w14:paraId="5B533FAE">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w:t>
            </w:r>
          </w:p>
          <w:p w14:paraId="52B9F45C">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264E8795">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附：代理人性别：</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身份证号码：</w:t>
            </w:r>
            <w:r>
              <w:rPr>
                <w:rFonts w:hint="eastAsia" w:ascii="宋体" w:hAnsi="宋体" w:cs="宋体"/>
                <w:color w:val="auto"/>
                <w:kern w:val="1"/>
                <w:szCs w:val="21"/>
                <w:highlight w:val="none"/>
                <w:u w:val="single"/>
              </w:rPr>
              <w:t>　　　　　　　　　　</w:t>
            </w:r>
          </w:p>
          <w:p w14:paraId="67A3448D">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注册号码：</w:t>
            </w:r>
            <w:r>
              <w:rPr>
                <w:rFonts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企业类型：</w:t>
            </w:r>
            <w:r>
              <w:rPr>
                <w:rFonts w:hint="eastAsia" w:ascii="宋体" w:hAnsi="宋体" w:cs="宋体"/>
                <w:color w:val="auto"/>
                <w:kern w:val="1"/>
                <w:szCs w:val="21"/>
                <w:highlight w:val="none"/>
                <w:u w:val="single"/>
              </w:rPr>
              <w:t>　　　　　　　　　　</w:t>
            </w:r>
          </w:p>
          <w:p w14:paraId="426080F5">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w:t>
            </w:r>
          </w:p>
          <w:p w14:paraId="327B7292">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2C7F215A">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13E1AE30">
            <w:pPr>
              <w:spacing w:line="360" w:lineRule="auto"/>
              <w:rPr>
                <w:rFonts w:ascii="宋体" w:hAnsi="宋体" w:cs="宋体"/>
                <w:color w:val="auto"/>
                <w:kern w:val="1"/>
                <w:szCs w:val="21"/>
                <w:highlight w:val="none"/>
              </w:rPr>
            </w:pP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年</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日</w:t>
            </w:r>
          </w:p>
        </w:tc>
      </w:tr>
    </w:tbl>
    <w:p w14:paraId="4C0E60BD">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1</w:t>
      </w:r>
      <w:r>
        <w:rPr>
          <w:rFonts w:hint="eastAsia" w:ascii="宋体" w:hAnsi="宋体" w:cs="宋体"/>
          <w:color w:val="auto"/>
          <w:kern w:val="1"/>
          <w:szCs w:val="21"/>
          <w:highlight w:val="none"/>
        </w:rPr>
        <w:t>、法定代表人授权委托书也可以采用工商行政管理局统一印制的格式。</w:t>
      </w:r>
    </w:p>
    <w:p w14:paraId="3F6598AC">
      <w:pPr>
        <w:numPr>
          <w:ilvl w:val="0"/>
          <w:numId w:val="5"/>
        </w:numP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联合体投标的，本授权书由联合体牵头方出具，并由联合体牵头方签字、盖章即可。</w:t>
      </w:r>
    </w:p>
    <w:p w14:paraId="39F01FF6">
      <w:pPr>
        <w:pStyle w:val="2"/>
        <w:spacing w:line="360" w:lineRule="auto"/>
        <w:ind w:firstLine="420" w:firstLineChars="200"/>
        <w:rPr>
          <w:color w:val="auto"/>
          <w:highlight w:val="none"/>
        </w:rPr>
      </w:pPr>
      <w:r>
        <w:rPr>
          <w:rFonts w:cs="宋体"/>
          <w:color w:val="auto"/>
          <w:kern w:val="1"/>
          <w:sz w:val="21"/>
          <w:szCs w:val="21"/>
          <w:highlight w:val="none"/>
          <w:lang w:val="en-US"/>
        </w:rPr>
        <w:t>3</w:t>
      </w:r>
      <w:r>
        <w:rPr>
          <w:rFonts w:hint="eastAsia" w:cs="宋体"/>
          <w:color w:val="auto"/>
          <w:kern w:val="1"/>
          <w:sz w:val="21"/>
          <w:szCs w:val="21"/>
          <w:highlight w:val="none"/>
          <w:lang w:val="en-US"/>
        </w:rPr>
        <w:t>、附委托代理人身份证原件扫描件。</w:t>
      </w:r>
    </w:p>
    <w:p w14:paraId="42C4EE81">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ascii="宋体" w:hAnsi="宋体" w:cs="宋体"/>
          <w:b/>
          <w:color w:val="auto"/>
          <w:kern w:val="1"/>
          <w:sz w:val="24"/>
          <w:highlight w:val="none"/>
        </w:rPr>
        <w:t xml:space="preserve"> </w:t>
      </w:r>
      <w:r>
        <w:rPr>
          <w:rFonts w:hint="eastAsia" w:ascii="宋体" w:hAnsi="宋体" w:cs="宋体"/>
          <w:b/>
          <w:color w:val="auto"/>
          <w:kern w:val="1"/>
          <w:sz w:val="24"/>
          <w:highlight w:val="none"/>
        </w:rPr>
        <w:t>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5DA913A7">
      <w:pPr>
        <w:spacing w:line="360" w:lineRule="auto"/>
        <w:jc w:val="center"/>
        <w:rPr>
          <w:rFonts w:ascii="宋体" w:hAnsi="宋体" w:cs="宋体"/>
          <w:b/>
          <w:color w:val="auto"/>
          <w:kern w:val="1"/>
          <w:sz w:val="28"/>
          <w:szCs w:val="28"/>
          <w:highlight w:val="none"/>
          <w:lang w:val="zh-CN"/>
        </w:rPr>
      </w:pPr>
      <w:bookmarkStart w:id="375" w:name="_Toc31552"/>
      <w:bookmarkEnd w:id="375"/>
      <w:bookmarkStart w:id="376" w:name="_Toc17417"/>
      <w:bookmarkEnd w:id="376"/>
      <w:r>
        <w:rPr>
          <w:rFonts w:hint="eastAsia" w:ascii="宋体" w:hAnsi="宋体" w:cs="宋体"/>
          <w:b/>
          <w:color w:val="auto"/>
          <w:kern w:val="1"/>
          <w:sz w:val="28"/>
          <w:szCs w:val="28"/>
          <w:highlight w:val="none"/>
          <w:lang w:val="zh-CN"/>
        </w:rPr>
        <w:t>设计主要负责人配备表</w:t>
      </w:r>
    </w:p>
    <w:tbl>
      <w:tblPr>
        <w:tblStyle w:val="34"/>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1E086629">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E9829EC">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1C3CE8FA">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29C1EB47">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795746AB">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373B556D">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23F13009">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获奖奖项</w:t>
            </w:r>
          </w:p>
        </w:tc>
      </w:tr>
      <w:tr w14:paraId="6E10BFED">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B3F005F">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371E8F">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23AEFCA">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C2F8B5F">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E7FE22C">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4F7BD978">
            <w:pPr>
              <w:spacing w:line="360" w:lineRule="auto"/>
              <w:jc w:val="center"/>
              <w:rPr>
                <w:rFonts w:ascii="宋体" w:hAnsi="宋体" w:cs="宋体"/>
                <w:color w:val="auto"/>
                <w:kern w:val="1"/>
                <w:szCs w:val="21"/>
                <w:highlight w:val="none"/>
              </w:rPr>
            </w:pPr>
          </w:p>
        </w:tc>
      </w:tr>
      <w:tr w14:paraId="264562EB">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00628A19">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A2E1E15">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3E2DD0C">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1B17343">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C53FA91">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15B8B891">
            <w:pPr>
              <w:spacing w:line="360" w:lineRule="auto"/>
              <w:jc w:val="center"/>
              <w:rPr>
                <w:rFonts w:ascii="宋体" w:hAnsi="宋体" w:cs="宋体"/>
                <w:color w:val="auto"/>
                <w:kern w:val="1"/>
                <w:szCs w:val="21"/>
                <w:highlight w:val="none"/>
              </w:rPr>
            </w:pPr>
          </w:p>
        </w:tc>
      </w:tr>
      <w:tr w14:paraId="206574B9">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58D7BA49">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4355BEA">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0214A9D">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8910E7E">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15CF179">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678382FE">
            <w:pPr>
              <w:spacing w:line="360" w:lineRule="auto"/>
              <w:jc w:val="center"/>
              <w:rPr>
                <w:rFonts w:ascii="宋体" w:hAnsi="宋体" w:cs="宋体"/>
                <w:color w:val="auto"/>
                <w:kern w:val="1"/>
                <w:szCs w:val="21"/>
                <w:highlight w:val="none"/>
              </w:rPr>
            </w:pPr>
          </w:p>
        </w:tc>
      </w:tr>
      <w:tr w14:paraId="6775EBFD">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00ADC33">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9B0F63D">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7A93493">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01BC0C4">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05F4DC5">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07426BB3">
            <w:pPr>
              <w:spacing w:line="360" w:lineRule="auto"/>
              <w:jc w:val="center"/>
              <w:rPr>
                <w:rFonts w:ascii="宋体" w:hAnsi="宋体" w:cs="宋体"/>
                <w:color w:val="auto"/>
                <w:kern w:val="1"/>
                <w:szCs w:val="21"/>
                <w:highlight w:val="none"/>
              </w:rPr>
            </w:pPr>
          </w:p>
        </w:tc>
      </w:tr>
      <w:tr w14:paraId="299D252D">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059BBE7">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3F1C59B">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7979197">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2626596D">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D20FA81">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4F987E01">
            <w:pPr>
              <w:spacing w:line="360" w:lineRule="auto"/>
              <w:jc w:val="center"/>
              <w:rPr>
                <w:rFonts w:ascii="宋体" w:hAnsi="宋体" w:cs="宋体"/>
                <w:color w:val="auto"/>
                <w:kern w:val="1"/>
                <w:szCs w:val="21"/>
                <w:highlight w:val="none"/>
              </w:rPr>
            </w:pPr>
          </w:p>
        </w:tc>
      </w:tr>
    </w:tbl>
    <w:p w14:paraId="209B0BF2">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注：投标人应根据招标文件第三章《评标办法》“工程总承包实施方案技术部分评分表”要求在本表后附对应的相关证明材料。</w:t>
      </w:r>
    </w:p>
    <w:p w14:paraId="30C4FE05">
      <w:pPr>
        <w:pStyle w:val="2"/>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cs="宋体"/>
          <w:color w:val="auto"/>
          <w:spacing w:val="18"/>
          <w:kern w:val="1"/>
          <w:sz w:val="21"/>
          <w:szCs w:val="21"/>
          <w:highlight w:val="none"/>
          <w:u w:val="single"/>
          <w:lang w:val="en-US"/>
        </w:rPr>
        <w:t xml:space="preserve">      </w:t>
      </w:r>
      <w:r>
        <w:rPr>
          <w:rFonts w:cs="宋体"/>
          <w:color w:val="auto"/>
          <w:spacing w:val="18"/>
          <w:kern w:val="1"/>
          <w:sz w:val="21"/>
          <w:szCs w:val="21"/>
          <w:highlight w:val="none"/>
        </w:rPr>
        <w:t>(</w:t>
      </w:r>
      <w:r>
        <w:rPr>
          <w:rFonts w:hint="eastAsia" w:cs="宋体"/>
          <w:color w:val="auto"/>
          <w:spacing w:val="18"/>
          <w:kern w:val="1"/>
          <w:sz w:val="21"/>
          <w:szCs w:val="21"/>
          <w:highlight w:val="none"/>
        </w:rPr>
        <w:t>盖章</w:t>
      </w:r>
      <w:r>
        <w:rPr>
          <w:rFonts w:cs="宋体"/>
          <w:color w:val="auto"/>
          <w:spacing w:val="18"/>
          <w:kern w:val="1"/>
          <w:sz w:val="21"/>
          <w:szCs w:val="21"/>
          <w:highlight w:val="none"/>
        </w:rPr>
        <w:t>)</w:t>
      </w:r>
      <w:r>
        <w:rPr>
          <w:rFonts w:hint="eastAsia" w:cs="宋体"/>
          <w:color w:val="auto"/>
          <w:spacing w:val="18"/>
          <w:kern w:val="1"/>
          <w:sz w:val="21"/>
          <w:szCs w:val="21"/>
          <w:highlight w:val="none"/>
        </w:rPr>
        <w:t xml:space="preserve">  </w:t>
      </w:r>
    </w:p>
    <w:p w14:paraId="15526775">
      <w:pPr>
        <w:spacing w:line="360" w:lineRule="auto"/>
        <w:jc w:val="right"/>
        <w:rPr>
          <w:rFonts w:ascii="宋体" w:hAnsi="宋体" w:cs="宋体"/>
          <w:color w:val="auto"/>
          <w:kern w:val="1"/>
          <w:szCs w:val="21"/>
          <w:highlight w:val="none"/>
        </w:rPr>
      </w:pP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日期：</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年</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日</w:t>
      </w:r>
    </w:p>
    <w:p w14:paraId="7E193B74">
      <w:pPr>
        <w:pStyle w:val="2"/>
        <w:rPr>
          <w:color w:val="auto"/>
          <w:highlight w:val="none"/>
        </w:rPr>
      </w:pPr>
      <w:r>
        <w:rPr>
          <w:color w:val="auto"/>
          <w:highlight w:val="none"/>
        </w:rPr>
        <w:br w:type="page"/>
      </w:r>
    </w:p>
    <w:p w14:paraId="7CA4E456">
      <w:pPr>
        <w:tabs>
          <w:tab w:val="left" w:pos="7655"/>
        </w:tabs>
        <w:spacing w:line="360" w:lineRule="auto"/>
        <w:rPr>
          <w:rFonts w:ascii="宋体" w:hAnsi="宋体" w:cs="宋体"/>
          <w:b/>
          <w:bCs/>
          <w:color w:val="auto"/>
          <w:spacing w:val="4"/>
          <w:sz w:val="24"/>
          <w:szCs w:val="2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7</w:t>
      </w:r>
      <w:r>
        <w:rPr>
          <w:rFonts w:hint="eastAsia" w:ascii="宋体" w:hAnsi="宋体" w:cs="宋体"/>
          <w:b/>
          <w:color w:val="auto"/>
          <w:kern w:val="1"/>
          <w:sz w:val="24"/>
          <w:highlight w:val="none"/>
        </w:rPr>
        <w:t>：</w:t>
      </w:r>
    </w:p>
    <w:p w14:paraId="6E1C125E">
      <w:pP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拟投入本项目施工主要负责人员简历表</w:t>
      </w:r>
    </w:p>
    <w:tbl>
      <w:tblPr>
        <w:tblStyle w:val="34"/>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148766E7">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7A6F179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61E272A9">
            <w:pPr>
              <w:spacing w:line="360" w:lineRule="auto"/>
              <w:jc w:val="center"/>
              <w:rPr>
                <w:rFonts w:ascii="宋体" w:hAnsi="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6E552B5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6E46F27B">
            <w:pPr>
              <w:spacing w:line="360" w:lineRule="auto"/>
              <w:jc w:val="center"/>
              <w:rPr>
                <w:rFonts w:ascii="宋体" w:hAnsi="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2EB6CE5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71C216BB">
            <w:pPr>
              <w:spacing w:line="360" w:lineRule="auto"/>
              <w:jc w:val="center"/>
              <w:rPr>
                <w:rFonts w:ascii="宋体" w:hAnsi="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0EB02469">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文化</w:t>
            </w:r>
          </w:p>
          <w:p w14:paraId="0E56AC9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7B76713B">
            <w:pPr>
              <w:spacing w:line="360" w:lineRule="auto"/>
              <w:jc w:val="center"/>
              <w:rPr>
                <w:rFonts w:ascii="宋体" w:hAnsi="宋体" w:cs="宋体"/>
                <w:color w:val="auto"/>
                <w:kern w:val="1"/>
                <w:szCs w:val="21"/>
                <w:highlight w:val="none"/>
              </w:rPr>
            </w:pPr>
          </w:p>
        </w:tc>
      </w:tr>
      <w:tr w14:paraId="54668200">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7CED7EA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0ECD753A">
            <w:pP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711329A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3A3D0AF5">
            <w:pPr>
              <w:spacing w:line="360" w:lineRule="auto"/>
              <w:rPr>
                <w:rFonts w:ascii="宋体" w:hAnsi="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391A862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毕业</w:t>
            </w:r>
          </w:p>
          <w:p w14:paraId="3DAE2D04">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668F67AC">
            <w:pPr>
              <w:spacing w:line="360" w:lineRule="auto"/>
              <w:rPr>
                <w:rFonts w:ascii="宋体" w:hAnsi="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6334301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技术</w:t>
            </w:r>
          </w:p>
          <w:p w14:paraId="26DACD6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153A10EB">
            <w:pPr>
              <w:spacing w:line="360" w:lineRule="auto"/>
              <w:rPr>
                <w:rFonts w:ascii="宋体" w:hAnsi="宋体" w:cs="宋体"/>
                <w:color w:val="auto"/>
                <w:kern w:val="1"/>
                <w:szCs w:val="21"/>
                <w:highlight w:val="none"/>
              </w:rPr>
            </w:pPr>
          </w:p>
        </w:tc>
      </w:tr>
      <w:tr w14:paraId="4C13F121">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4B9CACE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017B22D4">
            <w:pP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122B820D">
            <w:pPr>
              <w:spacing w:line="360" w:lineRule="auto"/>
              <w:ind w:left="-80" w:right="-116"/>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3F37F39E">
            <w:pPr>
              <w:spacing w:line="360" w:lineRule="auto"/>
              <w:rPr>
                <w:rFonts w:ascii="宋体" w:hAnsi="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14AF390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49B1818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153C21D8">
            <w:pP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7AFD1F5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联系</w:t>
            </w:r>
          </w:p>
          <w:p w14:paraId="1AF0881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379ED9FB">
            <w:pPr>
              <w:spacing w:line="360" w:lineRule="auto"/>
              <w:jc w:val="center"/>
              <w:rPr>
                <w:rFonts w:ascii="宋体" w:hAnsi="宋体" w:cs="宋体"/>
                <w:color w:val="auto"/>
                <w:kern w:val="1"/>
                <w:szCs w:val="21"/>
                <w:highlight w:val="none"/>
              </w:rPr>
            </w:pPr>
          </w:p>
        </w:tc>
      </w:tr>
      <w:tr w14:paraId="7DF069B7">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29F55B0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2BAB79BE">
            <w:pP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1598E89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在册</w:t>
            </w:r>
            <w:r>
              <w:rPr>
                <w:rFonts w:ascii="宋体" w:hAnsi="宋体" w:cs="宋体"/>
                <w:color w:val="auto"/>
                <w:kern w:val="1"/>
                <w:szCs w:val="21"/>
                <w:highlight w:val="none"/>
                <w:lang w:val="zh-CN"/>
              </w:rPr>
              <w:t>/</w:t>
            </w:r>
            <w:r>
              <w:rPr>
                <w:rFonts w:hint="eastAsia" w:ascii="宋体" w:hAnsi="宋体" w:cs="宋体"/>
                <w:color w:val="auto"/>
                <w:kern w:val="1"/>
                <w:szCs w:val="21"/>
                <w:highlight w:val="none"/>
                <w:lang w:val="zh-CN"/>
              </w:rPr>
              <w:t>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7FDC258E">
            <w:pPr>
              <w:spacing w:line="360" w:lineRule="auto"/>
              <w:jc w:val="center"/>
              <w:rPr>
                <w:rFonts w:ascii="宋体" w:hAnsi="宋体" w:cs="宋体"/>
                <w:color w:val="auto"/>
                <w:kern w:val="1"/>
                <w:szCs w:val="21"/>
                <w:highlight w:val="none"/>
              </w:rPr>
            </w:pPr>
          </w:p>
        </w:tc>
      </w:tr>
      <w:tr w14:paraId="3DBCDD6C">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7C2159E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主要</w:t>
            </w:r>
          </w:p>
          <w:p w14:paraId="29C5AFA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5502DFA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1358841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645C8EC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37D777C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r>
      <w:tr w14:paraId="226D22B4">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45A56D7F">
            <w:pPr>
              <w:spacing w:line="360" w:lineRule="auto"/>
              <w:jc w:val="left"/>
              <w:rPr>
                <w:rFonts w:ascii="宋体" w:hAnsi="宋体" w:cs="宋体"/>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460335FE">
            <w:pPr>
              <w:spacing w:line="360" w:lineRule="auto"/>
              <w:jc w:val="center"/>
              <w:rPr>
                <w:rFonts w:ascii="宋体" w:hAnsi="宋体" w:cs="宋体"/>
                <w:color w:val="auto"/>
                <w:kern w:val="1"/>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57834969">
            <w:pPr>
              <w:spacing w:line="360" w:lineRule="auto"/>
              <w:jc w:val="center"/>
              <w:rPr>
                <w:rFonts w:ascii="宋体" w:hAnsi="宋体" w:cs="宋体"/>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174B9CF3">
            <w:pPr>
              <w:spacing w:line="360" w:lineRule="auto"/>
              <w:jc w:val="center"/>
              <w:rPr>
                <w:rFonts w:ascii="宋体" w:hAnsi="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441254BA">
            <w:pPr>
              <w:spacing w:line="360" w:lineRule="auto"/>
              <w:jc w:val="center"/>
              <w:rPr>
                <w:rFonts w:ascii="宋体" w:hAnsi="宋体" w:cs="宋体"/>
                <w:color w:val="auto"/>
                <w:kern w:val="1"/>
                <w:szCs w:val="21"/>
                <w:highlight w:val="none"/>
              </w:rPr>
            </w:pPr>
          </w:p>
        </w:tc>
      </w:tr>
    </w:tbl>
    <w:p w14:paraId="7CB2AD6E">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0BFCF27D">
      <w:pPr>
        <w:spacing w:line="360" w:lineRule="auto"/>
        <w:rPr>
          <w:rFonts w:ascii="宋体" w:hAnsi="宋体" w:cs="宋体"/>
          <w:color w:val="auto"/>
          <w:kern w:val="1"/>
          <w:sz w:val="18"/>
          <w:szCs w:val="18"/>
          <w:highlight w:val="none"/>
        </w:rPr>
      </w:pPr>
      <w:r>
        <w:rPr>
          <w:rFonts w:ascii="宋体" w:hAnsi="宋体" w:cs="宋体"/>
          <w:color w:val="auto"/>
          <w:kern w:val="1"/>
          <w:sz w:val="18"/>
          <w:szCs w:val="18"/>
          <w:highlight w:val="none"/>
          <w:lang w:val="zh-CN"/>
        </w:rPr>
        <w:t>1</w:t>
      </w:r>
      <w:r>
        <w:rPr>
          <w:rFonts w:hint="eastAsia" w:ascii="宋体" w:hAnsi="宋体" w:cs="宋体"/>
          <w:color w:val="auto"/>
          <w:kern w:val="1"/>
          <w:sz w:val="18"/>
          <w:szCs w:val="18"/>
          <w:highlight w:val="none"/>
          <w:lang w:val="zh-CN"/>
        </w:rPr>
        <w:t>、项目负责人、技术负责人应附本简历表，其余人员无需本表。</w:t>
      </w:r>
    </w:p>
    <w:p w14:paraId="18FBECCF">
      <w:pPr>
        <w:spacing w:line="360" w:lineRule="auto"/>
        <w:rPr>
          <w:rFonts w:ascii="宋体" w:hAnsi="宋体" w:cs="宋体"/>
          <w:color w:val="auto"/>
          <w:kern w:val="1"/>
          <w:sz w:val="18"/>
          <w:szCs w:val="18"/>
          <w:highlight w:val="none"/>
        </w:rPr>
      </w:pPr>
      <w:r>
        <w:rPr>
          <w:rFonts w:ascii="宋体" w:hAnsi="宋体" w:cs="宋体"/>
          <w:color w:val="auto"/>
          <w:kern w:val="1"/>
          <w:sz w:val="18"/>
          <w:szCs w:val="18"/>
          <w:highlight w:val="none"/>
          <w:lang w:val="zh-CN"/>
        </w:rPr>
        <w:t>2</w:t>
      </w:r>
      <w:r>
        <w:rPr>
          <w:rFonts w:hint="eastAsia" w:ascii="宋体" w:hAnsi="宋体" w:cs="宋体"/>
          <w:color w:val="auto"/>
          <w:kern w:val="1"/>
          <w:sz w:val="18"/>
          <w:szCs w:val="18"/>
          <w:highlight w:val="none"/>
          <w:lang w:val="zh-CN"/>
        </w:rPr>
        <w:t>、投标人应根据招标文件第三章《评标办法》“工程总承包实施方案技术部分评分表”要求在本表后附对应的相关证明材料。</w:t>
      </w:r>
    </w:p>
    <w:p w14:paraId="7F5260F4">
      <w:pPr>
        <w:spacing w:line="360" w:lineRule="auto"/>
        <w:rPr>
          <w:rFonts w:ascii="宋体" w:hAnsi="宋体" w:cs="宋体"/>
          <w:color w:val="auto"/>
          <w:kern w:val="1"/>
          <w:sz w:val="18"/>
          <w:szCs w:val="18"/>
          <w:highlight w:val="none"/>
        </w:rPr>
      </w:pPr>
      <w:r>
        <w:rPr>
          <w:rFonts w:ascii="宋体" w:hAnsi="宋体" w:cs="宋体"/>
          <w:color w:val="auto"/>
          <w:kern w:val="1"/>
          <w:sz w:val="18"/>
          <w:szCs w:val="18"/>
          <w:highlight w:val="none"/>
          <w:lang w:val="zh-CN"/>
        </w:rPr>
        <w:t>3</w:t>
      </w:r>
      <w:r>
        <w:rPr>
          <w:rFonts w:hint="eastAsia" w:ascii="宋体" w:hAnsi="宋体" w:cs="宋体"/>
          <w:color w:val="auto"/>
          <w:kern w:val="1"/>
          <w:sz w:val="18"/>
          <w:szCs w:val="18"/>
          <w:highlight w:val="none"/>
          <w:lang w:val="zh-CN"/>
        </w:rPr>
        <w:t>、所报人员在获得资格证后，技术职称有变化的，应附相应证明文件。</w:t>
      </w:r>
    </w:p>
    <w:p w14:paraId="24D3E014">
      <w:pPr>
        <w:spacing w:line="360" w:lineRule="auto"/>
        <w:ind w:right="-624" w:firstLine="520"/>
        <w:rPr>
          <w:rFonts w:ascii="宋体" w:hAnsi="宋体" w:cs="宋体"/>
          <w:color w:val="auto"/>
          <w:spacing w:val="-10"/>
          <w:kern w:val="1"/>
          <w:szCs w:val="21"/>
          <w:highlight w:val="none"/>
        </w:rPr>
      </w:pPr>
    </w:p>
    <w:p w14:paraId="622D1DE4">
      <w:pPr>
        <w:pStyle w:val="2"/>
        <w:spacing w:line="360" w:lineRule="auto"/>
        <w:rPr>
          <w:color w:val="auto"/>
          <w:highlight w:val="none"/>
        </w:rPr>
      </w:pPr>
    </w:p>
    <w:p w14:paraId="0452F62A">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lang w:val="zh-CN"/>
        </w:rPr>
        <w:t>(</w:t>
      </w:r>
      <w:r>
        <w:rPr>
          <w:rFonts w:hint="eastAsia" w:ascii="宋体" w:hAnsi="宋体" w:cs="宋体"/>
          <w:color w:val="auto"/>
          <w:spacing w:val="18"/>
          <w:kern w:val="1"/>
          <w:szCs w:val="21"/>
          <w:highlight w:val="none"/>
          <w:lang w:val="zh-CN"/>
        </w:rPr>
        <w:t>盖章</w:t>
      </w:r>
      <w:r>
        <w:rPr>
          <w:rFonts w:ascii="宋体" w:hAnsi="宋体" w:cs="宋体"/>
          <w:color w:val="auto"/>
          <w:spacing w:val="18"/>
          <w:kern w:val="1"/>
          <w:szCs w:val="21"/>
          <w:highlight w:val="none"/>
          <w:lang w:val="zh-CN"/>
        </w:rPr>
        <w:t>)</w:t>
      </w:r>
      <w:r>
        <w:rPr>
          <w:rFonts w:hint="eastAsia" w:ascii="宋体" w:hAnsi="宋体" w:cs="宋体"/>
          <w:color w:val="auto"/>
          <w:spacing w:val="18"/>
          <w:kern w:val="1"/>
          <w:szCs w:val="21"/>
          <w:highlight w:val="none"/>
          <w:lang w:val="zh-CN"/>
        </w:rPr>
        <w:t xml:space="preserve"> </w:t>
      </w:r>
    </w:p>
    <w:p w14:paraId="04E51D62">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5CEDDC77">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28F35FB2">
      <w:pPr>
        <w:spacing w:line="360" w:lineRule="auto"/>
        <w:jc w:val="right"/>
        <w:rPr>
          <w:rFonts w:ascii="宋体" w:hAnsi="宋体" w:cs="宋体"/>
          <w:color w:val="auto"/>
          <w:kern w:val="1"/>
          <w:szCs w:val="21"/>
          <w:highlight w:val="none"/>
        </w:rPr>
      </w:pPr>
    </w:p>
    <w:p w14:paraId="1E3FAD09">
      <w:pPr>
        <w:pStyle w:val="68"/>
        <w:ind w:firstLine="0"/>
        <w:rPr>
          <w:rFonts w:ascii="宋体" w:hAnsi="宋体" w:cs="宋体"/>
          <w:b/>
          <w:color w:val="auto"/>
          <w:kern w:val="1"/>
          <w:highlight w:val="none"/>
        </w:rPr>
      </w:pPr>
      <w:r>
        <w:rPr>
          <w:color w:val="auto"/>
          <w:highlight w:val="none"/>
        </w:rPr>
        <w:br w:type="page"/>
      </w:r>
      <w:r>
        <w:rPr>
          <w:rFonts w:hint="eastAsia" w:ascii="宋体" w:hAnsi="宋体" w:cs="宋体"/>
          <w:b/>
          <w:color w:val="auto"/>
          <w:kern w:val="1"/>
          <w:highlight w:val="none"/>
        </w:rPr>
        <w:t>格式</w:t>
      </w:r>
      <w:r>
        <w:rPr>
          <w:rFonts w:ascii="宋体" w:hAnsi="宋体" w:cs="宋体"/>
          <w:b/>
          <w:color w:val="auto"/>
          <w:kern w:val="1"/>
          <w:highlight w:val="none"/>
        </w:rPr>
        <w:t>8</w:t>
      </w:r>
      <w:r>
        <w:rPr>
          <w:rFonts w:hint="eastAsia" w:ascii="宋体" w:hAnsi="宋体" w:cs="宋体"/>
          <w:b/>
          <w:color w:val="auto"/>
          <w:kern w:val="1"/>
          <w:highlight w:val="none"/>
        </w:rPr>
        <w:t>：</w:t>
      </w:r>
    </w:p>
    <w:p w14:paraId="641AD20D">
      <w:pPr>
        <w:pStyle w:val="68"/>
        <w:ind w:firstLine="198"/>
        <w:jc w:val="center"/>
        <w:rPr>
          <w:rFonts w:ascii="宋体" w:hAnsi="宋体" w:cs="宋体"/>
          <w:b/>
          <w:bCs/>
          <w:color w:val="auto"/>
          <w:highlight w:val="none"/>
        </w:rPr>
      </w:pPr>
      <w:r>
        <w:rPr>
          <w:rFonts w:hint="eastAsia" w:ascii="宋体" w:hAnsi="宋体" w:cs="宋体"/>
          <w:b/>
          <w:bCs/>
          <w:color w:val="auto"/>
          <w:sz w:val="32"/>
          <w:szCs w:val="32"/>
          <w:highlight w:val="none"/>
          <w:lang w:val="zh-CN"/>
        </w:rPr>
        <w:t>拟投入本项目施工人员一览表</w:t>
      </w:r>
    </w:p>
    <w:tbl>
      <w:tblPr>
        <w:tblStyle w:val="34"/>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6CB7ED40">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A4EBD65">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297020E8">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3A07A9AA">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7CEB0FB4">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016F08F0">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7D922A7E">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695CF809">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23E96451">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7688EB64">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34CC5698">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53645807">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64C5EA6A">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7728AFB6">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310706ED">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F02D2A6">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54CD2345">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B793FD1">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FAEF7DF">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0F6EE03">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D3DC35D">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63AB6ED">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34FF90">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468035C">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5CC1410">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55A810C">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0A0610A">
            <w:pPr>
              <w:tabs>
                <w:tab w:val="left" w:pos="9297"/>
              </w:tabs>
              <w:spacing w:line="360" w:lineRule="auto"/>
              <w:ind w:left="-90"/>
              <w:jc w:val="center"/>
              <w:rPr>
                <w:rFonts w:ascii="宋体" w:hAnsi="宋体" w:cs="宋体"/>
                <w:color w:val="auto"/>
                <w:kern w:val="1"/>
                <w:sz w:val="28"/>
                <w:szCs w:val="28"/>
                <w:highlight w:val="none"/>
              </w:rPr>
            </w:pPr>
          </w:p>
        </w:tc>
      </w:tr>
      <w:tr w14:paraId="40A38288">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6C8F3B2">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75AD2606">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90EE8C3">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5029E3">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EC3FE62">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1B0877C">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5951D35">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756A412">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77E0ED1">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C2D92C3">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ECDEE8E">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5A462F1">
            <w:pPr>
              <w:tabs>
                <w:tab w:val="left" w:pos="9297"/>
              </w:tabs>
              <w:spacing w:line="360" w:lineRule="auto"/>
              <w:ind w:left="-90"/>
              <w:jc w:val="center"/>
              <w:rPr>
                <w:rFonts w:ascii="宋体" w:hAnsi="宋体" w:cs="宋体"/>
                <w:color w:val="auto"/>
                <w:kern w:val="1"/>
                <w:sz w:val="28"/>
                <w:szCs w:val="28"/>
                <w:highlight w:val="none"/>
              </w:rPr>
            </w:pPr>
          </w:p>
        </w:tc>
      </w:tr>
      <w:tr w14:paraId="17583836">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1E42A2D">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63A96565">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00927B8">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9B50370">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DF3D3A3">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5888B6B">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5C715CE">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89EE0EA">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D60E9DD">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E4691D3">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C5A9ABB">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7E31749">
            <w:pPr>
              <w:tabs>
                <w:tab w:val="left" w:pos="9297"/>
              </w:tabs>
              <w:spacing w:line="360" w:lineRule="auto"/>
              <w:ind w:left="-90"/>
              <w:jc w:val="center"/>
              <w:rPr>
                <w:rFonts w:ascii="宋体" w:hAnsi="宋体" w:cs="宋体"/>
                <w:color w:val="auto"/>
                <w:kern w:val="1"/>
                <w:sz w:val="28"/>
                <w:szCs w:val="28"/>
                <w:highlight w:val="none"/>
              </w:rPr>
            </w:pPr>
          </w:p>
        </w:tc>
      </w:tr>
      <w:tr w14:paraId="45D1E67C">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1F61F6D">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4B069C5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5ABE957">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6DF4105">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950A265">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BB9A401">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EA176FA">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3F43101">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6C62361">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C1E7FF8">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B93C5F6">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9E489E8">
            <w:pPr>
              <w:tabs>
                <w:tab w:val="left" w:pos="9297"/>
              </w:tabs>
              <w:spacing w:line="360" w:lineRule="auto"/>
              <w:ind w:left="-90"/>
              <w:jc w:val="center"/>
              <w:rPr>
                <w:rFonts w:ascii="宋体" w:hAnsi="宋体" w:cs="宋体"/>
                <w:color w:val="auto"/>
                <w:kern w:val="1"/>
                <w:sz w:val="28"/>
                <w:szCs w:val="28"/>
                <w:highlight w:val="none"/>
              </w:rPr>
            </w:pPr>
          </w:p>
        </w:tc>
      </w:tr>
      <w:tr w14:paraId="1D084A52">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5374879">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02261643">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88B6351">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0C5C8EA">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6F042EC">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D37417B">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5CF6DF9">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1606F4A">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753327CE">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B3A2946">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BAB1A17">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FA0257">
            <w:pPr>
              <w:tabs>
                <w:tab w:val="left" w:pos="9297"/>
              </w:tabs>
              <w:spacing w:line="360" w:lineRule="auto"/>
              <w:ind w:left="-90"/>
              <w:jc w:val="center"/>
              <w:rPr>
                <w:rFonts w:ascii="宋体" w:hAnsi="宋体" w:cs="宋体"/>
                <w:color w:val="auto"/>
                <w:kern w:val="1"/>
                <w:sz w:val="28"/>
                <w:szCs w:val="28"/>
                <w:highlight w:val="none"/>
              </w:rPr>
            </w:pPr>
          </w:p>
        </w:tc>
      </w:tr>
      <w:tr w14:paraId="1A5C1EE7">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44A7F29">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753F7475">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BF07A7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0FF2622">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6B72107">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D7D49FB">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34FF479">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9ADD916">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18BB9F9">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2C41F2D">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7FBDEB8">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1B705F6">
            <w:pPr>
              <w:tabs>
                <w:tab w:val="left" w:pos="9297"/>
              </w:tabs>
              <w:spacing w:line="360" w:lineRule="auto"/>
              <w:ind w:left="-90"/>
              <w:jc w:val="center"/>
              <w:rPr>
                <w:rFonts w:ascii="宋体" w:hAnsi="宋体" w:cs="宋体"/>
                <w:color w:val="auto"/>
                <w:kern w:val="1"/>
                <w:sz w:val="28"/>
                <w:szCs w:val="28"/>
                <w:highlight w:val="none"/>
              </w:rPr>
            </w:pPr>
          </w:p>
        </w:tc>
      </w:tr>
      <w:tr w14:paraId="3AAB7BF3">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D3F191A">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69F4459C">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9E221EA">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6FA3C90">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3E2E361">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DA8C399">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B47A2AD">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3E8A51C">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2B0A4BA">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F7493ED">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FE99B45">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611FF5C">
            <w:pPr>
              <w:tabs>
                <w:tab w:val="left" w:pos="9297"/>
              </w:tabs>
              <w:spacing w:line="360" w:lineRule="auto"/>
              <w:ind w:left="-90"/>
              <w:jc w:val="center"/>
              <w:rPr>
                <w:rFonts w:ascii="宋体" w:hAnsi="宋体" w:cs="宋体"/>
                <w:color w:val="auto"/>
                <w:kern w:val="1"/>
                <w:sz w:val="28"/>
                <w:szCs w:val="28"/>
                <w:highlight w:val="none"/>
              </w:rPr>
            </w:pPr>
          </w:p>
        </w:tc>
      </w:tr>
      <w:tr w14:paraId="5074B632">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3FCD897">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2DF6D95C">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A0367D0">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5141E7">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38F48F5">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80AB250">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68118D6">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095396C">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A18B5C0">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2AFFA83">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CCEE9B3">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5F943D">
            <w:pPr>
              <w:tabs>
                <w:tab w:val="left" w:pos="9297"/>
              </w:tabs>
              <w:spacing w:line="360" w:lineRule="auto"/>
              <w:ind w:left="-90"/>
              <w:jc w:val="center"/>
              <w:rPr>
                <w:rFonts w:ascii="宋体" w:hAnsi="宋体" w:cs="宋体"/>
                <w:color w:val="auto"/>
                <w:kern w:val="1"/>
                <w:sz w:val="28"/>
                <w:szCs w:val="28"/>
                <w:highlight w:val="none"/>
              </w:rPr>
            </w:pPr>
          </w:p>
        </w:tc>
      </w:tr>
      <w:tr w14:paraId="44EE0BF2">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1F94AED">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6C9C4A06">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7DDC36">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F12F66F">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F0661A6">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0225539">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25646BD">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84FAFE">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942BA96">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34E8013">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79FC99B">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7AB0496">
            <w:pPr>
              <w:tabs>
                <w:tab w:val="left" w:pos="9297"/>
              </w:tabs>
              <w:spacing w:line="360" w:lineRule="auto"/>
              <w:ind w:left="-90"/>
              <w:jc w:val="center"/>
              <w:rPr>
                <w:rFonts w:ascii="宋体" w:hAnsi="宋体" w:cs="宋体"/>
                <w:color w:val="auto"/>
                <w:kern w:val="1"/>
                <w:sz w:val="28"/>
                <w:szCs w:val="28"/>
                <w:highlight w:val="none"/>
              </w:rPr>
            </w:pPr>
          </w:p>
        </w:tc>
      </w:tr>
      <w:tr w14:paraId="3EBF458D">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E0550D2">
            <w:pPr>
              <w:tabs>
                <w:tab w:val="left" w:pos="9297"/>
              </w:tabs>
              <w:spacing w:line="360" w:lineRule="auto"/>
              <w:ind w:left="-90"/>
              <w:jc w:val="center"/>
              <w:rPr>
                <w:rFonts w:ascii="宋体" w:hAnsi="宋体" w:cs="宋体"/>
                <w:color w:val="auto"/>
                <w:kern w:val="1"/>
                <w:szCs w:val="21"/>
                <w:highlight w:val="none"/>
              </w:rPr>
            </w:pPr>
            <w:r>
              <w:rPr>
                <w:rFonts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22AA2266">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9C72DE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E43BD7F">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1165223">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E180ABA">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AC1DC73">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F7C5F3">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799119C">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0FDF6D8">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83C5CC3">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D34EBE3">
            <w:pPr>
              <w:tabs>
                <w:tab w:val="left" w:pos="9297"/>
              </w:tabs>
              <w:spacing w:line="360" w:lineRule="auto"/>
              <w:ind w:left="-90"/>
              <w:jc w:val="center"/>
              <w:rPr>
                <w:rFonts w:ascii="宋体" w:hAnsi="宋体" w:cs="宋体"/>
                <w:color w:val="auto"/>
                <w:kern w:val="1"/>
                <w:sz w:val="28"/>
                <w:szCs w:val="28"/>
                <w:highlight w:val="none"/>
              </w:rPr>
            </w:pPr>
          </w:p>
        </w:tc>
      </w:tr>
      <w:tr w14:paraId="00FC2FF3">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4062109">
            <w:pPr>
              <w:tabs>
                <w:tab w:val="left" w:pos="9297"/>
              </w:tabs>
              <w:spacing w:line="360" w:lineRule="auto"/>
              <w:ind w:left="-90"/>
              <w:jc w:val="center"/>
              <w:rPr>
                <w:rFonts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21D1F711">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6FB7099">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83A8964">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2FE3CCB">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FE1FC28">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DF1316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D5A0508">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482BBF6">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F3E49E0">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EA54FA3">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A3911AD">
            <w:pPr>
              <w:tabs>
                <w:tab w:val="left" w:pos="9297"/>
              </w:tabs>
              <w:spacing w:line="360" w:lineRule="auto"/>
              <w:ind w:left="-90"/>
              <w:jc w:val="center"/>
              <w:rPr>
                <w:rFonts w:ascii="宋体" w:hAnsi="宋体" w:cs="宋体"/>
                <w:color w:val="auto"/>
                <w:kern w:val="1"/>
                <w:sz w:val="28"/>
                <w:szCs w:val="28"/>
                <w:highlight w:val="none"/>
              </w:rPr>
            </w:pPr>
          </w:p>
        </w:tc>
      </w:tr>
    </w:tbl>
    <w:p w14:paraId="6482E8AD">
      <w:pPr>
        <w:spacing w:line="360" w:lineRule="auto"/>
        <w:rPr>
          <w:rFonts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注：表中人员为项目施工团队所有人员。</w:t>
      </w:r>
    </w:p>
    <w:p w14:paraId="695B5FEE">
      <w:pPr>
        <w:spacing w:line="360" w:lineRule="auto"/>
        <w:ind w:firstLine="3600"/>
        <w:rPr>
          <w:rFonts w:ascii="宋体" w:hAnsi="宋体" w:cs="宋体"/>
          <w:color w:val="auto"/>
          <w:kern w:val="1"/>
          <w:sz w:val="28"/>
          <w:szCs w:val="28"/>
          <w:highlight w:val="none"/>
        </w:rPr>
      </w:pPr>
    </w:p>
    <w:p w14:paraId="6C748443">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lang w:val="zh-CN"/>
        </w:rPr>
        <w:t>(</w:t>
      </w:r>
      <w:r>
        <w:rPr>
          <w:rFonts w:hint="eastAsia" w:ascii="宋体" w:hAnsi="宋体" w:cs="宋体"/>
          <w:color w:val="auto"/>
          <w:spacing w:val="18"/>
          <w:kern w:val="1"/>
          <w:szCs w:val="21"/>
          <w:highlight w:val="none"/>
          <w:lang w:val="zh-CN"/>
        </w:rPr>
        <w:t>盖章</w:t>
      </w:r>
      <w:r>
        <w:rPr>
          <w:rFonts w:ascii="宋体" w:hAnsi="宋体" w:cs="宋体"/>
          <w:color w:val="auto"/>
          <w:spacing w:val="18"/>
          <w:kern w:val="1"/>
          <w:szCs w:val="21"/>
          <w:highlight w:val="none"/>
          <w:lang w:val="zh-CN"/>
        </w:rPr>
        <w:t>)</w:t>
      </w:r>
      <w:r>
        <w:rPr>
          <w:rFonts w:hint="eastAsia" w:ascii="宋体" w:hAnsi="宋体" w:cs="宋体"/>
          <w:color w:val="auto"/>
          <w:spacing w:val="18"/>
          <w:kern w:val="1"/>
          <w:szCs w:val="21"/>
          <w:highlight w:val="none"/>
          <w:lang w:val="zh-CN"/>
        </w:rPr>
        <w:t xml:space="preserve"> </w:t>
      </w:r>
    </w:p>
    <w:p w14:paraId="41DFE989">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15BF7E69">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6C859074">
      <w:pPr>
        <w:tabs>
          <w:tab w:val="left" w:pos="7655"/>
        </w:tabs>
        <w:spacing w:line="360" w:lineRule="auto"/>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9</w:t>
      </w:r>
      <w:r>
        <w:rPr>
          <w:rFonts w:hint="eastAsia" w:ascii="宋体" w:hAnsi="宋体" w:cs="宋体"/>
          <w:b/>
          <w:color w:val="auto"/>
          <w:kern w:val="1"/>
          <w:sz w:val="24"/>
          <w:highlight w:val="none"/>
        </w:rPr>
        <w:t>：</w:t>
      </w:r>
    </w:p>
    <w:p w14:paraId="69016832">
      <w:pPr>
        <w:pStyle w:val="83"/>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设计工程业绩表（如有）</w:t>
      </w:r>
    </w:p>
    <w:tbl>
      <w:tblPr>
        <w:tblStyle w:val="34"/>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4FCA87AE">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FB38357">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2E158054">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4A4EA47E">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0B62401C">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75347ECA">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1B74867F">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6A2BF2AC">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573DAD11">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建设</w:t>
            </w:r>
          </w:p>
          <w:p w14:paraId="64392370">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3268C699">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建筑面积</w:t>
            </w:r>
          </w:p>
          <w:p w14:paraId="503232B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1AE29950">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2EEB22AD">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59B34179">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55056FE5">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24F41478">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F3CDD6A">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696ED8E">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1A055C1">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2635D8A">
            <w:pPr>
              <w:spacing w:line="360" w:lineRule="auto"/>
              <w:jc w:val="center"/>
              <w:rPr>
                <w:rFonts w:ascii="宋体" w:hAnsi="宋体" w:cs="宋体"/>
                <w:color w:val="auto"/>
                <w:kern w:val="1"/>
                <w:sz w:val="24"/>
                <w:szCs w:val="24"/>
                <w:highlight w:val="none"/>
              </w:rPr>
            </w:pPr>
          </w:p>
        </w:tc>
      </w:tr>
      <w:tr w14:paraId="30BEA836">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528558AC">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015FB430">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7838C85F">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5005857">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64824C">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1D48F7C">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1EDF0A9">
            <w:pPr>
              <w:spacing w:line="360" w:lineRule="auto"/>
              <w:jc w:val="center"/>
              <w:rPr>
                <w:rFonts w:ascii="宋体" w:hAnsi="宋体" w:cs="宋体"/>
                <w:color w:val="auto"/>
                <w:kern w:val="1"/>
                <w:sz w:val="24"/>
                <w:szCs w:val="24"/>
                <w:highlight w:val="none"/>
              </w:rPr>
            </w:pPr>
          </w:p>
        </w:tc>
      </w:tr>
      <w:tr w14:paraId="572538D6">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30606DBE">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49571F8">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68012417">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C47FCB">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19D93D0">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5343C1C">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E7D41B2">
            <w:pPr>
              <w:spacing w:line="360" w:lineRule="auto"/>
              <w:jc w:val="center"/>
              <w:rPr>
                <w:rFonts w:ascii="宋体" w:hAnsi="宋体" w:cs="宋体"/>
                <w:color w:val="auto"/>
                <w:kern w:val="1"/>
                <w:sz w:val="24"/>
                <w:szCs w:val="24"/>
                <w:highlight w:val="none"/>
              </w:rPr>
            </w:pPr>
          </w:p>
        </w:tc>
      </w:tr>
      <w:tr w14:paraId="613C307F">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8EF2BB0">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3BC5CE09">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7FB82698">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B841E50">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AC43F8A">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859C71D">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CE4D5C7">
            <w:pPr>
              <w:spacing w:line="360" w:lineRule="auto"/>
              <w:jc w:val="center"/>
              <w:rPr>
                <w:rFonts w:ascii="宋体" w:hAnsi="宋体" w:cs="宋体"/>
                <w:color w:val="auto"/>
                <w:kern w:val="1"/>
                <w:sz w:val="24"/>
                <w:szCs w:val="24"/>
                <w:highlight w:val="none"/>
              </w:rPr>
            </w:pPr>
          </w:p>
        </w:tc>
      </w:tr>
    </w:tbl>
    <w:p w14:paraId="2385438A">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26C0B7F8">
      <w:pPr>
        <w:tabs>
          <w:tab w:val="left" w:pos="7655"/>
        </w:tabs>
        <w:spacing w:line="360" w:lineRule="auto"/>
        <w:ind w:right="492"/>
        <w:jc w:val="right"/>
        <w:rPr>
          <w:rFonts w:ascii="宋体" w:hAnsi="宋体" w:cs="宋体"/>
          <w:color w:val="auto"/>
          <w:spacing w:val="18"/>
          <w:kern w:val="1"/>
          <w:szCs w:val="21"/>
          <w:highlight w:val="none"/>
          <w:lang w:val="zh-CN"/>
        </w:rPr>
      </w:pPr>
    </w:p>
    <w:p w14:paraId="5140218F">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lang w:val="zh-CN"/>
        </w:rPr>
        <w:t>(</w:t>
      </w:r>
      <w:r>
        <w:rPr>
          <w:rFonts w:hint="eastAsia" w:ascii="宋体" w:hAnsi="宋体" w:cs="宋体"/>
          <w:color w:val="auto"/>
          <w:spacing w:val="18"/>
          <w:kern w:val="1"/>
          <w:szCs w:val="21"/>
          <w:highlight w:val="none"/>
          <w:lang w:val="zh-CN"/>
        </w:rPr>
        <w:t>盖章</w:t>
      </w:r>
      <w:r>
        <w:rPr>
          <w:rFonts w:ascii="宋体" w:hAnsi="宋体" w:cs="宋体"/>
          <w:color w:val="auto"/>
          <w:spacing w:val="18"/>
          <w:kern w:val="1"/>
          <w:szCs w:val="21"/>
          <w:highlight w:val="none"/>
          <w:lang w:val="zh-CN"/>
        </w:rPr>
        <w:t>)</w:t>
      </w:r>
      <w:r>
        <w:rPr>
          <w:rFonts w:hint="eastAsia" w:ascii="宋体" w:hAnsi="宋体" w:cs="宋体"/>
          <w:color w:val="auto"/>
          <w:spacing w:val="18"/>
          <w:kern w:val="1"/>
          <w:szCs w:val="21"/>
          <w:highlight w:val="none"/>
          <w:lang w:val="zh-CN"/>
        </w:rPr>
        <w:t xml:space="preserve"> </w:t>
      </w:r>
    </w:p>
    <w:p w14:paraId="6C99C536">
      <w:pPr>
        <w:tabs>
          <w:tab w:val="left" w:pos="7655"/>
        </w:tabs>
        <w:spacing w:line="360" w:lineRule="auto"/>
        <w:jc w:val="right"/>
        <w:rPr>
          <w:rFonts w:ascii="宋体" w:hAnsi="宋体" w:cs="宋体"/>
          <w:color w:val="auto"/>
          <w:spacing w:val="18"/>
          <w:kern w:val="1"/>
          <w:sz w:val="28"/>
          <w:szCs w:val="28"/>
          <w:highlight w:val="none"/>
          <w:lang w:val="zh-CN"/>
        </w:rPr>
      </w:pP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法定代表人或被授权人：</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54F10CBD">
      <w:pPr>
        <w:spacing w:line="360" w:lineRule="auto"/>
        <w:jc w:val="center"/>
        <w:rPr>
          <w:rFonts w:ascii="宋体" w:hAnsi="宋体" w:cs="宋体"/>
          <w:color w:val="auto"/>
          <w:spacing w:val="18"/>
          <w:kern w:val="1"/>
          <w:szCs w:val="21"/>
          <w:highlight w:val="none"/>
          <w:lang w:val="zh-CN"/>
        </w:rPr>
      </w:pP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日期：</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74015BDB">
      <w:pPr>
        <w:spacing w:line="360" w:lineRule="auto"/>
        <w:jc w:val="center"/>
        <w:rPr>
          <w:rFonts w:ascii="宋体" w:hAnsi="宋体" w:cs="宋体"/>
          <w:b/>
          <w:bCs/>
          <w:color w:val="auto"/>
          <w:kern w:val="1"/>
          <w:sz w:val="28"/>
          <w:szCs w:val="28"/>
          <w:highlight w:val="none"/>
          <w:lang w:val="zh-CN"/>
        </w:rPr>
      </w:pPr>
      <w:bookmarkStart w:id="377" w:name="_Hlk56526643"/>
    </w:p>
    <w:p w14:paraId="2E0A1263">
      <w:pPr>
        <w:widowControl/>
        <w:jc w:val="left"/>
        <w:rPr>
          <w:rFonts w:ascii="宋体" w:hAnsi="宋体" w:cs="宋体"/>
          <w:b/>
          <w:bCs/>
          <w:color w:val="auto"/>
          <w:kern w:val="1"/>
          <w:sz w:val="28"/>
          <w:szCs w:val="28"/>
          <w:highlight w:val="none"/>
          <w:lang w:val="zh-CN"/>
        </w:rPr>
      </w:pPr>
      <w:r>
        <w:rPr>
          <w:rFonts w:ascii="宋体" w:hAnsi="宋体" w:cs="宋体"/>
          <w:b/>
          <w:bCs/>
          <w:color w:val="auto"/>
          <w:kern w:val="1"/>
          <w:sz w:val="28"/>
          <w:szCs w:val="28"/>
          <w:highlight w:val="none"/>
          <w:lang w:val="zh-CN"/>
        </w:rPr>
        <w:br w:type="page"/>
      </w:r>
    </w:p>
    <w:bookmarkEnd w:id="377"/>
    <w:p w14:paraId="7628E58C">
      <w:pPr>
        <w:spacing w:line="360" w:lineRule="auto"/>
        <w:jc w:val="center"/>
        <w:rPr>
          <w:rFonts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投标人设计工程业绩获奖情况表（如有）</w:t>
      </w:r>
    </w:p>
    <w:tbl>
      <w:tblPr>
        <w:tblStyle w:val="34"/>
        <w:tblW w:w="5000" w:type="pct"/>
        <w:tblInd w:w="0" w:type="dxa"/>
        <w:tblLayout w:type="autofit"/>
        <w:tblCellMar>
          <w:top w:w="0" w:type="dxa"/>
          <w:left w:w="108" w:type="dxa"/>
          <w:bottom w:w="0" w:type="dxa"/>
          <w:right w:w="108" w:type="dxa"/>
        </w:tblCellMar>
      </w:tblPr>
      <w:tblGrid>
        <w:gridCol w:w="1191"/>
        <w:gridCol w:w="1192"/>
        <w:gridCol w:w="1192"/>
        <w:gridCol w:w="1980"/>
        <w:gridCol w:w="1980"/>
        <w:gridCol w:w="1980"/>
      </w:tblGrid>
      <w:tr w14:paraId="1A7FF0E1">
        <w:tblPrEx>
          <w:tblCellMar>
            <w:top w:w="0" w:type="dxa"/>
            <w:left w:w="108" w:type="dxa"/>
            <w:bottom w:w="0" w:type="dxa"/>
            <w:right w:w="108" w:type="dxa"/>
          </w:tblCellMar>
        </w:tblPrEx>
        <w:trPr>
          <w:trHeight w:val="13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18F3271F">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00114C18">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3CBB6BF5">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类别</w:t>
            </w:r>
          </w:p>
        </w:tc>
        <w:tc>
          <w:tcPr>
            <w:tcW w:w="626" w:type="pct"/>
            <w:tcBorders>
              <w:top w:val="single" w:color="000000" w:sz="4" w:space="0"/>
              <w:left w:val="single" w:color="000000" w:sz="4" w:space="0"/>
              <w:bottom w:val="single" w:color="000000" w:sz="4" w:space="0"/>
              <w:right w:val="single" w:color="000000" w:sz="4" w:space="0"/>
            </w:tcBorders>
            <w:vAlign w:val="center"/>
          </w:tcPr>
          <w:p w14:paraId="733D48EA">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10F737B3">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名称</w:t>
            </w:r>
          </w:p>
        </w:tc>
        <w:tc>
          <w:tcPr>
            <w:tcW w:w="1040" w:type="pct"/>
            <w:tcBorders>
              <w:top w:val="single" w:color="000000" w:sz="4" w:space="0"/>
              <w:left w:val="single" w:color="000000" w:sz="4" w:space="0"/>
              <w:bottom w:val="single" w:color="000000" w:sz="4" w:space="0"/>
              <w:right w:val="single" w:color="000000" w:sz="4" w:space="0"/>
            </w:tcBorders>
            <w:vAlign w:val="center"/>
          </w:tcPr>
          <w:p w14:paraId="20209A3E">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040" w:type="pct"/>
            <w:tcBorders>
              <w:top w:val="single" w:color="000000" w:sz="4" w:space="0"/>
              <w:left w:val="single" w:color="000000" w:sz="4" w:space="0"/>
              <w:bottom w:val="single" w:color="000000" w:sz="4" w:space="0"/>
              <w:right w:val="single" w:color="000000" w:sz="4" w:space="0"/>
            </w:tcBorders>
            <w:vAlign w:val="center"/>
          </w:tcPr>
          <w:p w14:paraId="76AC5166">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040" w:type="pct"/>
            <w:tcBorders>
              <w:top w:val="single" w:color="000000" w:sz="4" w:space="0"/>
              <w:left w:val="single" w:color="000000" w:sz="4" w:space="0"/>
              <w:bottom w:val="single" w:color="000000" w:sz="4" w:space="0"/>
              <w:right w:val="single" w:color="000000" w:sz="4" w:space="0"/>
            </w:tcBorders>
            <w:vAlign w:val="center"/>
          </w:tcPr>
          <w:p w14:paraId="4F43F9B3">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458AFCC6">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39F704D6">
            <w:pP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9C3CEA5">
            <w:pP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2FFF9DF">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3C802620">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11554EF6">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7639392F">
            <w:pPr>
              <w:spacing w:line="480" w:lineRule="auto"/>
              <w:jc w:val="center"/>
              <w:rPr>
                <w:rFonts w:ascii="宋体" w:hAnsi="宋体" w:cs="宋体"/>
                <w:color w:val="auto"/>
                <w:kern w:val="1"/>
                <w:szCs w:val="21"/>
                <w:highlight w:val="none"/>
              </w:rPr>
            </w:pPr>
          </w:p>
        </w:tc>
      </w:tr>
      <w:tr w14:paraId="1B9345C9">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254D51CB">
            <w:pP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ABD5019">
            <w:pP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E6E26CD">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24DB9EF1">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734653EE">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50581484">
            <w:pPr>
              <w:spacing w:line="480" w:lineRule="auto"/>
              <w:jc w:val="center"/>
              <w:rPr>
                <w:rFonts w:ascii="宋体" w:hAnsi="宋体" w:cs="宋体"/>
                <w:color w:val="auto"/>
                <w:kern w:val="1"/>
                <w:szCs w:val="21"/>
                <w:highlight w:val="none"/>
              </w:rPr>
            </w:pPr>
          </w:p>
        </w:tc>
      </w:tr>
      <w:tr w14:paraId="5EAFE08A">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1B3A7968">
            <w:pP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F883B80">
            <w:pP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0654A0C">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1413624F">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6AAFCD9F">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3EF81F15">
            <w:pPr>
              <w:spacing w:line="480" w:lineRule="auto"/>
              <w:jc w:val="center"/>
              <w:rPr>
                <w:rFonts w:ascii="宋体" w:hAnsi="宋体" w:cs="宋体"/>
                <w:color w:val="auto"/>
                <w:kern w:val="1"/>
                <w:szCs w:val="21"/>
                <w:highlight w:val="none"/>
              </w:rPr>
            </w:pPr>
          </w:p>
        </w:tc>
      </w:tr>
      <w:tr w14:paraId="6AE938C6">
        <w:tblPrEx>
          <w:tblCellMar>
            <w:top w:w="0" w:type="dxa"/>
            <w:left w:w="108" w:type="dxa"/>
            <w:bottom w:w="0" w:type="dxa"/>
            <w:right w:w="108" w:type="dxa"/>
          </w:tblCellMar>
        </w:tblPrEx>
        <w:trPr>
          <w:trHeight w:val="613"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4D5B8C23">
            <w:pP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FA7C10B">
            <w:pP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725111A9">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574EA5F7">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429AEE50">
            <w:pP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2ACD6891">
            <w:pPr>
              <w:spacing w:line="480" w:lineRule="auto"/>
              <w:jc w:val="center"/>
              <w:rPr>
                <w:rFonts w:ascii="宋体" w:hAnsi="宋体" w:cs="宋体"/>
                <w:color w:val="auto"/>
                <w:kern w:val="1"/>
                <w:szCs w:val="21"/>
                <w:highlight w:val="none"/>
              </w:rPr>
            </w:pPr>
          </w:p>
        </w:tc>
      </w:tr>
    </w:tbl>
    <w:p w14:paraId="69D9EADE">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14834AA7">
      <w:pPr>
        <w:pStyle w:val="2"/>
        <w:rPr>
          <w:color w:val="auto"/>
          <w:highlight w:val="none"/>
        </w:rPr>
      </w:pPr>
    </w:p>
    <w:p w14:paraId="7D2D2AEE">
      <w:pPr>
        <w:pStyle w:val="2"/>
        <w:rPr>
          <w:color w:val="auto"/>
          <w:highlight w:val="none"/>
        </w:rPr>
      </w:pPr>
    </w:p>
    <w:p w14:paraId="77C8B816">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lang w:val="zh-CN"/>
        </w:rPr>
        <w:t>(</w:t>
      </w:r>
      <w:r>
        <w:rPr>
          <w:rFonts w:hint="eastAsia" w:ascii="宋体" w:hAnsi="宋体" w:cs="宋体"/>
          <w:color w:val="auto"/>
          <w:spacing w:val="18"/>
          <w:kern w:val="1"/>
          <w:szCs w:val="21"/>
          <w:highlight w:val="none"/>
          <w:lang w:val="zh-CN"/>
        </w:rPr>
        <w:t>盖章</w:t>
      </w:r>
      <w:r>
        <w:rPr>
          <w:rFonts w:ascii="宋体" w:hAnsi="宋体" w:cs="宋体"/>
          <w:color w:val="auto"/>
          <w:spacing w:val="18"/>
          <w:kern w:val="1"/>
          <w:szCs w:val="21"/>
          <w:highlight w:val="none"/>
          <w:lang w:val="zh-CN"/>
        </w:rPr>
        <w:t>)</w:t>
      </w:r>
      <w:r>
        <w:rPr>
          <w:rFonts w:hint="eastAsia" w:ascii="宋体" w:hAnsi="宋体" w:cs="宋体"/>
          <w:color w:val="auto"/>
          <w:spacing w:val="18"/>
          <w:kern w:val="1"/>
          <w:szCs w:val="21"/>
          <w:highlight w:val="none"/>
          <w:lang w:val="zh-CN"/>
        </w:rPr>
        <w:t xml:space="preserve"> </w:t>
      </w:r>
    </w:p>
    <w:p w14:paraId="0D5487E0">
      <w:pPr>
        <w:tabs>
          <w:tab w:val="left" w:pos="7655"/>
        </w:tabs>
        <w:spacing w:line="360" w:lineRule="auto"/>
        <w:jc w:val="right"/>
        <w:rPr>
          <w:rFonts w:ascii="宋体" w:hAnsi="宋体" w:cs="宋体"/>
          <w:color w:val="auto"/>
          <w:spacing w:val="18"/>
          <w:kern w:val="1"/>
          <w:szCs w:val="21"/>
          <w:highlight w:val="none"/>
        </w:rPr>
      </w:pP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法定代表人或被授权人：</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6C961EA8">
      <w:pPr>
        <w:tabs>
          <w:tab w:val="left" w:pos="7655"/>
        </w:tabs>
        <w:spacing w:line="360" w:lineRule="auto"/>
        <w:ind w:right="492"/>
        <w:jc w:val="right"/>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日期：</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年</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月</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w:t>
      </w:r>
    </w:p>
    <w:p w14:paraId="306107BE">
      <w:pPr>
        <w:spacing w:line="360" w:lineRule="auto"/>
        <w:jc w:val="center"/>
        <w:rPr>
          <w:rFonts w:ascii="宋体" w:hAnsi="宋体" w:cs="宋体"/>
          <w:color w:val="auto"/>
          <w:spacing w:val="18"/>
          <w:kern w:val="1"/>
          <w:szCs w:val="21"/>
          <w:highlight w:val="none"/>
          <w:lang w:val="zh-CN"/>
        </w:rPr>
      </w:pPr>
      <w:r>
        <w:rPr>
          <w:color w:val="auto"/>
          <w:highlight w:val="none"/>
        </w:rPr>
        <w:br w:type="page"/>
      </w:r>
    </w:p>
    <w:p w14:paraId="6039EFDA">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10</w:t>
      </w:r>
      <w:r>
        <w:rPr>
          <w:rFonts w:hint="eastAsia" w:cs="宋体"/>
          <w:b/>
          <w:color w:val="auto"/>
          <w:kern w:val="1"/>
          <w:sz w:val="24"/>
          <w:highlight w:val="none"/>
        </w:rPr>
        <w:t>：</w:t>
      </w:r>
    </w:p>
    <w:p w14:paraId="775438A1">
      <w:pPr>
        <w:spacing w:line="360" w:lineRule="auto"/>
        <w:jc w:val="center"/>
        <w:rPr>
          <w:rFonts w:ascii="宋体" w:hAnsi="宋体" w:cs="宋体"/>
          <w:b/>
          <w:color w:val="auto"/>
          <w:spacing w:val="4"/>
          <w:sz w:val="32"/>
          <w:szCs w:val="32"/>
          <w:highlight w:val="none"/>
        </w:rPr>
      </w:pPr>
      <w:r>
        <w:rPr>
          <w:rFonts w:hint="eastAsia" w:ascii="宋体" w:hAnsi="宋体" w:cs="宋体"/>
          <w:b/>
          <w:color w:val="auto"/>
          <w:spacing w:val="4"/>
          <w:sz w:val="32"/>
          <w:szCs w:val="32"/>
          <w:highlight w:val="none"/>
        </w:rPr>
        <w:t>施工工程业绩表</w:t>
      </w:r>
    </w:p>
    <w:tbl>
      <w:tblPr>
        <w:tblStyle w:val="34"/>
        <w:tblW w:w="0" w:type="auto"/>
        <w:tblInd w:w="0" w:type="dxa"/>
        <w:tblLayout w:type="fixed"/>
        <w:tblCellMar>
          <w:top w:w="0" w:type="dxa"/>
          <w:left w:w="108" w:type="dxa"/>
          <w:bottom w:w="0" w:type="dxa"/>
          <w:right w:w="108" w:type="dxa"/>
        </w:tblCellMar>
      </w:tblPr>
      <w:tblGrid>
        <w:gridCol w:w="1683"/>
        <w:gridCol w:w="45"/>
        <w:gridCol w:w="1425"/>
        <w:gridCol w:w="2205"/>
        <w:gridCol w:w="2100"/>
        <w:gridCol w:w="1995"/>
      </w:tblGrid>
      <w:tr w14:paraId="7E2BDF1E">
        <w:tblPrEx>
          <w:tblCellMar>
            <w:top w:w="0" w:type="dxa"/>
            <w:left w:w="108" w:type="dxa"/>
            <w:bottom w:w="0" w:type="dxa"/>
            <w:right w:w="108" w:type="dxa"/>
          </w:tblCellMar>
        </w:tblPrEx>
        <w:trPr>
          <w:cantSplit/>
          <w:trHeight w:val="540" w:hRule="atLeast"/>
        </w:trPr>
        <w:tc>
          <w:tcPr>
            <w:tcW w:w="3153" w:type="dxa"/>
            <w:gridSpan w:val="3"/>
            <w:tcBorders>
              <w:top w:val="single" w:color="000000" w:sz="4" w:space="0"/>
              <w:left w:val="single" w:color="000000" w:sz="4" w:space="0"/>
              <w:bottom w:val="single" w:color="000000" w:sz="4" w:space="0"/>
              <w:right w:val="single" w:color="000000" w:sz="4" w:space="0"/>
            </w:tcBorders>
            <w:vAlign w:val="center"/>
          </w:tcPr>
          <w:p w14:paraId="3D69083B">
            <w:pPr>
              <w:pStyle w:val="80"/>
              <w:spacing w:line="360" w:lineRule="auto"/>
              <w:jc w:val="center"/>
              <w:rPr>
                <w:color w:val="auto"/>
                <w:sz w:val="24"/>
                <w:szCs w:val="24"/>
                <w:highlight w:val="none"/>
              </w:rPr>
            </w:pPr>
            <w:r>
              <w:rPr>
                <w:rFonts w:hint="eastAsia"/>
                <w:color w:val="auto"/>
                <w:sz w:val="24"/>
                <w:szCs w:val="24"/>
                <w:highlight w:val="none"/>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6D22179D">
            <w:pPr>
              <w:pStyle w:val="80"/>
              <w:spacing w:line="360" w:lineRule="auto"/>
              <w:jc w:val="center"/>
              <w:rPr>
                <w:color w:val="auto"/>
                <w:sz w:val="24"/>
                <w:szCs w:val="24"/>
                <w:highlight w:val="none"/>
              </w:rPr>
            </w:pPr>
            <w:r>
              <w:rPr>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2C9148E8">
            <w:pPr>
              <w:pStyle w:val="80"/>
              <w:spacing w:line="360" w:lineRule="auto"/>
              <w:jc w:val="center"/>
              <w:rPr>
                <w:color w:val="auto"/>
                <w:sz w:val="24"/>
                <w:szCs w:val="24"/>
                <w:highlight w:val="none"/>
              </w:rPr>
            </w:pPr>
            <w:r>
              <w:rPr>
                <w:color w:val="auto"/>
                <w:sz w:val="24"/>
                <w:szCs w:val="24"/>
                <w:highlight w:val="none"/>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08585817">
            <w:pPr>
              <w:pStyle w:val="80"/>
              <w:spacing w:line="360" w:lineRule="auto"/>
              <w:jc w:val="center"/>
              <w:rPr>
                <w:color w:val="auto"/>
                <w:sz w:val="24"/>
                <w:szCs w:val="24"/>
                <w:highlight w:val="none"/>
              </w:rPr>
            </w:pPr>
            <w:r>
              <w:rPr>
                <w:rFonts w:hint="eastAsia"/>
                <w:color w:val="auto"/>
                <w:sz w:val="24"/>
                <w:szCs w:val="24"/>
                <w:highlight w:val="none"/>
              </w:rPr>
              <w:t>……</w:t>
            </w:r>
          </w:p>
        </w:tc>
      </w:tr>
      <w:tr w14:paraId="758DE832">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96A8553">
            <w:pPr>
              <w:pStyle w:val="80"/>
              <w:spacing w:line="360" w:lineRule="auto"/>
              <w:rPr>
                <w:color w:val="auto"/>
                <w:sz w:val="24"/>
                <w:szCs w:val="24"/>
                <w:highlight w:val="none"/>
              </w:rPr>
            </w:pPr>
            <w:r>
              <w:rPr>
                <w:rFonts w:hint="eastAsia"/>
                <w:color w:val="auto"/>
                <w:sz w:val="24"/>
                <w:szCs w:val="24"/>
                <w:highlight w:val="none"/>
              </w:rPr>
              <w:t>工程名称</w:t>
            </w:r>
          </w:p>
        </w:tc>
        <w:tc>
          <w:tcPr>
            <w:tcW w:w="2205" w:type="dxa"/>
            <w:tcBorders>
              <w:top w:val="single" w:color="000000" w:sz="4" w:space="0"/>
              <w:left w:val="single" w:color="000000" w:sz="4" w:space="0"/>
              <w:bottom w:val="single" w:color="000000" w:sz="4" w:space="0"/>
              <w:right w:val="single" w:color="000000" w:sz="4" w:space="0"/>
            </w:tcBorders>
          </w:tcPr>
          <w:p w14:paraId="5E01DF46">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8CFB26D">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A91AADD">
            <w:pPr>
              <w:pStyle w:val="80"/>
              <w:spacing w:line="360" w:lineRule="auto"/>
              <w:rPr>
                <w:color w:val="auto"/>
                <w:sz w:val="24"/>
                <w:szCs w:val="24"/>
                <w:highlight w:val="none"/>
              </w:rPr>
            </w:pPr>
          </w:p>
        </w:tc>
      </w:tr>
      <w:tr w14:paraId="1605DB61">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7E3111C">
            <w:pPr>
              <w:pStyle w:val="80"/>
              <w:spacing w:line="360" w:lineRule="auto"/>
              <w:rPr>
                <w:color w:val="auto"/>
                <w:sz w:val="24"/>
                <w:szCs w:val="24"/>
                <w:highlight w:val="none"/>
              </w:rPr>
            </w:pPr>
            <w:r>
              <w:rPr>
                <w:rFonts w:hint="eastAsia"/>
                <w:color w:val="auto"/>
                <w:sz w:val="24"/>
                <w:szCs w:val="24"/>
                <w:highlight w:val="none"/>
              </w:rPr>
              <w:t>企业库中项目编号（如有）</w:t>
            </w:r>
          </w:p>
        </w:tc>
        <w:tc>
          <w:tcPr>
            <w:tcW w:w="2205" w:type="dxa"/>
            <w:tcBorders>
              <w:top w:val="single" w:color="000000" w:sz="4" w:space="0"/>
              <w:left w:val="single" w:color="000000" w:sz="4" w:space="0"/>
              <w:bottom w:val="single" w:color="000000" w:sz="4" w:space="0"/>
              <w:right w:val="single" w:color="000000" w:sz="4" w:space="0"/>
            </w:tcBorders>
          </w:tcPr>
          <w:p w14:paraId="73E718A7">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9104F4B">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9A26E45">
            <w:pPr>
              <w:pStyle w:val="80"/>
              <w:spacing w:line="360" w:lineRule="auto"/>
              <w:rPr>
                <w:color w:val="auto"/>
                <w:sz w:val="24"/>
                <w:szCs w:val="24"/>
                <w:highlight w:val="none"/>
              </w:rPr>
            </w:pPr>
          </w:p>
        </w:tc>
      </w:tr>
      <w:tr w14:paraId="3B605A27">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7B4F5453">
            <w:pPr>
              <w:pStyle w:val="80"/>
              <w:spacing w:line="360" w:lineRule="auto"/>
              <w:rPr>
                <w:color w:val="auto"/>
                <w:sz w:val="24"/>
                <w:szCs w:val="24"/>
                <w:highlight w:val="none"/>
              </w:rPr>
            </w:pPr>
            <w:r>
              <w:rPr>
                <w:rFonts w:hint="eastAsia"/>
                <w:color w:val="auto"/>
                <w:sz w:val="24"/>
                <w:szCs w:val="24"/>
                <w:highlight w:val="none"/>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20B039A7">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C2102DC">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4625481">
            <w:pPr>
              <w:pStyle w:val="80"/>
              <w:spacing w:line="360" w:lineRule="auto"/>
              <w:rPr>
                <w:color w:val="auto"/>
                <w:sz w:val="24"/>
                <w:szCs w:val="24"/>
                <w:highlight w:val="none"/>
              </w:rPr>
            </w:pPr>
          </w:p>
        </w:tc>
      </w:tr>
      <w:tr w14:paraId="412A202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7C2496D4">
            <w:pPr>
              <w:pStyle w:val="80"/>
              <w:spacing w:line="360" w:lineRule="auto"/>
              <w:rPr>
                <w:color w:val="auto"/>
                <w:sz w:val="24"/>
                <w:szCs w:val="24"/>
                <w:highlight w:val="none"/>
              </w:rPr>
            </w:pPr>
            <w:r>
              <w:rPr>
                <w:rFonts w:hint="eastAsia"/>
                <w:color w:val="auto"/>
                <w:sz w:val="24"/>
                <w:szCs w:val="24"/>
                <w:highlight w:val="none"/>
              </w:rPr>
              <w:t>项目地点</w:t>
            </w:r>
          </w:p>
        </w:tc>
        <w:tc>
          <w:tcPr>
            <w:tcW w:w="2205" w:type="dxa"/>
            <w:tcBorders>
              <w:top w:val="single" w:color="000000" w:sz="4" w:space="0"/>
              <w:left w:val="single" w:color="000000" w:sz="4" w:space="0"/>
              <w:bottom w:val="single" w:color="000000" w:sz="4" w:space="0"/>
              <w:right w:val="single" w:color="000000" w:sz="4" w:space="0"/>
            </w:tcBorders>
          </w:tcPr>
          <w:p w14:paraId="482FF66E">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99211D5">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1AD4C58">
            <w:pPr>
              <w:pStyle w:val="80"/>
              <w:spacing w:line="360" w:lineRule="auto"/>
              <w:rPr>
                <w:color w:val="auto"/>
                <w:sz w:val="24"/>
                <w:szCs w:val="24"/>
                <w:highlight w:val="none"/>
              </w:rPr>
            </w:pPr>
          </w:p>
        </w:tc>
      </w:tr>
      <w:tr w14:paraId="4EE1889E">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587D0A0">
            <w:pPr>
              <w:pStyle w:val="80"/>
              <w:spacing w:line="360" w:lineRule="auto"/>
              <w:rPr>
                <w:color w:val="auto"/>
                <w:sz w:val="24"/>
                <w:szCs w:val="24"/>
                <w:highlight w:val="none"/>
              </w:rPr>
            </w:pPr>
            <w:r>
              <w:rPr>
                <w:rFonts w:hint="eastAsia"/>
                <w:color w:val="auto"/>
                <w:sz w:val="24"/>
                <w:szCs w:val="24"/>
                <w:highlight w:val="none"/>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65906E57">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4CD85C6">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3416F54">
            <w:pPr>
              <w:pStyle w:val="80"/>
              <w:spacing w:line="360" w:lineRule="auto"/>
              <w:rPr>
                <w:color w:val="auto"/>
                <w:sz w:val="24"/>
                <w:szCs w:val="24"/>
                <w:highlight w:val="none"/>
              </w:rPr>
            </w:pPr>
          </w:p>
        </w:tc>
      </w:tr>
      <w:tr w14:paraId="762D5FA9">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2F31ABA3">
            <w:pPr>
              <w:pStyle w:val="80"/>
              <w:spacing w:line="360" w:lineRule="auto"/>
              <w:rPr>
                <w:color w:val="auto"/>
                <w:sz w:val="24"/>
                <w:szCs w:val="24"/>
                <w:highlight w:val="none"/>
              </w:rPr>
            </w:pPr>
            <w:r>
              <w:rPr>
                <w:rFonts w:hint="eastAsia"/>
                <w:color w:val="auto"/>
                <w:sz w:val="24"/>
                <w:szCs w:val="24"/>
                <w:highlight w:val="none"/>
              </w:rPr>
              <w:t>总价</w:t>
            </w:r>
            <w:r>
              <w:rPr>
                <w:color w:val="auto"/>
                <w:sz w:val="24"/>
                <w:szCs w:val="24"/>
                <w:highlight w:val="none"/>
              </w:rPr>
              <w:t>(</w:t>
            </w:r>
            <w:r>
              <w:rPr>
                <w:rFonts w:hint="eastAsia"/>
                <w:color w:val="auto"/>
                <w:sz w:val="24"/>
                <w:szCs w:val="24"/>
                <w:highlight w:val="none"/>
              </w:rPr>
              <w:t>人民币：万元</w:t>
            </w:r>
            <w:r>
              <w:rPr>
                <w:color w:val="auto"/>
                <w:sz w:val="24"/>
                <w:szCs w:val="24"/>
                <w:highlight w:val="none"/>
              </w:rPr>
              <w:t>)</w:t>
            </w:r>
          </w:p>
        </w:tc>
        <w:tc>
          <w:tcPr>
            <w:tcW w:w="1470" w:type="dxa"/>
            <w:gridSpan w:val="2"/>
            <w:tcBorders>
              <w:top w:val="single" w:color="000000" w:sz="4" w:space="0"/>
              <w:left w:val="single" w:color="000000" w:sz="4" w:space="0"/>
              <w:bottom w:val="single" w:color="000000" w:sz="4" w:space="0"/>
              <w:right w:val="single" w:color="000000" w:sz="4" w:space="0"/>
            </w:tcBorders>
          </w:tcPr>
          <w:p w14:paraId="79115E17">
            <w:pPr>
              <w:pStyle w:val="80"/>
              <w:spacing w:line="360" w:lineRule="auto"/>
              <w:rPr>
                <w:color w:val="auto"/>
                <w:sz w:val="24"/>
                <w:szCs w:val="24"/>
                <w:highlight w:val="none"/>
              </w:rPr>
            </w:pPr>
            <w:r>
              <w:rPr>
                <w:rFonts w:hint="eastAsia"/>
                <w:color w:val="auto"/>
                <w:sz w:val="24"/>
                <w:szCs w:val="24"/>
                <w:highlight w:val="none"/>
              </w:rPr>
              <w:t>合同造价</w:t>
            </w:r>
          </w:p>
        </w:tc>
        <w:tc>
          <w:tcPr>
            <w:tcW w:w="2205" w:type="dxa"/>
            <w:tcBorders>
              <w:top w:val="single" w:color="000000" w:sz="4" w:space="0"/>
              <w:left w:val="single" w:color="000000" w:sz="4" w:space="0"/>
              <w:bottom w:val="single" w:color="000000" w:sz="4" w:space="0"/>
              <w:right w:val="single" w:color="000000" w:sz="4" w:space="0"/>
            </w:tcBorders>
          </w:tcPr>
          <w:p w14:paraId="70837388">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3CB3A3E">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1661F00">
            <w:pPr>
              <w:pStyle w:val="80"/>
              <w:spacing w:line="360" w:lineRule="auto"/>
              <w:rPr>
                <w:color w:val="auto"/>
                <w:sz w:val="24"/>
                <w:szCs w:val="24"/>
                <w:highlight w:val="none"/>
              </w:rPr>
            </w:pPr>
          </w:p>
        </w:tc>
      </w:tr>
      <w:tr w14:paraId="245F1F7A">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07785DF5">
            <w:pPr>
              <w:spacing w:line="360" w:lineRule="auto"/>
              <w:jc w:val="left"/>
              <w:rPr>
                <w:rFonts w:ascii="宋体" w:hAnsi="宋体" w:cs="宋体"/>
                <w:color w:val="auto"/>
                <w:sz w:val="24"/>
                <w:szCs w:val="24"/>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tcPr>
          <w:p w14:paraId="5050C90A">
            <w:pPr>
              <w:pStyle w:val="80"/>
              <w:spacing w:line="360" w:lineRule="auto"/>
              <w:rPr>
                <w:color w:val="auto"/>
                <w:sz w:val="24"/>
                <w:szCs w:val="24"/>
                <w:highlight w:val="none"/>
              </w:rPr>
            </w:pPr>
            <w:r>
              <w:rPr>
                <w:rFonts w:hint="eastAsia"/>
                <w:color w:val="auto"/>
                <w:sz w:val="24"/>
                <w:szCs w:val="24"/>
                <w:highlight w:val="none"/>
              </w:rPr>
              <w:t>结算造价</w:t>
            </w:r>
          </w:p>
        </w:tc>
        <w:tc>
          <w:tcPr>
            <w:tcW w:w="2205" w:type="dxa"/>
            <w:tcBorders>
              <w:top w:val="single" w:color="000000" w:sz="4" w:space="0"/>
              <w:left w:val="single" w:color="000000" w:sz="4" w:space="0"/>
              <w:bottom w:val="single" w:color="000000" w:sz="4" w:space="0"/>
              <w:right w:val="single" w:color="000000" w:sz="4" w:space="0"/>
            </w:tcBorders>
          </w:tcPr>
          <w:p w14:paraId="6CD9641F">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B4EF644">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4242548">
            <w:pPr>
              <w:pStyle w:val="80"/>
              <w:spacing w:line="360" w:lineRule="auto"/>
              <w:rPr>
                <w:color w:val="auto"/>
                <w:sz w:val="24"/>
                <w:szCs w:val="24"/>
                <w:highlight w:val="none"/>
              </w:rPr>
            </w:pPr>
          </w:p>
        </w:tc>
      </w:tr>
      <w:tr w14:paraId="4B3B475F">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5A77D8C">
            <w:pPr>
              <w:pStyle w:val="80"/>
              <w:spacing w:line="360" w:lineRule="auto"/>
              <w:rPr>
                <w:color w:val="auto"/>
                <w:sz w:val="24"/>
                <w:szCs w:val="24"/>
                <w:highlight w:val="none"/>
              </w:rPr>
            </w:pPr>
            <w:r>
              <w:rPr>
                <w:rFonts w:hint="eastAsia"/>
                <w:color w:val="auto"/>
                <w:sz w:val="24"/>
                <w:szCs w:val="24"/>
                <w:highlight w:val="none"/>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5E5840BA">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C98153A">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7FC6CA3">
            <w:pPr>
              <w:pStyle w:val="80"/>
              <w:spacing w:line="360" w:lineRule="auto"/>
              <w:rPr>
                <w:color w:val="auto"/>
                <w:sz w:val="24"/>
                <w:szCs w:val="24"/>
                <w:highlight w:val="none"/>
              </w:rPr>
            </w:pPr>
          </w:p>
        </w:tc>
      </w:tr>
      <w:tr w14:paraId="4CC6B342">
        <w:tblPrEx>
          <w:tblCellMar>
            <w:top w:w="0" w:type="dxa"/>
            <w:left w:w="108" w:type="dxa"/>
            <w:bottom w:w="0" w:type="dxa"/>
            <w:right w:w="108" w:type="dxa"/>
          </w:tblCellMar>
        </w:tblPrEx>
        <w:trPr>
          <w:cantSplit/>
        </w:trPr>
        <w:tc>
          <w:tcPr>
            <w:tcW w:w="17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BE663F8">
            <w:pPr>
              <w:pStyle w:val="80"/>
              <w:spacing w:line="360" w:lineRule="auto"/>
              <w:rPr>
                <w:color w:val="auto"/>
                <w:sz w:val="24"/>
                <w:szCs w:val="24"/>
                <w:highlight w:val="none"/>
              </w:rPr>
            </w:pPr>
            <w:r>
              <w:rPr>
                <w:rFonts w:hint="eastAsia"/>
                <w:color w:val="auto"/>
                <w:sz w:val="24"/>
                <w:szCs w:val="24"/>
                <w:highlight w:val="none"/>
              </w:rPr>
              <w:t>工期</w:t>
            </w:r>
            <w:r>
              <w:rPr>
                <w:color w:val="auto"/>
                <w:sz w:val="24"/>
                <w:szCs w:val="24"/>
                <w:highlight w:val="none"/>
              </w:rPr>
              <w:t>(</w:t>
            </w:r>
            <w:r>
              <w:rPr>
                <w:rFonts w:hint="eastAsia"/>
                <w:color w:val="auto"/>
                <w:sz w:val="24"/>
                <w:szCs w:val="24"/>
                <w:highlight w:val="none"/>
              </w:rPr>
              <w:t>月</w:t>
            </w:r>
            <w:r>
              <w:rPr>
                <w:color w:val="auto"/>
                <w:sz w:val="24"/>
                <w:szCs w:val="24"/>
                <w:highlight w:val="none"/>
              </w:rPr>
              <w:t>)</w:t>
            </w:r>
          </w:p>
        </w:tc>
        <w:tc>
          <w:tcPr>
            <w:tcW w:w="1425" w:type="dxa"/>
            <w:tcBorders>
              <w:top w:val="single" w:color="000000" w:sz="4" w:space="0"/>
              <w:left w:val="single" w:color="000000" w:sz="4" w:space="0"/>
              <w:bottom w:val="single" w:color="000000" w:sz="4" w:space="0"/>
              <w:right w:val="single" w:color="000000" w:sz="4" w:space="0"/>
            </w:tcBorders>
          </w:tcPr>
          <w:p w14:paraId="051921DC">
            <w:pPr>
              <w:pStyle w:val="80"/>
              <w:spacing w:line="360" w:lineRule="auto"/>
              <w:rPr>
                <w:color w:val="auto"/>
                <w:sz w:val="24"/>
                <w:szCs w:val="24"/>
                <w:highlight w:val="none"/>
              </w:rPr>
            </w:pPr>
            <w:r>
              <w:rPr>
                <w:rFonts w:hint="eastAsia"/>
                <w:color w:val="auto"/>
                <w:sz w:val="24"/>
                <w:szCs w:val="24"/>
                <w:highlight w:val="none"/>
              </w:rPr>
              <w:t>合同</w:t>
            </w:r>
          </w:p>
        </w:tc>
        <w:tc>
          <w:tcPr>
            <w:tcW w:w="2205" w:type="dxa"/>
            <w:tcBorders>
              <w:top w:val="single" w:color="000000" w:sz="4" w:space="0"/>
              <w:left w:val="single" w:color="000000" w:sz="4" w:space="0"/>
              <w:bottom w:val="single" w:color="000000" w:sz="4" w:space="0"/>
              <w:right w:val="single" w:color="000000" w:sz="4" w:space="0"/>
            </w:tcBorders>
          </w:tcPr>
          <w:p w14:paraId="28314F87">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F16229C">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6C2D816">
            <w:pPr>
              <w:pStyle w:val="80"/>
              <w:spacing w:line="360" w:lineRule="auto"/>
              <w:rPr>
                <w:color w:val="auto"/>
                <w:sz w:val="24"/>
                <w:szCs w:val="24"/>
                <w:highlight w:val="none"/>
              </w:rPr>
            </w:pPr>
          </w:p>
        </w:tc>
      </w:tr>
      <w:tr w14:paraId="55CD92BC">
        <w:tblPrEx>
          <w:tblCellMar>
            <w:top w:w="0" w:type="dxa"/>
            <w:left w:w="108" w:type="dxa"/>
            <w:bottom w:w="0" w:type="dxa"/>
            <w:right w:w="108" w:type="dxa"/>
          </w:tblCellMar>
        </w:tblPrEx>
        <w:trPr>
          <w:cantSplit/>
        </w:trPr>
        <w:tc>
          <w:tcPr>
            <w:tcW w:w="1728" w:type="dxa"/>
            <w:gridSpan w:val="2"/>
            <w:vMerge w:val="continue"/>
            <w:tcBorders>
              <w:top w:val="single" w:color="000000" w:sz="4" w:space="0"/>
              <w:left w:val="single" w:color="000000" w:sz="4" w:space="0"/>
              <w:bottom w:val="single" w:color="000000" w:sz="4" w:space="0"/>
              <w:right w:val="single" w:color="000000" w:sz="4" w:space="0"/>
            </w:tcBorders>
          </w:tcPr>
          <w:p w14:paraId="211E95BA">
            <w:pPr>
              <w:spacing w:line="360" w:lineRule="auto"/>
              <w:jc w:val="left"/>
              <w:rPr>
                <w:rFonts w:ascii="宋体"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tcPr>
          <w:p w14:paraId="73745A51">
            <w:pPr>
              <w:pStyle w:val="80"/>
              <w:spacing w:line="360" w:lineRule="auto"/>
              <w:rPr>
                <w:color w:val="auto"/>
                <w:sz w:val="24"/>
                <w:szCs w:val="24"/>
                <w:highlight w:val="none"/>
              </w:rPr>
            </w:pPr>
            <w:r>
              <w:rPr>
                <w:rFonts w:hint="eastAsia"/>
                <w:color w:val="auto"/>
                <w:sz w:val="24"/>
                <w:szCs w:val="24"/>
                <w:highlight w:val="none"/>
              </w:rPr>
              <w:t>实际</w:t>
            </w:r>
          </w:p>
        </w:tc>
        <w:tc>
          <w:tcPr>
            <w:tcW w:w="2205" w:type="dxa"/>
            <w:tcBorders>
              <w:top w:val="single" w:color="000000" w:sz="4" w:space="0"/>
              <w:left w:val="single" w:color="000000" w:sz="4" w:space="0"/>
              <w:bottom w:val="single" w:color="000000" w:sz="4" w:space="0"/>
              <w:right w:val="single" w:color="000000" w:sz="4" w:space="0"/>
            </w:tcBorders>
          </w:tcPr>
          <w:p w14:paraId="31E91AC7">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FB5A92F">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EA6DFD1">
            <w:pPr>
              <w:pStyle w:val="80"/>
              <w:spacing w:line="360" w:lineRule="auto"/>
              <w:rPr>
                <w:color w:val="auto"/>
                <w:sz w:val="24"/>
                <w:szCs w:val="24"/>
                <w:highlight w:val="none"/>
              </w:rPr>
            </w:pPr>
          </w:p>
        </w:tc>
      </w:tr>
      <w:tr w14:paraId="4098E11D">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E8DAA85">
            <w:pPr>
              <w:pStyle w:val="80"/>
              <w:spacing w:line="360" w:lineRule="auto"/>
              <w:rPr>
                <w:color w:val="auto"/>
                <w:sz w:val="24"/>
                <w:szCs w:val="24"/>
                <w:highlight w:val="none"/>
              </w:rPr>
            </w:pPr>
            <w:r>
              <w:rPr>
                <w:rFonts w:hint="eastAsia"/>
                <w:color w:val="auto"/>
                <w:sz w:val="24"/>
                <w:szCs w:val="24"/>
                <w:highlight w:val="none"/>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5BECA5A6">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192DC9C">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E0AC2A9">
            <w:pPr>
              <w:pStyle w:val="80"/>
              <w:spacing w:line="360" w:lineRule="auto"/>
              <w:rPr>
                <w:color w:val="auto"/>
                <w:sz w:val="24"/>
                <w:szCs w:val="24"/>
                <w:highlight w:val="none"/>
              </w:rPr>
            </w:pPr>
          </w:p>
        </w:tc>
      </w:tr>
      <w:tr w14:paraId="52FF2EA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EBB4BFC">
            <w:pPr>
              <w:pStyle w:val="80"/>
              <w:spacing w:line="360" w:lineRule="auto"/>
              <w:rPr>
                <w:color w:val="auto"/>
                <w:sz w:val="24"/>
                <w:szCs w:val="24"/>
                <w:highlight w:val="none"/>
              </w:rPr>
            </w:pPr>
            <w:r>
              <w:rPr>
                <w:rFonts w:hint="eastAsia"/>
                <w:color w:val="auto"/>
                <w:sz w:val="24"/>
                <w:szCs w:val="24"/>
                <w:highlight w:val="none"/>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2545169F">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25FD38F">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8DC3669">
            <w:pPr>
              <w:pStyle w:val="80"/>
              <w:spacing w:line="360" w:lineRule="auto"/>
              <w:rPr>
                <w:color w:val="auto"/>
                <w:sz w:val="24"/>
                <w:szCs w:val="24"/>
                <w:highlight w:val="none"/>
              </w:rPr>
            </w:pPr>
          </w:p>
        </w:tc>
      </w:tr>
      <w:tr w14:paraId="172C47BB">
        <w:tblPrEx>
          <w:tblCellMar>
            <w:top w:w="0" w:type="dxa"/>
            <w:left w:w="108" w:type="dxa"/>
            <w:bottom w:w="0" w:type="dxa"/>
            <w:right w:w="108" w:type="dxa"/>
          </w:tblCellMar>
        </w:tblPrEx>
        <w:trPr>
          <w:trHeight w:val="276" w:hRule="atLeast"/>
        </w:trPr>
        <w:tc>
          <w:tcPr>
            <w:tcW w:w="3153" w:type="dxa"/>
            <w:gridSpan w:val="3"/>
            <w:tcBorders>
              <w:top w:val="single" w:color="000000" w:sz="4" w:space="0"/>
              <w:left w:val="single" w:color="000000" w:sz="4" w:space="0"/>
              <w:bottom w:val="single" w:color="000000" w:sz="4" w:space="0"/>
              <w:right w:val="single" w:color="000000" w:sz="4" w:space="0"/>
            </w:tcBorders>
          </w:tcPr>
          <w:p w14:paraId="00102F76">
            <w:pPr>
              <w:pStyle w:val="80"/>
              <w:spacing w:line="360" w:lineRule="auto"/>
              <w:rPr>
                <w:color w:val="auto"/>
                <w:sz w:val="24"/>
                <w:szCs w:val="24"/>
                <w:highlight w:val="none"/>
              </w:rPr>
            </w:pPr>
            <w:r>
              <w:rPr>
                <w:rFonts w:hint="eastAsia"/>
                <w:color w:val="auto"/>
                <w:sz w:val="24"/>
                <w:szCs w:val="24"/>
                <w:highlight w:val="none"/>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1F7F161E">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2EC16E7">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8560F0A">
            <w:pPr>
              <w:pStyle w:val="80"/>
              <w:spacing w:line="360" w:lineRule="auto"/>
              <w:rPr>
                <w:color w:val="auto"/>
                <w:sz w:val="24"/>
                <w:szCs w:val="24"/>
                <w:highlight w:val="none"/>
              </w:rPr>
            </w:pPr>
          </w:p>
        </w:tc>
      </w:tr>
      <w:tr w14:paraId="40F8FC3D">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8FD8B47">
            <w:pPr>
              <w:pStyle w:val="80"/>
              <w:spacing w:line="360" w:lineRule="auto"/>
              <w:rPr>
                <w:color w:val="auto"/>
                <w:sz w:val="24"/>
                <w:szCs w:val="24"/>
                <w:highlight w:val="none"/>
              </w:rPr>
            </w:pPr>
            <w:r>
              <w:rPr>
                <w:rFonts w:hint="eastAsia"/>
                <w:color w:val="auto"/>
                <w:sz w:val="24"/>
                <w:szCs w:val="24"/>
                <w:highlight w:val="none"/>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6B4E7A7C">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9155809">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A551193">
            <w:pPr>
              <w:pStyle w:val="80"/>
              <w:spacing w:line="360" w:lineRule="auto"/>
              <w:rPr>
                <w:color w:val="auto"/>
                <w:sz w:val="24"/>
                <w:szCs w:val="24"/>
                <w:highlight w:val="none"/>
              </w:rPr>
            </w:pPr>
          </w:p>
        </w:tc>
      </w:tr>
      <w:tr w14:paraId="3D120BDB">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01639FAA">
            <w:pPr>
              <w:pStyle w:val="80"/>
              <w:spacing w:line="360" w:lineRule="auto"/>
              <w:rPr>
                <w:color w:val="auto"/>
                <w:sz w:val="24"/>
                <w:szCs w:val="24"/>
                <w:highlight w:val="none"/>
              </w:rPr>
            </w:pPr>
            <w:r>
              <w:rPr>
                <w:rFonts w:hint="eastAsia"/>
                <w:color w:val="auto"/>
                <w:sz w:val="24"/>
                <w:szCs w:val="24"/>
                <w:highlight w:val="none"/>
              </w:rPr>
              <w:t>工程获奖情况</w:t>
            </w:r>
          </w:p>
        </w:tc>
        <w:tc>
          <w:tcPr>
            <w:tcW w:w="2205" w:type="dxa"/>
            <w:tcBorders>
              <w:top w:val="single" w:color="000000" w:sz="4" w:space="0"/>
              <w:left w:val="single" w:color="000000" w:sz="4" w:space="0"/>
              <w:bottom w:val="single" w:color="000000" w:sz="4" w:space="0"/>
              <w:right w:val="single" w:color="000000" w:sz="4" w:space="0"/>
            </w:tcBorders>
          </w:tcPr>
          <w:p w14:paraId="0E20CEA4">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3E38F81">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863AE9F">
            <w:pPr>
              <w:pStyle w:val="80"/>
              <w:spacing w:line="360" w:lineRule="auto"/>
              <w:rPr>
                <w:color w:val="auto"/>
                <w:sz w:val="24"/>
                <w:szCs w:val="24"/>
                <w:highlight w:val="none"/>
              </w:rPr>
            </w:pPr>
          </w:p>
        </w:tc>
      </w:tr>
      <w:tr w14:paraId="040DF706">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487D619F">
            <w:pPr>
              <w:pStyle w:val="80"/>
              <w:spacing w:line="360" w:lineRule="auto"/>
              <w:rPr>
                <w:color w:val="auto"/>
                <w:sz w:val="24"/>
                <w:szCs w:val="24"/>
                <w:highlight w:val="none"/>
              </w:rPr>
            </w:pPr>
            <w:r>
              <w:rPr>
                <w:rFonts w:hint="eastAsia"/>
                <w:color w:val="auto"/>
                <w:sz w:val="24"/>
                <w:szCs w:val="24"/>
                <w:highlight w:val="none"/>
              </w:rPr>
              <w:t>项目业主联系地址</w:t>
            </w:r>
          </w:p>
        </w:tc>
        <w:tc>
          <w:tcPr>
            <w:tcW w:w="2205" w:type="dxa"/>
            <w:tcBorders>
              <w:top w:val="single" w:color="000000" w:sz="4" w:space="0"/>
              <w:left w:val="single" w:color="000000" w:sz="4" w:space="0"/>
              <w:bottom w:val="single" w:color="000000" w:sz="4" w:space="0"/>
              <w:right w:val="single" w:color="000000" w:sz="4" w:space="0"/>
            </w:tcBorders>
          </w:tcPr>
          <w:p w14:paraId="4DA43384">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1B1AE23">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348C105">
            <w:pPr>
              <w:pStyle w:val="80"/>
              <w:spacing w:line="360" w:lineRule="auto"/>
              <w:rPr>
                <w:color w:val="auto"/>
                <w:sz w:val="24"/>
                <w:szCs w:val="24"/>
                <w:highlight w:val="none"/>
              </w:rPr>
            </w:pPr>
          </w:p>
        </w:tc>
      </w:tr>
      <w:tr w14:paraId="7E34E013">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8933001">
            <w:pPr>
              <w:pStyle w:val="80"/>
              <w:spacing w:line="360" w:lineRule="auto"/>
              <w:rPr>
                <w:color w:val="auto"/>
                <w:sz w:val="24"/>
                <w:szCs w:val="24"/>
                <w:highlight w:val="none"/>
              </w:rPr>
            </w:pPr>
            <w:r>
              <w:rPr>
                <w:rFonts w:hint="eastAsia"/>
                <w:color w:val="auto"/>
                <w:sz w:val="24"/>
                <w:szCs w:val="24"/>
                <w:highlight w:val="none"/>
              </w:rPr>
              <w:t>项目业主联系人姓名</w:t>
            </w:r>
          </w:p>
        </w:tc>
        <w:tc>
          <w:tcPr>
            <w:tcW w:w="2205" w:type="dxa"/>
            <w:tcBorders>
              <w:top w:val="single" w:color="000000" w:sz="4" w:space="0"/>
              <w:left w:val="single" w:color="000000" w:sz="4" w:space="0"/>
              <w:bottom w:val="single" w:color="000000" w:sz="4" w:space="0"/>
              <w:right w:val="single" w:color="000000" w:sz="4" w:space="0"/>
            </w:tcBorders>
          </w:tcPr>
          <w:p w14:paraId="3C575683">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2DF1C25">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707C774">
            <w:pPr>
              <w:pStyle w:val="80"/>
              <w:spacing w:line="360" w:lineRule="auto"/>
              <w:rPr>
                <w:color w:val="auto"/>
                <w:sz w:val="24"/>
                <w:szCs w:val="24"/>
                <w:highlight w:val="none"/>
              </w:rPr>
            </w:pPr>
          </w:p>
        </w:tc>
      </w:tr>
      <w:tr w14:paraId="615BBE6E">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C04E6B1">
            <w:pPr>
              <w:pStyle w:val="80"/>
              <w:spacing w:line="360" w:lineRule="auto"/>
              <w:rPr>
                <w:color w:val="auto"/>
                <w:sz w:val="24"/>
                <w:szCs w:val="24"/>
                <w:highlight w:val="none"/>
              </w:rPr>
            </w:pPr>
            <w:r>
              <w:rPr>
                <w:rFonts w:hint="eastAsia"/>
                <w:color w:val="auto"/>
                <w:sz w:val="24"/>
                <w:szCs w:val="24"/>
                <w:highlight w:val="none"/>
              </w:rPr>
              <w:t>项目业主联系电话</w:t>
            </w:r>
          </w:p>
        </w:tc>
        <w:tc>
          <w:tcPr>
            <w:tcW w:w="2205" w:type="dxa"/>
            <w:tcBorders>
              <w:top w:val="single" w:color="000000" w:sz="4" w:space="0"/>
              <w:left w:val="single" w:color="000000" w:sz="4" w:space="0"/>
              <w:bottom w:val="single" w:color="000000" w:sz="4" w:space="0"/>
              <w:right w:val="single" w:color="000000" w:sz="4" w:space="0"/>
            </w:tcBorders>
          </w:tcPr>
          <w:p w14:paraId="37EFED9B">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D0936BF">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1C4B34E">
            <w:pPr>
              <w:pStyle w:val="80"/>
              <w:spacing w:line="360" w:lineRule="auto"/>
              <w:rPr>
                <w:color w:val="auto"/>
                <w:sz w:val="24"/>
                <w:szCs w:val="24"/>
                <w:highlight w:val="none"/>
              </w:rPr>
            </w:pPr>
          </w:p>
        </w:tc>
      </w:tr>
      <w:tr w14:paraId="3F365C6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788AEB7D">
            <w:pPr>
              <w:pStyle w:val="80"/>
              <w:spacing w:line="360" w:lineRule="auto"/>
              <w:rPr>
                <w:color w:val="auto"/>
                <w:sz w:val="24"/>
                <w:szCs w:val="24"/>
                <w:highlight w:val="none"/>
              </w:rPr>
            </w:pPr>
            <w:r>
              <w:rPr>
                <w:rFonts w:hint="eastAsia"/>
                <w:color w:val="auto"/>
                <w:sz w:val="24"/>
                <w:szCs w:val="24"/>
                <w:highlight w:val="none"/>
              </w:rPr>
              <w:t>项目业主传真电话</w:t>
            </w:r>
          </w:p>
        </w:tc>
        <w:tc>
          <w:tcPr>
            <w:tcW w:w="2205" w:type="dxa"/>
            <w:tcBorders>
              <w:top w:val="single" w:color="000000" w:sz="4" w:space="0"/>
              <w:left w:val="single" w:color="000000" w:sz="4" w:space="0"/>
              <w:bottom w:val="single" w:color="000000" w:sz="4" w:space="0"/>
              <w:right w:val="single" w:color="000000" w:sz="4" w:space="0"/>
            </w:tcBorders>
          </w:tcPr>
          <w:p w14:paraId="347F4B25">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7D949D3">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C713F58">
            <w:pPr>
              <w:pStyle w:val="80"/>
              <w:spacing w:line="360" w:lineRule="auto"/>
              <w:rPr>
                <w:color w:val="auto"/>
                <w:sz w:val="24"/>
                <w:szCs w:val="24"/>
                <w:highlight w:val="none"/>
              </w:rPr>
            </w:pPr>
          </w:p>
        </w:tc>
      </w:tr>
      <w:tr w14:paraId="424C2B5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301897E">
            <w:pPr>
              <w:pStyle w:val="80"/>
              <w:spacing w:line="360" w:lineRule="auto"/>
              <w:rPr>
                <w:color w:val="auto"/>
                <w:sz w:val="24"/>
                <w:szCs w:val="24"/>
                <w:highlight w:val="none"/>
              </w:rPr>
            </w:pPr>
            <w:r>
              <w:rPr>
                <w:rFonts w:hint="eastAsia"/>
                <w:color w:val="auto"/>
                <w:sz w:val="24"/>
                <w:szCs w:val="24"/>
                <w:highlight w:val="none"/>
              </w:rPr>
              <w:t>项目业主邮政编码</w:t>
            </w:r>
          </w:p>
        </w:tc>
        <w:tc>
          <w:tcPr>
            <w:tcW w:w="2205" w:type="dxa"/>
            <w:tcBorders>
              <w:top w:val="single" w:color="000000" w:sz="4" w:space="0"/>
              <w:left w:val="single" w:color="000000" w:sz="4" w:space="0"/>
              <w:bottom w:val="single" w:color="000000" w:sz="4" w:space="0"/>
              <w:right w:val="single" w:color="000000" w:sz="4" w:space="0"/>
            </w:tcBorders>
          </w:tcPr>
          <w:p w14:paraId="0D16E429">
            <w:pPr>
              <w:pStyle w:val="80"/>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5B6FAB2">
            <w:pPr>
              <w:pStyle w:val="80"/>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05D4A11">
            <w:pPr>
              <w:pStyle w:val="80"/>
              <w:spacing w:line="360" w:lineRule="auto"/>
              <w:rPr>
                <w:color w:val="auto"/>
                <w:sz w:val="24"/>
                <w:szCs w:val="24"/>
                <w:highlight w:val="none"/>
              </w:rPr>
            </w:pPr>
          </w:p>
        </w:tc>
      </w:tr>
    </w:tbl>
    <w:p w14:paraId="6C55618E">
      <w:pPr>
        <w:pStyle w:val="2"/>
        <w:spacing w:line="360" w:lineRule="auto"/>
        <w:rPr>
          <w:b/>
          <w:color w:val="auto"/>
          <w:highlight w:val="none"/>
          <w:lang w:val="en-US"/>
        </w:rPr>
      </w:pPr>
      <w:r>
        <w:rPr>
          <w:rFonts w:hint="eastAsia"/>
          <w:color w:val="auto"/>
          <w:sz w:val="18"/>
          <w:szCs w:val="18"/>
          <w:highlight w:val="none"/>
        </w:rPr>
        <w:t>注：</w:t>
      </w:r>
      <w:r>
        <w:rPr>
          <w:rFonts w:hint="eastAsia" w:cs="宋体"/>
          <w:color w:val="auto"/>
          <w:kern w:val="1"/>
          <w:sz w:val="18"/>
          <w:szCs w:val="18"/>
          <w:highlight w:val="none"/>
        </w:rPr>
        <w:t>投标人应根据招标文件第三章《评标办法》“工程总承包实施方案技术部分评分表”要求在本表后附对应的相关证明材料。</w:t>
      </w:r>
    </w:p>
    <w:p w14:paraId="1F86E8E6">
      <w:pPr>
        <w:pStyle w:val="80"/>
        <w:spacing w:line="360" w:lineRule="auto"/>
        <w:rPr>
          <w:color w:val="auto"/>
          <w:highlight w:val="none"/>
        </w:rPr>
      </w:pPr>
    </w:p>
    <w:p w14:paraId="6950E226">
      <w:pPr>
        <w:pStyle w:val="68"/>
        <w:ind w:firstLine="5166" w:firstLineChars="21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投标人：</w:t>
      </w:r>
      <w:r>
        <w:rPr>
          <w:rFonts w:hint="eastAsia" w:ascii="宋体" w:hAnsi="宋体" w:cs="宋体"/>
          <w:color w:val="auto"/>
          <w:spacing w:val="18"/>
          <w:kern w:val="1"/>
          <w:sz w:val="21"/>
          <w:szCs w:val="21"/>
          <w:highlight w:val="none"/>
          <w:u w:val="single"/>
          <w:lang w:val="zh-CN"/>
        </w:rPr>
        <w:t>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（盖章）</w:t>
      </w:r>
    </w:p>
    <w:p w14:paraId="46FF468E">
      <w:pPr>
        <w:pStyle w:val="68"/>
        <w:ind w:firstLine="3198" w:firstLineChars="13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法定代表人或授权代理人：</w:t>
      </w:r>
      <w:r>
        <w:rPr>
          <w:rFonts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lang w:val="zh-CN"/>
        </w:rPr>
        <w:t>(</w:t>
      </w:r>
      <w:r>
        <w:rPr>
          <w:rFonts w:hint="eastAsia" w:ascii="宋体" w:hAnsi="宋体" w:cs="宋体"/>
          <w:color w:val="auto"/>
          <w:spacing w:val="18"/>
          <w:kern w:val="1"/>
          <w:sz w:val="21"/>
          <w:szCs w:val="21"/>
          <w:highlight w:val="none"/>
          <w:lang w:val="zh-CN"/>
        </w:rPr>
        <w:t>签字或盖章</w:t>
      </w:r>
      <w:r>
        <w:rPr>
          <w:rFonts w:ascii="宋体" w:hAnsi="宋体" w:cs="宋体"/>
          <w:color w:val="auto"/>
          <w:spacing w:val="18"/>
          <w:kern w:val="1"/>
          <w:sz w:val="21"/>
          <w:szCs w:val="21"/>
          <w:highlight w:val="none"/>
          <w:lang w:val="zh-CN"/>
        </w:rPr>
        <w:t xml:space="preserve">) </w:t>
      </w:r>
    </w:p>
    <w:p w14:paraId="5AA77560">
      <w:pPr>
        <w:pStyle w:val="2"/>
        <w:spacing w:line="360" w:lineRule="auto"/>
        <w:ind w:firstLine="4920" w:firstLineChars="2000"/>
        <w:rPr>
          <w:rFonts w:cs="宋体"/>
          <w:color w:val="auto"/>
          <w:spacing w:val="18"/>
          <w:kern w:val="1"/>
          <w:sz w:val="21"/>
          <w:szCs w:val="21"/>
          <w:highlight w:val="none"/>
        </w:rPr>
      </w:pPr>
      <w:r>
        <w:rPr>
          <w:rFonts w:hint="eastAsia" w:cs="宋体"/>
          <w:color w:val="auto"/>
          <w:spacing w:val="18"/>
          <w:kern w:val="1"/>
          <w:sz w:val="21"/>
          <w:szCs w:val="21"/>
          <w:highlight w:val="none"/>
        </w:rPr>
        <w:t>日</w:t>
      </w:r>
      <w:r>
        <w:rPr>
          <w:rFonts w:cs="宋体"/>
          <w:color w:val="auto"/>
          <w:spacing w:val="18"/>
          <w:kern w:val="1"/>
          <w:sz w:val="21"/>
          <w:szCs w:val="21"/>
          <w:highlight w:val="none"/>
        </w:rPr>
        <w:t xml:space="preserve">   </w:t>
      </w:r>
      <w:r>
        <w:rPr>
          <w:rFonts w:hint="eastAsia" w:cs="宋体"/>
          <w:color w:val="auto"/>
          <w:spacing w:val="18"/>
          <w:kern w:val="1"/>
          <w:sz w:val="21"/>
          <w:szCs w:val="21"/>
          <w:highlight w:val="none"/>
        </w:rPr>
        <w:t>期：</w:t>
      </w:r>
      <w:r>
        <w:rPr>
          <w:rFonts w:cs="宋体"/>
          <w:color w:val="auto"/>
          <w:spacing w:val="18"/>
          <w:kern w:val="1"/>
          <w:sz w:val="21"/>
          <w:szCs w:val="21"/>
          <w:highlight w:val="none"/>
        </w:rPr>
        <w:t xml:space="preserve">    </w:t>
      </w:r>
      <w:r>
        <w:rPr>
          <w:rFonts w:hint="eastAsia" w:cs="宋体"/>
          <w:color w:val="auto"/>
          <w:spacing w:val="18"/>
          <w:kern w:val="1"/>
          <w:sz w:val="21"/>
          <w:szCs w:val="21"/>
          <w:highlight w:val="none"/>
        </w:rPr>
        <w:t>年</w:t>
      </w:r>
      <w:r>
        <w:rPr>
          <w:rFonts w:cs="宋体"/>
          <w:color w:val="auto"/>
          <w:spacing w:val="18"/>
          <w:kern w:val="1"/>
          <w:sz w:val="21"/>
          <w:szCs w:val="21"/>
          <w:highlight w:val="none"/>
        </w:rPr>
        <w:t xml:space="preserve">    </w:t>
      </w:r>
      <w:r>
        <w:rPr>
          <w:rFonts w:hint="eastAsia" w:cs="宋体"/>
          <w:color w:val="auto"/>
          <w:spacing w:val="18"/>
          <w:kern w:val="1"/>
          <w:sz w:val="21"/>
          <w:szCs w:val="21"/>
          <w:highlight w:val="none"/>
        </w:rPr>
        <w:t>月</w:t>
      </w:r>
      <w:r>
        <w:rPr>
          <w:rFonts w:cs="宋体"/>
          <w:color w:val="auto"/>
          <w:spacing w:val="18"/>
          <w:kern w:val="1"/>
          <w:sz w:val="21"/>
          <w:szCs w:val="21"/>
          <w:highlight w:val="none"/>
        </w:rPr>
        <w:t xml:space="preserve">    </w:t>
      </w:r>
      <w:r>
        <w:rPr>
          <w:rFonts w:hint="eastAsia" w:cs="宋体"/>
          <w:color w:val="auto"/>
          <w:spacing w:val="18"/>
          <w:kern w:val="1"/>
          <w:sz w:val="21"/>
          <w:szCs w:val="21"/>
          <w:highlight w:val="none"/>
        </w:rPr>
        <w:t>日</w:t>
      </w:r>
    </w:p>
    <w:p w14:paraId="132F5607">
      <w:pPr>
        <w:spacing w:line="360" w:lineRule="auto"/>
        <w:jc w:val="center"/>
        <w:rPr>
          <w:rFonts w:ascii="宋体" w:hAnsi="宋体" w:cs="宋体"/>
          <w:color w:val="auto"/>
          <w:kern w:val="1"/>
          <w:sz w:val="28"/>
          <w:szCs w:val="28"/>
          <w:highlight w:val="none"/>
        </w:rPr>
      </w:pPr>
      <w:r>
        <w:rPr>
          <w:color w:val="auto"/>
          <w:highlight w:val="none"/>
        </w:rPr>
        <w:br w:type="page"/>
      </w:r>
      <w:r>
        <w:rPr>
          <w:rFonts w:hint="eastAsia" w:ascii="宋体" w:hAnsi="宋体" w:cs="宋体"/>
          <w:b/>
          <w:bCs/>
          <w:color w:val="auto"/>
          <w:kern w:val="1"/>
          <w:sz w:val="28"/>
          <w:szCs w:val="28"/>
          <w:highlight w:val="none"/>
          <w:lang w:val="zh-CN"/>
        </w:rPr>
        <w:t>投标人施工工程业绩获奖情况表</w:t>
      </w:r>
    </w:p>
    <w:tbl>
      <w:tblPr>
        <w:tblStyle w:val="34"/>
        <w:tblW w:w="5000" w:type="pct"/>
        <w:tblInd w:w="0" w:type="dxa"/>
        <w:tblLayout w:type="autofit"/>
        <w:tblCellMar>
          <w:top w:w="0" w:type="dxa"/>
          <w:left w:w="108" w:type="dxa"/>
          <w:bottom w:w="0" w:type="dxa"/>
          <w:right w:w="108" w:type="dxa"/>
        </w:tblCellMar>
      </w:tblPr>
      <w:tblGrid>
        <w:gridCol w:w="932"/>
        <w:gridCol w:w="934"/>
        <w:gridCol w:w="2228"/>
        <w:gridCol w:w="1311"/>
        <w:gridCol w:w="1311"/>
        <w:gridCol w:w="1312"/>
        <w:gridCol w:w="1487"/>
      </w:tblGrid>
      <w:tr w14:paraId="33583EDC">
        <w:tblPrEx>
          <w:tblCellMar>
            <w:top w:w="0" w:type="dxa"/>
            <w:left w:w="108" w:type="dxa"/>
            <w:bottom w:w="0" w:type="dxa"/>
            <w:right w:w="108" w:type="dxa"/>
          </w:tblCellMar>
        </w:tblPrEx>
        <w:trPr>
          <w:trHeight w:val="13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14777D4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491" w:type="pct"/>
            <w:tcBorders>
              <w:top w:val="single" w:color="000000" w:sz="4" w:space="0"/>
              <w:left w:val="single" w:color="000000" w:sz="4" w:space="0"/>
              <w:bottom w:val="single" w:color="000000" w:sz="4" w:space="0"/>
              <w:right w:val="single" w:color="000000" w:sz="4" w:space="0"/>
            </w:tcBorders>
            <w:vAlign w:val="center"/>
          </w:tcPr>
          <w:p w14:paraId="11D9571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1171" w:type="pct"/>
            <w:tcBorders>
              <w:top w:val="single" w:color="000000" w:sz="4" w:space="0"/>
              <w:left w:val="single" w:color="000000" w:sz="4" w:space="0"/>
              <w:bottom w:val="single" w:color="000000" w:sz="4" w:space="0"/>
              <w:right w:val="single" w:color="000000" w:sz="4" w:space="0"/>
            </w:tcBorders>
            <w:vAlign w:val="center"/>
          </w:tcPr>
          <w:p w14:paraId="30D8AC6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689" w:type="pct"/>
            <w:tcBorders>
              <w:top w:val="single" w:color="000000" w:sz="4" w:space="0"/>
              <w:left w:val="single" w:color="000000" w:sz="4" w:space="0"/>
              <w:bottom w:val="single" w:color="000000" w:sz="4" w:space="0"/>
              <w:right w:val="single" w:color="000000" w:sz="4" w:space="0"/>
            </w:tcBorders>
            <w:vAlign w:val="center"/>
          </w:tcPr>
          <w:p w14:paraId="79FDBD9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689" w:type="pct"/>
            <w:tcBorders>
              <w:top w:val="single" w:color="000000" w:sz="4" w:space="0"/>
              <w:left w:val="single" w:color="000000" w:sz="4" w:space="0"/>
              <w:bottom w:val="single" w:color="000000" w:sz="4" w:space="0"/>
              <w:right w:val="single" w:color="000000" w:sz="4" w:space="0"/>
            </w:tcBorders>
            <w:vAlign w:val="center"/>
          </w:tcPr>
          <w:p w14:paraId="081A12C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689" w:type="pct"/>
            <w:tcBorders>
              <w:top w:val="single" w:color="000000" w:sz="4" w:space="0"/>
              <w:left w:val="single" w:color="000000" w:sz="4" w:space="0"/>
              <w:bottom w:val="single" w:color="000000" w:sz="4" w:space="0"/>
              <w:right w:val="single" w:color="000000" w:sz="4" w:space="0"/>
            </w:tcBorders>
            <w:vAlign w:val="center"/>
          </w:tcPr>
          <w:p w14:paraId="50C47F9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c>
          <w:tcPr>
            <w:tcW w:w="781" w:type="pct"/>
            <w:tcBorders>
              <w:top w:val="single" w:color="000000" w:sz="4" w:space="0"/>
              <w:left w:val="single" w:color="000000" w:sz="4" w:space="0"/>
              <w:bottom w:val="single" w:color="000000" w:sz="4" w:space="0"/>
              <w:right w:val="single" w:color="000000" w:sz="4" w:space="0"/>
            </w:tcBorders>
            <w:vAlign w:val="center"/>
          </w:tcPr>
          <w:p w14:paraId="52889D3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5887BD88">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086CF54B">
            <w:pP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6B89F1B8">
            <w:pP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6DE4358B">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3CD2A0E0">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6D76B443">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7F7CD839">
            <w:pP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28EE8861">
            <w:pPr>
              <w:spacing w:line="360" w:lineRule="auto"/>
              <w:jc w:val="center"/>
              <w:rPr>
                <w:rFonts w:ascii="宋体" w:hAnsi="宋体" w:cs="宋体"/>
                <w:color w:val="auto"/>
                <w:kern w:val="1"/>
                <w:szCs w:val="21"/>
                <w:highlight w:val="none"/>
              </w:rPr>
            </w:pPr>
          </w:p>
        </w:tc>
      </w:tr>
      <w:tr w14:paraId="58ED8011">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4624B157">
            <w:pP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0C154C77">
            <w:pP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2145711C">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3EB987DA">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C1BB29C">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722D5A95">
            <w:pP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6E555939">
            <w:pPr>
              <w:spacing w:line="360" w:lineRule="auto"/>
              <w:jc w:val="center"/>
              <w:rPr>
                <w:rFonts w:ascii="宋体" w:hAnsi="宋体" w:cs="宋体"/>
                <w:color w:val="auto"/>
                <w:kern w:val="1"/>
                <w:szCs w:val="21"/>
                <w:highlight w:val="none"/>
              </w:rPr>
            </w:pPr>
          </w:p>
        </w:tc>
      </w:tr>
      <w:tr w14:paraId="7A184BDF">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7A11E183">
            <w:pP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186BE98">
            <w:pP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00A9ADFE">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038B35A4">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069AF5E9">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7ABEB8A7">
            <w:pP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7ABED6E2">
            <w:pPr>
              <w:spacing w:line="360" w:lineRule="auto"/>
              <w:jc w:val="center"/>
              <w:rPr>
                <w:rFonts w:ascii="宋体" w:hAnsi="宋体" w:cs="宋体"/>
                <w:color w:val="auto"/>
                <w:kern w:val="1"/>
                <w:szCs w:val="21"/>
                <w:highlight w:val="none"/>
              </w:rPr>
            </w:pPr>
          </w:p>
        </w:tc>
      </w:tr>
      <w:tr w14:paraId="50D80750">
        <w:tblPrEx>
          <w:tblCellMar>
            <w:top w:w="0" w:type="dxa"/>
            <w:left w:w="108" w:type="dxa"/>
            <w:bottom w:w="0" w:type="dxa"/>
            <w:right w:w="108" w:type="dxa"/>
          </w:tblCellMar>
        </w:tblPrEx>
        <w:trPr>
          <w:trHeight w:val="613"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281BDCB7">
            <w:pP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669A6697">
            <w:pP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79FE3924">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41052769">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7A4532EB">
            <w:pP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5216C74A">
            <w:pP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34B2532E">
            <w:pPr>
              <w:spacing w:line="360" w:lineRule="auto"/>
              <w:jc w:val="center"/>
              <w:rPr>
                <w:rFonts w:ascii="宋体" w:hAnsi="宋体" w:cs="宋体"/>
                <w:color w:val="auto"/>
                <w:kern w:val="1"/>
                <w:szCs w:val="21"/>
                <w:highlight w:val="none"/>
              </w:rPr>
            </w:pPr>
          </w:p>
        </w:tc>
      </w:tr>
    </w:tbl>
    <w:p w14:paraId="6D523C96">
      <w:pPr>
        <w:pStyle w:val="2"/>
        <w:spacing w:line="360" w:lineRule="auto"/>
        <w:rPr>
          <w:color w:val="auto"/>
          <w:highlight w:val="none"/>
          <w:lang w:val="en-US"/>
        </w:rPr>
      </w:pPr>
      <w:r>
        <w:rPr>
          <w:rFonts w:hint="eastAsia" w:cs="宋体"/>
          <w:color w:val="auto"/>
          <w:kern w:val="1"/>
          <w:sz w:val="18"/>
          <w:szCs w:val="18"/>
          <w:highlight w:val="none"/>
        </w:rPr>
        <w:t>注：</w:t>
      </w:r>
      <w:r>
        <w:rPr>
          <w:rFonts w:cs="宋体"/>
          <w:color w:val="auto"/>
          <w:kern w:val="1"/>
          <w:sz w:val="18"/>
          <w:szCs w:val="18"/>
          <w:highlight w:val="none"/>
        </w:rPr>
        <w:t xml:space="preserve"> </w:t>
      </w:r>
      <w:r>
        <w:rPr>
          <w:rFonts w:hint="eastAsia" w:cs="宋体"/>
          <w:color w:val="auto"/>
          <w:kern w:val="1"/>
          <w:sz w:val="18"/>
          <w:szCs w:val="18"/>
          <w:highlight w:val="none"/>
        </w:rPr>
        <w:t>投标人应根据招标文件第三章《评标办法》“工程总承包实施方案技术部分评分表”要求在本表后附对应的相关证明材料。</w:t>
      </w:r>
    </w:p>
    <w:p w14:paraId="657D0689">
      <w:pPr>
        <w:pStyle w:val="2"/>
        <w:spacing w:line="360" w:lineRule="auto"/>
        <w:rPr>
          <w:rFonts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11</w:t>
      </w:r>
      <w:r>
        <w:rPr>
          <w:rFonts w:hint="eastAsia" w:cs="宋体"/>
          <w:b/>
          <w:color w:val="auto"/>
          <w:kern w:val="1"/>
          <w:sz w:val="24"/>
          <w:highlight w:val="none"/>
        </w:rPr>
        <w:t>：</w:t>
      </w:r>
    </w:p>
    <w:p w14:paraId="1120A2E0">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施工组织设计方案</w:t>
      </w:r>
    </w:p>
    <w:p w14:paraId="49591BFA">
      <w:pPr>
        <w:pStyle w:val="2"/>
        <w:spacing w:line="360" w:lineRule="auto"/>
        <w:jc w:val="center"/>
        <w:rPr>
          <w:color w:val="auto"/>
          <w:highlight w:val="none"/>
        </w:rPr>
      </w:pPr>
      <w:r>
        <w:rPr>
          <w:rFonts w:hint="eastAsia"/>
          <w:color w:val="auto"/>
          <w:sz w:val="24"/>
          <w:szCs w:val="24"/>
          <w:highlight w:val="none"/>
        </w:rPr>
        <w:t>注：按照《工程总承包实施方案技术部分评分表》评审内容提交，格式自拟。</w:t>
      </w:r>
    </w:p>
    <w:p w14:paraId="42EF2880">
      <w:pPr>
        <w:pStyle w:val="32"/>
        <w:spacing w:line="360" w:lineRule="auto"/>
        <w:ind w:firstLine="0"/>
        <w:rPr>
          <w:rFonts w:ascii="宋体" w:hAnsi="宋体" w:cs="宋体"/>
          <w:b/>
          <w:color w:val="auto"/>
          <w:kern w:val="0"/>
          <w:sz w:val="28"/>
          <w:szCs w:val="28"/>
          <w:highlight w:val="none"/>
        </w:rPr>
      </w:pPr>
    </w:p>
    <w:p w14:paraId="6FB836FE">
      <w:pPr>
        <w:spacing w:line="360" w:lineRule="auto"/>
        <w:rPr>
          <w:rFonts w:ascii="宋体" w:hAnsi="宋体" w:cs="宋体"/>
          <w:color w:val="auto"/>
          <w:kern w:val="1"/>
          <w:szCs w:val="21"/>
          <w:highlight w:val="none"/>
        </w:rPr>
      </w:pPr>
      <w:r>
        <w:rPr>
          <w:rFonts w:hint="eastAsia" w:ascii="宋体" w:hAnsi="宋体" w:cs="宋体"/>
          <w:b/>
          <w:color w:val="auto"/>
          <w:kern w:val="1"/>
          <w:sz w:val="30"/>
          <w:szCs w:val="30"/>
          <w:highlight w:val="none"/>
        </w:rPr>
        <w:br w:type="page"/>
      </w:r>
    </w:p>
    <w:p w14:paraId="3EB5663B">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12</w:t>
      </w:r>
      <w:r>
        <w:rPr>
          <w:rFonts w:hint="eastAsia" w:ascii="宋体" w:hAnsi="宋体" w:cs="宋体"/>
          <w:b/>
          <w:color w:val="auto"/>
          <w:kern w:val="1"/>
          <w:sz w:val="24"/>
          <w:highlight w:val="none"/>
          <w:lang w:val="zh-CN"/>
        </w:rPr>
        <w:t>：</w:t>
      </w:r>
    </w:p>
    <w:p w14:paraId="70E5537C">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参与编制工程总承包实施方案技术投标文件人员名单</w:t>
      </w:r>
    </w:p>
    <w:tbl>
      <w:tblPr>
        <w:tblStyle w:val="34"/>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14:paraId="0681F1B9">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39D2E6B9">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2FC638A7">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5D387441">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56CA4358">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50800063">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626E9EFA">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64716FF">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BC26C3B">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838ADDC">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2300CAC">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2CBA32F">
            <w:pPr>
              <w:tabs>
                <w:tab w:val="left" w:pos="0"/>
                <w:tab w:val="left" w:pos="720"/>
              </w:tabs>
              <w:spacing w:line="360" w:lineRule="auto"/>
              <w:jc w:val="center"/>
              <w:rPr>
                <w:rFonts w:ascii="宋体" w:hAnsi="宋体" w:cs="宋体"/>
                <w:color w:val="auto"/>
                <w:kern w:val="1"/>
                <w:szCs w:val="21"/>
                <w:highlight w:val="none"/>
              </w:rPr>
            </w:pPr>
          </w:p>
        </w:tc>
      </w:tr>
      <w:tr w14:paraId="1CA963B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090802B">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32B90EC">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61FD648">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99A6E6C">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B9B69B7">
            <w:pPr>
              <w:tabs>
                <w:tab w:val="left" w:pos="0"/>
                <w:tab w:val="left" w:pos="720"/>
              </w:tabs>
              <w:spacing w:line="360" w:lineRule="auto"/>
              <w:jc w:val="center"/>
              <w:rPr>
                <w:rFonts w:ascii="宋体" w:hAnsi="宋体" w:cs="宋体"/>
                <w:color w:val="auto"/>
                <w:kern w:val="1"/>
                <w:szCs w:val="21"/>
                <w:highlight w:val="none"/>
              </w:rPr>
            </w:pPr>
          </w:p>
        </w:tc>
      </w:tr>
      <w:tr w14:paraId="0248C11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06BDF1F">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35B9568">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2B92FF9">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9217827">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C1266B2">
            <w:pPr>
              <w:tabs>
                <w:tab w:val="left" w:pos="0"/>
                <w:tab w:val="left" w:pos="720"/>
              </w:tabs>
              <w:spacing w:line="360" w:lineRule="auto"/>
              <w:jc w:val="center"/>
              <w:rPr>
                <w:rFonts w:ascii="宋体" w:hAnsi="宋体" w:cs="宋体"/>
                <w:color w:val="auto"/>
                <w:kern w:val="1"/>
                <w:szCs w:val="21"/>
                <w:highlight w:val="none"/>
              </w:rPr>
            </w:pPr>
          </w:p>
        </w:tc>
      </w:tr>
      <w:tr w14:paraId="12219BD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F17D86F">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4D58FB3">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6F57854">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1AEE3DA">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6AD5448">
            <w:pPr>
              <w:tabs>
                <w:tab w:val="left" w:pos="0"/>
                <w:tab w:val="left" w:pos="720"/>
              </w:tabs>
              <w:spacing w:line="360" w:lineRule="auto"/>
              <w:jc w:val="center"/>
              <w:rPr>
                <w:rFonts w:ascii="宋体" w:hAnsi="宋体" w:cs="宋体"/>
                <w:color w:val="auto"/>
                <w:kern w:val="1"/>
                <w:szCs w:val="21"/>
                <w:highlight w:val="none"/>
              </w:rPr>
            </w:pPr>
          </w:p>
        </w:tc>
      </w:tr>
      <w:tr w14:paraId="5B20BFDA">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7673875">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FF3643E">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4B43D92">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7F77EEA">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5C3351E">
            <w:pPr>
              <w:tabs>
                <w:tab w:val="left" w:pos="0"/>
                <w:tab w:val="left" w:pos="720"/>
              </w:tabs>
              <w:spacing w:line="360" w:lineRule="auto"/>
              <w:jc w:val="center"/>
              <w:rPr>
                <w:rFonts w:ascii="宋体" w:hAnsi="宋体" w:cs="宋体"/>
                <w:color w:val="auto"/>
                <w:kern w:val="1"/>
                <w:szCs w:val="21"/>
                <w:highlight w:val="none"/>
              </w:rPr>
            </w:pPr>
          </w:p>
        </w:tc>
      </w:tr>
      <w:tr w14:paraId="35F0D46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EA69B8F">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F5EB476">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8BEEA1F">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2C312BB">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02665D3">
            <w:pPr>
              <w:tabs>
                <w:tab w:val="left" w:pos="0"/>
                <w:tab w:val="left" w:pos="720"/>
              </w:tabs>
              <w:spacing w:line="360" w:lineRule="auto"/>
              <w:jc w:val="center"/>
              <w:rPr>
                <w:rFonts w:ascii="宋体" w:hAnsi="宋体" w:cs="宋体"/>
                <w:color w:val="auto"/>
                <w:kern w:val="1"/>
                <w:szCs w:val="21"/>
                <w:highlight w:val="none"/>
              </w:rPr>
            </w:pPr>
          </w:p>
        </w:tc>
      </w:tr>
      <w:tr w14:paraId="3F5FA28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7082901">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F67AEB4">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626A88C">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EA14111">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6615532">
            <w:pPr>
              <w:tabs>
                <w:tab w:val="left" w:pos="0"/>
                <w:tab w:val="left" w:pos="720"/>
              </w:tabs>
              <w:spacing w:line="360" w:lineRule="auto"/>
              <w:jc w:val="center"/>
              <w:rPr>
                <w:rFonts w:ascii="宋体" w:hAnsi="宋体" w:cs="宋体"/>
                <w:color w:val="auto"/>
                <w:kern w:val="1"/>
                <w:szCs w:val="21"/>
                <w:highlight w:val="none"/>
              </w:rPr>
            </w:pPr>
          </w:p>
        </w:tc>
      </w:tr>
      <w:tr w14:paraId="0F3177F7">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2F9614B">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37BA9EB">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BA2B8FD">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F782206">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05E9198">
            <w:pPr>
              <w:tabs>
                <w:tab w:val="left" w:pos="0"/>
                <w:tab w:val="left" w:pos="720"/>
              </w:tabs>
              <w:spacing w:line="360" w:lineRule="auto"/>
              <w:jc w:val="center"/>
              <w:rPr>
                <w:rFonts w:ascii="宋体" w:hAnsi="宋体" w:cs="宋体"/>
                <w:color w:val="auto"/>
                <w:kern w:val="1"/>
                <w:szCs w:val="21"/>
                <w:highlight w:val="none"/>
              </w:rPr>
            </w:pPr>
          </w:p>
        </w:tc>
      </w:tr>
      <w:tr w14:paraId="51D2F42D">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C8EC9DC">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A0169DF">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398EDC2">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3BF5CC9">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39E7201">
            <w:pPr>
              <w:tabs>
                <w:tab w:val="left" w:pos="0"/>
                <w:tab w:val="left" w:pos="720"/>
              </w:tabs>
              <w:spacing w:line="360" w:lineRule="auto"/>
              <w:jc w:val="center"/>
              <w:rPr>
                <w:rFonts w:ascii="宋体" w:hAnsi="宋体" w:cs="宋体"/>
                <w:color w:val="auto"/>
                <w:kern w:val="1"/>
                <w:szCs w:val="21"/>
                <w:highlight w:val="none"/>
              </w:rPr>
            </w:pPr>
          </w:p>
        </w:tc>
      </w:tr>
      <w:tr w14:paraId="0B0748C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F09670D">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5B6BDCF">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640D7E01">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AF4B8A5">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CD72A8B">
            <w:pPr>
              <w:tabs>
                <w:tab w:val="left" w:pos="0"/>
                <w:tab w:val="left" w:pos="720"/>
              </w:tabs>
              <w:spacing w:line="360" w:lineRule="auto"/>
              <w:jc w:val="center"/>
              <w:rPr>
                <w:rFonts w:ascii="宋体" w:hAnsi="宋体" w:cs="宋体"/>
                <w:color w:val="auto"/>
                <w:kern w:val="1"/>
                <w:szCs w:val="21"/>
                <w:highlight w:val="none"/>
              </w:rPr>
            </w:pPr>
          </w:p>
        </w:tc>
      </w:tr>
      <w:tr w14:paraId="5BBF3F2C">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8D7CEFA">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F322DDA">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17F2F74">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B5FD792">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DFEBD4A">
            <w:pPr>
              <w:tabs>
                <w:tab w:val="left" w:pos="0"/>
                <w:tab w:val="left" w:pos="720"/>
              </w:tabs>
              <w:spacing w:line="360" w:lineRule="auto"/>
              <w:jc w:val="center"/>
              <w:rPr>
                <w:rFonts w:ascii="宋体" w:hAnsi="宋体" w:cs="宋体"/>
                <w:color w:val="auto"/>
                <w:kern w:val="1"/>
                <w:szCs w:val="21"/>
                <w:highlight w:val="none"/>
              </w:rPr>
            </w:pPr>
          </w:p>
        </w:tc>
      </w:tr>
    </w:tbl>
    <w:p w14:paraId="4BF577AD">
      <w:pPr>
        <w:spacing w:line="360" w:lineRule="auto"/>
        <w:ind w:left="1" w:right="-191"/>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注：参与编制文件人员名单应包括如编制工程总承包实施方案技术投标文件、负责清样校对、负责打印及复印等所有人员在内的人员名单。</w:t>
      </w:r>
    </w:p>
    <w:p w14:paraId="4E36582C">
      <w:pPr>
        <w:pStyle w:val="2"/>
        <w:spacing w:line="360" w:lineRule="auto"/>
        <w:rPr>
          <w:color w:val="auto"/>
          <w:highlight w:val="none"/>
          <w:lang w:val="en-US"/>
        </w:rPr>
      </w:pPr>
    </w:p>
    <w:p w14:paraId="44E0CC6A">
      <w:pPr>
        <w:pStyle w:val="2"/>
        <w:spacing w:line="360" w:lineRule="auto"/>
        <w:jc w:val="center"/>
        <w:rPr>
          <w:color w:val="auto"/>
          <w:highlight w:val="none"/>
          <w:lang w:val="en-US"/>
        </w:rPr>
      </w:pPr>
    </w:p>
    <w:p w14:paraId="288015D9">
      <w:pPr>
        <w:pStyle w:val="2"/>
        <w:spacing w:line="360" w:lineRule="auto"/>
        <w:rPr>
          <w:color w:val="auto"/>
          <w:highlight w:val="none"/>
        </w:rPr>
      </w:pPr>
      <w:r>
        <w:rPr>
          <w:color w:val="auto"/>
          <w:highlight w:val="none"/>
        </w:rPr>
        <w:br w:type="page"/>
      </w:r>
    </w:p>
    <w:p w14:paraId="08D94DED">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13</w:t>
      </w:r>
      <w:r>
        <w:rPr>
          <w:rFonts w:hint="eastAsia" w:cs="宋体"/>
          <w:b/>
          <w:color w:val="auto"/>
          <w:kern w:val="1"/>
          <w:sz w:val="24"/>
          <w:highlight w:val="none"/>
        </w:rPr>
        <w:t>：</w:t>
      </w:r>
    </w:p>
    <w:p w14:paraId="217FCAC4">
      <w:pPr>
        <w:pStyle w:val="2"/>
        <w:spacing w:line="360" w:lineRule="auto"/>
        <w:jc w:val="center"/>
        <w:rPr>
          <w:rFonts w:cs="宋体"/>
          <w:b/>
          <w:bCs/>
          <w:strike/>
          <w:color w:val="auto"/>
          <w:sz w:val="28"/>
          <w:szCs w:val="28"/>
          <w:highlight w:val="none"/>
        </w:rPr>
      </w:pPr>
      <w:bookmarkStart w:id="378" w:name="_Hlk69828306"/>
      <w:r>
        <w:rPr>
          <w:rFonts w:hint="eastAsia" w:cs="宋体"/>
          <w:b/>
          <w:bCs/>
          <w:strike/>
          <w:color w:val="auto"/>
          <w:sz w:val="28"/>
          <w:szCs w:val="28"/>
          <w:highlight w:val="none"/>
        </w:rPr>
        <w:t>投标保证金</w:t>
      </w:r>
    </w:p>
    <w:p w14:paraId="0796C633">
      <w:pPr>
        <w:pStyle w:val="2"/>
        <w:spacing w:line="360" w:lineRule="auto"/>
        <w:jc w:val="left"/>
        <w:rPr>
          <w:strike/>
          <w:color w:val="auto"/>
          <w:sz w:val="24"/>
          <w:szCs w:val="24"/>
          <w:highlight w:val="none"/>
        </w:rPr>
      </w:pPr>
      <w:r>
        <w:rPr>
          <w:rFonts w:hint="eastAsia"/>
          <w:strike/>
          <w:color w:val="auto"/>
          <w:sz w:val="24"/>
          <w:szCs w:val="24"/>
          <w:highlight w:val="none"/>
        </w:rPr>
        <w:t>注：如采用现金或者支票形式提交由广州公共资源交易中心代收的，或采用广州公共资源交易中心电子形式的保函、担保或保证保险提交的，以投标文件递交截止时间后在广州公共资源交易中心数据库查询的投标保证金递交情况为准，投标人不需另外提供凭证；</w:t>
      </w:r>
    </w:p>
    <w:bookmarkEnd w:id="378"/>
    <w:p w14:paraId="6B668774">
      <w:pPr>
        <w:pStyle w:val="2"/>
        <w:spacing w:line="360" w:lineRule="auto"/>
        <w:ind w:firstLine="480" w:firstLineChars="200"/>
        <w:jc w:val="left"/>
        <w:rPr>
          <w:strike/>
          <w:color w:val="auto"/>
          <w:sz w:val="24"/>
          <w:szCs w:val="24"/>
          <w:highlight w:val="none"/>
        </w:rPr>
      </w:pPr>
      <w:r>
        <w:rPr>
          <w:rFonts w:hint="eastAsia"/>
          <w:strike/>
          <w:color w:val="auto"/>
          <w:sz w:val="24"/>
          <w:szCs w:val="24"/>
          <w:highlight w:val="none"/>
        </w:rPr>
        <w:t>如采用非电子形式的银行保函、保证保险、专业工程担保公司担保提交的，投标人应在此处提供银行保函、保证保险、专业工程担保公司担保等的原件扫描件并加盖投标人（或联合体牵头人）电子印章。</w:t>
      </w:r>
    </w:p>
    <w:p w14:paraId="6CD46B68">
      <w:pPr>
        <w:widowControl/>
        <w:jc w:val="left"/>
        <w:rPr>
          <w:rFonts w:ascii="宋体" w:hAnsi="宋体" w:cs="Courier New"/>
          <w:color w:val="auto"/>
          <w:sz w:val="20"/>
          <w:szCs w:val="20"/>
          <w:highlight w:val="none"/>
          <w:lang w:val="zh-CN"/>
        </w:rPr>
      </w:pPr>
      <w:r>
        <w:rPr>
          <w:color w:val="auto"/>
          <w:highlight w:val="none"/>
        </w:rPr>
        <w:br w:type="page"/>
      </w:r>
    </w:p>
    <w:p w14:paraId="7165A008">
      <w:pPr>
        <w:pStyle w:val="2"/>
        <w:rPr>
          <w:color w:val="auto"/>
          <w:spacing w:val="2"/>
          <w:position w:val="-1"/>
          <w:sz w:val="32"/>
          <w:szCs w:val="32"/>
          <w:highlight w:val="none"/>
        </w:rPr>
      </w:pPr>
      <w:bookmarkStart w:id="379" w:name="_Toc50480839"/>
      <w:bookmarkStart w:id="380" w:name="_Toc10571"/>
      <w:r>
        <w:rPr>
          <w:rFonts w:hint="eastAsia" w:cs="宋体"/>
          <w:b/>
          <w:color w:val="auto"/>
          <w:kern w:val="1"/>
          <w:sz w:val="24"/>
          <w:highlight w:val="none"/>
        </w:rPr>
        <w:t>格式</w:t>
      </w:r>
      <w:r>
        <w:rPr>
          <w:rFonts w:cs="宋体"/>
          <w:b/>
          <w:color w:val="auto"/>
          <w:kern w:val="1"/>
          <w:sz w:val="24"/>
          <w:highlight w:val="none"/>
        </w:rPr>
        <w:t>14</w:t>
      </w:r>
      <w:r>
        <w:rPr>
          <w:rFonts w:hint="eastAsia" w:cs="宋体"/>
          <w:b/>
          <w:color w:val="auto"/>
          <w:kern w:val="1"/>
          <w:sz w:val="24"/>
          <w:highlight w:val="none"/>
        </w:rPr>
        <w:t>：</w:t>
      </w:r>
      <w:bookmarkEnd w:id="379"/>
      <w:bookmarkEnd w:id="380"/>
      <w:r>
        <w:rPr>
          <w:rFonts w:hint="eastAsia" w:cs="宋体"/>
          <w:b/>
          <w:color w:val="auto"/>
          <w:kern w:val="1"/>
          <w:sz w:val="24"/>
          <w:highlight w:val="none"/>
        </w:rPr>
        <w:t>合作设计协议书（适用于合作设计，否则可不提供）</w:t>
      </w:r>
    </w:p>
    <w:p w14:paraId="4A21A801">
      <w:pPr>
        <w:jc w:val="center"/>
        <w:rPr>
          <w:rFonts w:ascii="宋体"/>
          <w:b/>
          <w:bCs/>
          <w:color w:val="auto"/>
          <w:sz w:val="32"/>
          <w:szCs w:val="32"/>
          <w:highlight w:val="none"/>
        </w:rPr>
      </w:pPr>
    </w:p>
    <w:p w14:paraId="14F62CED">
      <w:pPr>
        <w:jc w:val="center"/>
        <w:rPr>
          <w:rFonts w:ascii="宋体"/>
          <w:b/>
          <w:bCs/>
          <w:color w:val="auto"/>
          <w:sz w:val="32"/>
          <w:szCs w:val="32"/>
          <w:highlight w:val="none"/>
        </w:rPr>
      </w:pPr>
      <w:r>
        <w:rPr>
          <w:rFonts w:hint="eastAsia" w:ascii="宋体" w:hAnsi="宋体"/>
          <w:b/>
          <w:bCs/>
          <w:color w:val="auto"/>
          <w:sz w:val="32"/>
          <w:szCs w:val="32"/>
          <w:highlight w:val="none"/>
        </w:rPr>
        <w:t>合作设计协议书</w:t>
      </w:r>
    </w:p>
    <w:p w14:paraId="22C4E4B9">
      <w:pPr>
        <w:rPr>
          <w:rFonts w:ascii="宋体"/>
          <w:b/>
          <w:bCs/>
          <w:color w:val="auto"/>
          <w:szCs w:val="21"/>
          <w:highlight w:val="none"/>
        </w:rPr>
      </w:pPr>
      <w:r>
        <w:rPr>
          <w:rFonts w:ascii="宋体" w:hAnsi="宋体"/>
          <w:color w:val="auto"/>
          <w:highlight w:val="none"/>
        </w:rPr>
        <w:t xml:space="preserve">                             </w:t>
      </w:r>
    </w:p>
    <w:p w14:paraId="2EE095A9">
      <w:pPr>
        <w:rPr>
          <w:rFonts w:ascii="宋体" w:hAnsi="宋体"/>
          <w:color w:val="auto"/>
          <w:sz w:val="24"/>
          <w:highlight w:val="none"/>
        </w:rPr>
      </w:pPr>
      <w:r>
        <w:rPr>
          <w:rFonts w:ascii="宋体" w:hAnsi="宋体"/>
          <w:color w:val="auto"/>
          <w:sz w:val="24"/>
          <w:highlight w:val="none"/>
        </w:rPr>
        <w:t xml:space="preserve"> </w:t>
      </w:r>
    </w:p>
    <w:p w14:paraId="1D9C2ED1">
      <w:pPr>
        <w:jc w:val="left"/>
        <w:rPr>
          <w:rFonts w:ascii="宋体"/>
          <w:color w:val="auto"/>
          <w:sz w:val="24"/>
          <w:szCs w:val="24"/>
          <w:highlight w:val="none"/>
        </w:rPr>
      </w:pPr>
      <w:r>
        <w:rPr>
          <w:rFonts w:hint="eastAsia" w:ascii="宋体" w:hAnsi="宋体"/>
          <w:color w:val="auto"/>
          <w:sz w:val="24"/>
          <w:szCs w:val="24"/>
          <w:highlight w:val="none"/>
        </w:rPr>
        <w:t>投标项目名称：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1600D2C0">
      <w:pPr>
        <w:pStyle w:val="2"/>
        <w:rPr>
          <w:color w:val="auto"/>
          <w:sz w:val="24"/>
          <w:szCs w:val="24"/>
          <w:highlight w:val="none"/>
        </w:rPr>
      </w:pPr>
      <w:r>
        <w:rPr>
          <w:color w:val="auto"/>
          <w:sz w:val="24"/>
          <w:szCs w:val="24"/>
          <w:highlight w:val="none"/>
        </w:rPr>
        <w:t xml:space="preserve"> </w:t>
      </w:r>
    </w:p>
    <w:p w14:paraId="2A7A3511">
      <w:pPr>
        <w:pStyle w:val="2"/>
        <w:rPr>
          <w:color w:val="auto"/>
          <w:sz w:val="24"/>
          <w:szCs w:val="24"/>
          <w:highlight w:val="none"/>
        </w:rPr>
      </w:pPr>
      <w:r>
        <w:rPr>
          <w:rFonts w:hint="eastAsia"/>
          <w:color w:val="auto"/>
          <w:sz w:val="24"/>
          <w:szCs w:val="24"/>
          <w:highlight w:val="none"/>
        </w:rPr>
        <w:t>致：</w:t>
      </w:r>
      <w:r>
        <w:rPr>
          <w:color w:val="auto"/>
          <w:sz w:val="24"/>
          <w:szCs w:val="24"/>
          <w:highlight w:val="none"/>
          <w:u w:val="single"/>
        </w:rPr>
        <w:t xml:space="preserve">                                    </w:t>
      </w:r>
      <w:r>
        <w:rPr>
          <w:rFonts w:hint="eastAsia"/>
          <w:color w:val="auto"/>
          <w:sz w:val="24"/>
          <w:szCs w:val="24"/>
          <w:highlight w:val="none"/>
        </w:rPr>
        <w:t>（招标人、招标代理机构名称）</w:t>
      </w:r>
    </w:p>
    <w:p w14:paraId="23A31892">
      <w:pPr>
        <w:jc w:val="left"/>
        <w:rPr>
          <w:rFonts w:ascii="宋体" w:hAnsi="宋体"/>
          <w:color w:val="auto"/>
          <w:sz w:val="24"/>
          <w:szCs w:val="24"/>
          <w:highlight w:val="none"/>
        </w:rPr>
      </w:pPr>
      <w:r>
        <w:rPr>
          <w:rFonts w:ascii="宋体" w:hAnsi="宋体"/>
          <w:color w:val="auto"/>
          <w:sz w:val="24"/>
          <w:szCs w:val="24"/>
          <w:highlight w:val="none"/>
        </w:rPr>
        <w:t xml:space="preserve"> </w:t>
      </w:r>
    </w:p>
    <w:p w14:paraId="1BE3A31B">
      <w:pPr>
        <w:pStyle w:val="2"/>
        <w:ind w:firstLine="420"/>
        <w:rPr>
          <w:color w:val="auto"/>
          <w:sz w:val="24"/>
          <w:szCs w:val="24"/>
          <w:highlight w:val="none"/>
        </w:rPr>
      </w:pPr>
      <w:r>
        <w:rPr>
          <w:rFonts w:hint="eastAsia"/>
          <w:color w:val="auto"/>
          <w:sz w:val="24"/>
          <w:szCs w:val="24"/>
          <w:highlight w:val="none"/>
        </w:rPr>
        <w:t>按照招标公告的规定，</w:t>
      </w:r>
      <w:r>
        <w:rPr>
          <w:color w:val="auto"/>
          <w:sz w:val="24"/>
          <w:szCs w:val="24"/>
          <w:highlight w:val="none"/>
          <w:u w:val="single"/>
        </w:rPr>
        <w:t xml:space="preserve">                         </w:t>
      </w:r>
      <w:r>
        <w:rPr>
          <w:rFonts w:hint="eastAsia"/>
          <w:color w:val="auto"/>
          <w:sz w:val="24"/>
          <w:szCs w:val="24"/>
          <w:highlight w:val="none"/>
        </w:rPr>
        <w:t>（外国或澳门、台湾的设计企业</w:t>
      </w:r>
      <w:r>
        <w:rPr>
          <w:rFonts w:hint="eastAsia"/>
          <w:color w:val="auto"/>
          <w:sz w:val="24"/>
          <w:szCs w:val="24"/>
          <w:highlight w:val="none"/>
          <w:u w:val="single"/>
        </w:rPr>
        <w:t>和香港不单独参加设计部分投标的设计企业</w:t>
      </w:r>
      <w:r>
        <w:rPr>
          <w:rFonts w:hint="eastAsia"/>
          <w:color w:val="auto"/>
          <w:sz w:val="24"/>
          <w:szCs w:val="24"/>
          <w:highlight w:val="none"/>
        </w:rPr>
        <w:t>）作为投标人（即“申请人”，下同）</w:t>
      </w:r>
      <w:r>
        <w:rPr>
          <w:color w:val="auto"/>
          <w:sz w:val="24"/>
          <w:szCs w:val="24"/>
          <w:highlight w:val="none"/>
          <w:u w:val="single"/>
        </w:rPr>
        <w:t xml:space="preserve">                       </w:t>
      </w:r>
      <w:r>
        <w:rPr>
          <w:rFonts w:hint="eastAsia"/>
          <w:color w:val="auto"/>
          <w:sz w:val="24"/>
          <w:szCs w:val="24"/>
          <w:highlight w:val="none"/>
        </w:rPr>
        <w:t>（符合招标公告投标人合格条件的设计企业）的合作设计方，参与本项目进行合作设计。若中标，各成员向招标人承担连带责任。合作设计方授权委托</w:t>
      </w:r>
      <w:r>
        <w:rPr>
          <w:color w:val="auto"/>
          <w:sz w:val="24"/>
          <w:szCs w:val="24"/>
          <w:highlight w:val="none"/>
          <w:u w:val="single"/>
        </w:rPr>
        <w:t xml:space="preserve">                   </w:t>
      </w:r>
      <w:r>
        <w:rPr>
          <w:rFonts w:hint="eastAsia"/>
          <w:color w:val="auto"/>
          <w:sz w:val="24"/>
          <w:szCs w:val="24"/>
          <w:highlight w:val="none"/>
        </w:rPr>
        <w:t>（符合招标公告投标人合格条件的设计企业）代表所有合作成员参加投标、提交投标文件，以及与招标人签订合同，负责整个合同实施阶段的协调工作。</w:t>
      </w:r>
    </w:p>
    <w:p w14:paraId="1F96377D">
      <w:pPr>
        <w:rPr>
          <w:rFonts w:ascii="宋体" w:hAnsi="宋体"/>
          <w:color w:val="auto"/>
          <w:sz w:val="24"/>
          <w:szCs w:val="24"/>
          <w:highlight w:val="none"/>
        </w:rPr>
      </w:pPr>
      <w:r>
        <w:rPr>
          <w:rFonts w:ascii="宋体" w:hAnsi="宋体"/>
          <w:color w:val="auto"/>
          <w:sz w:val="24"/>
          <w:szCs w:val="24"/>
          <w:highlight w:val="none"/>
        </w:rPr>
        <w:t xml:space="preserve"> </w:t>
      </w:r>
    </w:p>
    <w:p w14:paraId="1ABFF158">
      <w:pPr>
        <w:pStyle w:val="2"/>
        <w:rPr>
          <w:color w:val="auto"/>
          <w:sz w:val="24"/>
          <w:szCs w:val="24"/>
          <w:highlight w:val="none"/>
        </w:rPr>
      </w:pPr>
      <w:r>
        <w:rPr>
          <w:color w:val="auto"/>
          <w:sz w:val="24"/>
          <w:szCs w:val="24"/>
          <w:highlight w:val="none"/>
        </w:rPr>
        <w:t xml:space="preserve"> </w:t>
      </w:r>
    </w:p>
    <w:p w14:paraId="25A74805">
      <w:pPr>
        <w:pStyle w:val="2"/>
        <w:spacing w:line="360" w:lineRule="auto"/>
        <w:ind w:firstLine="240" w:firstLineChars="100"/>
        <w:rPr>
          <w:color w:val="auto"/>
          <w:sz w:val="24"/>
          <w:szCs w:val="24"/>
          <w:highlight w:val="none"/>
        </w:rPr>
      </w:pPr>
      <w:r>
        <w:rPr>
          <w:color w:val="auto"/>
          <w:sz w:val="24"/>
          <w:szCs w:val="24"/>
          <w:highlight w:val="none"/>
        </w:rPr>
        <w:t xml:space="preserve">  </w:t>
      </w:r>
      <w:r>
        <w:rPr>
          <w:rFonts w:hint="eastAsia"/>
          <w:color w:val="auto"/>
          <w:sz w:val="24"/>
          <w:szCs w:val="24"/>
          <w:highlight w:val="none"/>
        </w:rPr>
        <w:t>合作设计方：（盖章）</w:t>
      </w:r>
      <w:r>
        <w:rPr>
          <w:color w:val="auto"/>
          <w:sz w:val="24"/>
          <w:szCs w:val="24"/>
          <w:highlight w:val="none"/>
          <w:u w:val="single"/>
        </w:rPr>
        <w:t xml:space="preserve">                                         </w:t>
      </w:r>
    </w:p>
    <w:p w14:paraId="082DB508">
      <w:pPr>
        <w:pStyle w:val="2"/>
        <w:spacing w:line="360" w:lineRule="auto"/>
        <w:ind w:firstLine="480" w:firstLineChars="200"/>
        <w:rPr>
          <w:color w:val="auto"/>
          <w:sz w:val="24"/>
          <w:szCs w:val="24"/>
          <w:highlight w:val="none"/>
          <w:u w:val="single"/>
        </w:rPr>
      </w:pPr>
      <w:r>
        <w:rPr>
          <w:rFonts w:hint="eastAsia"/>
          <w:color w:val="auto"/>
          <w:sz w:val="24"/>
          <w:szCs w:val="24"/>
          <w:highlight w:val="none"/>
        </w:rPr>
        <w:t>代表人：（签字或盖章）</w:t>
      </w:r>
      <w:r>
        <w:rPr>
          <w:color w:val="auto"/>
          <w:sz w:val="24"/>
          <w:szCs w:val="24"/>
          <w:highlight w:val="none"/>
          <w:u w:val="single"/>
        </w:rPr>
        <w:t xml:space="preserve">                                       </w:t>
      </w:r>
    </w:p>
    <w:p w14:paraId="02E366FE">
      <w:pPr>
        <w:pStyle w:val="2"/>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35F5C199">
      <w:pPr>
        <w:pStyle w:val="2"/>
        <w:spacing w:line="360" w:lineRule="auto"/>
        <w:rPr>
          <w:color w:val="auto"/>
          <w:sz w:val="24"/>
          <w:szCs w:val="24"/>
          <w:highlight w:val="none"/>
        </w:rPr>
      </w:pPr>
      <w:r>
        <w:rPr>
          <w:color w:val="auto"/>
          <w:sz w:val="24"/>
          <w:szCs w:val="24"/>
          <w:highlight w:val="none"/>
        </w:rPr>
        <w:t xml:space="preserve"> </w:t>
      </w:r>
    </w:p>
    <w:p w14:paraId="6E5D1F6F">
      <w:pPr>
        <w:pStyle w:val="2"/>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投标人：（盖章）</w:t>
      </w:r>
      <w:r>
        <w:rPr>
          <w:color w:val="auto"/>
          <w:sz w:val="24"/>
          <w:szCs w:val="24"/>
          <w:highlight w:val="none"/>
          <w:u w:val="single"/>
        </w:rPr>
        <w:t xml:space="preserve">                                             </w:t>
      </w:r>
    </w:p>
    <w:p w14:paraId="5BBAAD8C">
      <w:pPr>
        <w:pStyle w:val="2"/>
        <w:spacing w:line="360" w:lineRule="auto"/>
        <w:ind w:firstLine="480" w:firstLineChars="200"/>
        <w:rPr>
          <w:color w:val="auto"/>
          <w:sz w:val="24"/>
          <w:szCs w:val="24"/>
          <w:highlight w:val="none"/>
          <w:u w:val="single"/>
        </w:rPr>
      </w:pPr>
      <w:r>
        <w:rPr>
          <w:rFonts w:hint="eastAsia"/>
          <w:color w:val="auto"/>
          <w:sz w:val="24"/>
          <w:szCs w:val="24"/>
          <w:highlight w:val="none"/>
        </w:rPr>
        <w:t>法定代表人：（签字或盖章）</w:t>
      </w:r>
      <w:r>
        <w:rPr>
          <w:color w:val="auto"/>
          <w:sz w:val="24"/>
          <w:szCs w:val="24"/>
          <w:highlight w:val="none"/>
          <w:u w:val="single"/>
        </w:rPr>
        <w:t xml:space="preserve">                                   </w:t>
      </w:r>
    </w:p>
    <w:p w14:paraId="362B10EF">
      <w:pPr>
        <w:pStyle w:val="2"/>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46A0482C">
      <w:pPr>
        <w:pStyle w:val="2"/>
        <w:spacing w:line="360" w:lineRule="auto"/>
        <w:rPr>
          <w:color w:val="auto"/>
          <w:highlight w:val="none"/>
        </w:rPr>
      </w:pPr>
    </w:p>
    <w:p w14:paraId="1D7179B7">
      <w:pPr>
        <w:pStyle w:val="2"/>
        <w:spacing w:line="360" w:lineRule="auto"/>
        <w:rPr>
          <w:color w:val="auto"/>
          <w:highlight w:val="none"/>
        </w:rPr>
      </w:pPr>
      <w:r>
        <w:rPr>
          <w:color w:val="auto"/>
          <w:highlight w:val="none"/>
        </w:rPr>
        <w:br w:type="page"/>
      </w:r>
    </w:p>
    <w:p w14:paraId="6D7E4BB7">
      <w:pPr>
        <w:pStyle w:val="2"/>
        <w:spacing w:line="360" w:lineRule="auto"/>
        <w:jc w:val="left"/>
        <w:rPr>
          <w:color w:val="auto"/>
          <w:sz w:val="24"/>
          <w:szCs w:val="24"/>
          <w:highlight w:val="none"/>
        </w:rPr>
      </w:pPr>
      <w:r>
        <w:rPr>
          <w:rFonts w:hint="eastAsia" w:cs="宋体"/>
          <w:b/>
          <w:color w:val="auto"/>
          <w:kern w:val="1"/>
          <w:sz w:val="24"/>
          <w:highlight w:val="none"/>
        </w:rPr>
        <w:t>格式</w:t>
      </w:r>
      <w:r>
        <w:rPr>
          <w:rFonts w:cs="宋体"/>
          <w:b/>
          <w:color w:val="auto"/>
          <w:kern w:val="1"/>
          <w:sz w:val="24"/>
          <w:highlight w:val="none"/>
        </w:rPr>
        <w:t>15</w:t>
      </w:r>
      <w:r>
        <w:rPr>
          <w:rFonts w:hint="eastAsia" w:cs="宋体"/>
          <w:b/>
          <w:color w:val="auto"/>
          <w:kern w:val="1"/>
          <w:sz w:val="24"/>
          <w:highlight w:val="none"/>
        </w:rPr>
        <w:t>：</w:t>
      </w:r>
    </w:p>
    <w:p w14:paraId="1FBB7FEB">
      <w:pPr>
        <w:pStyle w:val="2"/>
        <w:spacing w:line="360" w:lineRule="auto"/>
        <w:jc w:val="center"/>
        <w:rPr>
          <w:rFonts w:cs="宋体"/>
          <w:b/>
          <w:bCs/>
          <w:color w:val="auto"/>
          <w:sz w:val="28"/>
          <w:szCs w:val="28"/>
          <w:highlight w:val="none"/>
        </w:rPr>
      </w:pPr>
      <w:r>
        <w:rPr>
          <w:rFonts w:hint="eastAsia" w:cs="宋体"/>
          <w:b/>
          <w:bCs/>
          <w:color w:val="auto"/>
          <w:sz w:val="28"/>
          <w:szCs w:val="28"/>
          <w:highlight w:val="none"/>
        </w:rPr>
        <w:t>投标人认为应该提供的其他资料</w:t>
      </w:r>
    </w:p>
    <w:p w14:paraId="3BD23716">
      <w:pPr>
        <w:pStyle w:val="2"/>
        <w:spacing w:line="360" w:lineRule="auto"/>
        <w:jc w:val="center"/>
        <w:rPr>
          <w:color w:val="auto"/>
          <w:highlight w:val="none"/>
        </w:rPr>
      </w:pPr>
      <w:r>
        <w:rPr>
          <w:rFonts w:hint="eastAsia" w:cs="宋体"/>
          <w:b/>
          <w:bCs/>
          <w:color w:val="auto"/>
          <w:sz w:val="28"/>
          <w:szCs w:val="28"/>
          <w:highlight w:val="none"/>
        </w:rPr>
        <w:t>（包括招标文件评审或评分要求需要提供的相关资料）</w:t>
      </w:r>
      <w:r>
        <w:rPr>
          <w:rFonts w:cs="宋体"/>
          <w:b/>
          <w:bCs/>
          <w:color w:val="auto"/>
          <w:sz w:val="28"/>
          <w:szCs w:val="28"/>
          <w:highlight w:val="none"/>
        </w:rPr>
        <w:br w:type="page"/>
      </w:r>
    </w:p>
    <w:p w14:paraId="4BB81135">
      <w:pPr>
        <w:pStyle w:val="2"/>
        <w:spacing w:line="360" w:lineRule="auto"/>
        <w:jc w:val="center"/>
        <w:rPr>
          <w:color w:val="auto"/>
          <w:highlight w:val="none"/>
          <w:lang w:val="en-US"/>
        </w:rPr>
      </w:pPr>
    </w:p>
    <w:p w14:paraId="06C7A31E">
      <w:pPr>
        <w:pStyle w:val="2"/>
        <w:spacing w:line="360" w:lineRule="auto"/>
        <w:jc w:val="center"/>
        <w:rPr>
          <w:color w:val="auto"/>
          <w:highlight w:val="none"/>
          <w:lang w:val="en-US"/>
        </w:rPr>
      </w:pPr>
    </w:p>
    <w:p w14:paraId="625BA456">
      <w:pPr>
        <w:pStyle w:val="2"/>
        <w:spacing w:line="360" w:lineRule="auto"/>
        <w:jc w:val="center"/>
        <w:rPr>
          <w:color w:val="auto"/>
          <w:highlight w:val="none"/>
          <w:lang w:val="en-US"/>
        </w:rPr>
      </w:pPr>
    </w:p>
    <w:p w14:paraId="1B7FCE01">
      <w:pPr>
        <w:pStyle w:val="2"/>
        <w:spacing w:line="360" w:lineRule="auto"/>
        <w:jc w:val="center"/>
        <w:rPr>
          <w:color w:val="auto"/>
          <w:highlight w:val="none"/>
          <w:lang w:val="en-US"/>
        </w:rPr>
      </w:pPr>
    </w:p>
    <w:p w14:paraId="283AAC6B">
      <w:pPr>
        <w:pStyle w:val="2"/>
        <w:spacing w:line="360" w:lineRule="auto"/>
        <w:jc w:val="center"/>
        <w:rPr>
          <w:color w:val="auto"/>
          <w:highlight w:val="none"/>
          <w:lang w:val="en-US"/>
        </w:rPr>
      </w:pPr>
    </w:p>
    <w:p w14:paraId="41EBA1A0">
      <w:pPr>
        <w:pStyle w:val="2"/>
        <w:spacing w:line="360" w:lineRule="auto"/>
        <w:jc w:val="center"/>
        <w:rPr>
          <w:color w:val="auto"/>
          <w:highlight w:val="none"/>
          <w:lang w:val="en-US"/>
        </w:rPr>
      </w:pPr>
    </w:p>
    <w:p w14:paraId="3BCDFAC8">
      <w:pPr>
        <w:pStyle w:val="2"/>
        <w:spacing w:line="360" w:lineRule="auto"/>
        <w:jc w:val="center"/>
        <w:rPr>
          <w:color w:val="auto"/>
          <w:highlight w:val="none"/>
          <w:lang w:val="en-US"/>
        </w:rPr>
      </w:pPr>
    </w:p>
    <w:p w14:paraId="37C275B8">
      <w:pPr>
        <w:pStyle w:val="2"/>
        <w:spacing w:line="360" w:lineRule="auto"/>
        <w:jc w:val="center"/>
        <w:rPr>
          <w:color w:val="auto"/>
          <w:highlight w:val="none"/>
          <w:lang w:val="en-US"/>
        </w:rPr>
      </w:pPr>
    </w:p>
    <w:p w14:paraId="4960C7C9">
      <w:pPr>
        <w:pStyle w:val="2"/>
        <w:spacing w:line="360" w:lineRule="auto"/>
        <w:jc w:val="center"/>
        <w:rPr>
          <w:color w:val="auto"/>
          <w:highlight w:val="none"/>
          <w:lang w:val="en-US"/>
        </w:rPr>
      </w:pPr>
    </w:p>
    <w:p w14:paraId="0107F433">
      <w:pPr>
        <w:pStyle w:val="2"/>
        <w:spacing w:line="360" w:lineRule="auto"/>
        <w:jc w:val="center"/>
        <w:rPr>
          <w:color w:val="auto"/>
          <w:highlight w:val="none"/>
          <w:lang w:val="en-US"/>
        </w:rPr>
      </w:pPr>
    </w:p>
    <w:p w14:paraId="6B1FC408">
      <w:pPr>
        <w:pStyle w:val="2"/>
        <w:spacing w:line="360" w:lineRule="auto"/>
        <w:jc w:val="center"/>
        <w:rPr>
          <w:color w:val="auto"/>
          <w:highlight w:val="none"/>
          <w:lang w:val="en-US"/>
        </w:rPr>
      </w:pPr>
    </w:p>
    <w:p w14:paraId="2ADACB37">
      <w:pPr>
        <w:pStyle w:val="2"/>
        <w:spacing w:line="360" w:lineRule="auto"/>
        <w:jc w:val="center"/>
        <w:rPr>
          <w:color w:val="auto"/>
          <w:highlight w:val="none"/>
          <w:lang w:val="en-US"/>
        </w:rPr>
      </w:pPr>
    </w:p>
    <w:p w14:paraId="524D39A5">
      <w:pPr>
        <w:pStyle w:val="2"/>
        <w:spacing w:line="360" w:lineRule="auto"/>
        <w:jc w:val="center"/>
        <w:rPr>
          <w:color w:val="auto"/>
          <w:highlight w:val="none"/>
          <w:lang w:val="en-US"/>
        </w:rPr>
      </w:pPr>
    </w:p>
    <w:p w14:paraId="18F842AF">
      <w:pPr>
        <w:pStyle w:val="2"/>
        <w:spacing w:line="360" w:lineRule="auto"/>
        <w:jc w:val="center"/>
        <w:rPr>
          <w:color w:val="auto"/>
          <w:highlight w:val="none"/>
          <w:lang w:val="en-US"/>
        </w:rPr>
      </w:pPr>
    </w:p>
    <w:p w14:paraId="72ED0B19">
      <w:pPr>
        <w:pStyle w:val="2"/>
        <w:spacing w:line="360" w:lineRule="auto"/>
        <w:jc w:val="center"/>
        <w:rPr>
          <w:color w:val="auto"/>
          <w:highlight w:val="none"/>
          <w:lang w:val="en-US"/>
        </w:rPr>
      </w:pPr>
    </w:p>
    <w:p w14:paraId="615E5BD4">
      <w:pPr>
        <w:pStyle w:val="2"/>
        <w:spacing w:line="360" w:lineRule="auto"/>
        <w:jc w:val="center"/>
        <w:rPr>
          <w:color w:val="auto"/>
          <w:highlight w:val="none"/>
          <w:lang w:val="en-US"/>
        </w:rPr>
      </w:pPr>
    </w:p>
    <w:p w14:paraId="74AF0072">
      <w:pPr>
        <w:pStyle w:val="2"/>
        <w:spacing w:line="360" w:lineRule="auto"/>
        <w:jc w:val="center"/>
        <w:rPr>
          <w:rFonts w:cs="宋体"/>
          <w:b/>
          <w:color w:val="auto"/>
          <w:kern w:val="1"/>
          <w:sz w:val="36"/>
          <w:szCs w:val="36"/>
          <w:highlight w:val="none"/>
        </w:rPr>
      </w:pPr>
      <w:r>
        <w:rPr>
          <w:rFonts w:hint="eastAsia" w:cs="宋体"/>
          <w:b/>
          <w:color w:val="auto"/>
          <w:kern w:val="1"/>
          <w:sz w:val="36"/>
          <w:szCs w:val="36"/>
          <w:highlight w:val="none"/>
        </w:rPr>
        <w:t>第二部分</w:t>
      </w:r>
      <w:r>
        <w:rPr>
          <w:rFonts w:cs="宋体"/>
          <w:b/>
          <w:color w:val="auto"/>
          <w:kern w:val="1"/>
          <w:sz w:val="36"/>
          <w:szCs w:val="36"/>
          <w:highlight w:val="none"/>
        </w:rPr>
        <w:t xml:space="preserve">  </w:t>
      </w:r>
      <w:r>
        <w:rPr>
          <w:rFonts w:hint="eastAsia" w:cs="宋体"/>
          <w:b/>
          <w:color w:val="auto"/>
          <w:kern w:val="1"/>
          <w:sz w:val="36"/>
          <w:szCs w:val="36"/>
          <w:highlight w:val="none"/>
        </w:rPr>
        <w:t>工程总承包实施方案经济投标文件格式</w:t>
      </w:r>
    </w:p>
    <w:p w14:paraId="61522D82">
      <w:pPr>
        <w:spacing w:line="360" w:lineRule="auto"/>
        <w:jc w:val="center"/>
        <w:rPr>
          <w:rFonts w:ascii="宋体" w:hAnsi="宋体" w:cs="宋体"/>
          <w:b/>
          <w:color w:val="auto"/>
          <w:kern w:val="1"/>
          <w:sz w:val="30"/>
          <w:szCs w:val="30"/>
          <w:highlight w:val="none"/>
        </w:rPr>
      </w:pPr>
    </w:p>
    <w:p w14:paraId="06C52047">
      <w:pP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6742B252">
      <w:pPr>
        <w:pStyle w:val="32"/>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77B7D199">
      <w:pPr>
        <w:spacing w:line="360" w:lineRule="auto"/>
        <w:jc w:val="right"/>
        <w:rPr>
          <w:rFonts w:ascii="宋体" w:hAnsi="宋体" w:cs="宋体"/>
          <w:b/>
          <w:color w:val="auto"/>
          <w:kern w:val="1"/>
          <w:szCs w:val="21"/>
          <w:highlight w:val="none"/>
          <w:lang w:val="zh-CN"/>
        </w:rPr>
      </w:pP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投标日期：</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年</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月</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日</w:t>
      </w:r>
    </w:p>
    <w:tbl>
      <w:tblPr>
        <w:tblStyle w:val="34"/>
        <w:tblW w:w="0" w:type="auto"/>
        <w:tblInd w:w="0" w:type="dxa"/>
        <w:tblLayout w:type="fixed"/>
        <w:tblCellMar>
          <w:top w:w="0" w:type="dxa"/>
          <w:left w:w="108" w:type="dxa"/>
          <w:bottom w:w="0" w:type="dxa"/>
          <w:right w:w="108" w:type="dxa"/>
        </w:tblCellMar>
      </w:tblPr>
      <w:tblGrid>
        <w:gridCol w:w="2307"/>
        <w:gridCol w:w="6950"/>
      </w:tblGrid>
      <w:tr w14:paraId="6A96BAEB">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726B441">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项</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目</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名</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称</w:t>
            </w:r>
          </w:p>
        </w:tc>
        <w:tc>
          <w:tcPr>
            <w:tcW w:w="6950" w:type="dxa"/>
            <w:tcBorders>
              <w:top w:val="single" w:color="000000" w:sz="4" w:space="0"/>
              <w:left w:val="single" w:color="000000" w:sz="4" w:space="0"/>
              <w:bottom w:val="single" w:color="000000" w:sz="4" w:space="0"/>
              <w:right w:val="single" w:color="000000" w:sz="4" w:space="0"/>
            </w:tcBorders>
          </w:tcPr>
          <w:p w14:paraId="311C52D2">
            <w:pPr>
              <w:spacing w:line="360" w:lineRule="auto"/>
              <w:rPr>
                <w:rFonts w:ascii="宋体" w:hAnsi="宋体" w:cs="宋体"/>
                <w:b/>
                <w:color w:val="auto"/>
                <w:kern w:val="1"/>
                <w:szCs w:val="21"/>
                <w:highlight w:val="none"/>
              </w:rPr>
            </w:pPr>
          </w:p>
        </w:tc>
      </w:tr>
      <w:tr w14:paraId="4561CB97">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269185B">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682752CD">
            <w:pPr>
              <w:spacing w:line="360" w:lineRule="auto"/>
              <w:jc w:val="left"/>
              <w:rPr>
                <w:rFonts w:ascii="宋体" w:hAnsi="宋体" w:cs="宋体"/>
                <w:b/>
                <w:color w:val="auto"/>
                <w:kern w:val="1"/>
                <w:szCs w:val="21"/>
                <w:highlight w:val="none"/>
                <w:u w:val="singl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685D6EBF">
            <w:pPr>
              <w:spacing w:line="360" w:lineRule="auto"/>
              <w:jc w:val="left"/>
              <w:rPr>
                <w:rFonts w:ascii="宋体" w:hAnsi="宋体" w:cs="宋体"/>
                <w:b/>
                <w:color w:val="auto"/>
                <w:kern w:val="1"/>
                <w:szCs w:val="21"/>
                <w:highlight w:val="none"/>
              </w:rPr>
            </w:pPr>
          </w:p>
          <w:p w14:paraId="04459EF3">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rPr>
              <w:t>小写：</w:t>
            </w:r>
            <w:r>
              <w:rPr>
                <w:rFonts w:ascii="宋体" w:hAnsi="宋体" w:cs="宋体"/>
                <w:b/>
                <w:color w:val="auto"/>
                <w:kern w:val="1"/>
                <w:szCs w:val="21"/>
                <w:highlight w:val="none"/>
                <w:u w:val="single"/>
              </w:rPr>
              <w:t xml:space="preserve">     </w:t>
            </w:r>
            <w:r>
              <w:rPr>
                <w:rFonts w:hint="eastAsia" w:ascii="宋体" w:hAnsi="宋体" w:cs="宋体"/>
                <w:b/>
                <w:color w:val="auto"/>
                <w:kern w:val="1"/>
                <w:szCs w:val="21"/>
                <w:highlight w:val="none"/>
                <w:lang w:val="zh-CN"/>
              </w:rPr>
              <w:t>元</w:t>
            </w:r>
            <w:r>
              <w:rPr>
                <w:rFonts w:hint="eastAsia" w:ascii="宋体" w:hAnsi="宋体" w:cs="宋体"/>
                <w:b/>
                <w:color w:val="auto"/>
                <w:kern w:val="1"/>
                <w:szCs w:val="21"/>
                <w:highlight w:val="none"/>
              </w:rPr>
              <w:t xml:space="preserve">                </w:t>
            </w:r>
          </w:p>
          <w:p w14:paraId="6CEA4EC7">
            <w:pPr>
              <w:spacing w:line="360" w:lineRule="auto"/>
              <w:jc w:val="left"/>
              <w:rPr>
                <w:rFonts w:ascii="宋体" w:hAnsi="宋体" w:cs="宋体"/>
                <w:b/>
                <w:color w:val="auto"/>
                <w:kern w:val="1"/>
                <w:szCs w:val="21"/>
                <w:highlight w:val="none"/>
              </w:rPr>
            </w:pPr>
          </w:p>
        </w:tc>
      </w:tr>
      <w:tr w14:paraId="047140DE">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4AC3E5C">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w:t>
            </w:r>
            <w:r>
              <w:rPr>
                <w:rFonts w:hint="eastAsia" w:ascii="宋体" w:hAnsi="宋体" w:cs="宋体"/>
                <w:b/>
                <w:color w:val="auto"/>
                <w:kern w:val="1"/>
                <w:szCs w:val="21"/>
                <w:highlight w:val="none"/>
              </w:rPr>
              <w:t>总</w:t>
            </w:r>
            <w:r>
              <w:rPr>
                <w:rFonts w:hint="eastAsia" w:ascii="宋体" w:hAnsi="宋体" w:cs="宋体"/>
                <w:b/>
                <w:color w:val="auto"/>
                <w:kern w:val="1"/>
                <w:szCs w:val="21"/>
                <w:highlight w:val="none"/>
                <w:lang w:val="zh-CN"/>
              </w:rPr>
              <w:t>勘察费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168BF3C0">
            <w:pPr>
              <w:spacing w:line="360" w:lineRule="auto"/>
              <w:jc w:val="left"/>
              <w:rPr>
                <w:rFonts w:ascii="宋体" w:hAnsi="宋体" w:cs="宋体"/>
                <w:b/>
                <w:color w:val="auto"/>
                <w:kern w:val="1"/>
                <w:szCs w:val="21"/>
                <w:highlight w:val="none"/>
              </w:rPr>
            </w:pPr>
            <w:r>
              <w:rPr>
                <w:rFonts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元</w:t>
            </w:r>
          </w:p>
          <w:p w14:paraId="4BE506CE">
            <w:pP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ascii="宋体" w:hAnsi="宋体" w:cs="宋体"/>
                <w:b/>
                <w:color w:val="auto"/>
                <w:kern w:val="1"/>
                <w:szCs w:val="21"/>
                <w:highlight w:val="none"/>
                <w:u w:val="single"/>
                <w:lang w:val="zh-CN"/>
              </w:rPr>
              <w:t xml:space="preserve">     </w:t>
            </w:r>
            <w:r>
              <w:rPr>
                <w:rFonts w:ascii="宋体" w:hAnsi="宋体" w:cs="宋体"/>
                <w:b/>
                <w:color w:val="auto"/>
                <w:kern w:val="1"/>
                <w:szCs w:val="21"/>
                <w:highlight w:val="none"/>
                <w:lang w:val="zh-CN"/>
              </w:rPr>
              <w:t>%</w:t>
            </w:r>
          </w:p>
          <w:p w14:paraId="18536D52">
            <w:pP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w:t>
            </w:r>
            <w:r>
              <w:rPr>
                <w:rFonts w:ascii="宋体" w:hAnsi="宋体" w:cs="宋体"/>
                <w:b/>
                <w:bCs/>
                <w:color w:val="auto"/>
                <w:kern w:val="1"/>
                <w:szCs w:val="21"/>
                <w:highlight w:val="none"/>
                <w:lang w:val="zh-CN"/>
              </w:rPr>
              <w:t>=</w:t>
            </w:r>
            <w:r>
              <w:rPr>
                <w:rFonts w:hint="eastAsia" w:ascii="宋体" w:hAnsi="宋体" w:cs="宋体"/>
                <w:b/>
                <w:bCs/>
                <w:color w:val="auto"/>
                <w:kern w:val="1"/>
                <w:szCs w:val="21"/>
                <w:highlight w:val="none"/>
                <w:lang w:val="zh-CN"/>
              </w:rPr>
              <w:t>【</w:t>
            </w:r>
            <w:r>
              <w:rPr>
                <w:rFonts w:ascii="宋体" w:hAnsi="宋体" w:cs="宋体"/>
                <w:b/>
                <w:bCs/>
                <w:color w:val="auto"/>
                <w:kern w:val="1"/>
                <w:szCs w:val="21"/>
                <w:highlight w:val="none"/>
                <w:lang w:val="zh-CN"/>
              </w:rPr>
              <w:t>1-</w:t>
            </w:r>
            <w:r>
              <w:rPr>
                <w:rFonts w:hint="eastAsia" w:ascii="宋体" w:hAnsi="宋体" w:cs="宋体"/>
                <w:b/>
                <w:bCs/>
                <w:color w:val="auto"/>
                <w:kern w:val="1"/>
                <w:szCs w:val="21"/>
                <w:highlight w:val="none"/>
                <w:lang w:val="zh-CN"/>
              </w:rPr>
              <w:t>（勘察费</w:t>
            </w:r>
            <w:r>
              <w:rPr>
                <w:rFonts w:hint="eastAsia" w:ascii="宋体" w:hAnsi="宋体" w:cs="宋体"/>
                <w:b/>
                <w:color w:val="auto"/>
                <w:kern w:val="1"/>
                <w:szCs w:val="21"/>
                <w:highlight w:val="none"/>
              </w:rPr>
              <w:t>总</w:t>
            </w:r>
            <w:r>
              <w:rPr>
                <w:rFonts w:hint="eastAsia" w:ascii="宋体" w:hAnsi="宋体" w:cs="宋体"/>
                <w:b/>
                <w:bCs/>
                <w:color w:val="auto"/>
                <w:kern w:val="1"/>
                <w:szCs w:val="21"/>
                <w:highlight w:val="none"/>
                <w:lang w:val="zh-CN"/>
              </w:rPr>
              <w:t>投标报价</w:t>
            </w:r>
            <w:r>
              <w:rPr>
                <w:rFonts w:ascii="宋体" w:hAnsi="宋体" w:cs="宋体"/>
                <w:b/>
                <w:bCs/>
                <w:color w:val="auto"/>
                <w:kern w:val="1"/>
                <w:szCs w:val="21"/>
                <w:highlight w:val="none"/>
                <w:lang w:val="zh-CN"/>
              </w:rPr>
              <w:t>/</w:t>
            </w:r>
            <w:r>
              <w:rPr>
                <w:rFonts w:hint="eastAsia" w:ascii="宋体" w:hAnsi="宋体" w:cs="宋体"/>
                <w:b/>
                <w:bCs/>
                <w:color w:val="auto"/>
                <w:kern w:val="1"/>
                <w:szCs w:val="21"/>
                <w:highlight w:val="none"/>
                <w:lang w:val="zh-CN"/>
              </w:rPr>
              <w:t>勘察费</w:t>
            </w:r>
            <w:r>
              <w:rPr>
                <w:rFonts w:hint="eastAsia"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4E454683">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42C96C8">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w:t>
            </w:r>
            <w:r>
              <w:rPr>
                <w:rFonts w:hint="eastAsia" w:ascii="宋体" w:hAnsi="宋体" w:cs="宋体"/>
                <w:b/>
                <w:color w:val="auto"/>
                <w:kern w:val="1"/>
                <w:szCs w:val="21"/>
                <w:highlight w:val="none"/>
              </w:rPr>
              <w:t>总</w:t>
            </w:r>
            <w:r>
              <w:rPr>
                <w:rFonts w:hint="eastAsia" w:ascii="宋体" w:hAnsi="宋体" w:cs="宋体"/>
                <w:b/>
                <w:color w:val="auto"/>
                <w:kern w:val="1"/>
                <w:szCs w:val="21"/>
                <w:highlight w:val="none"/>
                <w:lang w:val="zh-CN"/>
              </w:rPr>
              <w:t>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205CB928">
            <w:pPr>
              <w:spacing w:line="360" w:lineRule="auto"/>
              <w:jc w:val="left"/>
              <w:rPr>
                <w:rFonts w:ascii="宋体" w:hAnsi="宋体" w:cs="宋体"/>
                <w:b/>
                <w:color w:val="auto"/>
                <w:kern w:val="1"/>
                <w:szCs w:val="21"/>
                <w:highlight w:val="none"/>
              </w:rPr>
            </w:pPr>
            <w:r>
              <w:rPr>
                <w:rFonts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元</w:t>
            </w:r>
          </w:p>
          <w:p w14:paraId="75B6D139">
            <w:pP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ascii="宋体" w:hAnsi="宋体" w:cs="宋体"/>
                <w:b/>
                <w:color w:val="auto"/>
                <w:kern w:val="1"/>
                <w:szCs w:val="21"/>
                <w:highlight w:val="none"/>
                <w:u w:val="single"/>
                <w:lang w:val="zh-CN"/>
              </w:rPr>
              <w:t xml:space="preserve">     </w:t>
            </w:r>
            <w:r>
              <w:rPr>
                <w:rFonts w:ascii="宋体" w:hAnsi="宋体" w:cs="宋体"/>
                <w:b/>
                <w:color w:val="auto"/>
                <w:kern w:val="1"/>
                <w:szCs w:val="21"/>
                <w:highlight w:val="none"/>
                <w:lang w:val="zh-CN"/>
              </w:rPr>
              <w:t>%</w:t>
            </w:r>
          </w:p>
          <w:p w14:paraId="318BCD8A">
            <w:pP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w:t>
            </w:r>
            <w:r>
              <w:rPr>
                <w:rFonts w:ascii="宋体" w:hAnsi="宋体" w:cs="宋体"/>
                <w:b/>
                <w:bCs/>
                <w:color w:val="auto"/>
                <w:kern w:val="1"/>
                <w:szCs w:val="21"/>
                <w:highlight w:val="none"/>
                <w:lang w:val="zh-CN"/>
              </w:rPr>
              <w:t>=</w:t>
            </w:r>
            <w:r>
              <w:rPr>
                <w:rFonts w:hint="eastAsia" w:ascii="宋体" w:hAnsi="宋体" w:cs="宋体"/>
                <w:b/>
                <w:bCs/>
                <w:color w:val="auto"/>
                <w:kern w:val="1"/>
                <w:szCs w:val="21"/>
                <w:highlight w:val="none"/>
                <w:lang w:val="zh-CN"/>
              </w:rPr>
              <w:t>【</w:t>
            </w:r>
            <w:r>
              <w:rPr>
                <w:rFonts w:ascii="宋体" w:hAnsi="宋体" w:cs="宋体"/>
                <w:b/>
                <w:bCs/>
                <w:color w:val="auto"/>
                <w:kern w:val="1"/>
                <w:szCs w:val="21"/>
                <w:highlight w:val="none"/>
                <w:lang w:val="zh-CN"/>
              </w:rPr>
              <w:t>1-</w:t>
            </w:r>
            <w:r>
              <w:rPr>
                <w:rFonts w:hint="eastAsia" w:ascii="宋体" w:hAnsi="宋体" w:cs="宋体"/>
                <w:b/>
                <w:bCs/>
                <w:color w:val="auto"/>
                <w:kern w:val="1"/>
                <w:szCs w:val="21"/>
                <w:highlight w:val="none"/>
                <w:lang w:val="zh-CN"/>
              </w:rPr>
              <w:t>（设计费</w:t>
            </w:r>
            <w:r>
              <w:rPr>
                <w:rFonts w:hint="eastAsia" w:ascii="宋体" w:hAnsi="宋体" w:cs="宋体"/>
                <w:b/>
                <w:color w:val="auto"/>
                <w:kern w:val="1"/>
                <w:szCs w:val="21"/>
                <w:highlight w:val="none"/>
              </w:rPr>
              <w:t>总</w:t>
            </w:r>
            <w:r>
              <w:rPr>
                <w:rFonts w:hint="eastAsia" w:ascii="宋体" w:hAnsi="宋体" w:cs="宋体"/>
                <w:b/>
                <w:bCs/>
                <w:color w:val="auto"/>
                <w:kern w:val="1"/>
                <w:szCs w:val="21"/>
                <w:highlight w:val="none"/>
                <w:lang w:val="zh-CN"/>
              </w:rPr>
              <w:t>投标报价</w:t>
            </w:r>
            <w:r>
              <w:rPr>
                <w:rFonts w:ascii="宋体" w:hAnsi="宋体" w:cs="宋体"/>
                <w:b/>
                <w:bCs/>
                <w:color w:val="auto"/>
                <w:kern w:val="1"/>
                <w:szCs w:val="21"/>
                <w:highlight w:val="none"/>
                <w:lang w:val="zh-CN"/>
              </w:rPr>
              <w:t>/</w:t>
            </w:r>
            <w:r>
              <w:rPr>
                <w:rFonts w:hint="eastAsia" w:ascii="宋体" w:hAnsi="宋体" w:cs="宋体"/>
                <w:b/>
                <w:bCs/>
                <w:color w:val="auto"/>
                <w:kern w:val="1"/>
                <w:szCs w:val="21"/>
                <w:highlight w:val="none"/>
                <w:lang w:val="zh-CN"/>
              </w:rPr>
              <w:t>设计费</w:t>
            </w:r>
            <w:r>
              <w:rPr>
                <w:rFonts w:hint="eastAsia"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4D42DCCB">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6AB6417">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w:t>
            </w:r>
            <w:r>
              <w:rPr>
                <w:rFonts w:hint="eastAsia" w:ascii="宋体" w:hAnsi="宋体" w:cs="宋体"/>
                <w:b/>
                <w:color w:val="auto"/>
                <w:kern w:val="1"/>
                <w:szCs w:val="21"/>
                <w:highlight w:val="none"/>
              </w:rPr>
              <w:t>总</w:t>
            </w:r>
            <w:r>
              <w:rPr>
                <w:rFonts w:hint="eastAsia" w:ascii="宋体" w:hAnsi="宋体" w:cs="宋体"/>
                <w:b/>
                <w:color w:val="auto"/>
                <w:kern w:val="1"/>
                <w:szCs w:val="21"/>
                <w:highlight w:val="none"/>
                <w:lang w:val="zh-CN"/>
              </w:rPr>
              <w:t>建安工程费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644AA4D3">
            <w:pPr>
              <w:spacing w:line="360" w:lineRule="auto"/>
              <w:jc w:val="left"/>
              <w:rPr>
                <w:rFonts w:ascii="宋体" w:hAnsi="宋体" w:cs="宋体"/>
                <w:b/>
                <w:color w:val="auto"/>
                <w:kern w:val="1"/>
                <w:szCs w:val="21"/>
                <w:highlight w:val="none"/>
              </w:rPr>
            </w:pPr>
            <w:r>
              <w:rPr>
                <w:rFonts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元</w:t>
            </w:r>
          </w:p>
          <w:p w14:paraId="1534911A">
            <w:pP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ascii="宋体" w:hAnsi="宋体" w:cs="宋体"/>
                <w:b/>
                <w:color w:val="auto"/>
                <w:kern w:val="1"/>
                <w:szCs w:val="21"/>
                <w:highlight w:val="none"/>
                <w:u w:val="single"/>
                <w:lang w:val="zh-CN"/>
              </w:rPr>
              <w:t xml:space="preserve">     </w:t>
            </w:r>
            <w:r>
              <w:rPr>
                <w:rFonts w:ascii="宋体" w:hAnsi="宋体" w:cs="宋体"/>
                <w:b/>
                <w:color w:val="auto"/>
                <w:kern w:val="1"/>
                <w:szCs w:val="21"/>
                <w:highlight w:val="none"/>
                <w:lang w:val="zh-CN"/>
              </w:rPr>
              <w:t>%</w:t>
            </w:r>
          </w:p>
          <w:p w14:paraId="1F52622F">
            <w:pP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w:t>
            </w:r>
            <w:r>
              <w:rPr>
                <w:rFonts w:ascii="宋体" w:hAnsi="宋体" w:cs="宋体"/>
                <w:b/>
                <w:bCs/>
                <w:color w:val="auto"/>
                <w:kern w:val="1"/>
                <w:szCs w:val="21"/>
                <w:highlight w:val="none"/>
                <w:lang w:val="zh-CN"/>
              </w:rPr>
              <w:t>=</w:t>
            </w:r>
            <w:r>
              <w:rPr>
                <w:rFonts w:hint="eastAsia" w:ascii="宋体" w:hAnsi="宋体" w:cs="宋体"/>
                <w:b/>
                <w:bCs/>
                <w:color w:val="auto"/>
                <w:kern w:val="1"/>
                <w:szCs w:val="21"/>
                <w:highlight w:val="none"/>
                <w:lang w:val="zh-CN"/>
              </w:rPr>
              <w:t>【</w:t>
            </w:r>
            <w:r>
              <w:rPr>
                <w:rFonts w:ascii="宋体" w:hAnsi="宋体" w:cs="宋体"/>
                <w:b/>
                <w:bCs/>
                <w:color w:val="auto"/>
                <w:kern w:val="1"/>
                <w:szCs w:val="21"/>
                <w:highlight w:val="none"/>
                <w:lang w:val="zh-CN"/>
              </w:rPr>
              <w:t>1-</w:t>
            </w:r>
            <w:r>
              <w:rPr>
                <w:rFonts w:hint="eastAsia" w:ascii="宋体" w:hAnsi="宋体" w:cs="宋体"/>
                <w:b/>
                <w:bCs/>
                <w:color w:val="auto"/>
                <w:kern w:val="1"/>
                <w:szCs w:val="21"/>
                <w:highlight w:val="none"/>
                <w:lang w:val="zh-CN"/>
              </w:rPr>
              <w:t>（建安工程费</w:t>
            </w:r>
            <w:r>
              <w:rPr>
                <w:rFonts w:hint="eastAsia" w:ascii="宋体" w:hAnsi="宋体" w:cs="宋体"/>
                <w:b/>
                <w:color w:val="auto"/>
                <w:kern w:val="1"/>
                <w:szCs w:val="21"/>
                <w:highlight w:val="none"/>
              </w:rPr>
              <w:t>总</w:t>
            </w:r>
            <w:r>
              <w:rPr>
                <w:rFonts w:hint="eastAsia" w:ascii="宋体" w:hAnsi="宋体" w:cs="宋体"/>
                <w:b/>
                <w:bCs/>
                <w:color w:val="auto"/>
                <w:kern w:val="1"/>
                <w:szCs w:val="21"/>
                <w:highlight w:val="none"/>
                <w:lang w:val="zh-CN"/>
              </w:rPr>
              <w:t>投标报价</w:t>
            </w:r>
            <w:r>
              <w:rPr>
                <w:rFonts w:ascii="宋体" w:hAnsi="宋体" w:cs="宋体"/>
                <w:b/>
                <w:bCs/>
                <w:color w:val="auto"/>
                <w:kern w:val="1"/>
                <w:szCs w:val="21"/>
                <w:highlight w:val="none"/>
                <w:lang w:val="zh-CN"/>
              </w:rPr>
              <w:t>/</w:t>
            </w:r>
            <w:r>
              <w:rPr>
                <w:rFonts w:hint="eastAsia" w:ascii="宋体" w:hAnsi="宋体" w:cs="宋体"/>
                <w:b/>
                <w:bCs/>
                <w:color w:val="auto"/>
                <w:kern w:val="1"/>
                <w:szCs w:val="21"/>
                <w:highlight w:val="none"/>
                <w:lang w:val="zh-CN"/>
              </w:rPr>
              <w:t>建安工程费</w:t>
            </w:r>
            <w:r>
              <w:rPr>
                <w:rFonts w:hint="eastAsia"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color w:val="auto"/>
                <w:kern w:val="1"/>
                <w:szCs w:val="21"/>
                <w:highlight w:val="none"/>
              </w:rPr>
              <w:t>。</w:t>
            </w:r>
          </w:p>
        </w:tc>
      </w:tr>
      <w:tr w14:paraId="6BFBA380">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C24AE62">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法</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定</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代</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表</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人</w:t>
            </w:r>
          </w:p>
          <w:p w14:paraId="5AFC3220">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08B903F9">
            <w:pPr>
              <w:spacing w:line="360" w:lineRule="auto"/>
              <w:rPr>
                <w:rFonts w:ascii="宋体" w:hAnsi="宋体" w:cs="宋体"/>
                <w:b/>
                <w:color w:val="auto"/>
                <w:kern w:val="1"/>
                <w:szCs w:val="21"/>
                <w:highlight w:val="none"/>
              </w:rPr>
            </w:pPr>
          </w:p>
        </w:tc>
      </w:tr>
      <w:tr w14:paraId="1D8C12B2">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23AEFF8">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授</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权</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委</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托</w:t>
            </w:r>
            <w:r>
              <w:rPr>
                <w:rFonts w:ascii="宋体" w:hAnsi="宋体" w:cs="宋体"/>
                <w:b/>
                <w:color w:val="auto"/>
                <w:kern w:val="1"/>
                <w:szCs w:val="21"/>
                <w:highlight w:val="none"/>
              </w:rPr>
              <w:t xml:space="preserve"> </w:t>
            </w:r>
            <w:r>
              <w:rPr>
                <w:rFonts w:hint="eastAsia" w:ascii="宋体" w:hAnsi="宋体" w:cs="宋体"/>
                <w:b/>
                <w:color w:val="auto"/>
                <w:kern w:val="1"/>
                <w:szCs w:val="21"/>
                <w:highlight w:val="none"/>
              </w:rPr>
              <w:t>人</w:t>
            </w:r>
          </w:p>
          <w:p w14:paraId="56EB6800">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1A766EE4">
            <w:pPr>
              <w:spacing w:line="360" w:lineRule="auto"/>
              <w:rPr>
                <w:rFonts w:ascii="宋体" w:hAnsi="宋体" w:cs="宋体"/>
                <w:b/>
                <w:color w:val="auto"/>
                <w:kern w:val="1"/>
                <w:szCs w:val="21"/>
                <w:highlight w:val="none"/>
              </w:rPr>
            </w:pPr>
          </w:p>
        </w:tc>
      </w:tr>
      <w:tr w14:paraId="4075639D">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0ED8B53">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标</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单</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位</w:t>
            </w:r>
          </w:p>
          <w:p w14:paraId="58D2C03B">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3F1C2E03">
            <w:pPr>
              <w:spacing w:line="360" w:lineRule="auto"/>
              <w:rPr>
                <w:rFonts w:ascii="宋体" w:hAnsi="宋体" w:cs="宋体"/>
                <w:b/>
                <w:color w:val="auto"/>
                <w:kern w:val="1"/>
                <w:szCs w:val="21"/>
                <w:highlight w:val="none"/>
              </w:rPr>
            </w:pPr>
          </w:p>
        </w:tc>
      </w:tr>
    </w:tbl>
    <w:p w14:paraId="509E0559">
      <w:pPr>
        <w:pStyle w:val="2"/>
        <w:spacing w:line="360" w:lineRule="auto"/>
        <w:rPr>
          <w:rFonts w:cs="宋体"/>
          <w:b/>
          <w:color w:val="auto"/>
          <w:sz w:val="21"/>
          <w:szCs w:val="21"/>
          <w:highlight w:val="none"/>
        </w:rPr>
      </w:pPr>
      <w:r>
        <w:rPr>
          <w:rFonts w:hint="eastAsia" w:cs="宋体"/>
          <w:b/>
          <w:color w:val="auto"/>
          <w:sz w:val="21"/>
          <w:szCs w:val="21"/>
          <w:highlight w:val="none"/>
        </w:rPr>
        <w:t>注：</w:t>
      </w:r>
    </w:p>
    <w:p w14:paraId="663104C3">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cs="宋体"/>
          <w:b/>
          <w:color w:val="auto"/>
          <w:sz w:val="21"/>
          <w:szCs w:val="21"/>
          <w:highlight w:val="none"/>
        </w:rPr>
        <w:t>1</w:t>
      </w:r>
      <w:r>
        <w:rPr>
          <w:rFonts w:hint="eastAsia" w:cs="宋体"/>
          <w:b/>
          <w:color w:val="auto"/>
          <w:sz w:val="21"/>
          <w:szCs w:val="21"/>
          <w:highlight w:val="none"/>
        </w:rPr>
        <w:t>）联合体投标的，“投标单位”一栏需书写所有联合体成员的单位全称，可由牵头方签署、盖章。</w:t>
      </w:r>
    </w:p>
    <w:p w14:paraId="7656823B">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41F98324">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完成本次招标内容及《勘察设计任务书》内的全部内容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480F34C1">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28187315">
      <w:pPr>
        <w:pStyle w:val="2"/>
        <w:spacing w:line="360" w:lineRule="auto"/>
        <w:rPr>
          <w:color w:val="auto"/>
          <w:highlight w:val="none"/>
        </w:rPr>
        <w:sectPr>
          <w:headerReference r:id="rId21" w:type="default"/>
          <w:footerReference r:id="rId22" w:type="default"/>
          <w:type w:val="continuous"/>
          <w:pgSz w:w="11907" w:h="16840"/>
          <w:pgMar w:top="1361" w:right="1304" w:bottom="1304" w:left="1304" w:header="851" w:footer="720" w:gutter="0"/>
          <w:cols w:space="720" w:num="1"/>
        </w:sectPr>
      </w:pPr>
      <w:r>
        <w:rPr>
          <w:rFonts w:hint="eastAsia" w:cs="宋体"/>
          <w:b/>
          <w:color w:val="auto"/>
          <w:sz w:val="21"/>
          <w:szCs w:val="21"/>
          <w:highlight w:val="none"/>
        </w:rPr>
        <w:t>（</w:t>
      </w:r>
      <w:r>
        <w:rPr>
          <w:rFonts w:cs="宋体"/>
          <w:b/>
          <w:color w:val="auto"/>
          <w:sz w:val="21"/>
          <w:szCs w:val="21"/>
          <w:highlight w:val="none"/>
        </w:rPr>
        <w:t>5</w:t>
      </w:r>
      <w:r>
        <w:rPr>
          <w:rFonts w:hint="eastAsia" w:cs="宋体"/>
          <w:b/>
          <w:color w:val="auto"/>
          <w:sz w:val="21"/>
          <w:szCs w:val="21"/>
          <w:highlight w:val="none"/>
        </w:rPr>
        <w:t>）本表中的报价以元为单位，报价下浮率以百分比计，小数点后保留二位小数，第三位小数四舍五入。</w:t>
      </w:r>
    </w:p>
    <w:p w14:paraId="7C40DF5F">
      <w:pPr>
        <w:spacing w:line="360" w:lineRule="auto"/>
        <w:rPr>
          <w:rFonts w:ascii="宋体" w:hAnsi="宋体" w:cs="Cambria Math"/>
          <w:b/>
          <w:color w:val="auto"/>
          <w:kern w:val="1"/>
          <w:sz w:val="24"/>
          <w:highlight w:val="none"/>
        </w:rPr>
      </w:pPr>
      <w:r>
        <w:rPr>
          <w:rFonts w:hint="eastAsia" w:ascii="宋体" w:hAnsi="宋体" w:cs="Cambria Math"/>
          <w:b/>
          <w:color w:val="auto"/>
          <w:kern w:val="1"/>
          <w:sz w:val="24"/>
          <w:highlight w:val="none"/>
        </w:rPr>
        <w:t>格式</w:t>
      </w:r>
      <w:r>
        <w:rPr>
          <w:rFonts w:ascii="宋体" w:hAnsi="宋体" w:cs="Cambria Math"/>
          <w:b/>
          <w:color w:val="auto"/>
          <w:kern w:val="1"/>
          <w:sz w:val="24"/>
          <w:highlight w:val="none"/>
        </w:rPr>
        <w:t>2</w:t>
      </w:r>
      <w:r>
        <w:rPr>
          <w:rFonts w:hint="eastAsia" w:ascii="宋体" w:hAnsi="宋体" w:cs="Cambria Math"/>
          <w:b/>
          <w:color w:val="auto"/>
          <w:kern w:val="1"/>
          <w:sz w:val="24"/>
          <w:highlight w:val="none"/>
        </w:rPr>
        <w:t>：</w:t>
      </w:r>
    </w:p>
    <w:p w14:paraId="7260F290">
      <w:pPr>
        <w:spacing w:line="480" w:lineRule="auto"/>
        <w:jc w:val="center"/>
        <w:rPr>
          <w:rFonts w:ascii="宋体" w:hAnsi="宋体" w:cs="Cambria Math"/>
          <w:b/>
          <w:color w:val="auto"/>
          <w:kern w:val="1"/>
          <w:sz w:val="28"/>
          <w:szCs w:val="28"/>
          <w:highlight w:val="none"/>
          <w:lang w:val="zh-CN"/>
        </w:rPr>
      </w:pPr>
      <w:r>
        <w:rPr>
          <w:rFonts w:hint="eastAsia" w:ascii="宋体" w:hAnsi="宋体" w:cs="Cambria Math"/>
          <w:b/>
          <w:color w:val="auto"/>
          <w:kern w:val="1"/>
          <w:sz w:val="28"/>
          <w:szCs w:val="28"/>
          <w:highlight w:val="none"/>
          <w:lang w:val="zh-CN"/>
        </w:rPr>
        <w:t>勘察费用明细表</w:t>
      </w:r>
    </w:p>
    <w:tbl>
      <w:tblPr>
        <w:tblStyle w:val="34"/>
        <w:tblW w:w="9700" w:type="dxa"/>
        <w:jc w:val="center"/>
        <w:tblLayout w:type="fixed"/>
        <w:tblCellMar>
          <w:top w:w="0" w:type="dxa"/>
          <w:left w:w="108" w:type="dxa"/>
          <w:bottom w:w="0" w:type="dxa"/>
          <w:right w:w="108" w:type="dxa"/>
        </w:tblCellMar>
      </w:tblPr>
      <w:tblGrid>
        <w:gridCol w:w="452"/>
        <w:gridCol w:w="1132"/>
        <w:gridCol w:w="663"/>
        <w:gridCol w:w="700"/>
        <w:gridCol w:w="767"/>
        <w:gridCol w:w="1100"/>
        <w:gridCol w:w="4886"/>
      </w:tblGrid>
      <w:tr w14:paraId="705C6993">
        <w:tblPrEx>
          <w:tblCellMar>
            <w:top w:w="0" w:type="dxa"/>
            <w:left w:w="108" w:type="dxa"/>
            <w:bottom w:w="0" w:type="dxa"/>
            <w:right w:w="108" w:type="dxa"/>
          </w:tblCellMar>
        </w:tblPrEx>
        <w:trPr>
          <w:trHeight w:val="739"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5E45">
            <w:pPr>
              <w:jc w:val="center"/>
              <w:rPr>
                <w:rFonts w:ascii="宋体" w:hAnsi="宋体" w:cs="宋体"/>
                <w:b/>
                <w:bCs/>
                <w:color w:val="auto"/>
                <w:szCs w:val="21"/>
                <w:highlight w:val="none"/>
              </w:rPr>
            </w:pPr>
            <w:r>
              <w:rPr>
                <w:rFonts w:hint="eastAsia"/>
                <w:b/>
                <w:bCs/>
                <w:color w:val="auto"/>
                <w:szCs w:val="21"/>
                <w:highlight w:val="none"/>
              </w:rPr>
              <w:t>序号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FD3">
            <w:pPr>
              <w:jc w:val="center"/>
              <w:rPr>
                <w:rFonts w:ascii="宋体" w:hAnsi="宋体" w:cs="宋体"/>
                <w:b/>
                <w:bCs/>
                <w:color w:val="auto"/>
                <w:szCs w:val="21"/>
                <w:highlight w:val="none"/>
              </w:rPr>
            </w:pPr>
            <w:r>
              <w:rPr>
                <w:rFonts w:hint="eastAsia"/>
                <w:b/>
                <w:bCs/>
                <w:color w:val="auto"/>
                <w:szCs w:val="21"/>
                <w:highlight w:val="none"/>
              </w:rPr>
              <w:t>项目</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9E3">
            <w:pPr>
              <w:jc w:val="center"/>
              <w:rPr>
                <w:rFonts w:ascii="宋体" w:hAnsi="宋体" w:cs="宋体"/>
                <w:b/>
                <w:bCs/>
                <w:color w:val="auto"/>
                <w:szCs w:val="21"/>
                <w:highlight w:val="none"/>
              </w:rPr>
            </w:pPr>
            <w:r>
              <w:rPr>
                <w:rFonts w:hint="eastAsia"/>
                <w:b/>
                <w:bCs/>
                <w:color w:val="auto"/>
                <w:szCs w:val="21"/>
                <w:highlight w:val="none"/>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0635">
            <w:pPr>
              <w:jc w:val="center"/>
              <w:rPr>
                <w:rFonts w:ascii="宋体" w:hAnsi="宋体" w:cs="宋体"/>
                <w:b/>
                <w:bCs/>
                <w:color w:val="auto"/>
                <w:szCs w:val="21"/>
                <w:highlight w:val="none"/>
              </w:rPr>
            </w:pPr>
            <w:r>
              <w:rPr>
                <w:rFonts w:hint="eastAsia"/>
                <w:b/>
                <w:bCs/>
                <w:color w:val="auto"/>
                <w:szCs w:val="21"/>
                <w:highlight w:val="none"/>
              </w:rPr>
              <w:t>暂定工作量</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8E1F">
            <w:pPr>
              <w:jc w:val="center"/>
              <w:rPr>
                <w:rFonts w:ascii="宋体" w:hAnsi="宋体" w:cs="宋体"/>
                <w:b/>
                <w:bCs/>
                <w:color w:val="auto"/>
                <w:szCs w:val="21"/>
                <w:highlight w:val="none"/>
              </w:rPr>
            </w:pPr>
            <w:r>
              <w:rPr>
                <w:rFonts w:hint="eastAsia"/>
                <w:b/>
                <w:bCs/>
                <w:color w:val="auto"/>
                <w:szCs w:val="21"/>
                <w:highlight w:val="none"/>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9F8">
            <w:pPr>
              <w:jc w:val="center"/>
              <w:rPr>
                <w:b/>
                <w:bCs/>
                <w:color w:val="auto"/>
                <w:szCs w:val="21"/>
                <w:highlight w:val="none"/>
              </w:rPr>
            </w:pPr>
            <w:r>
              <w:rPr>
                <w:rFonts w:hint="eastAsia"/>
                <w:b/>
                <w:bCs/>
                <w:color w:val="auto"/>
                <w:szCs w:val="21"/>
                <w:highlight w:val="none"/>
              </w:rPr>
              <w:t>总价</w:t>
            </w:r>
          </w:p>
          <w:p w14:paraId="2B7739C4">
            <w:pPr>
              <w:jc w:val="center"/>
              <w:rPr>
                <w:rFonts w:ascii="宋体" w:hAnsi="宋体" w:cs="宋体"/>
                <w:b/>
                <w:bCs/>
                <w:color w:val="auto"/>
                <w:szCs w:val="21"/>
                <w:highlight w:val="none"/>
              </w:rPr>
            </w:pPr>
            <w:r>
              <w:rPr>
                <w:rFonts w:hint="eastAsia"/>
                <w:b/>
                <w:bCs/>
                <w:color w:val="auto"/>
                <w:szCs w:val="21"/>
                <w:highlight w:val="none"/>
              </w:rPr>
              <w:t>（元）</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A0D3">
            <w:pPr>
              <w:jc w:val="center"/>
              <w:rPr>
                <w:rFonts w:ascii="宋体" w:hAnsi="宋体" w:cs="宋体"/>
                <w:b/>
                <w:bCs/>
                <w:color w:val="auto"/>
                <w:szCs w:val="21"/>
                <w:highlight w:val="none"/>
              </w:rPr>
            </w:pPr>
            <w:r>
              <w:rPr>
                <w:rFonts w:hint="eastAsia"/>
                <w:b/>
                <w:bCs/>
                <w:color w:val="auto"/>
                <w:szCs w:val="21"/>
                <w:highlight w:val="none"/>
              </w:rPr>
              <w:t>备注</w:t>
            </w:r>
          </w:p>
        </w:tc>
      </w:tr>
      <w:tr w14:paraId="076B3419">
        <w:tblPrEx>
          <w:tblCellMar>
            <w:top w:w="0" w:type="dxa"/>
            <w:left w:w="108" w:type="dxa"/>
            <w:bottom w:w="0" w:type="dxa"/>
            <w:right w:w="108" w:type="dxa"/>
          </w:tblCellMar>
        </w:tblPrEx>
        <w:trPr>
          <w:trHeight w:val="1005"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85FB">
            <w:pPr>
              <w:widowControl/>
              <w:jc w:val="center"/>
              <w:textAlignment w:val="center"/>
              <w:rPr>
                <w:rFonts w:ascii="宋体" w:hAnsi="宋体" w:cs="宋体"/>
                <w:color w:val="auto"/>
                <w:szCs w:val="21"/>
                <w:highlight w:val="none"/>
              </w:rPr>
            </w:pPr>
            <w:r>
              <w:rPr>
                <w:rFonts w:ascii="宋体" w:hAnsi="宋体" w:cs="宋体"/>
                <w:color w:val="auto"/>
                <w:sz w:val="22"/>
                <w:highlight w:val="none"/>
                <w:lang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EE7">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岩土工程勘察费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5AFA">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9EBD">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077D">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EF2E">
            <w:pPr>
              <w:keepNext w:val="0"/>
              <w:keepLines w:val="0"/>
              <w:widowControl/>
              <w:suppressLineNumbers w:val="0"/>
              <w:jc w:val="center"/>
              <w:textAlignment w:val="center"/>
              <w:rPr>
                <w:rFonts w:ascii="宋体" w:hAnsi="宋体" w:cs="宋体"/>
                <w:color w:val="auto"/>
                <w:szCs w:val="21"/>
                <w:highlight w:val="none"/>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2806">
            <w:pPr>
              <w:keepNext w:val="0"/>
              <w:keepLines w:val="0"/>
              <w:widowControl/>
              <w:suppressLineNumbers w:val="0"/>
              <w:jc w:val="both"/>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包括初步勘察、详细勘察、施工阶段勘察及所有实物工作收费、技术工作收费、进退场费、税金等。</w:t>
            </w:r>
            <w:r>
              <w:rPr>
                <w:rFonts w:hint="eastAsia" w:ascii="宋体" w:hAnsi="宋体" w:eastAsia="宋体" w:cs="宋体"/>
                <w:b/>
                <w:bCs/>
                <w:i w:val="0"/>
                <w:iCs w:val="0"/>
                <w:color w:val="auto"/>
                <w:kern w:val="0"/>
                <w:sz w:val="22"/>
                <w:szCs w:val="22"/>
                <w:highlight w:val="none"/>
                <w:u w:val="none"/>
                <w:lang w:val="en-US" w:eastAsia="zh-CN" w:bidi="ar"/>
              </w:rPr>
              <w:t>综合包干投标报价单价应不高于125.00元/m</w:t>
            </w:r>
            <w:r>
              <w:rPr>
                <w:rFonts w:hint="eastAsia" w:ascii="宋体" w:hAnsi="宋体" w:eastAsia="宋体" w:cs="宋体"/>
                <w:i w:val="0"/>
                <w:iCs w:val="0"/>
                <w:color w:val="auto"/>
                <w:kern w:val="0"/>
                <w:sz w:val="22"/>
                <w:szCs w:val="22"/>
                <w:highlight w:val="none"/>
                <w:u w:val="none"/>
                <w:lang w:val="en-US" w:eastAsia="zh-CN" w:bidi="ar"/>
              </w:rPr>
              <w:t>。</w:t>
            </w:r>
          </w:p>
        </w:tc>
      </w:tr>
      <w:tr w14:paraId="61041C5D">
        <w:tblPrEx>
          <w:tblCellMar>
            <w:top w:w="0" w:type="dxa"/>
            <w:left w:w="108" w:type="dxa"/>
            <w:bottom w:w="0" w:type="dxa"/>
            <w:right w:w="108" w:type="dxa"/>
          </w:tblCellMar>
        </w:tblPrEx>
        <w:trPr>
          <w:trHeight w:val="932"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5AE8">
            <w:pPr>
              <w:widowControl/>
              <w:jc w:val="center"/>
              <w:textAlignment w:val="center"/>
              <w:rPr>
                <w:rFonts w:ascii="宋体" w:hAnsi="宋体" w:cs="宋体"/>
                <w:color w:val="auto"/>
                <w:szCs w:val="21"/>
                <w:highlight w:val="none"/>
              </w:rPr>
            </w:pPr>
            <w:r>
              <w:rPr>
                <w:rFonts w:ascii="宋体" w:hAnsi="宋体" w:cs="宋体"/>
                <w:color w:val="auto"/>
                <w:sz w:val="22"/>
                <w:highlight w:val="none"/>
                <w:lang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9D84">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超前钻费用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8CFE">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7000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1598">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080B">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CDD7">
            <w:pPr>
              <w:keepNext w:val="0"/>
              <w:keepLines w:val="0"/>
              <w:widowControl/>
              <w:suppressLineNumbers w:val="0"/>
              <w:jc w:val="center"/>
              <w:textAlignment w:val="center"/>
              <w:rPr>
                <w:rFonts w:ascii="宋体" w:hAnsi="宋体" w:cs="宋体"/>
                <w:color w:val="auto"/>
                <w:szCs w:val="21"/>
                <w:highlight w:val="none"/>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9A07">
            <w:pPr>
              <w:keepNext w:val="0"/>
              <w:keepLines w:val="0"/>
              <w:widowControl/>
              <w:suppressLineNumbers w:val="0"/>
              <w:jc w:val="both"/>
              <w:textAlignment w:val="center"/>
              <w:rPr>
                <w:rFonts w:ascii="宋体" w:hAnsi="宋体" w:cs="宋体"/>
                <w:b/>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包括所有实物工作收费、技术工作收费、进退场费、税金等。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综合单价包干，投标报价单价应不高于105.00元/m</w:t>
            </w:r>
            <w:r>
              <w:rPr>
                <w:rFonts w:hint="eastAsia" w:ascii="宋体" w:hAnsi="宋体" w:eastAsia="宋体" w:cs="宋体"/>
                <w:i w:val="0"/>
                <w:iCs w:val="0"/>
                <w:color w:val="auto"/>
                <w:kern w:val="0"/>
                <w:sz w:val="22"/>
                <w:szCs w:val="22"/>
                <w:highlight w:val="none"/>
                <w:u w:val="none"/>
                <w:lang w:val="en-US" w:eastAsia="zh-CN" w:bidi="ar"/>
              </w:rPr>
              <w:t>。</w:t>
            </w:r>
          </w:p>
        </w:tc>
      </w:tr>
      <w:tr w14:paraId="138C1365">
        <w:tblPrEx>
          <w:tblCellMar>
            <w:top w:w="0" w:type="dxa"/>
            <w:left w:w="108" w:type="dxa"/>
            <w:bottom w:w="0" w:type="dxa"/>
            <w:right w:w="108" w:type="dxa"/>
          </w:tblCellMar>
        </w:tblPrEx>
        <w:trPr>
          <w:trHeight w:val="2055"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1ECC">
            <w:pPr>
              <w:widowControl/>
              <w:jc w:val="center"/>
              <w:textAlignment w:val="center"/>
              <w:rPr>
                <w:rFonts w:ascii="宋体" w:hAnsi="宋体" w:cs="宋体"/>
                <w:color w:val="auto"/>
                <w:szCs w:val="21"/>
                <w:highlight w:val="none"/>
              </w:rPr>
            </w:pPr>
            <w:r>
              <w:rPr>
                <w:rFonts w:ascii="宋体" w:hAnsi="宋体" w:cs="宋体"/>
                <w:color w:val="auto"/>
                <w:sz w:val="22"/>
                <w:highlight w:val="none"/>
                <w:lang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357">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工程物探费</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908">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B85">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B1B4">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D9B6">
            <w:pPr>
              <w:keepNext w:val="0"/>
              <w:keepLines w:val="0"/>
              <w:widowControl/>
              <w:suppressLineNumbers w:val="0"/>
              <w:jc w:val="center"/>
              <w:textAlignment w:val="center"/>
              <w:rPr>
                <w:rFonts w:ascii="宋体" w:hAnsi="宋体" w:cs="宋体"/>
                <w:color w:val="auto"/>
                <w:szCs w:val="21"/>
                <w:highlight w:val="none"/>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F27C">
            <w:pPr>
              <w:keepNext w:val="0"/>
              <w:keepLines w:val="0"/>
              <w:widowControl/>
              <w:suppressLineNumbers w:val="0"/>
              <w:jc w:val="both"/>
              <w:textAlignment w:val="center"/>
              <w:rPr>
                <w:rFonts w:ascii="宋体" w:hAnsi="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综合单价包干，投标报价单价应不高于1.5元/㎡。</w:t>
            </w:r>
          </w:p>
        </w:tc>
      </w:tr>
      <w:tr w14:paraId="52793186">
        <w:tblPrEx>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1822">
            <w:pPr>
              <w:widowControl/>
              <w:jc w:val="center"/>
              <w:textAlignment w:val="center"/>
              <w:rPr>
                <w:color w:val="auto"/>
                <w:szCs w:val="21"/>
                <w:highlight w:val="none"/>
              </w:rPr>
            </w:pPr>
            <w:r>
              <w:rPr>
                <w:rFonts w:ascii="宋体" w:hAnsi="宋体" w:cs="宋体"/>
                <w:color w:val="auto"/>
                <w:sz w:val="22"/>
                <w:highlight w:val="none"/>
                <w:lang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64C6">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土壤氡浓度测试</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314D">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171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396B">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17DB">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120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6733">
            <w:pPr>
              <w:keepNext w:val="0"/>
              <w:keepLines w:val="0"/>
              <w:widowControl/>
              <w:suppressLineNumbers w:val="0"/>
              <w:jc w:val="center"/>
              <w:textAlignment w:val="center"/>
              <w:rPr>
                <w:rFonts w:ascii="宋体" w:hAnsi="宋体" w:cs="宋体"/>
                <w:color w:val="auto"/>
                <w:szCs w:val="21"/>
                <w:highlight w:val="none"/>
                <w:lang w:bidi="ar"/>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7E55">
            <w:pPr>
              <w:keepNext w:val="0"/>
              <w:keepLines w:val="0"/>
              <w:widowControl/>
              <w:suppressLineNumbers w:val="0"/>
              <w:jc w:val="center"/>
              <w:textAlignment w:val="center"/>
              <w:rPr>
                <w:rFonts w:ascii="宋体" w:hAnsi="宋体" w:cs="宋体"/>
                <w:b w:val="0"/>
                <w:bCs w:val="0"/>
                <w:color w:val="auto"/>
                <w:szCs w:val="21"/>
                <w:highlight w:val="none"/>
                <w:lang w:bidi="ar"/>
              </w:rPr>
            </w:pPr>
            <w:r>
              <w:rPr>
                <w:rFonts w:hint="eastAsia" w:ascii="宋体" w:hAnsi="宋体" w:eastAsia="宋体" w:cs="宋体"/>
                <w:b w:val="0"/>
                <w:bCs w:val="0"/>
                <w:i w:val="0"/>
                <w:iCs w:val="0"/>
                <w:color w:val="auto"/>
                <w:kern w:val="0"/>
                <w:sz w:val="22"/>
                <w:szCs w:val="22"/>
                <w:highlight w:val="none"/>
                <w:u w:val="none"/>
                <w:lang w:val="en-US" w:eastAsia="zh-CN" w:bidi="ar"/>
              </w:rPr>
              <w:t>综合单价包干，投标报价单价应不高于120元/点。</w:t>
            </w:r>
          </w:p>
        </w:tc>
      </w:tr>
      <w:tr w14:paraId="26478E30">
        <w:tblPrEx>
          <w:tblCellMar>
            <w:top w:w="0" w:type="dxa"/>
            <w:left w:w="108" w:type="dxa"/>
            <w:bottom w:w="0" w:type="dxa"/>
            <w:right w:w="108" w:type="dxa"/>
          </w:tblCellMar>
        </w:tblPrEx>
        <w:trPr>
          <w:trHeight w:val="380"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95D8">
            <w:pPr>
              <w:widowControl/>
              <w:jc w:val="center"/>
              <w:textAlignment w:val="center"/>
              <w:rPr>
                <w:color w:val="auto"/>
                <w:szCs w:val="21"/>
                <w:highlight w:val="none"/>
              </w:rPr>
            </w:pPr>
            <w:r>
              <w:rPr>
                <w:rFonts w:ascii="宋体" w:hAnsi="宋体" w:cs="宋体"/>
                <w:color w:val="auto"/>
                <w:sz w:val="22"/>
                <w:highlight w:val="none"/>
                <w:lang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F333">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抽水试验</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4CD9">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29D2">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E9EB">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12000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54B7">
            <w:pPr>
              <w:keepNext w:val="0"/>
              <w:keepLines w:val="0"/>
              <w:widowControl/>
              <w:suppressLineNumbers w:val="0"/>
              <w:jc w:val="center"/>
              <w:textAlignment w:val="center"/>
              <w:rPr>
                <w:rFonts w:ascii="宋体" w:hAnsi="宋体" w:cs="宋体"/>
                <w:color w:val="auto"/>
                <w:szCs w:val="21"/>
                <w:highlight w:val="none"/>
                <w:lang w:bidi="ar"/>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AB99">
            <w:pPr>
              <w:keepNext w:val="0"/>
              <w:keepLines w:val="0"/>
              <w:widowControl/>
              <w:suppressLineNumbers w:val="0"/>
              <w:jc w:val="both"/>
              <w:textAlignment w:val="center"/>
              <w:rPr>
                <w:rFonts w:ascii="宋体" w:hAnsi="宋体" w:cs="宋体"/>
                <w:b w:val="0"/>
                <w:bCs w:val="0"/>
                <w:color w:val="auto"/>
                <w:szCs w:val="21"/>
                <w:highlight w:val="none"/>
                <w:lang w:bidi="ar"/>
              </w:rPr>
            </w:pPr>
            <w:r>
              <w:rPr>
                <w:rFonts w:hint="eastAsia" w:ascii="宋体" w:hAnsi="宋体" w:eastAsia="宋体" w:cs="宋体"/>
                <w:b w:val="0"/>
                <w:bCs w:val="0"/>
                <w:i w:val="0"/>
                <w:iCs w:val="0"/>
                <w:color w:val="auto"/>
                <w:kern w:val="0"/>
                <w:sz w:val="22"/>
                <w:szCs w:val="22"/>
                <w:highlight w:val="none"/>
                <w:u w:val="none"/>
                <w:lang w:val="en-US" w:eastAsia="zh-CN" w:bidi="ar"/>
              </w:rPr>
              <w:t>综合单价包干，投标报价单价应不高于12000元/个。</w:t>
            </w:r>
          </w:p>
        </w:tc>
      </w:tr>
      <w:tr w14:paraId="76C8E5FE">
        <w:tblPrEx>
          <w:tblCellMar>
            <w:top w:w="0" w:type="dxa"/>
            <w:left w:w="108" w:type="dxa"/>
            <w:bottom w:w="0" w:type="dxa"/>
            <w:right w:w="108" w:type="dxa"/>
          </w:tblCellMar>
        </w:tblPrEx>
        <w:trPr>
          <w:trHeight w:val="125"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BCD6">
            <w:pPr>
              <w:widowControl/>
              <w:jc w:val="center"/>
              <w:textAlignment w:val="center"/>
              <w:rPr>
                <w:color w:val="auto"/>
                <w:szCs w:val="21"/>
                <w:highlight w:val="none"/>
              </w:rPr>
            </w:pPr>
            <w:r>
              <w:rPr>
                <w:rFonts w:ascii="宋体" w:hAnsi="宋体" w:cs="宋体"/>
                <w:color w:val="auto"/>
                <w:sz w:val="22"/>
                <w:highlight w:val="none"/>
                <w:lang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082B">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剪切波速</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6E2F">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A059">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4DC8">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5AB">
            <w:pPr>
              <w:keepNext w:val="0"/>
              <w:keepLines w:val="0"/>
              <w:widowControl/>
              <w:suppressLineNumbers w:val="0"/>
              <w:jc w:val="center"/>
              <w:textAlignment w:val="center"/>
              <w:rPr>
                <w:rFonts w:ascii="宋体" w:hAnsi="宋体" w:cs="宋体"/>
                <w:color w:val="auto"/>
                <w:szCs w:val="21"/>
                <w:highlight w:val="none"/>
                <w:lang w:bidi="ar"/>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E700">
            <w:pPr>
              <w:keepNext w:val="0"/>
              <w:keepLines w:val="0"/>
              <w:widowControl/>
              <w:suppressLineNumbers w:val="0"/>
              <w:jc w:val="both"/>
              <w:textAlignment w:val="center"/>
              <w:rPr>
                <w:rFonts w:ascii="宋体" w:hAnsi="宋体" w:cs="宋体"/>
                <w:b w:val="0"/>
                <w:bCs w:val="0"/>
                <w:color w:val="auto"/>
                <w:szCs w:val="21"/>
                <w:highlight w:val="none"/>
                <w:lang w:bidi="ar"/>
              </w:rPr>
            </w:pPr>
            <w:r>
              <w:rPr>
                <w:rFonts w:hint="eastAsia" w:ascii="宋体" w:hAnsi="宋体" w:eastAsia="宋体" w:cs="宋体"/>
                <w:b w:val="0"/>
                <w:bCs w:val="0"/>
                <w:i w:val="0"/>
                <w:iCs w:val="0"/>
                <w:color w:val="auto"/>
                <w:kern w:val="0"/>
                <w:sz w:val="22"/>
                <w:szCs w:val="22"/>
                <w:highlight w:val="none"/>
                <w:u w:val="none"/>
                <w:lang w:val="en-US" w:eastAsia="zh-CN" w:bidi="ar"/>
              </w:rPr>
              <w:t>综合单价包干，投标报价单价应不高于3000元/个。</w:t>
            </w:r>
          </w:p>
        </w:tc>
      </w:tr>
      <w:tr w14:paraId="3877F31D">
        <w:tblPrEx>
          <w:tblCellMar>
            <w:top w:w="0" w:type="dxa"/>
            <w:left w:w="108" w:type="dxa"/>
            <w:bottom w:w="0" w:type="dxa"/>
            <w:right w:w="108"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0F18">
            <w:pPr>
              <w:widowControl/>
              <w:jc w:val="center"/>
              <w:textAlignment w:val="center"/>
              <w:rPr>
                <w:color w:val="auto"/>
                <w:szCs w:val="21"/>
                <w:highlight w:val="none"/>
              </w:rPr>
            </w:pPr>
            <w:r>
              <w:rPr>
                <w:rFonts w:ascii="宋体" w:hAnsi="宋体" w:cs="宋体"/>
                <w:color w:val="auto"/>
                <w:sz w:val="22"/>
                <w:highlight w:val="none"/>
                <w:lang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9BEF">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噪声测试</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AF7">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5690">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项</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BC00">
            <w:pPr>
              <w:keepNext w:val="0"/>
              <w:keepLines w:val="0"/>
              <w:widowControl/>
              <w:suppressLineNumbers w:val="0"/>
              <w:jc w:val="center"/>
              <w:textAlignment w:val="center"/>
              <w:rPr>
                <w:rFonts w:ascii="宋体" w:hAnsi="宋体" w:cs="宋体"/>
                <w:color w:val="auto"/>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3000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7820">
            <w:pPr>
              <w:keepNext w:val="0"/>
              <w:keepLines w:val="0"/>
              <w:widowControl/>
              <w:suppressLineNumbers w:val="0"/>
              <w:jc w:val="center"/>
              <w:textAlignment w:val="center"/>
              <w:rPr>
                <w:rFonts w:ascii="宋体" w:hAnsi="宋体" w:cs="宋体"/>
                <w:color w:val="auto"/>
                <w:szCs w:val="21"/>
                <w:highlight w:val="none"/>
                <w:lang w:bidi="ar"/>
              </w:rPr>
            </w:pP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08D0">
            <w:pPr>
              <w:keepNext w:val="0"/>
              <w:keepLines w:val="0"/>
              <w:widowControl/>
              <w:suppressLineNumbers w:val="0"/>
              <w:jc w:val="both"/>
              <w:textAlignment w:val="center"/>
              <w:rPr>
                <w:rFonts w:ascii="宋体" w:hAnsi="宋体" w:eastAsia="宋体" w:cs="宋体"/>
                <w:b w:val="0"/>
                <w:bCs w:val="0"/>
                <w:color w:val="auto"/>
                <w:sz w:val="21"/>
                <w:szCs w:val="21"/>
                <w:highlight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综合单价包干，投标报价单价应不高于3000元/项。</w:t>
            </w:r>
          </w:p>
        </w:tc>
      </w:tr>
      <w:tr w14:paraId="05BB8A6E">
        <w:tblPrEx>
          <w:tblCellMar>
            <w:top w:w="0" w:type="dxa"/>
            <w:left w:w="108" w:type="dxa"/>
            <w:bottom w:w="0" w:type="dxa"/>
            <w:right w:w="108" w:type="dxa"/>
          </w:tblCellMar>
        </w:tblPrEx>
        <w:trPr>
          <w:trHeight w:val="559"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DC0">
            <w:pPr>
              <w:widowControl/>
              <w:jc w:val="center"/>
              <w:rPr>
                <w:rFonts w:ascii="宋体" w:hAnsi="宋体" w:cs="宋体"/>
                <w:color w:val="auto"/>
                <w:szCs w:val="21"/>
                <w:highlight w:val="none"/>
              </w:rPr>
            </w:pPr>
            <w:r>
              <w:rPr>
                <w:rFonts w:hint="eastAsia" w:ascii="宋体" w:hAnsi="宋体" w:cs="宋体"/>
                <w:color w:val="auto"/>
                <w:szCs w:val="21"/>
                <w:highlight w:val="none"/>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DF74">
            <w:pPr>
              <w:keepNext w:val="0"/>
              <w:keepLines w:val="0"/>
              <w:widowControl/>
              <w:suppressLineNumbers w:val="0"/>
              <w:jc w:val="center"/>
              <w:textAlignment w:val="center"/>
              <w:rPr>
                <w:rFonts w:ascii="宋体" w:hAnsi="宋体" w:cs="宋体"/>
                <w:b/>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工程测量费</w:t>
            </w:r>
          </w:p>
        </w:tc>
        <w:tc>
          <w:tcPr>
            <w:tcW w:w="32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6E88EC">
            <w:pPr>
              <w:keepNext w:val="0"/>
              <w:keepLines w:val="0"/>
              <w:widowControl/>
              <w:suppressLineNumbers w:val="0"/>
              <w:jc w:val="center"/>
              <w:textAlignment w:val="center"/>
              <w:rPr>
                <w:rFonts w:hint="default" w:ascii="宋体" w:hAnsi="宋体" w:cs="宋体"/>
                <w:b/>
                <w:bCs/>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200000</w:t>
            </w:r>
          </w:p>
        </w:tc>
        <w:tc>
          <w:tcPr>
            <w:tcW w:w="4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0C5C">
            <w:pPr>
              <w:keepNext w:val="0"/>
              <w:keepLines w:val="0"/>
              <w:widowControl/>
              <w:suppressLineNumbers w:val="0"/>
              <w:jc w:val="left"/>
              <w:textAlignment w:val="center"/>
              <w:rPr>
                <w:rFonts w:ascii="宋体" w:hAnsi="宋体" w:cs="宋体"/>
                <w:b/>
                <w:bCs/>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包括不限于控制测量、1：500地形测量、CPS测量等，不包括规划测量。以上内容在《工程勘察设计收费标准（2002年修订本）》有计费标准的，后续结算则按该标准并计取合同约定下浮率20%和投标下浮率计算。没有收费标准参照的，三方依据市场价格协商定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此项属于暂估，结算时按实际完成量结算。</w:t>
            </w:r>
          </w:p>
        </w:tc>
      </w:tr>
      <w:tr w14:paraId="22D43987">
        <w:tblPrEx>
          <w:tblCellMar>
            <w:top w:w="0" w:type="dxa"/>
            <w:left w:w="108" w:type="dxa"/>
            <w:bottom w:w="0" w:type="dxa"/>
            <w:right w:w="108" w:type="dxa"/>
          </w:tblCellMar>
        </w:tblPrEx>
        <w:trPr>
          <w:trHeight w:val="632" w:hRule="atLeast"/>
          <w:jc w:val="center"/>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751D">
            <w:pPr>
              <w:widowControl/>
              <w:jc w:val="center"/>
              <w:rPr>
                <w:rFonts w:ascii="宋体" w:hAnsi="宋体" w:cs="宋体"/>
                <w:color w:val="auto"/>
                <w:szCs w:val="21"/>
                <w:highlight w:val="none"/>
              </w:rPr>
            </w:pPr>
            <w:r>
              <w:rPr>
                <w:rFonts w:hint="eastAsia" w:ascii="宋体" w:hAnsi="宋体" w:cs="宋体"/>
                <w:color w:val="auto"/>
                <w:szCs w:val="21"/>
                <w:highlight w:val="none"/>
              </w:rPr>
              <w:t>9</w:t>
            </w:r>
          </w:p>
        </w:tc>
        <w:tc>
          <w:tcPr>
            <w:tcW w:w="2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A03AE">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勘察费小计</w:t>
            </w:r>
            <w:r>
              <w:rPr>
                <w:rFonts w:ascii="宋体" w:hAnsi="宋体" w:cs="宋体"/>
                <w:b/>
                <w:bCs/>
                <w:color w:val="auto"/>
                <w:szCs w:val="21"/>
                <w:highlight w:val="none"/>
              </w:rPr>
              <w:t>(</w:t>
            </w:r>
            <w:r>
              <w:rPr>
                <w:rFonts w:hint="eastAsia" w:ascii="宋体" w:hAnsi="宋体" w:cs="宋体"/>
                <w:b/>
                <w:bCs/>
                <w:color w:val="auto"/>
                <w:szCs w:val="21"/>
                <w:highlight w:val="none"/>
              </w:rPr>
              <w:t>元</w:t>
            </w:r>
            <w:r>
              <w:rPr>
                <w:rFonts w:ascii="宋体" w:hAnsi="宋体" w:cs="宋体"/>
                <w:b/>
                <w:bCs/>
                <w:color w:val="auto"/>
                <w:szCs w:val="21"/>
                <w:highlight w:val="none"/>
              </w:rPr>
              <w:t>)</w:t>
            </w:r>
          </w:p>
        </w:tc>
        <w:tc>
          <w:tcPr>
            <w:tcW w:w="6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ADBD8">
            <w:pPr>
              <w:widowControl/>
              <w:jc w:val="left"/>
              <w:rPr>
                <w:rFonts w:ascii="宋体" w:hAnsi="宋体" w:cs="宋体"/>
                <w:b/>
                <w:bCs/>
                <w:color w:val="auto"/>
                <w:szCs w:val="21"/>
                <w:highlight w:val="none"/>
              </w:rPr>
            </w:pPr>
            <w:r>
              <w:rPr>
                <w:rFonts w:ascii="宋体" w:hAnsi="宋体" w:cs="宋体"/>
                <w:b/>
                <w:bCs/>
                <w:color w:val="auto"/>
                <w:szCs w:val="21"/>
                <w:highlight w:val="none"/>
              </w:rPr>
              <w:t xml:space="preserve"> </w:t>
            </w:r>
            <w:r>
              <w:rPr>
                <w:rFonts w:ascii="宋体" w:hAnsi="宋体" w:cs="宋体"/>
                <w:b/>
                <w:bCs/>
                <w:color w:val="auto"/>
                <w:szCs w:val="21"/>
                <w:highlight w:val="none"/>
                <w:u w:val="single"/>
              </w:rPr>
              <w:t xml:space="preserve">         </w:t>
            </w:r>
          </w:p>
        </w:tc>
      </w:tr>
    </w:tbl>
    <w:p w14:paraId="597C4B3A">
      <w:pPr>
        <w:adjustRightInd w:val="0"/>
        <w:snapToGrid w:val="0"/>
        <w:ind w:right="-758" w:rightChars="-361" w:firstLine="420" w:firstLineChars="200"/>
        <w:jc w:val="left"/>
        <w:rPr>
          <w:rFonts w:ascii="宋体" w:hAnsi="宋体" w:cs="宋体"/>
          <w:color w:val="auto"/>
          <w:szCs w:val="21"/>
          <w:highlight w:val="none"/>
        </w:rPr>
      </w:pPr>
      <w:r>
        <w:rPr>
          <w:rFonts w:hint="eastAsia" w:ascii="宋体" w:hAnsi="宋体" w:cs="宋体"/>
          <w:color w:val="auto"/>
          <w:kern w:val="2"/>
          <w:szCs w:val="21"/>
          <w:highlight w:val="none"/>
        </w:rPr>
        <w:t>注：</w:t>
      </w:r>
    </w:p>
    <w:p w14:paraId="02A09A70">
      <w:pPr>
        <w:adjustRightInd w:val="0"/>
        <w:snapToGrid w:val="0"/>
        <w:ind w:right="-50" w:rightChars="-24" w:firstLine="420" w:firstLineChars="200"/>
        <w:jc w:val="left"/>
        <w:rPr>
          <w:rFonts w:ascii="宋体" w:hAnsi="宋体" w:cs="宋体"/>
          <w:bCs/>
          <w:color w:val="auto"/>
          <w:szCs w:val="21"/>
          <w:highlight w:val="none"/>
        </w:rPr>
      </w:pPr>
      <w:r>
        <w:rPr>
          <w:rFonts w:ascii="宋体" w:hAnsi="宋体" w:cs="宋体"/>
          <w:bCs/>
          <w:color w:val="auto"/>
          <w:kern w:val="2"/>
          <w:szCs w:val="21"/>
          <w:highlight w:val="none"/>
        </w:rPr>
        <w:t>1</w:t>
      </w:r>
      <w:r>
        <w:rPr>
          <w:rFonts w:hint="eastAsia" w:ascii="宋体" w:hAnsi="宋体" w:cs="宋体"/>
          <w:bCs/>
          <w:color w:val="auto"/>
          <w:kern w:val="2"/>
          <w:szCs w:val="21"/>
          <w:highlight w:val="none"/>
        </w:rPr>
        <w:t>、中标人需按总报价的金额完成本次招标内容及勘察任务书内的全部内容，不得增加费用。</w:t>
      </w:r>
    </w:p>
    <w:p w14:paraId="4C28743C">
      <w:pPr>
        <w:adjustRightInd w:val="0"/>
        <w:snapToGrid w:val="0"/>
        <w:ind w:right="-50" w:rightChars="-24" w:firstLine="420" w:firstLineChars="200"/>
        <w:jc w:val="left"/>
        <w:rPr>
          <w:rFonts w:ascii="宋体" w:hAnsi="宋体" w:cs="宋体"/>
          <w:b/>
          <w:color w:val="auto"/>
          <w:szCs w:val="21"/>
          <w:highlight w:val="none"/>
        </w:rPr>
      </w:pPr>
      <w:r>
        <w:rPr>
          <w:rFonts w:ascii="宋体" w:hAnsi="宋体" w:cs="宋体"/>
          <w:bCs/>
          <w:color w:val="auto"/>
          <w:kern w:val="2"/>
          <w:szCs w:val="21"/>
          <w:highlight w:val="none"/>
        </w:rPr>
        <w:t>2</w:t>
      </w:r>
      <w:r>
        <w:rPr>
          <w:rFonts w:hint="eastAsia" w:ascii="宋体" w:hAnsi="宋体" w:cs="宋体"/>
          <w:bCs/>
          <w:color w:val="auto"/>
          <w:kern w:val="2"/>
          <w:szCs w:val="21"/>
          <w:highlight w:val="none"/>
        </w:rPr>
        <w:t>、</w:t>
      </w:r>
      <w:r>
        <w:rPr>
          <w:rFonts w:hint="eastAsia" w:ascii="宋体" w:hAnsi="宋体" w:cs="Cambria Math"/>
          <w:bCs/>
          <w:color w:val="auto"/>
          <w:kern w:val="2"/>
          <w:szCs w:val="21"/>
          <w:highlight w:val="none"/>
        </w:rPr>
        <w:t>中标单位在进场开展工作之前，需编制勘察工作方案，报招标人审核同意后方可实施。</w:t>
      </w:r>
    </w:p>
    <w:p w14:paraId="7E5B35AA">
      <w:pPr>
        <w:adjustRightInd w:val="0"/>
        <w:snapToGrid w:val="0"/>
        <w:ind w:right="-50" w:rightChars="-24" w:firstLine="422" w:firstLineChars="200"/>
        <w:rPr>
          <w:rFonts w:ascii="宋体" w:hAnsi="宋体" w:cs="宋体"/>
          <w:b/>
          <w:bCs/>
          <w:color w:val="auto"/>
          <w:szCs w:val="21"/>
          <w:highlight w:val="none"/>
        </w:rPr>
      </w:pPr>
      <w:r>
        <w:rPr>
          <w:rFonts w:ascii="宋体" w:hAnsi="宋体" w:cs="宋体"/>
          <w:b/>
          <w:bCs/>
          <w:color w:val="auto"/>
          <w:kern w:val="2"/>
          <w:szCs w:val="21"/>
          <w:highlight w:val="none"/>
        </w:rPr>
        <w:t>3</w:t>
      </w:r>
      <w:r>
        <w:rPr>
          <w:rFonts w:hint="eastAsia" w:ascii="宋体" w:hAnsi="宋体" w:cs="宋体"/>
          <w:b/>
          <w:bCs/>
          <w:color w:val="auto"/>
          <w:kern w:val="2"/>
          <w:szCs w:val="21"/>
          <w:highlight w:val="none"/>
        </w:rPr>
        <w:t>、投标人须按招标文件要求进行投标报价，否则由评标委员按否决其投标处理。</w:t>
      </w:r>
    </w:p>
    <w:p w14:paraId="156F6F3B">
      <w:pPr>
        <w:adjustRightInd w:val="0"/>
        <w:snapToGrid w:val="0"/>
        <w:ind w:firstLine="420" w:firstLineChars="200"/>
        <w:jc w:val="left"/>
        <w:rPr>
          <w:rFonts w:ascii="宋体" w:hAnsi="宋体" w:cs="宋体"/>
          <w:bCs/>
          <w:color w:val="auto"/>
          <w:kern w:val="2"/>
          <w:szCs w:val="21"/>
          <w:highlight w:val="none"/>
        </w:rPr>
      </w:pPr>
      <w:r>
        <w:rPr>
          <w:rFonts w:ascii="宋体" w:hAnsi="宋体" w:cs="宋体"/>
          <w:bCs/>
          <w:color w:val="auto"/>
          <w:kern w:val="2"/>
          <w:szCs w:val="21"/>
          <w:highlight w:val="none"/>
        </w:rPr>
        <w:t>4</w:t>
      </w:r>
      <w:r>
        <w:rPr>
          <w:rFonts w:hint="eastAsia" w:ascii="宋体" w:hAnsi="宋体" w:cs="宋体"/>
          <w:bCs/>
          <w:color w:val="auto"/>
          <w:kern w:val="2"/>
          <w:szCs w:val="21"/>
          <w:highlight w:val="none"/>
        </w:rPr>
        <w:t>、勘察费合计金额应与经济标投标书中勘察费金额一致。</w:t>
      </w:r>
    </w:p>
    <w:p w14:paraId="1193E01D">
      <w:pPr>
        <w:adjustRightInd w:val="0"/>
        <w:snapToGrid w:val="0"/>
        <w:ind w:firstLine="420" w:firstLineChars="200"/>
        <w:jc w:val="left"/>
        <w:rPr>
          <w:rFonts w:ascii="宋体" w:hAnsi="宋体" w:cs="宋体"/>
          <w:bCs/>
          <w:color w:val="auto"/>
          <w:kern w:val="2"/>
          <w:szCs w:val="21"/>
          <w:highlight w:val="none"/>
        </w:rPr>
      </w:pPr>
      <w:r>
        <w:rPr>
          <w:rFonts w:ascii="宋体" w:hAnsi="宋体" w:cs="宋体"/>
          <w:bCs/>
          <w:color w:val="auto"/>
          <w:kern w:val="2"/>
          <w:szCs w:val="21"/>
          <w:highlight w:val="none"/>
        </w:rPr>
        <w:t>5</w:t>
      </w:r>
      <w:r>
        <w:rPr>
          <w:rFonts w:hint="eastAsia" w:ascii="宋体" w:hAnsi="宋体" w:cs="宋体"/>
          <w:bCs/>
          <w:color w:val="auto"/>
          <w:kern w:val="2"/>
          <w:szCs w:val="21"/>
          <w:highlight w:val="none"/>
        </w:rPr>
        <w:t>、勘察费合计总报价以元为单位，小数点后保留二位小数，第三位小数四舍五入。</w:t>
      </w:r>
    </w:p>
    <w:p w14:paraId="5EA87B59">
      <w:pPr>
        <w:tabs>
          <w:tab w:val="left" w:pos="7655"/>
        </w:tabs>
        <w:spacing w:line="320" w:lineRule="exact"/>
        <w:ind w:right="85"/>
        <w:jc w:val="right"/>
        <w:rPr>
          <w:rFonts w:ascii="宋体" w:hAnsi="宋体" w:cs="Cambria Math"/>
          <w:color w:val="auto"/>
          <w:spacing w:val="18"/>
          <w:kern w:val="1"/>
          <w:szCs w:val="21"/>
          <w:highlight w:val="none"/>
        </w:rPr>
      </w:pPr>
      <w:r>
        <w:rPr>
          <w:rFonts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投标人</w:t>
      </w:r>
      <w:r>
        <w:rPr>
          <w:rFonts w:hint="eastAsia" w:ascii="宋体" w:hAnsi="宋体" w:cs="Cambria Math"/>
          <w:color w:val="auto"/>
          <w:spacing w:val="18"/>
          <w:kern w:val="1"/>
          <w:szCs w:val="21"/>
          <w:highlight w:val="none"/>
        </w:rPr>
        <w:t>：</w:t>
      </w:r>
      <w:r>
        <w:rPr>
          <w:rFonts w:ascii="宋体" w:hAnsi="宋体" w:cs="宋体"/>
          <w:color w:val="auto"/>
          <w:kern w:val="1"/>
          <w:szCs w:val="21"/>
          <w:highlight w:val="none"/>
          <w:u w:val="single"/>
        </w:rPr>
        <w:t xml:space="preserve">              </w:t>
      </w:r>
      <w:r>
        <w:rPr>
          <w:rFonts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盖公章</w:t>
      </w:r>
      <w:r>
        <w:rPr>
          <w:rFonts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rPr>
        <w:t xml:space="preserve">    </w:t>
      </w:r>
    </w:p>
    <w:p w14:paraId="06E406D8">
      <w:pPr>
        <w:tabs>
          <w:tab w:val="left" w:pos="7655"/>
        </w:tabs>
        <w:spacing w:line="320" w:lineRule="exact"/>
        <w:ind w:right="85"/>
        <w:jc w:val="right"/>
        <w:rPr>
          <w:rFonts w:ascii="宋体" w:hAnsi="宋体" w:cs="Cambria Math"/>
          <w:color w:val="auto"/>
          <w:spacing w:val="18"/>
          <w:kern w:val="1"/>
          <w:szCs w:val="21"/>
          <w:highlight w:val="none"/>
        </w:rPr>
      </w:pPr>
      <w:r>
        <w:rPr>
          <w:rFonts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法定代表人或被授权人</w:t>
      </w:r>
      <w:r>
        <w:rPr>
          <w:rFonts w:hint="eastAsia" w:ascii="宋体" w:hAnsi="宋体" w:cs="Cambria Math"/>
          <w:color w:val="auto"/>
          <w:spacing w:val="18"/>
          <w:kern w:val="1"/>
          <w:szCs w:val="21"/>
          <w:highlight w:val="none"/>
        </w:rPr>
        <w:t>：</w:t>
      </w:r>
      <w:r>
        <w:rPr>
          <w:rFonts w:ascii="宋体" w:hAnsi="宋体" w:cs="宋体"/>
          <w:color w:val="auto"/>
          <w:kern w:val="1"/>
          <w:szCs w:val="21"/>
          <w:highlight w:val="none"/>
          <w:u w:val="single"/>
        </w:rPr>
        <w:t xml:space="preserve">              </w:t>
      </w:r>
      <w:r>
        <w:rPr>
          <w:rFonts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lang w:val="zh-CN"/>
        </w:rPr>
        <w:t>签字或盖章</w:t>
      </w:r>
      <w:r>
        <w:rPr>
          <w:rFonts w:hint="eastAsia" w:ascii="宋体" w:hAnsi="宋体" w:cs="Cambria Math"/>
          <w:color w:val="auto"/>
          <w:spacing w:val="18"/>
          <w:kern w:val="1"/>
          <w:szCs w:val="21"/>
          <w:highlight w:val="none"/>
        </w:rPr>
        <w:t>）</w:t>
      </w:r>
    </w:p>
    <w:p w14:paraId="6FC4BC8C">
      <w:pPr>
        <w:spacing w:line="360" w:lineRule="auto"/>
        <w:jc w:val="right"/>
        <w:rPr>
          <w:rFonts w:ascii="宋体" w:hAnsi="宋体" w:cs="Cambria Math"/>
          <w:b/>
          <w:color w:val="auto"/>
          <w:szCs w:val="21"/>
          <w:highlight w:val="none"/>
        </w:rPr>
      </w:pPr>
      <w:r>
        <w:rPr>
          <w:rFonts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日期</w:t>
      </w:r>
      <w:r>
        <w:rPr>
          <w:rFonts w:hint="eastAsia" w:ascii="宋体" w:hAnsi="宋体" w:cs="Cambria Math"/>
          <w:color w:val="auto"/>
          <w:spacing w:val="18"/>
          <w:kern w:val="1"/>
          <w:szCs w:val="21"/>
          <w:highlight w:val="none"/>
        </w:rPr>
        <w:t>：</w:t>
      </w:r>
      <w:r>
        <w:rPr>
          <w:rFonts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年</w:t>
      </w:r>
      <w:r>
        <w:rPr>
          <w:rFonts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月</w:t>
      </w:r>
      <w:r>
        <w:rPr>
          <w:rFonts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日</w:t>
      </w:r>
    </w:p>
    <w:p w14:paraId="03735EBA">
      <w:pPr>
        <w:rPr>
          <w:rFonts w:ascii="宋体" w:hAnsi="宋体" w:cs="Cambria Math"/>
          <w:b/>
          <w:color w:val="auto"/>
          <w:kern w:val="1"/>
          <w:sz w:val="24"/>
          <w:highlight w:val="none"/>
        </w:rPr>
      </w:pPr>
      <w:r>
        <w:rPr>
          <w:rFonts w:hint="eastAsia" w:ascii="宋体" w:hAnsi="宋体" w:cs="Cambria Math"/>
          <w:b/>
          <w:color w:val="auto"/>
          <w:kern w:val="1"/>
          <w:sz w:val="24"/>
          <w:highlight w:val="none"/>
        </w:rPr>
        <w:t>格式</w:t>
      </w:r>
      <w:r>
        <w:rPr>
          <w:rFonts w:ascii="宋体" w:hAnsi="宋体" w:cs="Cambria Math"/>
          <w:b/>
          <w:color w:val="auto"/>
          <w:kern w:val="1"/>
          <w:sz w:val="24"/>
          <w:highlight w:val="none"/>
        </w:rPr>
        <w:t>3</w:t>
      </w:r>
      <w:r>
        <w:rPr>
          <w:rFonts w:hint="eastAsia" w:ascii="宋体" w:hAnsi="宋体" w:cs="Cambria Math"/>
          <w:b/>
          <w:color w:val="auto"/>
          <w:kern w:val="1"/>
          <w:sz w:val="24"/>
          <w:highlight w:val="none"/>
        </w:rPr>
        <w:t>：</w:t>
      </w:r>
    </w:p>
    <w:p w14:paraId="5125FD42">
      <w:pPr>
        <w:spacing w:line="36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设计费用明细表</w:t>
      </w:r>
    </w:p>
    <w:p w14:paraId="36A63C40">
      <w:pPr>
        <w:widowControl/>
        <w:jc w:val="left"/>
        <w:rPr>
          <w:rFonts w:ascii="宋体" w:hAnsi="宋体" w:cs="宋体"/>
          <w:b/>
          <w:color w:val="auto"/>
          <w:kern w:val="1"/>
          <w:sz w:val="24"/>
          <w:highlight w:val="none"/>
        </w:rPr>
      </w:pPr>
    </w:p>
    <w:tbl>
      <w:tblPr>
        <w:tblStyle w:val="34"/>
        <w:tblW w:w="4994" w:type="pct"/>
        <w:tblInd w:w="0" w:type="dxa"/>
        <w:tblLayout w:type="autofit"/>
        <w:tblCellMar>
          <w:top w:w="0" w:type="dxa"/>
          <w:left w:w="108" w:type="dxa"/>
          <w:bottom w:w="0" w:type="dxa"/>
          <w:right w:w="108" w:type="dxa"/>
        </w:tblCellMar>
      </w:tblPr>
      <w:tblGrid>
        <w:gridCol w:w="462"/>
        <w:gridCol w:w="1192"/>
        <w:gridCol w:w="1976"/>
        <w:gridCol w:w="1905"/>
        <w:gridCol w:w="3969"/>
      </w:tblGrid>
      <w:tr w14:paraId="67785614">
        <w:tblPrEx>
          <w:tblCellMar>
            <w:top w:w="0" w:type="dxa"/>
            <w:left w:w="108" w:type="dxa"/>
            <w:bottom w:w="0" w:type="dxa"/>
            <w:right w:w="108" w:type="dxa"/>
          </w:tblCellMar>
        </w:tblPrEx>
        <w:trPr>
          <w:trHeight w:val="825"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324C">
            <w:pPr>
              <w:widowControl/>
              <w:jc w:val="center"/>
              <w:textAlignment w:val="center"/>
              <w:rPr>
                <w:rFonts w:ascii="宋体" w:hAnsi="宋体" w:cs="宋体"/>
                <w:b/>
                <w:bCs/>
                <w:color w:val="auto"/>
                <w:sz w:val="22"/>
                <w:highlight w:val="none"/>
              </w:rPr>
            </w:pPr>
            <w:r>
              <w:rPr>
                <w:rFonts w:hint="eastAsia" w:ascii="宋体" w:hAnsi="宋体" w:cs="宋体"/>
                <w:b/>
                <w:bCs/>
                <w:color w:val="auto"/>
                <w:sz w:val="22"/>
                <w:highlight w:val="none"/>
                <w:lang w:bidi="ar"/>
              </w:rPr>
              <w:t>序号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DC6C">
            <w:pPr>
              <w:widowControl/>
              <w:jc w:val="center"/>
              <w:textAlignment w:val="center"/>
              <w:rPr>
                <w:rFonts w:ascii="宋体" w:hAnsi="宋体" w:cs="宋体"/>
                <w:b/>
                <w:bCs/>
                <w:color w:val="auto"/>
                <w:sz w:val="22"/>
                <w:highlight w:val="none"/>
              </w:rPr>
            </w:pPr>
            <w:r>
              <w:rPr>
                <w:rFonts w:hint="eastAsia" w:ascii="宋体" w:hAnsi="宋体" w:cs="宋体"/>
                <w:b/>
                <w:bCs/>
                <w:color w:val="auto"/>
                <w:sz w:val="22"/>
                <w:highlight w:val="none"/>
                <w:lang w:bidi="ar"/>
              </w:rPr>
              <w:t>项目</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D812">
            <w:pPr>
              <w:widowControl/>
              <w:jc w:val="center"/>
              <w:textAlignment w:val="center"/>
              <w:rPr>
                <w:rFonts w:ascii="宋体" w:hAnsi="宋体" w:cs="宋体"/>
                <w:b/>
                <w:bCs/>
                <w:color w:val="auto"/>
                <w:sz w:val="22"/>
                <w:highlight w:val="none"/>
              </w:rPr>
            </w:pPr>
            <w:r>
              <w:rPr>
                <w:rFonts w:hint="eastAsia" w:ascii="宋体" w:hAnsi="宋体" w:cs="宋体"/>
                <w:b/>
                <w:bCs/>
                <w:color w:val="auto"/>
                <w:sz w:val="22"/>
                <w:highlight w:val="none"/>
                <w:lang w:bidi="ar"/>
              </w:rPr>
              <w:t>暂定计费额（万元）</w:t>
            </w: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FC16">
            <w:pPr>
              <w:widowControl/>
              <w:jc w:val="center"/>
              <w:textAlignment w:val="center"/>
              <w:rPr>
                <w:rFonts w:ascii="宋体" w:hAnsi="宋体" w:cs="宋体"/>
                <w:b/>
                <w:bCs/>
                <w:color w:val="auto"/>
                <w:sz w:val="22"/>
                <w:highlight w:val="none"/>
              </w:rPr>
            </w:pPr>
            <w:r>
              <w:rPr>
                <w:rFonts w:hint="eastAsia" w:ascii="宋体" w:hAnsi="宋体" w:cs="宋体"/>
                <w:b/>
                <w:bCs/>
                <w:color w:val="auto"/>
                <w:sz w:val="22"/>
                <w:highlight w:val="none"/>
                <w:lang w:bidi="ar"/>
              </w:rPr>
              <w:t>设计费（元）</w:t>
            </w:r>
          </w:p>
        </w:tc>
        <w:tc>
          <w:tcPr>
            <w:tcW w:w="20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D6D8">
            <w:pPr>
              <w:widowControl/>
              <w:jc w:val="center"/>
              <w:textAlignment w:val="center"/>
              <w:rPr>
                <w:rFonts w:ascii="宋体" w:hAnsi="宋体" w:cs="宋体"/>
                <w:b/>
                <w:bCs/>
                <w:color w:val="auto"/>
                <w:sz w:val="22"/>
                <w:highlight w:val="none"/>
              </w:rPr>
            </w:pPr>
            <w:r>
              <w:rPr>
                <w:rFonts w:hint="eastAsia" w:ascii="宋体" w:hAnsi="宋体" w:cs="宋体"/>
                <w:b/>
                <w:bCs/>
                <w:color w:val="auto"/>
                <w:sz w:val="22"/>
                <w:highlight w:val="none"/>
                <w:lang w:bidi="ar"/>
              </w:rPr>
              <w:t>备注</w:t>
            </w:r>
          </w:p>
        </w:tc>
      </w:tr>
      <w:tr w14:paraId="262129FC">
        <w:tblPrEx>
          <w:tblCellMar>
            <w:top w:w="0" w:type="dxa"/>
            <w:left w:w="108" w:type="dxa"/>
            <w:bottom w:w="0" w:type="dxa"/>
            <w:right w:w="108" w:type="dxa"/>
          </w:tblCellMar>
        </w:tblPrEx>
        <w:trPr>
          <w:trHeight w:val="3047"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4493">
            <w:pPr>
              <w:widowControl/>
              <w:jc w:val="center"/>
              <w:textAlignment w:val="center"/>
              <w:rPr>
                <w:rFonts w:ascii="宋体" w:hAnsi="宋体" w:cs="宋体"/>
                <w:color w:val="auto"/>
                <w:sz w:val="22"/>
                <w:highlight w:val="none"/>
              </w:rPr>
            </w:pPr>
            <w:r>
              <w:rPr>
                <w:rFonts w:ascii="宋体" w:hAnsi="宋体" w:cs="宋体"/>
                <w:color w:val="auto"/>
                <w:sz w:val="22"/>
                <w:highlight w:val="none"/>
                <w:lang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8AD3">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基本设计费（不含永久用水用电、临时供水供电、燃气工程）</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C0E8">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24738.80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530B">
            <w:pPr>
              <w:keepNext w:val="0"/>
              <w:keepLines w:val="0"/>
              <w:widowControl/>
              <w:suppressLineNumbers w:val="0"/>
              <w:jc w:val="center"/>
              <w:textAlignment w:val="center"/>
              <w:rPr>
                <w:rFonts w:ascii="宋体" w:hAnsi="宋体" w:cs="宋体"/>
                <w:color w:val="auto"/>
                <w:sz w:val="22"/>
                <w:highlight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7274">
            <w:pPr>
              <w:keepNext w:val="0"/>
              <w:keepLines w:val="0"/>
              <w:widowControl/>
              <w:suppressLineNumbers w:val="0"/>
              <w:jc w:val="both"/>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1.计费额：25244.80-50（永久用水工程费）-200.00（永久用电工程费）-50（临时施工供水工程费）-200（临时施工供电工程费）-6（燃气工程设计费）=24738.80万元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2.专业系数暂定为1.0，复杂系数暂定为1.15，附加系数暂定为1.0（设计费系数最终按概算批复的设计费系数为准）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3.含基坑支护设计、电梯、洁净区域工程、新城建、厨房工程、海绵城市、绿色建筑、预制装配式、树木迁移等设计内容（具体详见设计任务书）。</w:t>
            </w:r>
          </w:p>
        </w:tc>
      </w:tr>
      <w:tr w14:paraId="40C639EB">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5141">
            <w:pPr>
              <w:widowControl/>
              <w:jc w:val="center"/>
              <w:textAlignment w:val="center"/>
              <w:rPr>
                <w:rFonts w:ascii="宋体" w:hAnsi="宋体" w:cs="宋体"/>
                <w:color w:val="auto"/>
                <w:sz w:val="22"/>
                <w:highlight w:val="none"/>
              </w:rPr>
            </w:pPr>
            <w:r>
              <w:rPr>
                <w:rFonts w:ascii="宋体" w:hAnsi="宋体" w:cs="宋体"/>
                <w:color w:val="auto"/>
                <w:sz w:val="22"/>
                <w:highlight w:val="none"/>
                <w:lang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8FD">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永久用水工程设计费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7943">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53B6">
            <w:pPr>
              <w:keepNext w:val="0"/>
              <w:keepLines w:val="0"/>
              <w:widowControl/>
              <w:suppressLineNumbers w:val="0"/>
              <w:jc w:val="center"/>
              <w:textAlignment w:val="center"/>
              <w:rPr>
                <w:rFonts w:ascii="宋体" w:hAnsi="宋体" w:cs="宋体"/>
                <w:color w:val="auto"/>
                <w:sz w:val="22"/>
                <w:highlight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DA06">
            <w:pPr>
              <w:keepNext w:val="0"/>
              <w:keepLines w:val="0"/>
              <w:widowControl/>
              <w:suppressLineNumbers w:val="0"/>
              <w:jc w:val="both"/>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专业系数为1.0，复杂系数为0.85，附加系数为1.0</w:t>
            </w:r>
          </w:p>
        </w:tc>
      </w:tr>
      <w:tr w14:paraId="0631233F">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336C">
            <w:pPr>
              <w:widowControl/>
              <w:jc w:val="center"/>
              <w:textAlignment w:val="center"/>
              <w:rPr>
                <w:rFonts w:ascii="宋体" w:hAnsi="宋体" w:cs="宋体"/>
                <w:color w:val="auto"/>
                <w:sz w:val="22"/>
                <w:highlight w:val="none"/>
              </w:rPr>
            </w:pPr>
            <w:r>
              <w:rPr>
                <w:rFonts w:ascii="宋体" w:hAnsi="宋体" w:cs="宋体"/>
                <w:color w:val="auto"/>
                <w:sz w:val="22"/>
                <w:highlight w:val="none"/>
                <w:lang w:bidi="ar"/>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ED62">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永久用电工程设计费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C6FD">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AE21">
            <w:pPr>
              <w:keepNext w:val="0"/>
              <w:keepLines w:val="0"/>
              <w:widowControl/>
              <w:suppressLineNumbers w:val="0"/>
              <w:jc w:val="center"/>
              <w:textAlignment w:val="center"/>
              <w:rPr>
                <w:rFonts w:ascii="宋体" w:hAnsi="宋体" w:cs="宋体"/>
                <w:color w:val="auto"/>
                <w:sz w:val="22"/>
                <w:highlight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5D8D">
            <w:pPr>
              <w:keepNext w:val="0"/>
              <w:keepLines w:val="0"/>
              <w:widowControl/>
              <w:suppressLineNumbers w:val="0"/>
              <w:jc w:val="both"/>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下浮率0。专业系数为1.0，复杂系数为1.0，附加系数为1.0</w:t>
            </w:r>
          </w:p>
        </w:tc>
      </w:tr>
      <w:tr w14:paraId="1D4BC3DE">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7861">
            <w:pPr>
              <w:widowControl/>
              <w:jc w:val="center"/>
              <w:textAlignment w:val="center"/>
              <w:rPr>
                <w:rFonts w:ascii="宋体" w:hAnsi="宋体" w:cs="宋体"/>
                <w:color w:val="auto"/>
                <w:sz w:val="22"/>
                <w:highlight w:val="none"/>
              </w:rPr>
            </w:pPr>
            <w:r>
              <w:rPr>
                <w:rFonts w:ascii="宋体" w:hAnsi="宋体" w:cs="宋体"/>
                <w:color w:val="auto"/>
                <w:sz w:val="22"/>
                <w:highlight w:val="none"/>
                <w:lang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2413">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临时施工供水工程设计费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CCE2">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476B">
            <w:pPr>
              <w:keepNext w:val="0"/>
              <w:keepLines w:val="0"/>
              <w:widowControl/>
              <w:suppressLineNumbers w:val="0"/>
              <w:jc w:val="center"/>
              <w:textAlignment w:val="center"/>
              <w:rPr>
                <w:rFonts w:ascii="宋体" w:hAnsi="宋体" w:cs="宋体"/>
                <w:color w:val="auto"/>
                <w:sz w:val="22"/>
                <w:highlight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8279">
            <w:pPr>
              <w:keepNext w:val="0"/>
              <w:keepLines w:val="0"/>
              <w:widowControl/>
              <w:suppressLineNumbers w:val="0"/>
              <w:jc w:val="both"/>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下浮率0。专业系数为1.0，复杂系数为0.85，附加系数为1.0</w:t>
            </w:r>
          </w:p>
        </w:tc>
      </w:tr>
      <w:tr w14:paraId="6E2606B3">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BD8B">
            <w:pPr>
              <w:widowControl/>
              <w:jc w:val="center"/>
              <w:textAlignment w:val="center"/>
              <w:rPr>
                <w:rFonts w:ascii="宋体" w:hAnsi="宋体" w:cs="宋体"/>
                <w:color w:val="auto"/>
                <w:sz w:val="22"/>
                <w:highlight w:val="none"/>
              </w:rPr>
            </w:pPr>
            <w:r>
              <w:rPr>
                <w:rFonts w:ascii="宋体" w:hAnsi="宋体" w:cs="宋体"/>
                <w:color w:val="auto"/>
                <w:sz w:val="22"/>
                <w:highlight w:val="none"/>
                <w:lang w:bidi="ar"/>
              </w:rPr>
              <w:t>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B5C3">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临时施工供电工程设计费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9A63">
            <w:pPr>
              <w:keepNext w:val="0"/>
              <w:keepLines w:val="0"/>
              <w:widowControl/>
              <w:suppressLineNumbers w:val="0"/>
              <w:jc w:val="center"/>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200.00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7E43">
            <w:pPr>
              <w:keepNext w:val="0"/>
              <w:keepLines w:val="0"/>
              <w:widowControl/>
              <w:suppressLineNumbers w:val="0"/>
              <w:jc w:val="center"/>
              <w:textAlignment w:val="center"/>
              <w:rPr>
                <w:rFonts w:ascii="宋体" w:hAnsi="宋体" w:cs="宋体"/>
                <w:color w:val="auto"/>
                <w:sz w:val="22"/>
                <w:highlight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16D6">
            <w:pPr>
              <w:keepNext w:val="0"/>
              <w:keepLines w:val="0"/>
              <w:widowControl/>
              <w:suppressLineNumbers w:val="0"/>
              <w:jc w:val="both"/>
              <w:textAlignment w:val="center"/>
              <w:rPr>
                <w:rFonts w:ascii="宋体" w:hAnsi="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下浮率0。专业系数为1.0，复杂系数为1.0，附加系数为1.0</w:t>
            </w:r>
          </w:p>
        </w:tc>
      </w:tr>
      <w:tr w14:paraId="560B9964">
        <w:tblPrEx>
          <w:tblCellMar>
            <w:top w:w="0" w:type="dxa"/>
            <w:left w:w="108" w:type="dxa"/>
            <w:bottom w:w="0" w:type="dxa"/>
            <w:right w:w="108" w:type="dxa"/>
          </w:tblCellMar>
        </w:tblPrEx>
        <w:trPr>
          <w:trHeight w:val="9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68EF">
            <w:pPr>
              <w:widowControl/>
              <w:jc w:val="center"/>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87C5">
            <w:pPr>
              <w:keepNext w:val="0"/>
              <w:keepLines w:val="0"/>
              <w:widowControl/>
              <w:suppressLineNumbers w:val="0"/>
              <w:jc w:val="center"/>
              <w:textAlignment w:val="center"/>
              <w:rPr>
                <w:rFonts w:ascii="宋体" w:hAnsi="宋体" w:cs="宋体"/>
                <w:color w:val="auto"/>
                <w:sz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燃气工程设计费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B68D">
            <w:pPr>
              <w:keepNext w:val="0"/>
              <w:keepLines w:val="0"/>
              <w:widowControl/>
              <w:suppressLineNumbers w:val="0"/>
              <w:jc w:val="center"/>
              <w:textAlignment w:val="center"/>
              <w:rPr>
                <w:rFonts w:ascii="宋体" w:hAnsi="宋体" w:cs="宋体"/>
                <w:color w:val="auto"/>
                <w:sz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6.00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B06A">
            <w:pPr>
              <w:keepNext w:val="0"/>
              <w:keepLines w:val="0"/>
              <w:widowControl/>
              <w:suppressLineNumbers w:val="0"/>
              <w:jc w:val="center"/>
              <w:textAlignment w:val="center"/>
              <w:rPr>
                <w:rFonts w:ascii="宋体" w:hAnsi="宋体" w:cs="宋体"/>
                <w:color w:val="auto"/>
                <w:sz w:val="22"/>
                <w:highlight w:val="none"/>
              </w:rPr>
            </w:pPr>
          </w:p>
        </w:tc>
        <w:tc>
          <w:tcPr>
            <w:tcW w:w="3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2862">
            <w:pPr>
              <w:keepNext w:val="0"/>
              <w:keepLines w:val="0"/>
              <w:widowControl/>
              <w:suppressLineNumbers w:val="0"/>
              <w:jc w:val="both"/>
              <w:textAlignment w:val="center"/>
              <w:rPr>
                <w:rFonts w:ascii="宋体" w:hAnsi="宋体" w:cs="宋体"/>
                <w:color w:val="auto"/>
                <w:sz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下浮率0。专业系数为1.0，复杂系数为1.0，附加系数为1.0</w:t>
            </w:r>
          </w:p>
        </w:tc>
      </w:tr>
      <w:tr w14:paraId="4A8FC2B9">
        <w:tblPrEx>
          <w:tblCellMar>
            <w:top w:w="0" w:type="dxa"/>
            <w:left w:w="108" w:type="dxa"/>
            <w:bottom w:w="0" w:type="dxa"/>
            <w:right w:w="108" w:type="dxa"/>
          </w:tblCellMar>
        </w:tblPrEx>
        <w:trPr>
          <w:trHeight w:val="495" w:hRule="atLeast"/>
        </w:trPr>
        <w:tc>
          <w:tcPr>
            <w:tcW w:w="3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E1C51">
            <w:pPr>
              <w:widowControl/>
              <w:jc w:val="center"/>
              <w:rPr>
                <w:rFonts w:ascii="宋体" w:hAnsi="宋体" w:cs="宋体"/>
                <w:b/>
                <w:bCs/>
                <w:color w:val="auto"/>
                <w:sz w:val="22"/>
                <w:highlight w:val="none"/>
              </w:rPr>
            </w:pPr>
            <w:r>
              <w:rPr>
                <w:rFonts w:hint="eastAsia" w:ascii="宋体" w:hAnsi="宋体" w:cs="宋体"/>
                <w:b/>
                <w:bCs/>
                <w:color w:val="auto"/>
                <w:szCs w:val="21"/>
                <w:highlight w:val="none"/>
              </w:rPr>
              <w:t>设计费小计</w:t>
            </w:r>
            <w:r>
              <w:rPr>
                <w:rFonts w:ascii="宋体" w:hAnsi="宋体" w:cs="宋体"/>
                <w:b/>
                <w:bCs/>
                <w:color w:val="auto"/>
                <w:szCs w:val="21"/>
                <w:highlight w:val="none"/>
              </w:rPr>
              <w:t>(</w:t>
            </w:r>
            <w:r>
              <w:rPr>
                <w:rFonts w:hint="eastAsia" w:ascii="宋体" w:hAnsi="宋体" w:cs="宋体"/>
                <w:b/>
                <w:bCs/>
                <w:color w:val="auto"/>
                <w:szCs w:val="21"/>
                <w:highlight w:val="none"/>
              </w:rPr>
              <w:t>元</w:t>
            </w:r>
            <w:r>
              <w:rPr>
                <w:rFonts w:ascii="宋体" w:hAnsi="宋体" w:cs="宋体"/>
                <w:b/>
                <w:bCs/>
                <w:color w:val="auto"/>
                <w:szCs w:val="21"/>
                <w:highlight w:val="none"/>
              </w:rPr>
              <w:t>)</w:t>
            </w:r>
          </w:p>
        </w:tc>
        <w:tc>
          <w:tcPr>
            <w:tcW w:w="58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3405">
            <w:pPr>
              <w:widowControl/>
              <w:jc w:val="left"/>
              <w:rPr>
                <w:rFonts w:ascii="宋体" w:hAnsi="宋体" w:cs="宋体"/>
                <w:b/>
                <w:bCs/>
                <w:color w:val="auto"/>
                <w:sz w:val="22"/>
                <w:highlight w:val="none"/>
              </w:rPr>
            </w:pPr>
            <w:r>
              <w:rPr>
                <w:rFonts w:ascii="宋体" w:hAnsi="宋体" w:cs="宋体"/>
                <w:b/>
                <w:bCs/>
                <w:color w:val="auto"/>
                <w:szCs w:val="21"/>
                <w:highlight w:val="none"/>
              </w:rPr>
              <w:t xml:space="preserve"> </w:t>
            </w:r>
            <w:r>
              <w:rPr>
                <w:rFonts w:ascii="宋体" w:hAnsi="宋体" w:cs="宋体"/>
                <w:b/>
                <w:bCs/>
                <w:color w:val="auto"/>
                <w:szCs w:val="21"/>
                <w:highlight w:val="none"/>
                <w:u w:val="single"/>
              </w:rPr>
              <w:t xml:space="preserve">             </w:t>
            </w:r>
          </w:p>
        </w:tc>
      </w:tr>
    </w:tbl>
    <w:p w14:paraId="2846823F">
      <w:pPr>
        <w:adjustRightInd w:val="0"/>
        <w:snapToGrid w:val="0"/>
        <w:ind w:right="-758" w:rightChars="-361" w:firstLine="420" w:firstLineChars="200"/>
        <w:jc w:val="left"/>
        <w:rPr>
          <w:rFonts w:ascii="宋体" w:hAnsi="宋体" w:cs="宋体"/>
          <w:color w:val="auto"/>
          <w:szCs w:val="21"/>
          <w:highlight w:val="none"/>
        </w:rPr>
      </w:pPr>
      <w:r>
        <w:rPr>
          <w:rFonts w:hint="eastAsia" w:ascii="宋体" w:hAnsi="宋体" w:cs="宋体"/>
          <w:color w:val="auto"/>
          <w:kern w:val="2"/>
          <w:szCs w:val="21"/>
          <w:highlight w:val="none"/>
        </w:rPr>
        <w:t>注：</w:t>
      </w:r>
    </w:p>
    <w:p w14:paraId="5A44A599">
      <w:pPr>
        <w:adjustRightInd w:val="0"/>
        <w:snapToGrid w:val="0"/>
        <w:ind w:right="-758" w:rightChars="-361" w:firstLine="420" w:firstLineChars="200"/>
        <w:jc w:val="left"/>
        <w:rPr>
          <w:rFonts w:ascii="宋体" w:hAnsi="宋体" w:cs="宋体"/>
          <w:bCs/>
          <w:color w:val="auto"/>
          <w:szCs w:val="21"/>
          <w:highlight w:val="none"/>
        </w:rPr>
      </w:pPr>
      <w:r>
        <w:rPr>
          <w:rFonts w:ascii="宋体" w:hAnsi="宋体" w:cs="宋体"/>
          <w:bCs/>
          <w:color w:val="auto"/>
          <w:kern w:val="2"/>
          <w:szCs w:val="21"/>
          <w:highlight w:val="none"/>
        </w:rPr>
        <w:t>1</w:t>
      </w:r>
      <w:r>
        <w:rPr>
          <w:rFonts w:hint="eastAsia" w:ascii="宋体" w:hAnsi="宋体" w:cs="宋体"/>
          <w:bCs/>
          <w:color w:val="auto"/>
          <w:kern w:val="2"/>
          <w:szCs w:val="21"/>
          <w:highlight w:val="none"/>
        </w:rPr>
        <w:t>、设计总包、现场服务费用等费用含在设计费投标报价中，不单独报价。</w:t>
      </w:r>
    </w:p>
    <w:p w14:paraId="62A595AE">
      <w:pPr>
        <w:adjustRightInd w:val="0"/>
        <w:snapToGrid w:val="0"/>
        <w:ind w:right="-50" w:rightChars="-24" w:firstLine="420" w:firstLineChars="200"/>
        <w:jc w:val="left"/>
        <w:rPr>
          <w:rFonts w:ascii="宋体" w:hAnsi="宋体" w:cs="宋体"/>
          <w:bCs/>
          <w:color w:val="auto"/>
          <w:szCs w:val="21"/>
          <w:highlight w:val="none"/>
        </w:rPr>
      </w:pPr>
      <w:r>
        <w:rPr>
          <w:rFonts w:ascii="宋体" w:hAnsi="宋体" w:cs="宋体"/>
          <w:bCs/>
          <w:color w:val="auto"/>
          <w:kern w:val="2"/>
          <w:szCs w:val="21"/>
          <w:highlight w:val="none"/>
        </w:rPr>
        <w:t>2</w:t>
      </w:r>
      <w:r>
        <w:rPr>
          <w:rFonts w:hint="eastAsia" w:ascii="宋体" w:hAnsi="宋体" w:cs="宋体"/>
          <w:bCs/>
          <w:color w:val="auto"/>
          <w:kern w:val="2"/>
          <w:szCs w:val="21"/>
          <w:highlight w:val="none"/>
        </w:rPr>
        <w:t>、中标人需按总报价的金额完成本次招标内容及《勘察设计任务书》内的全部内容，不得增加费用。</w:t>
      </w:r>
    </w:p>
    <w:p w14:paraId="501BF2DE">
      <w:pPr>
        <w:adjustRightInd w:val="0"/>
        <w:snapToGrid w:val="0"/>
        <w:ind w:right="-50" w:rightChars="-24" w:firstLine="420" w:firstLineChars="200"/>
        <w:jc w:val="left"/>
        <w:rPr>
          <w:rFonts w:ascii="宋体" w:hAnsi="宋体" w:cs="宋体"/>
          <w:b/>
          <w:bCs/>
          <w:color w:val="auto"/>
          <w:kern w:val="2"/>
          <w:szCs w:val="21"/>
          <w:highlight w:val="none"/>
        </w:rPr>
      </w:pPr>
      <w:r>
        <w:rPr>
          <w:rFonts w:ascii="宋体" w:hAnsi="宋体" w:cs="宋体"/>
          <w:bCs/>
          <w:color w:val="auto"/>
          <w:kern w:val="2"/>
          <w:szCs w:val="21"/>
          <w:highlight w:val="none"/>
        </w:rPr>
        <w:t>3</w:t>
      </w:r>
      <w:r>
        <w:rPr>
          <w:rFonts w:hint="eastAsia" w:ascii="宋体" w:hAnsi="宋体" w:cs="宋体"/>
          <w:bCs/>
          <w:color w:val="auto"/>
          <w:kern w:val="2"/>
          <w:szCs w:val="21"/>
          <w:highlight w:val="none"/>
        </w:rPr>
        <w:t>、</w:t>
      </w:r>
      <w:r>
        <w:rPr>
          <w:rFonts w:hint="eastAsia" w:ascii="宋体" w:hAnsi="宋体" w:cs="宋体"/>
          <w:b/>
          <w:bCs/>
          <w:color w:val="auto"/>
          <w:kern w:val="2"/>
          <w:szCs w:val="21"/>
          <w:highlight w:val="none"/>
        </w:rPr>
        <w:t>投标人须按招标文件要求进行投标报价，否则由评标委员按否决其投标处理。</w:t>
      </w:r>
    </w:p>
    <w:p w14:paraId="7BDE86C3">
      <w:pPr>
        <w:pStyle w:val="32"/>
        <w:adjustRightInd w:val="0"/>
        <w:snapToGrid w:val="0"/>
        <w:spacing w:line="240" w:lineRule="auto"/>
        <w:ind w:right="-50" w:rightChars="-24" w:firstLineChars="200"/>
        <w:jc w:val="left"/>
        <w:rPr>
          <w:rFonts w:ascii="宋体" w:hAnsi="宋体" w:cs="宋体"/>
          <w:bCs/>
          <w:color w:val="auto"/>
          <w:kern w:val="2"/>
          <w:szCs w:val="21"/>
          <w:highlight w:val="none"/>
        </w:rPr>
      </w:pPr>
      <w:r>
        <w:rPr>
          <w:rFonts w:ascii="宋体" w:hAnsi="宋体" w:cs="宋体"/>
          <w:bCs/>
          <w:color w:val="auto"/>
          <w:kern w:val="2"/>
          <w:szCs w:val="21"/>
          <w:highlight w:val="none"/>
        </w:rPr>
        <w:t>4</w:t>
      </w:r>
      <w:r>
        <w:rPr>
          <w:rFonts w:hint="eastAsia" w:ascii="宋体" w:hAnsi="宋体" w:cs="宋体"/>
          <w:bCs/>
          <w:color w:val="auto"/>
          <w:kern w:val="2"/>
          <w:szCs w:val="21"/>
          <w:highlight w:val="none"/>
        </w:rPr>
        <w:t>、本表费用按国家发展计划委员会、建设部</w:t>
      </w:r>
      <w:r>
        <w:rPr>
          <w:rFonts w:ascii="宋体" w:hAnsi="宋体" w:cs="宋体"/>
          <w:bCs/>
          <w:color w:val="auto"/>
          <w:kern w:val="2"/>
          <w:szCs w:val="21"/>
          <w:highlight w:val="none"/>
        </w:rPr>
        <w:t>2002</w:t>
      </w:r>
      <w:r>
        <w:rPr>
          <w:rFonts w:hint="eastAsia" w:ascii="宋体" w:hAnsi="宋体" w:cs="宋体"/>
          <w:bCs/>
          <w:color w:val="auto"/>
          <w:kern w:val="2"/>
          <w:szCs w:val="21"/>
          <w:highlight w:val="none"/>
        </w:rPr>
        <w:t>年颁布的《工程设计收费标准》进行计算。</w:t>
      </w:r>
    </w:p>
    <w:p w14:paraId="4E2DF78F">
      <w:pPr>
        <w:adjustRightInd w:val="0"/>
        <w:snapToGrid w:val="0"/>
        <w:ind w:firstLine="420" w:firstLineChars="200"/>
        <w:jc w:val="left"/>
        <w:rPr>
          <w:rFonts w:ascii="宋体" w:hAnsi="宋体" w:cs="宋体"/>
          <w:bCs/>
          <w:color w:val="auto"/>
          <w:kern w:val="2"/>
          <w:szCs w:val="21"/>
          <w:highlight w:val="none"/>
        </w:rPr>
      </w:pPr>
      <w:r>
        <w:rPr>
          <w:rFonts w:ascii="宋体" w:hAnsi="宋体" w:cs="宋体"/>
          <w:bCs/>
          <w:color w:val="auto"/>
          <w:kern w:val="2"/>
          <w:szCs w:val="21"/>
          <w:highlight w:val="none"/>
        </w:rPr>
        <w:t>5</w:t>
      </w:r>
      <w:r>
        <w:rPr>
          <w:rFonts w:hint="eastAsia" w:ascii="宋体" w:hAnsi="宋体" w:cs="宋体"/>
          <w:bCs/>
          <w:color w:val="auto"/>
          <w:kern w:val="2"/>
          <w:szCs w:val="21"/>
          <w:highlight w:val="none"/>
        </w:rPr>
        <w:t>、设计费合计金额应与经济标投标书中设计费金额一致。</w:t>
      </w:r>
    </w:p>
    <w:p w14:paraId="16BD3B54">
      <w:pPr>
        <w:adjustRightInd w:val="0"/>
        <w:snapToGrid w:val="0"/>
        <w:ind w:firstLine="420" w:firstLineChars="200"/>
        <w:jc w:val="left"/>
        <w:rPr>
          <w:rFonts w:ascii="宋体" w:hAnsi="宋体" w:cs="宋体"/>
          <w:bCs/>
          <w:color w:val="auto"/>
          <w:kern w:val="2"/>
          <w:szCs w:val="21"/>
          <w:highlight w:val="none"/>
        </w:rPr>
      </w:pPr>
      <w:r>
        <w:rPr>
          <w:rFonts w:ascii="宋体" w:hAnsi="宋体" w:cs="宋体"/>
          <w:bCs/>
          <w:color w:val="auto"/>
          <w:kern w:val="2"/>
          <w:szCs w:val="21"/>
          <w:highlight w:val="none"/>
        </w:rPr>
        <w:t>6</w:t>
      </w:r>
      <w:r>
        <w:rPr>
          <w:rFonts w:hint="eastAsia" w:ascii="宋体" w:hAnsi="宋体" w:cs="宋体"/>
          <w:bCs/>
          <w:color w:val="auto"/>
          <w:kern w:val="2"/>
          <w:szCs w:val="21"/>
          <w:highlight w:val="none"/>
        </w:rPr>
        <w:t>、设计费合计总报价以元为单位，小数点后保留二位小数，第三位小数四舍五入。</w:t>
      </w:r>
    </w:p>
    <w:p w14:paraId="05EDE9C0">
      <w:pPr>
        <w:pStyle w:val="2"/>
        <w:rPr>
          <w:rFonts w:cs="宋体"/>
          <w:color w:val="auto"/>
          <w:highlight w:val="none"/>
        </w:rPr>
      </w:pPr>
    </w:p>
    <w:p w14:paraId="5FD7AD72">
      <w:pPr>
        <w:tabs>
          <w:tab w:val="left" w:pos="7655"/>
        </w:tabs>
        <w:spacing w:line="320" w:lineRule="exact"/>
        <w:ind w:right="492"/>
        <w:jc w:val="center"/>
        <w:rPr>
          <w:rFonts w:ascii="宋体" w:hAnsi="宋体" w:cs="Cambria Math"/>
          <w:color w:val="auto"/>
          <w:spacing w:val="18"/>
          <w:kern w:val="1"/>
          <w:szCs w:val="21"/>
          <w:highlight w:val="none"/>
        </w:rPr>
      </w:pPr>
      <w:r>
        <w:rPr>
          <w:rFonts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投标人</w:t>
      </w:r>
      <w:r>
        <w:rPr>
          <w:rFonts w:hint="eastAsia" w:ascii="宋体" w:hAnsi="宋体" w:cs="Cambria Math"/>
          <w:color w:val="auto"/>
          <w:spacing w:val="18"/>
          <w:kern w:val="1"/>
          <w:szCs w:val="21"/>
          <w:highlight w:val="none"/>
        </w:rPr>
        <w:t>：</w:t>
      </w:r>
      <w:r>
        <w:rPr>
          <w:rFonts w:ascii="宋体" w:hAnsi="宋体" w:cs="Cambria Math"/>
          <w:color w:val="auto"/>
          <w:spacing w:val="18"/>
          <w:kern w:val="1"/>
          <w:szCs w:val="21"/>
          <w:highlight w:val="none"/>
          <w:u w:val="single"/>
        </w:rPr>
        <w:t xml:space="preserve">      </w:t>
      </w:r>
      <w:r>
        <w:rPr>
          <w:rFonts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lang w:val="zh-CN"/>
        </w:rPr>
        <w:t>盖公章</w:t>
      </w:r>
      <w:r>
        <w:rPr>
          <w:rFonts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rPr>
        <w:t xml:space="preserve">    </w:t>
      </w:r>
    </w:p>
    <w:p w14:paraId="51F1E577">
      <w:pPr>
        <w:tabs>
          <w:tab w:val="left" w:pos="7655"/>
        </w:tabs>
        <w:spacing w:line="320" w:lineRule="exact"/>
        <w:ind w:right="492"/>
        <w:jc w:val="center"/>
        <w:rPr>
          <w:rFonts w:ascii="宋体" w:hAnsi="宋体" w:cs="Cambria Math"/>
          <w:color w:val="auto"/>
          <w:spacing w:val="18"/>
          <w:kern w:val="1"/>
          <w:szCs w:val="21"/>
          <w:highlight w:val="none"/>
        </w:rPr>
      </w:pPr>
      <w:r>
        <w:rPr>
          <w:rFonts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法定代表人或被授权人</w:t>
      </w:r>
      <w:r>
        <w:rPr>
          <w:rFonts w:hint="eastAsia" w:ascii="宋体" w:hAnsi="宋体" w:cs="Cambria Math"/>
          <w:color w:val="auto"/>
          <w:spacing w:val="18"/>
          <w:kern w:val="1"/>
          <w:szCs w:val="21"/>
          <w:highlight w:val="none"/>
        </w:rPr>
        <w:t>：</w:t>
      </w:r>
      <w:r>
        <w:rPr>
          <w:rFonts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lang w:val="zh-CN"/>
        </w:rPr>
        <w:t>签字或盖章</w:t>
      </w:r>
      <w:r>
        <w:rPr>
          <w:rFonts w:hint="eastAsia" w:ascii="宋体" w:hAnsi="宋体" w:cs="Cambria Math"/>
          <w:color w:val="auto"/>
          <w:spacing w:val="18"/>
          <w:kern w:val="1"/>
          <w:szCs w:val="21"/>
          <w:highlight w:val="none"/>
        </w:rPr>
        <w:t>）</w:t>
      </w:r>
    </w:p>
    <w:p w14:paraId="6179808C">
      <w:pPr>
        <w:widowControl/>
        <w:jc w:val="left"/>
        <w:rPr>
          <w:rFonts w:ascii="宋体" w:hAnsi="宋体" w:cs="宋体"/>
          <w:b/>
          <w:color w:val="auto"/>
          <w:kern w:val="1"/>
          <w:sz w:val="24"/>
          <w:highlight w:val="none"/>
        </w:rPr>
        <w:sectPr>
          <w:pgSz w:w="11907" w:h="16840"/>
          <w:pgMar w:top="1361" w:right="1304" w:bottom="1304" w:left="1304" w:header="851" w:footer="720" w:gutter="0"/>
          <w:cols w:space="0" w:num="1"/>
          <w:docGrid w:linePitch="286" w:charSpace="0"/>
        </w:sectPr>
      </w:pPr>
      <w:r>
        <w:rPr>
          <w:rFonts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日期</w:t>
      </w:r>
      <w:r>
        <w:rPr>
          <w:rFonts w:hint="eastAsia" w:ascii="宋体" w:hAnsi="宋体" w:cs="Cambria Math"/>
          <w:color w:val="auto"/>
          <w:spacing w:val="18"/>
          <w:kern w:val="1"/>
          <w:szCs w:val="21"/>
          <w:highlight w:val="none"/>
        </w:rPr>
        <w:t>：</w:t>
      </w:r>
      <w:r>
        <w:rPr>
          <w:rFonts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年</w:t>
      </w:r>
      <w:r>
        <w:rPr>
          <w:rFonts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月</w:t>
      </w:r>
      <w:r>
        <w:rPr>
          <w:rFonts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日</w:t>
      </w:r>
    </w:p>
    <w:p w14:paraId="4EE84587">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4</w:t>
      </w:r>
      <w:r>
        <w:rPr>
          <w:rFonts w:hint="eastAsia" w:cs="宋体"/>
          <w:b/>
          <w:color w:val="auto"/>
          <w:kern w:val="1"/>
          <w:sz w:val="24"/>
          <w:highlight w:val="none"/>
        </w:rPr>
        <w:t>：</w:t>
      </w:r>
    </w:p>
    <w:p w14:paraId="27A13C2E">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参与编制工程总承包实施方案经济投标文件人员名单</w:t>
      </w:r>
    </w:p>
    <w:tbl>
      <w:tblPr>
        <w:tblStyle w:val="34"/>
        <w:tblW w:w="0" w:type="auto"/>
        <w:tblInd w:w="0" w:type="dxa"/>
        <w:tblLayout w:type="fixed"/>
        <w:tblCellMar>
          <w:top w:w="0" w:type="dxa"/>
          <w:left w:w="108" w:type="dxa"/>
          <w:bottom w:w="0" w:type="dxa"/>
          <w:right w:w="108" w:type="dxa"/>
        </w:tblCellMar>
      </w:tblPr>
      <w:tblGrid>
        <w:gridCol w:w="1182"/>
        <w:gridCol w:w="1375"/>
        <w:gridCol w:w="3221"/>
        <w:gridCol w:w="3675"/>
      </w:tblGrid>
      <w:tr w14:paraId="7006A6F4">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1AB261BA">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6F6A8D7B">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7664F4A6">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448DBF5D">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4ACCF0C6">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6F2B8E0D">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CBDB8C9">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3361E59">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945533F">
            <w:pPr>
              <w:tabs>
                <w:tab w:val="left" w:pos="0"/>
                <w:tab w:val="left" w:pos="720"/>
              </w:tabs>
              <w:spacing w:line="360" w:lineRule="auto"/>
              <w:jc w:val="center"/>
              <w:rPr>
                <w:rFonts w:ascii="宋体" w:hAnsi="宋体" w:cs="宋体"/>
                <w:color w:val="auto"/>
                <w:kern w:val="1"/>
                <w:szCs w:val="21"/>
                <w:highlight w:val="none"/>
              </w:rPr>
            </w:pPr>
          </w:p>
        </w:tc>
      </w:tr>
      <w:tr w14:paraId="14FD76BF">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135C411">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BA206D4">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73D24F9">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6BEB4D8">
            <w:pPr>
              <w:tabs>
                <w:tab w:val="left" w:pos="0"/>
                <w:tab w:val="left" w:pos="720"/>
              </w:tabs>
              <w:spacing w:line="360" w:lineRule="auto"/>
              <w:jc w:val="center"/>
              <w:rPr>
                <w:rFonts w:ascii="宋体" w:hAnsi="宋体" w:cs="宋体"/>
                <w:color w:val="auto"/>
                <w:kern w:val="1"/>
                <w:szCs w:val="21"/>
                <w:highlight w:val="none"/>
              </w:rPr>
            </w:pPr>
          </w:p>
        </w:tc>
      </w:tr>
      <w:tr w14:paraId="71CAC869">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2D3907F">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9B77263">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C565D43">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59D2AB6E">
            <w:pPr>
              <w:tabs>
                <w:tab w:val="left" w:pos="0"/>
                <w:tab w:val="left" w:pos="720"/>
              </w:tabs>
              <w:spacing w:line="360" w:lineRule="auto"/>
              <w:jc w:val="center"/>
              <w:rPr>
                <w:rFonts w:ascii="宋体" w:hAnsi="宋体" w:cs="宋体"/>
                <w:color w:val="auto"/>
                <w:kern w:val="1"/>
                <w:szCs w:val="21"/>
                <w:highlight w:val="none"/>
              </w:rPr>
            </w:pPr>
          </w:p>
        </w:tc>
      </w:tr>
      <w:tr w14:paraId="7B1B44D1">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963FC30">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49BEC57">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4EB23B9">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F75BB5C">
            <w:pPr>
              <w:tabs>
                <w:tab w:val="left" w:pos="0"/>
                <w:tab w:val="left" w:pos="720"/>
              </w:tabs>
              <w:spacing w:line="360" w:lineRule="auto"/>
              <w:jc w:val="center"/>
              <w:rPr>
                <w:rFonts w:ascii="宋体" w:hAnsi="宋体" w:cs="宋体"/>
                <w:color w:val="auto"/>
                <w:kern w:val="1"/>
                <w:szCs w:val="21"/>
                <w:highlight w:val="none"/>
              </w:rPr>
            </w:pPr>
          </w:p>
        </w:tc>
      </w:tr>
      <w:tr w14:paraId="52BC0417">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7E78C99">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6A9A29E">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87AE7F0">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215DB57D">
            <w:pPr>
              <w:tabs>
                <w:tab w:val="left" w:pos="0"/>
                <w:tab w:val="left" w:pos="720"/>
              </w:tabs>
              <w:spacing w:line="360" w:lineRule="auto"/>
              <w:jc w:val="center"/>
              <w:rPr>
                <w:rFonts w:ascii="宋体" w:hAnsi="宋体" w:cs="宋体"/>
                <w:color w:val="auto"/>
                <w:kern w:val="1"/>
                <w:szCs w:val="21"/>
                <w:highlight w:val="none"/>
              </w:rPr>
            </w:pPr>
          </w:p>
        </w:tc>
      </w:tr>
      <w:tr w14:paraId="0BD8FD50">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5CB8A779">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6D80871">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E7288D0">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4DE50F68">
            <w:pPr>
              <w:tabs>
                <w:tab w:val="left" w:pos="0"/>
                <w:tab w:val="left" w:pos="720"/>
              </w:tabs>
              <w:spacing w:line="360" w:lineRule="auto"/>
              <w:jc w:val="center"/>
              <w:rPr>
                <w:rFonts w:ascii="宋体" w:hAnsi="宋体" w:cs="宋体"/>
                <w:color w:val="auto"/>
                <w:kern w:val="1"/>
                <w:szCs w:val="21"/>
                <w:highlight w:val="none"/>
              </w:rPr>
            </w:pPr>
          </w:p>
        </w:tc>
      </w:tr>
      <w:tr w14:paraId="0ED3B3D0">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68CEDD2">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EB56763">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6FD5827">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42ED37D">
            <w:pPr>
              <w:tabs>
                <w:tab w:val="left" w:pos="0"/>
                <w:tab w:val="left" w:pos="720"/>
              </w:tabs>
              <w:spacing w:line="360" w:lineRule="auto"/>
              <w:jc w:val="center"/>
              <w:rPr>
                <w:rFonts w:ascii="宋体" w:hAnsi="宋体" w:cs="宋体"/>
                <w:color w:val="auto"/>
                <w:kern w:val="1"/>
                <w:szCs w:val="21"/>
                <w:highlight w:val="none"/>
              </w:rPr>
            </w:pPr>
          </w:p>
        </w:tc>
      </w:tr>
      <w:tr w14:paraId="139477F9">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12FC614F">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6FA45B52">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588B664F">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37C4E5D1">
            <w:pPr>
              <w:tabs>
                <w:tab w:val="left" w:pos="0"/>
                <w:tab w:val="left" w:pos="720"/>
              </w:tabs>
              <w:spacing w:line="360" w:lineRule="auto"/>
              <w:jc w:val="center"/>
              <w:rPr>
                <w:rFonts w:ascii="宋体" w:hAnsi="宋体" w:cs="宋体"/>
                <w:color w:val="auto"/>
                <w:kern w:val="1"/>
                <w:szCs w:val="21"/>
                <w:highlight w:val="none"/>
              </w:rPr>
            </w:pPr>
          </w:p>
        </w:tc>
      </w:tr>
    </w:tbl>
    <w:p w14:paraId="7BE97250">
      <w:pP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52F5004E">
      <w:pPr>
        <w:spacing w:line="360" w:lineRule="auto"/>
        <w:rPr>
          <w:rFonts w:ascii="宋体" w:hAnsi="宋体" w:cs="宋体"/>
          <w:b/>
          <w:color w:val="auto"/>
          <w:kern w:val="1"/>
          <w:sz w:val="36"/>
          <w:szCs w:val="36"/>
          <w:highlight w:val="none"/>
        </w:rPr>
      </w:pPr>
    </w:p>
    <w:p w14:paraId="072A5DF9">
      <w:pPr>
        <w:spacing w:line="360" w:lineRule="auto"/>
        <w:jc w:val="center"/>
        <w:rPr>
          <w:rFonts w:ascii="宋体" w:hAnsi="宋体" w:cs="宋体"/>
          <w:b/>
          <w:color w:val="auto"/>
          <w:kern w:val="1"/>
          <w:sz w:val="24"/>
          <w:szCs w:val="24"/>
          <w:highlight w:val="none"/>
        </w:rPr>
      </w:pPr>
      <w:r>
        <w:rPr>
          <w:rFonts w:ascii="宋体" w:hAnsi="宋体" w:cs="宋体"/>
          <w:b/>
          <w:color w:val="auto"/>
          <w:kern w:val="1"/>
          <w:sz w:val="36"/>
          <w:szCs w:val="36"/>
          <w:highlight w:val="none"/>
        </w:rPr>
        <w:br w:type="page"/>
      </w:r>
    </w:p>
    <w:p w14:paraId="47B24C81">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 xml:space="preserve">： </w:t>
      </w:r>
    </w:p>
    <w:p w14:paraId="0F2A4674">
      <w:pPr>
        <w:rPr>
          <w:color w:val="auto"/>
          <w:highlight w:val="none"/>
        </w:rPr>
      </w:pPr>
      <w:r>
        <w:rPr>
          <w:rFonts w:hint="eastAsia"/>
          <w:color w:val="auto"/>
          <w:highlight w:val="none"/>
        </w:rPr>
        <w:t>（以下格式文件由投标人根据需要选用）</w:t>
      </w:r>
    </w:p>
    <w:p w14:paraId="360A7B92">
      <w:pPr>
        <w:pStyle w:val="2"/>
        <w:spacing w:line="360" w:lineRule="auto"/>
        <w:rPr>
          <w:color w:val="auto"/>
          <w:highlight w:val="none"/>
          <w:lang w:val="en-US"/>
        </w:rPr>
      </w:pPr>
    </w:p>
    <w:p w14:paraId="2AD99BEF">
      <w:pPr>
        <w:pStyle w:val="13"/>
        <w:tabs>
          <w:tab w:val="left" w:pos="1282"/>
        </w:tabs>
        <w:kinsoku w:val="0"/>
        <w:overflowPunct w:val="0"/>
        <w:spacing w:before="55"/>
        <w:jc w:val="center"/>
        <w:rPr>
          <w:rFonts w:ascii="宋体" w:hAnsi="宋体"/>
          <w:b/>
          <w:color w:val="auto"/>
          <w:spacing w:val="2"/>
          <w:position w:val="-1"/>
          <w:sz w:val="32"/>
          <w:szCs w:val="32"/>
          <w:highlight w:val="none"/>
        </w:rPr>
      </w:pPr>
      <w:r>
        <w:rPr>
          <w:rFonts w:hint="eastAsia" w:ascii="宋体" w:hAnsi="宋体"/>
          <w:b/>
          <w:color w:val="auto"/>
          <w:spacing w:val="2"/>
          <w:position w:val="-1"/>
          <w:sz w:val="32"/>
          <w:szCs w:val="32"/>
          <w:highlight w:val="none"/>
        </w:rPr>
        <w:t>中小企业声明函</w:t>
      </w:r>
    </w:p>
    <w:p w14:paraId="7B5F7DAD">
      <w:pPr>
        <w:pStyle w:val="13"/>
        <w:kinsoku w:val="0"/>
        <w:overflowPunct w:val="0"/>
        <w:spacing w:before="12"/>
        <w:rPr>
          <w:color w:val="auto"/>
          <w:sz w:val="26"/>
          <w:szCs w:val="26"/>
          <w:highlight w:val="none"/>
        </w:rPr>
      </w:pPr>
    </w:p>
    <w:p w14:paraId="2ADE56F2">
      <w:pPr>
        <w:pStyle w:val="13"/>
        <w:tabs>
          <w:tab w:val="left" w:pos="1981"/>
          <w:tab w:val="left" w:pos="3555"/>
        </w:tabs>
        <w:kinsoku w:val="0"/>
        <w:overflowPunct w:val="0"/>
        <w:spacing w:after="0" w:line="360" w:lineRule="auto"/>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u w:val="single"/>
        </w:rPr>
        <w:tab/>
      </w:r>
      <w:r>
        <w:rPr>
          <w:rFonts w:hint="eastAsia" w:ascii="宋体" w:hAnsi="宋体"/>
          <w:color w:val="auto"/>
          <w:w w:val="95"/>
          <w:sz w:val="24"/>
          <w:szCs w:val="24"/>
          <w:highlight w:val="none"/>
          <w:u w:val="single"/>
        </w:rPr>
        <w:t>（招标人）</w:t>
      </w:r>
      <w:r>
        <w:rPr>
          <w:rFonts w:ascii="宋体" w:hAnsi="宋体"/>
          <w:color w:val="auto"/>
          <w:sz w:val="24"/>
          <w:szCs w:val="24"/>
          <w:highlight w:val="none"/>
          <w:u w:val="single"/>
        </w:rPr>
        <w:tab/>
      </w:r>
    </w:p>
    <w:p w14:paraId="78EA4C44">
      <w:pPr>
        <w:pStyle w:val="13"/>
        <w:kinsoku w:val="0"/>
        <w:overflowPunct w:val="0"/>
        <w:spacing w:after="0" w:line="360" w:lineRule="auto"/>
        <w:ind w:right="216" w:firstLine="460" w:firstLineChars="200"/>
        <w:rPr>
          <w:rFonts w:ascii="宋体" w:hAnsi="宋体"/>
          <w:color w:val="auto"/>
          <w:sz w:val="24"/>
          <w:szCs w:val="24"/>
          <w:highlight w:val="none"/>
        </w:rPr>
      </w:pPr>
      <w:r>
        <w:rPr>
          <w:rFonts w:hint="eastAsia" w:ascii="宋体" w:hAnsi="宋体"/>
          <w:color w:val="auto"/>
          <w:spacing w:val="-5"/>
          <w:sz w:val="24"/>
          <w:szCs w:val="24"/>
          <w:highlight w:val="none"/>
        </w:rPr>
        <w:t>本公司</w:t>
      </w:r>
      <w:r>
        <w:rPr>
          <w:rFonts w:hint="eastAsia" w:ascii="宋体" w:hAnsi="宋体"/>
          <w:color w:val="auto"/>
          <w:sz w:val="24"/>
          <w:szCs w:val="24"/>
          <w:highlight w:val="none"/>
        </w:rPr>
        <w:t>（联合体</w:t>
      </w:r>
      <w:r>
        <w:rPr>
          <w:rFonts w:hint="eastAsia" w:ascii="宋体" w:hAnsi="宋体"/>
          <w:color w:val="auto"/>
          <w:spacing w:val="-13"/>
          <w:sz w:val="24"/>
          <w:szCs w:val="24"/>
          <w:highlight w:val="none"/>
        </w:rPr>
        <w:t>）</w:t>
      </w:r>
      <w:r>
        <w:rPr>
          <w:rFonts w:hint="eastAsia" w:ascii="宋体" w:hAnsi="宋体"/>
          <w:color w:val="auto"/>
          <w:spacing w:val="-5"/>
          <w:sz w:val="24"/>
          <w:szCs w:val="24"/>
          <w:highlight w:val="none"/>
        </w:rPr>
        <w:t>郑重声明，根据《政府采购促进中小企业发展管理办法》</w:t>
      </w:r>
      <w:r>
        <w:rPr>
          <w:rFonts w:hint="eastAsia" w:ascii="宋体" w:hAnsi="宋体"/>
          <w:color w:val="auto"/>
          <w:sz w:val="24"/>
          <w:szCs w:val="24"/>
          <w:highlight w:val="none"/>
        </w:rPr>
        <w:t>（财库﹝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pacing w:val="-35"/>
          <w:sz w:val="24"/>
          <w:szCs w:val="24"/>
          <w:highlight w:val="none"/>
        </w:rPr>
        <w:t>号</w:t>
      </w:r>
      <w:r>
        <w:rPr>
          <w:rFonts w:hint="eastAsia" w:ascii="宋体" w:hAnsi="宋体"/>
          <w:color w:val="auto"/>
          <w:sz w:val="24"/>
          <w:szCs w:val="24"/>
          <w:highlight w:val="none"/>
        </w:rPr>
        <w:t>）的规定，本公司参加</w:t>
      </w:r>
      <w:r>
        <w:rPr>
          <w:rFonts w:hint="eastAsia" w:ascii="宋体" w:hAnsi="宋体"/>
          <w:color w:val="auto"/>
          <w:sz w:val="24"/>
          <w:szCs w:val="24"/>
          <w:highlight w:val="none"/>
          <w:u w:val="single"/>
        </w:rPr>
        <w:t>（招标人）</w:t>
      </w:r>
      <w:r>
        <w:rPr>
          <w:rFonts w:hint="eastAsia" w:ascii="宋体" w:hAnsi="宋体"/>
          <w:color w:val="auto"/>
          <w:sz w:val="24"/>
          <w:szCs w:val="24"/>
          <w:highlight w:val="none"/>
        </w:rPr>
        <w:t>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招标活动，工程的施工单位全部为符合政策要求的中小企业。相关企业（含联合体中的中小企业、签订分包意向协议的中小企业）的具体情况如下：</w:t>
      </w:r>
    </w:p>
    <w:p w14:paraId="1661C5E7">
      <w:pPr>
        <w:pStyle w:val="13"/>
        <w:tabs>
          <w:tab w:val="left" w:pos="2190"/>
          <w:tab w:val="left" w:pos="7935"/>
        </w:tabs>
        <w:kinsoku w:val="0"/>
        <w:overflowPunct w:val="0"/>
        <w:spacing w:after="0" w:line="360" w:lineRule="auto"/>
        <w:ind w:right="59"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u w:val="single"/>
        </w:rPr>
        <w:t>（</w:t>
      </w:r>
      <w:r>
        <w:rPr>
          <w:rFonts w:hint="eastAsia" w:ascii="宋体" w:hAnsi="宋体"/>
          <w:color w:val="auto"/>
          <w:spacing w:val="2"/>
          <w:sz w:val="24"/>
          <w:szCs w:val="24"/>
          <w:highlight w:val="none"/>
          <w:u w:val="single"/>
        </w:rPr>
        <w:t>标</w:t>
      </w:r>
      <w:r>
        <w:rPr>
          <w:rFonts w:hint="eastAsia" w:ascii="宋体" w:hAnsi="宋体"/>
          <w:color w:val="auto"/>
          <w:sz w:val="24"/>
          <w:szCs w:val="24"/>
          <w:highlight w:val="none"/>
          <w:u w:val="single"/>
        </w:rPr>
        <w:t>的名</w:t>
      </w:r>
      <w:r>
        <w:rPr>
          <w:rFonts w:hint="eastAsia" w:ascii="宋体" w:hAnsi="宋体"/>
          <w:color w:val="auto"/>
          <w:spacing w:val="2"/>
          <w:sz w:val="24"/>
          <w:szCs w:val="24"/>
          <w:highlight w:val="none"/>
          <w:u w:val="single"/>
        </w:rPr>
        <w:t>称</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hint="eastAsia" w:ascii="宋体" w:hAnsi="宋体"/>
          <w:color w:val="auto"/>
          <w:spacing w:val="2"/>
          <w:sz w:val="24"/>
          <w:szCs w:val="24"/>
          <w:highlight w:val="none"/>
        </w:rPr>
        <w:t>属</w:t>
      </w:r>
      <w:r>
        <w:rPr>
          <w:rFonts w:hint="eastAsia" w:ascii="宋体" w:hAnsi="宋体"/>
          <w:color w:val="auto"/>
          <w:sz w:val="24"/>
          <w:szCs w:val="24"/>
          <w:highlight w:val="none"/>
        </w:rPr>
        <w:t>于</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业</w:t>
      </w:r>
      <w:r>
        <w:rPr>
          <w:rFonts w:hint="eastAsia" w:ascii="宋体" w:hAnsi="宋体"/>
          <w:color w:val="auto"/>
          <w:sz w:val="24"/>
          <w:szCs w:val="24"/>
          <w:highlight w:val="none"/>
        </w:rPr>
        <w:t>；</w:t>
      </w:r>
      <w:r>
        <w:rPr>
          <w:rFonts w:hint="eastAsia" w:ascii="宋体" w:hAnsi="宋体"/>
          <w:color w:val="auto"/>
          <w:spacing w:val="2"/>
          <w:sz w:val="24"/>
          <w:szCs w:val="24"/>
          <w:highlight w:val="none"/>
        </w:rPr>
        <w:t>承</w:t>
      </w:r>
      <w:r>
        <w:rPr>
          <w:rFonts w:hint="eastAsia" w:ascii="宋体" w:hAnsi="宋体"/>
          <w:color w:val="auto"/>
          <w:sz w:val="24"/>
          <w:szCs w:val="24"/>
          <w:highlight w:val="none"/>
        </w:rPr>
        <w:t>建（承</w:t>
      </w:r>
      <w:r>
        <w:rPr>
          <w:rFonts w:hint="eastAsia" w:ascii="宋体" w:hAnsi="宋体"/>
          <w:color w:val="auto"/>
          <w:spacing w:val="2"/>
          <w:sz w:val="24"/>
          <w:szCs w:val="24"/>
          <w:highlight w:val="none"/>
        </w:rPr>
        <w:t>接</w:t>
      </w:r>
      <w:r>
        <w:rPr>
          <w:rFonts w:hint="eastAsia" w:ascii="宋体" w:hAnsi="宋体"/>
          <w:color w:val="auto"/>
          <w:sz w:val="24"/>
          <w:szCs w:val="24"/>
          <w:highlight w:val="none"/>
        </w:rPr>
        <w:t>）企</w:t>
      </w:r>
      <w:r>
        <w:rPr>
          <w:rFonts w:hint="eastAsia" w:ascii="宋体" w:hAnsi="宋体"/>
          <w:color w:val="auto"/>
          <w:spacing w:val="2"/>
          <w:sz w:val="24"/>
          <w:szCs w:val="24"/>
          <w:highlight w:val="none"/>
        </w:rPr>
        <w:t>业</w:t>
      </w:r>
      <w:r>
        <w:rPr>
          <w:rFonts w:hint="eastAsia" w:ascii="宋体" w:hAnsi="宋体"/>
          <w:color w:val="auto"/>
          <w:sz w:val="24"/>
          <w:szCs w:val="24"/>
          <w:highlight w:val="none"/>
        </w:rPr>
        <w:t>为</w:t>
      </w:r>
      <w:r>
        <w:rPr>
          <w:rFonts w:hint="eastAsia" w:ascii="宋体" w:hAnsi="宋体"/>
          <w:color w:val="auto"/>
          <w:sz w:val="24"/>
          <w:szCs w:val="24"/>
          <w:highlight w:val="none"/>
          <w:u w:val="single"/>
        </w:rPr>
        <w:t>（</w:t>
      </w:r>
      <w:r>
        <w:rPr>
          <w:rFonts w:hint="eastAsia" w:ascii="宋体" w:hAnsi="宋体"/>
          <w:color w:val="auto"/>
          <w:spacing w:val="2"/>
          <w:sz w:val="24"/>
          <w:szCs w:val="24"/>
          <w:highlight w:val="none"/>
          <w:u w:val="single"/>
        </w:rPr>
        <w:t>企</w:t>
      </w:r>
      <w:r>
        <w:rPr>
          <w:rFonts w:hint="eastAsia" w:ascii="宋体" w:hAnsi="宋体"/>
          <w:color w:val="auto"/>
          <w:sz w:val="24"/>
          <w:szCs w:val="24"/>
          <w:highlight w:val="none"/>
          <w:u w:val="single"/>
        </w:rPr>
        <w:t>业名</w:t>
      </w:r>
      <w:r>
        <w:rPr>
          <w:rFonts w:hint="eastAsia" w:ascii="宋体" w:hAnsi="宋体"/>
          <w:color w:val="auto"/>
          <w:spacing w:val="2"/>
          <w:sz w:val="24"/>
          <w:szCs w:val="24"/>
          <w:highlight w:val="none"/>
          <w:u w:val="single"/>
        </w:rPr>
        <w:t>称</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hint="eastAsia" w:ascii="宋体" w:hAnsi="宋体"/>
          <w:color w:val="auto"/>
          <w:spacing w:val="2"/>
          <w:sz w:val="24"/>
          <w:szCs w:val="24"/>
          <w:highlight w:val="none"/>
        </w:rPr>
        <w:t>从</w:t>
      </w:r>
      <w:r>
        <w:rPr>
          <w:rFonts w:hint="eastAsia" w:ascii="宋体" w:hAnsi="宋体"/>
          <w:color w:val="auto"/>
          <w:sz w:val="24"/>
          <w:szCs w:val="24"/>
          <w:highlight w:val="none"/>
        </w:rPr>
        <w:t>业人员</w:t>
      </w:r>
      <w:r>
        <w:rPr>
          <w:rFonts w:ascii="宋体" w:hAnsi="宋体"/>
          <w:color w:val="auto"/>
          <w:sz w:val="24"/>
          <w:szCs w:val="24"/>
          <w:highlight w:val="none"/>
          <w:u w:val="single"/>
        </w:rPr>
        <w:t xml:space="preserve">  </w:t>
      </w:r>
      <w:r>
        <w:rPr>
          <w:rFonts w:hint="eastAsia" w:ascii="宋体" w:hAnsi="宋体"/>
          <w:color w:val="auto"/>
          <w:sz w:val="24"/>
          <w:szCs w:val="24"/>
          <w:highlight w:val="none"/>
        </w:rPr>
        <w:t>人</w:t>
      </w:r>
      <w:r>
        <w:rPr>
          <w:rFonts w:hint="eastAsia" w:ascii="宋体" w:hAnsi="宋体"/>
          <w:color w:val="auto"/>
          <w:spacing w:val="2"/>
          <w:sz w:val="24"/>
          <w:szCs w:val="24"/>
          <w:highlight w:val="none"/>
        </w:rPr>
        <w:t>，</w:t>
      </w:r>
      <w:r>
        <w:rPr>
          <w:rFonts w:hint="eastAsia" w:ascii="宋体" w:hAnsi="宋体"/>
          <w:color w:val="auto"/>
          <w:sz w:val="24"/>
          <w:szCs w:val="24"/>
          <w:highlight w:val="none"/>
        </w:rPr>
        <w:t>营业收入为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w:t>
      </w:r>
      <w:r>
        <w:rPr>
          <w:rFonts w:hint="eastAsia" w:ascii="宋体" w:hAnsi="宋体"/>
          <w:color w:val="auto"/>
          <w:spacing w:val="-1"/>
          <w:w w:val="99"/>
          <w:sz w:val="24"/>
          <w:szCs w:val="24"/>
          <w:highlight w:val="none"/>
        </w:rPr>
        <w:t>，</w:t>
      </w:r>
      <w:r>
        <w:rPr>
          <w:rFonts w:hint="eastAsia" w:ascii="宋体" w:hAnsi="宋体"/>
          <w:color w:val="auto"/>
          <w:sz w:val="24"/>
          <w:szCs w:val="24"/>
          <w:highlight w:val="none"/>
        </w:rPr>
        <w:t>资产总额为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w:t>
      </w:r>
      <w:r>
        <w:rPr>
          <w:rFonts w:hint="eastAsia" w:ascii="宋体" w:hAnsi="宋体"/>
          <w:color w:val="auto"/>
          <w:spacing w:val="-1"/>
          <w:w w:val="99"/>
          <w:sz w:val="24"/>
          <w:szCs w:val="24"/>
          <w:highlight w:val="non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rPr>
        <w:t>（小型企业、微型企业）</w:t>
      </w:r>
      <w:r>
        <w:rPr>
          <w:rFonts w:hint="eastAsia" w:ascii="宋体" w:hAnsi="宋体"/>
          <w:color w:val="auto"/>
          <w:w w:val="99"/>
          <w:sz w:val="24"/>
          <w:szCs w:val="24"/>
          <w:highlight w:val="none"/>
        </w:rPr>
        <w:t>；</w:t>
      </w:r>
      <w:r>
        <w:rPr>
          <w:rFonts w:hint="eastAsia" w:ascii="宋体" w:hAnsi="宋体"/>
          <w:color w:val="auto"/>
          <w:sz w:val="24"/>
          <w:szCs w:val="24"/>
          <w:highlight w:val="none"/>
        </w:rPr>
        <w:t>在本项目中拟承担工作，在本项目的合同份额占合同总金额</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w:t>
      </w:r>
    </w:p>
    <w:p w14:paraId="766625E8">
      <w:pPr>
        <w:pStyle w:val="13"/>
        <w:tabs>
          <w:tab w:val="left" w:pos="2190"/>
          <w:tab w:val="left" w:pos="7935"/>
        </w:tabs>
        <w:kinsoku w:val="0"/>
        <w:overflowPunct w:val="0"/>
        <w:spacing w:after="0" w:line="360" w:lineRule="auto"/>
        <w:ind w:right="59"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u w:val="single"/>
        </w:rPr>
        <w:t>（</w:t>
      </w:r>
      <w:r>
        <w:rPr>
          <w:rFonts w:hint="eastAsia" w:ascii="宋体" w:hAnsi="宋体"/>
          <w:color w:val="auto"/>
          <w:spacing w:val="2"/>
          <w:sz w:val="24"/>
          <w:szCs w:val="24"/>
          <w:highlight w:val="none"/>
          <w:u w:val="single"/>
        </w:rPr>
        <w:t>标</w:t>
      </w:r>
      <w:r>
        <w:rPr>
          <w:rFonts w:hint="eastAsia" w:ascii="宋体" w:hAnsi="宋体"/>
          <w:color w:val="auto"/>
          <w:sz w:val="24"/>
          <w:szCs w:val="24"/>
          <w:highlight w:val="none"/>
          <w:u w:val="single"/>
        </w:rPr>
        <w:t>的名</w:t>
      </w:r>
      <w:r>
        <w:rPr>
          <w:rFonts w:hint="eastAsia" w:ascii="宋体" w:hAnsi="宋体"/>
          <w:color w:val="auto"/>
          <w:spacing w:val="2"/>
          <w:sz w:val="24"/>
          <w:szCs w:val="24"/>
          <w:highlight w:val="none"/>
          <w:u w:val="single"/>
        </w:rPr>
        <w:t>称</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hint="eastAsia" w:ascii="宋体" w:hAnsi="宋体"/>
          <w:color w:val="auto"/>
          <w:spacing w:val="2"/>
          <w:sz w:val="24"/>
          <w:szCs w:val="24"/>
          <w:highlight w:val="none"/>
        </w:rPr>
        <w:t>属</w:t>
      </w:r>
      <w:r>
        <w:rPr>
          <w:rFonts w:hint="eastAsia" w:ascii="宋体" w:hAnsi="宋体"/>
          <w:color w:val="auto"/>
          <w:sz w:val="24"/>
          <w:szCs w:val="24"/>
          <w:highlight w:val="none"/>
        </w:rPr>
        <w:t>于</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业</w:t>
      </w:r>
      <w:r>
        <w:rPr>
          <w:rFonts w:hint="eastAsia" w:ascii="宋体" w:hAnsi="宋体"/>
          <w:color w:val="auto"/>
          <w:sz w:val="24"/>
          <w:szCs w:val="24"/>
          <w:highlight w:val="none"/>
        </w:rPr>
        <w:t>；</w:t>
      </w:r>
      <w:r>
        <w:rPr>
          <w:rFonts w:hint="eastAsia" w:ascii="宋体" w:hAnsi="宋体"/>
          <w:color w:val="auto"/>
          <w:spacing w:val="2"/>
          <w:sz w:val="24"/>
          <w:szCs w:val="24"/>
          <w:highlight w:val="none"/>
        </w:rPr>
        <w:t>承</w:t>
      </w:r>
      <w:r>
        <w:rPr>
          <w:rFonts w:hint="eastAsia" w:ascii="宋体" w:hAnsi="宋体"/>
          <w:color w:val="auto"/>
          <w:sz w:val="24"/>
          <w:szCs w:val="24"/>
          <w:highlight w:val="none"/>
        </w:rPr>
        <w:t>建（承</w:t>
      </w:r>
      <w:r>
        <w:rPr>
          <w:rFonts w:hint="eastAsia" w:ascii="宋体" w:hAnsi="宋体"/>
          <w:color w:val="auto"/>
          <w:spacing w:val="2"/>
          <w:sz w:val="24"/>
          <w:szCs w:val="24"/>
          <w:highlight w:val="none"/>
        </w:rPr>
        <w:t>接</w:t>
      </w:r>
      <w:r>
        <w:rPr>
          <w:rFonts w:hint="eastAsia" w:ascii="宋体" w:hAnsi="宋体"/>
          <w:color w:val="auto"/>
          <w:sz w:val="24"/>
          <w:szCs w:val="24"/>
          <w:highlight w:val="none"/>
        </w:rPr>
        <w:t>）企</w:t>
      </w:r>
      <w:r>
        <w:rPr>
          <w:rFonts w:hint="eastAsia" w:ascii="宋体" w:hAnsi="宋体"/>
          <w:color w:val="auto"/>
          <w:spacing w:val="2"/>
          <w:sz w:val="24"/>
          <w:szCs w:val="24"/>
          <w:highlight w:val="none"/>
        </w:rPr>
        <w:t>业</w:t>
      </w:r>
      <w:r>
        <w:rPr>
          <w:rFonts w:hint="eastAsia" w:ascii="宋体" w:hAnsi="宋体"/>
          <w:color w:val="auto"/>
          <w:sz w:val="24"/>
          <w:szCs w:val="24"/>
          <w:highlight w:val="none"/>
        </w:rPr>
        <w:t>为</w:t>
      </w:r>
      <w:r>
        <w:rPr>
          <w:rFonts w:hint="eastAsia" w:ascii="宋体" w:hAnsi="宋体"/>
          <w:color w:val="auto"/>
          <w:sz w:val="24"/>
          <w:szCs w:val="24"/>
          <w:highlight w:val="none"/>
          <w:u w:val="single"/>
        </w:rPr>
        <w:t>（</w:t>
      </w:r>
      <w:r>
        <w:rPr>
          <w:rFonts w:hint="eastAsia" w:ascii="宋体" w:hAnsi="宋体"/>
          <w:color w:val="auto"/>
          <w:spacing w:val="2"/>
          <w:sz w:val="24"/>
          <w:szCs w:val="24"/>
          <w:highlight w:val="none"/>
          <w:u w:val="single"/>
        </w:rPr>
        <w:t>企</w:t>
      </w:r>
      <w:r>
        <w:rPr>
          <w:rFonts w:hint="eastAsia" w:ascii="宋体" w:hAnsi="宋体"/>
          <w:color w:val="auto"/>
          <w:sz w:val="24"/>
          <w:szCs w:val="24"/>
          <w:highlight w:val="none"/>
          <w:u w:val="single"/>
        </w:rPr>
        <w:t>业名</w:t>
      </w:r>
      <w:r>
        <w:rPr>
          <w:rFonts w:hint="eastAsia" w:ascii="宋体" w:hAnsi="宋体"/>
          <w:color w:val="auto"/>
          <w:spacing w:val="2"/>
          <w:sz w:val="24"/>
          <w:szCs w:val="24"/>
          <w:highlight w:val="none"/>
          <w:u w:val="single"/>
        </w:rPr>
        <w:t>称</w:t>
      </w:r>
      <w:r>
        <w:rPr>
          <w:rFonts w:hint="eastAsia" w:ascii="宋体" w:hAnsi="宋体"/>
          <w:color w:val="auto"/>
          <w:sz w:val="24"/>
          <w:szCs w:val="24"/>
          <w:highlight w:val="none"/>
          <w:u w:val="single"/>
        </w:rPr>
        <w:t>）</w:t>
      </w:r>
      <w:r>
        <w:rPr>
          <w:rFonts w:hint="eastAsia" w:ascii="宋体" w:hAnsi="宋体"/>
          <w:color w:val="auto"/>
          <w:sz w:val="24"/>
          <w:szCs w:val="24"/>
          <w:highlight w:val="none"/>
        </w:rPr>
        <w:t>，</w:t>
      </w:r>
      <w:r>
        <w:rPr>
          <w:rFonts w:hint="eastAsia" w:ascii="宋体" w:hAnsi="宋体"/>
          <w:color w:val="auto"/>
          <w:spacing w:val="2"/>
          <w:sz w:val="24"/>
          <w:szCs w:val="24"/>
          <w:highlight w:val="none"/>
        </w:rPr>
        <w:t>从</w:t>
      </w:r>
      <w:r>
        <w:rPr>
          <w:rFonts w:hint="eastAsia" w:ascii="宋体" w:hAnsi="宋体"/>
          <w:color w:val="auto"/>
          <w:sz w:val="24"/>
          <w:szCs w:val="24"/>
          <w:highlight w:val="none"/>
        </w:rPr>
        <w:t>业人员</w:t>
      </w:r>
      <w:r>
        <w:rPr>
          <w:rFonts w:ascii="宋体" w:hAnsi="宋体"/>
          <w:color w:val="auto"/>
          <w:sz w:val="24"/>
          <w:szCs w:val="24"/>
          <w:highlight w:val="none"/>
          <w:u w:val="single"/>
        </w:rPr>
        <w:t xml:space="preserve"> </w:t>
      </w:r>
      <w:r>
        <w:rPr>
          <w:rFonts w:hint="eastAsia" w:ascii="宋体" w:hAnsi="宋体"/>
          <w:color w:val="auto"/>
          <w:sz w:val="24"/>
          <w:szCs w:val="24"/>
          <w:highlight w:val="none"/>
        </w:rPr>
        <w:t>人</w:t>
      </w:r>
      <w:r>
        <w:rPr>
          <w:rFonts w:hint="eastAsia" w:ascii="宋体" w:hAnsi="宋体"/>
          <w:color w:val="auto"/>
          <w:spacing w:val="2"/>
          <w:sz w:val="24"/>
          <w:szCs w:val="24"/>
          <w:highlight w:val="none"/>
        </w:rPr>
        <w:t>，</w:t>
      </w:r>
      <w:r>
        <w:rPr>
          <w:rFonts w:hint="eastAsia" w:ascii="宋体" w:hAnsi="宋体"/>
          <w:color w:val="auto"/>
          <w:sz w:val="24"/>
          <w:szCs w:val="24"/>
          <w:highlight w:val="none"/>
        </w:rPr>
        <w:t>营业收入为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w:t>
      </w:r>
      <w:r>
        <w:rPr>
          <w:rFonts w:hint="eastAsia" w:ascii="宋体" w:hAnsi="宋体"/>
          <w:color w:val="auto"/>
          <w:spacing w:val="-1"/>
          <w:w w:val="99"/>
          <w:sz w:val="24"/>
          <w:szCs w:val="24"/>
          <w:highlight w:val="none"/>
        </w:rPr>
        <w:t>，</w:t>
      </w:r>
      <w:r>
        <w:rPr>
          <w:rFonts w:hint="eastAsia" w:ascii="宋体" w:hAnsi="宋体"/>
          <w:color w:val="auto"/>
          <w:sz w:val="24"/>
          <w:szCs w:val="24"/>
          <w:highlight w:val="none"/>
        </w:rPr>
        <w:t>资产总额为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w:t>
      </w:r>
      <w:r>
        <w:rPr>
          <w:rFonts w:hint="eastAsia" w:ascii="宋体" w:hAnsi="宋体"/>
          <w:color w:val="auto"/>
          <w:spacing w:val="-1"/>
          <w:w w:val="99"/>
          <w:sz w:val="24"/>
          <w:szCs w:val="24"/>
          <w:highlight w:val="non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rPr>
        <w:t>（小型企业、微型企业）</w:t>
      </w:r>
      <w:r>
        <w:rPr>
          <w:rFonts w:hint="eastAsia" w:ascii="宋体" w:hAnsi="宋体"/>
          <w:color w:val="auto"/>
          <w:w w:val="99"/>
          <w:sz w:val="24"/>
          <w:szCs w:val="24"/>
          <w:highlight w:val="none"/>
        </w:rPr>
        <w:t>；</w:t>
      </w:r>
      <w:r>
        <w:rPr>
          <w:rFonts w:hint="eastAsia" w:ascii="宋体" w:hAnsi="宋体"/>
          <w:color w:val="auto"/>
          <w:sz w:val="24"/>
          <w:szCs w:val="24"/>
          <w:highlight w:val="none"/>
        </w:rPr>
        <w:t>在本项目中拟承担工作，在本项目的合同份额占合同总金额</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w:t>
      </w:r>
    </w:p>
    <w:p w14:paraId="4CE664E4">
      <w:pPr>
        <w:pStyle w:val="13"/>
        <w:kinsoku w:val="0"/>
        <w:overflowPunct w:val="0"/>
        <w:spacing w:after="0" w:line="360" w:lineRule="auto"/>
        <w:ind w:firstLine="480" w:firstLineChars="200"/>
        <w:rPr>
          <w:rFonts w:ascii="宋体" w:hAnsi="宋体"/>
          <w:color w:val="auto"/>
          <w:sz w:val="24"/>
          <w:szCs w:val="24"/>
          <w:highlight w:val="none"/>
        </w:rPr>
      </w:pPr>
    </w:p>
    <w:p w14:paraId="44CA699F">
      <w:pPr>
        <w:pStyle w:val="13"/>
        <w:kinsoku w:val="0"/>
        <w:overflowPunct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p>
    <w:p w14:paraId="155415DF">
      <w:pPr>
        <w:pStyle w:val="13"/>
        <w:kinsoku w:val="0"/>
        <w:overflowPunct w:val="0"/>
        <w:spacing w:after="0" w:line="360" w:lineRule="auto"/>
        <w:ind w:right="321" w:firstLine="480" w:firstLineChars="200"/>
        <w:rPr>
          <w:rFonts w:ascii="宋体" w:hAnsi="宋体"/>
          <w:color w:val="auto"/>
          <w:sz w:val="24"/>
          <w:szCs w:val="24"/>
          <w:highlight w:val="none"/>
        </w:rPr>
      </w:pPr>
      <w:r>
        <w:rPr>
          <w:rFonts w:hint="eastAsia" w:ascii="宋体" w:hAnsi="宋体"/>
          <w:color w:val="auto"/>
          <w:sz w:val="24"/>
          <w:szCs w:val="24"/>
          <w:highlight w:val="none"/>
        </w:rPr>
        <w:t>以上企业，不属于大企业的分支机构，不存在控股股东为大企业的情形，也不存在与大企业的负责人为同一人的情形。</w:t>
      </w:r>
    </w:p>
    <w:p w14:paraId="3F3F2212">
      <w:pPr>
        <w:pStyle w:val="13"/>
        <w:kinsoku w:val="0"/>
        <w:overflowPunct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本企业对上述声明内容的真实性负责。如有虚假，将依法承担相应责任。</w:t>
      </w:r>
    </w:p>
    <w:p w14:paraId="6A0FFCD8">
      <w:pPr>
        <w:pStyle w:val="113"/>
        <w:widowControl/>
        <w:shd w:val="clear" w:color="auto" w:fill="FFFFFF"/>
        <w:spacing w:line="360" w:lineRule="auto"/>
        <w:ind w:firstLine="3780"/>
        <w:rPr>
          <w:rFonts w:ascii="宋体" w:hAnsi="宋体" w:cs="宋体"/>
          <w:color w:val="auto"/>
          <w:kern w:val="0"/>
          <w:sz w:val="24"/>
          <w:highlight w:val="none"/>
        </w:rPr>
      </w:pPr>
    </w:p>
    <w:p w14:paraId="094FA96F">
      <w:pPr>
        <w:pStyle w:val="113"/>
        <w:widowControl/>
        <w:shd w:val="clear" w:color="auto" w:fill="FFFFFF"/>
        <w:spacing w:line="360" w:lineRule="auto"/>
        <w:ind w:firstLine="4380" w:firstLineChars="1825"/>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u w:val="single"/>
        </w:rPr>
        <w:tab/>
      </w:r>
      <w:r>
        <w:rPr>
          <w:rFonts w:ascii="宋体" w:hAnsi="宋体" w:cs="宋体"/>
          <w:color w:val="auto"/>
          <w:kern w:val="0"/>
          <w:sz w:val="24"/>
          <w:highlight w:val="none"/>
          <w:u w:val="single"/>
        </w:rPr>
        <w:tab/>
      </w:r>
      <w:r>
        <w:rPr>
          <w:rFonts w:hint="eastAsia" w:ascii="宋体" w:hAnsi="宋体" w:cs="宋体"/>
          <w:color w:val="auto"/>
          <w:kern w:val="0"/>
          <w:sz w:val="24"/>
          <w:highlight w:val="none"/>
        </w:rPr>
        <w:t>（盖章）</w:t>
      </w:r>
    </w:p>
    <w:p w14:paraId="5EBDAF3F">
      <w:pPr>
        <w:pStyle w:val="113"/>
        <w:widowControl/>
        <w:shd w:val="clear" w:color="auto" w:fill="FFFFFF"/>
        <w:spacing w:line="360" w:lineRule="auto"/>
        <w:ind w:right="1440"/>
        <w:jc w:val="center"/>
        <w:rPr>
          <w:rFonts w:ascii="宋体" w:hAnsi="宋体" w:cs="宋体"/>
          <w:color w:val="auto"/>
          <w:kern w:val="0"/>
          <w:sz w:val="24"/>
          <w:highlight w:val="none"/>
          <w:u w:val="single"/>
        </w:rPr>
      </w:pP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p>
    <w:p w14:paraId="5B3C9211">
      <w:pPr>
        <w:spacing w:line="360" w:lineRule="auto"/>
        <w:rPr>
          <w:rFonts w:ascii="宋体" w:hAnsi="宋体"/>
          <w:color w:val="auto"/>
          <w:sz w:val="24"/>
          <w:szCs w:val="24"/>
          <w:highlight w:val="none"/>
        </w:rPr>
      </w:pPr>
    </w:p>
    <w:p w14:paraId="5FD6DC27">
      <w:pPr>
        <w:spacing w:line="360" w:lineRule="auto"/>
        <w:rPr>
          <w:rFonts w:ascii="宋体" w:hAnsi="宋体"/>
          <w:color w:val="auto"/>
          <w:sz w:val="24"/>
          <w:szCs w:val="24"/>
          <w:highlight w:val="none"/>
        </w:rPr>
      </w:pPr>
    </w:p>
    <w:p w14:paraId="06D53C1A">
      <w:pPr>
        <w:spacing w:line="360" w:lineRule="auto"/>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：从业人员、营业收入、资产总额填报上一年度数据，无上一年度数据的新成立企业可不填报。</w:t>
      </w:r>
    </w:p>
    <w:p w14:paraId="51DE8C05">
      <w:pPr>
        <w:spacing w:line="360" w:lineRule="auto"/>
        <w:rPr>
          <w:rFonts w:ascii="宋体" w:hAnsi="宋体" w:cs="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：投标人应当自行核实是否属于小微企业，并认真填写声明函，若有虚假将追究其责任。</w:t>
      </w:r>
    </w:p>
    <w:p w14:paraId="09C3A858">
      <w:pPr>
        <w:widowControl/>
        <w:jc w:val="left"/>
        <w:rPr>
          <w:rFonts w:ascii="宋体" w:hAnsi="宋体" w:cs="宋体"/>
          <w:b/>
          <w:color w:val="auto"/>
          <w:kern w:val="1"/>
          <w:sz w:val="24"/>
          <w:szCs w:val="20"/>
          <w:highlight w:val="none"/>
          <w:lang w:val="zh-CN"/>
        </w:rPr>
      </w:pPr>
      <w:r>
        <w:rPr>
          <w:rFonts w:cs="宋体"/>
          <w:b/>
          <w:color w:val="auto"/>
          <w:kern w:val="1"/>
          <w:sz w:val="24"/>
          <w:highlight w:val="none"/>
        </w:rPr>
        <w:br w:type="page"/>
      </w:r>
    </w:p>
    <w:p w14:paraId="0192E913">
      <w:pPr>
        <w:pStyle w:val="2"/>
        <w:rPr>
          <w:color w:val="auto"/>
          <w:highlight w:val="none"/>
          <w:lang w:val="en-US"/>
        </w:rPr>
      </w:pPr>
      <w:r>
        <w:rPr>
          <w:rFonts w:hint="eastAsia" w:cs="宋体"/>
          <w:b/>
          <w:color w:val="auto"/>
          <w:kern w:val="1"/>
          <w:sz w:val="24"/>
          <w:highlight w:val="none"/>
        </w:rPr>
        <w:t>格式</w:t>
      </w:r>
      <w:r>
        <w:rPr>
          <w:rFonts w:cs="宋体"/>
          <w:b/>
          <w:color w:val="auto"/>
          <w:kern w:val="1"/>
          <w:sz w:val="24"/>
          <w:highlight w:val="none"/>
          <w:lang w:val="en-US"/>
        </w:rPr>
        <w:t>6</w:t>
      </w:r>
      <w:r>
        <w:rPr>
          <w:rFonts w:hint="eastAsia" w:cs="宋体"/>
          <w:b/>
          <w:color w:val="auto"/>
          <w:kern w:val="1"/>
          <w:sz w:val="24"/>
          <w:highlight w:val="none"/>
        </w:rPr>
        <w:t>：</w:t>
      </w:r>
    </w:p>
    <w:p w14:paraId="4087C5D1">
      <w:pPr>
        <w:jc w:val="center"/>
        <w:rPr>
          <w:b/>
          <w:color w:val="auto"/>
          <w:sz w:val="28"/>
          <w:szCs w:val="28"/>
          <w:highlight w:val="none"/>
        </w:rPr>
      </w:pPr>
      <w:r>
        <w:rPr>
          <w:rFonts w:hint="eastAsia"/>
          <w:b/>
          <w:color w:val="auto"/>
          <w:sz w:val="28"/>
          <w:szCs w:val="28"/>
          <w:highlight w:val="none"/>
        </w:rPr>
        <w:t>分包意向协议书（如有）</w:t>
      </w:r>
    </w:p>
    <w:p w14:paraId="32FF5C91">
      <w:pPr>
        <w:spacing w:line="360" w:lineRule="auto"/>
        <w:rPr>
          <w:rFonts w:ascii="宋体" w:hAnsi="宋体"/>
          <w:color w:val="auto"/>
          <w:kern w:val="10"/>
          <w:szCs w:val="21"/>
          <w:highlight w:val="none"/>
        </w:rPr>
      </w:pPr>
    </w:p>
    <w:p w14:paraId="123EA68E">
      <w:pPr>
        <w:spacing w:line="360" w:lineRule="auto"/>
        <w:rPr>
          <w:rFonts w:ascii="宋体" w:hAnsi="宋体"/>
          <w:color w:val="auto"/>
          <w:szCs w:val="21"/>
          <w:highlight w:val="none"/>
          <w:u w:val="single"/>
        </w:rPr>
      </w:pPr>
      <w:r>
        <w:rPr>
          <w:rFonts w:hint="eastAsia" w:ascii="宋体" w:hAnsi="宋体"/>
          <w:color w:val="auto"/>
          <w:kern w:val="10"/>
          <w:szCs w:val="21"/>
          <w:highlight w:val="none"/>
        </w:rPr>
        <w:t>立约方：</w:t>
      </w:r>
      <w:r>
        <w:rPr>
          <w:rFonts w:hint="eastAsia" w:ascii="宋体" w:hAnsi="宋体"/>
          <w:color w:val="auto"/>
          <w:szCs w:val="21"/>
          <w:highlight w:val="none"/>
          <w:u w:val="single"/>
        </w:rPr>
        <w:t>（甲公司全称）</w:t>
      </w:r>
    </w:p>
    <w:p w14:paraId="2C496D57">
      <w:pPr>
        <w:spacing w:line="360" w:lineRule="auto"/>
        <w:ind w:firstLine="840" w:firstLineChars="400"/>
        <w:rPr>
          <w:rFonts w:ascii="宋体" w:hAnsi="宋体"/>
          <w:color w:val="auto"/>
          <w:szCs w:val="21"/>
          <w:highlight w:val="none"/>
          <w:u w:val="single"/>
        </w:rPr>
      </w:pPr>
      <w:r>
        <w:rPr>
          <w:rFonts w:hint="eastAsia" w:ascii="宋体" w:hAnsi="宋体"/>
          <w:color w:val="auto"/>
          <w:szCs w:val="21"/>
          <w:highlight w:val="none"/>
          <w:u w:val="single"/>
        </w:rPr>
        <w:t>（乙公司全称）</w:t>
      </w:r>
    </w:p>
    <w:p w14:paraId="273DC8D3">
      <w:pPr>
        <w:spacing w:line="360" w:lineRule="auto"/>
        <w:ind w:firstLine="840" w:firstLineChars="400"/>
        <w:rPr>
          <w:rFonts w:ascii="宋体" w:hAnsi="宋体"/>
          <w:color w:val="auto"/>
          <w:szCs w:val="21"/>
          <w:highlight w:val="none"/>
          <w:u w:val="single"/>
        </w:rPr>
      </w:pPr>
      <w:r>
        <w:rPr>
          <w:rFonts w:hint="eastAsia" w:ascii="宋体" w:hAnsi="宋体"/>
          <w:color w:val="auto"/>
          <w:szCs w:val="21"/>
          <w:highlight w:val="none"/>
          <w:u w:val="single"/>
        </w:rPr>
        <w:t>（……公司全称）</w:t>
      </w:r>
    </w:p>
    <w:p w14:paraId="189F7F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（甲公司全称）</w:t>
      </w:r>
      <w:r>
        <w:rPr>
          <w:rFonts w:hint="eastAsia" w:ascii="宋体" w:hAnsi="宋体"/>
          <w:color w:val="auto"/>
          <w:szCs w:val="21"/>
          <w:highlight w:val="none"/>
        </w:rPr>
        <w:t>、</w:t>
      </w:r>
      <w:r>
        <w:rPr>
          <w:rFonts w:hint="eastAsia" w:ascii="宋体" w:hAnsi="宋体"/>
          <w:color w:val="auto"/>
          <w:szCs w:val="21"/>
          <w:highlight w:val="none"/>
          <w:u w:val="single"/>
        </w:rPr>
        <w:t>（乙公司全称）</w:t>
      </w:r>
      <w:r>
        <w:rPr>
          <w:rFonts w:hint="eastAsia" w:ascii="宋体" w:hAnsi="宋体"/>
          <w:color w:val="auto"/>
          <w:szCs w:val="21"/>
          <w:highlight w:val="none"/>
        </w:rPr>
        <w:t>、</w:t>
      </w:r>
      <w:r>
        <w:rPr>
          <w:rFonts w:hint="eastAsia" w:ascii="宋体" w:hAnsi="宋体"/>
          <w:color w:val="auto"/>
          <w:szCs w:val="21"/>
          <w:highlight w:val="none"/>
          <w:u w:val="single"/>
        </w:rPr>
        <w:t>（……公司全称）</w:t>
      </w:r>
      <w:r>
        <w:rPr>
          <w:rFonts w:hint="eastAsia" w:ascii="宋体" w:hAnsi="宋体"/>
          <w:color w:val="auto"/>
          <w:szCs w:val="21"/>
          <w:highlight w:val="none"/>
        </w:rPr>
        <w:t>自愿达成分包意向，参加</w:t>
      </w:r>
      <w:r>
        <w:rPr>
          <w:rFonts w:hint="eastAsia" w:ascii="宋体" w:hAnsi="宋体"/>
          <w:color w:val="auto"/>
          <w:szCs w:val="21"/>
          <w:highlight w:val="none"/>
          <w:u w:val="single"/>
        </w:rPr>
        <w:t>（项目名称）</w:t>
      </w:r>
      <w:r>
        <w:rPr>
          <w:rFonts w:hint="eastAsia" w:ascii="宋体" w:hAnsi="宋体"/>
          <w:color w:val="auto"/>
          <w:szCs w:val="21"/>
          <w:highlight w:val="none"/>
        </w:rPr>
        <w:t>的投标活动。经各方充分协商一致，就</w:t>
      </w:r>
      <w:r>
        <w:rPr>
          <w:rFonts w:hint="eastAsia" w:ascii="宋体" w:hAnsi="宋体"/>
          <w:color w:val="auto"/>
          <w:kern w:val="10"/>
          <w:szCs w:val="21"/>
          <w:highlight w:val="none"/>
        </w:rPr>
        <w:t>项目的</w:t>
      </w:r>
      <w:r>
        <w:rPr>
          <w:rFonts w:hint="eastAsia" w:ascii="宋体" w:hAnsi="宋体"/>
          <w:color w:val="auto"/>
          <w:szCs w:val="21"/>
          <w:highlight w:val="none"/>
        </w:rPr>
        <w:t>投标</w:t>
      </w:r>
      <w:r>
        <w:rPr>
          <w:rFonts w:hint="eastAsia" w:ascii="宋体" w:hAnsi="宋体"/>
          <w:color w:val="auto"/>
          <w:kern w:val="10"/>
          <w:szCs w:val="21"/>
          <w:highlight w:val="none"/>
        </w:rPr>
        <w:t>和合同实施阶段的有关事务协商一致</w:t>
      </w:r>
      <w:r>
        <w:rPr>
          <w:rFonts w:hint="eastAsia" w:ascii="宋体" w:hAnsi="宋体"/>
          <w:color w:val="auto"/>
          <w:szCs w:val="21"/>
          <w:highlight w:val="none"/>
        </w:rPr>
        <w:t>订立意向如下：</w:t>
      </w:r>
    </w:p>
    <w:p w14:paraId="19B872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一、分包意向各方关系</w:t>
      </w:r>
    </w:p>
    <w:p w14:paraId="6A370B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（甲公司全称）为投标人</w:t>
      </w:r>
      <w:r>
        <w:rPr>
          <w:rFonts w:hint="eastAsia" w:ascii="宋体" w:hAnsi="宋体"/>
          <w:color w:val="auto"/>
          <w:szCs w:val="21"/>
          <w:highlight w:val="none"/>
        </w:rPr>
        <w:t>，</w:t>
      </w:r>
      <w:r>
        <w:rPr>
          <w:rFonts w:hint="eastAsia" w:ascii="宋体" w:hAnsi="宋体"/>
          <w:color w:val="auto"/>
          <w:szCs w:val="21"/>
          <w:highlight w:val="none"/>
          <w:u w:val="single"/>
        </w:rPr>
        <w:t>（乙公司全称）</w:t>
      </w:r>
      <w:r>
        <w:rPr>
          <w:rFonts w:hint="eastAsia" w:ascii="宋体" w:hAnsi="宋体"/>
          <w:color w:val="auto"/>
          <w:szCs w:val="21"/>
          <w:highlight w:val="none"/>
        </w:rPr>
        <w:t>、</w:t>
      </w:r>
      <w:r>
        <w:rPr>
          <w:rFonts w:hint="eastAsia" w:ascii="宋体" w:hAnsi="宋体"/>
          <w:color w:val="auto"/>
          <w:szCs w:val="21"/>
          <w:highlight w:val="none"/>
          <w:u w:val="single"/>
        </w:rPr>
        <w:t>（……公司全称）</w:t>
      </w:r>
      <w:r>
        <w:rPr>
          <w:rFonts w:hint="eastAsia" w:ascii="宋体" w:hAnsi="宋体"/>
          <w:color w:val="auto"/>
          <w:szCs w:val="21"/>
          <w:highlight w:val="none"/>
        </w:rPr>
        <w:t>为分包意向单位，</w:t>
      </w:r>
      <w:r>
        <w:rPr>
          <w:rFonts w:hint="eastAsia" w:ascii="宋体" w:hAnsi="宋体"/>
          <w:color w:val="auto"/>
          <w:szCs w:val="21"/>
          <w:highlight w:val="none"/>
          <w:u w:val="single"/>
        </w:rPr>
        <w:t>（甲公司全称）</w:t>
      </w:r>
      <w:r>
        <w:rPr>
          <w:rFonts w:hint="eastAsia" w:ascii="宋体" w:hAnsi="宋体"/>
          <w:color w:val="auto"/>
          <w:szCs w:val="21"/>
          <w:highlight w:val="none"/>
        </w:rPr>
        <w:t>以投标人的身份参加本项目的投标。若中标，</w:t>
      </w:r>
      <w:r>
        <w:rPr>
          <w:rFonts w:hint="eastAsia" w:ascii="宋体" w:hAnsi="宋体"/>
          <w:color w:val="auto"/>
          <w:szCs w:val="21"/>
          <w:highlight w:val="none"/>
          <w:u w:val="single"/>
        </w:rPr>
        <w:t>（甲公司全称）与招标人</w:t>
      </w:r>
      <w:r>
        <w:rPr>
          <w:rFonts w:hint="eastAsia" w:ascii="宋体" w:hAnsi="宋体"/>
          <w:color w:val="auto"/>
          <w:szCs w:val="21"/>
          <w:highlight w:val="none"/>
        </w:rPr>
        <w:t>签订建设工程施工合同。承接分包意向的各单位与</w:t>
      </w:r>
      <w:r>
        <w:rPr>
          <w:rFonts w:hint="eastAsia" w:ascii="宋体" w:hAnsi="宋体"/>
          <w:color w:val="auto"/>
          <w:szCs w:val="21"/>
          <w:highlight w:val="none"/>
          <w:u w:val="single"/>
        </w:rPr>
        <w:t>（甲公司全称）</w:t>
      </w:r>
      <w:r>
        <w:rPr>
          <w:rFonts w:hint="eastAsia" w:ascii="宋体" w:hAnsi="宋体"/>
          <w:color w:val="auto"/>
          <w:szCs w:val="21"/>
          <w:highlight w:val="none"/>
        </w:rPr>
        <w:t>签订分包合同。</w:t>
      </w:r>
      <w:r>
        <w:rPr>
          <w:rFonts w:hint="eastAsia" w:ascii="宋体" w:hAnsi="宋体"/>
          <w:color w:val="auto"/>
          <w:szCs w:val="21"/>
          <w:highlight w:val="none"/>
          <w:u w:val="single"/>
        </w:rPr>
        <w:t>（甲公司全称）</w:t>
      </w:r>
      <w:r>
        <w:rPr>
          <w:rFonts w:hint="eastAsia" w:ascii="宋体" w:hAnsi="宋体"/>
          <w:color w:val="auto"/>
          <w:szCs w:val="21"/>
          <w:highlight w:val="none"/>
        </w:rPr>
        <w:t>就招标项目和分包项目向招标人负责，分包单位就分包项目承担责任。</w:t>
      </w:r>
    </w:p>
    <w:p w14:paraId="5B0B2A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二、有关事项约定如下：</w:t>
      </w:r>
    </w:p>
    <w:p w14:paraId="329DDD1D">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如中标，分包单位分别与</w:t>
      </w:r>
      <w:r>
        <w:rPr>
          <w:rFonts w:hint="eastAsia" w:ascii="宋体" w:hAnsi="宋体"/>
          <w:color w:val="auto"/>
          <w:szCs w:val="21"/>
          <w:highlight w:val="none"/>
          <w:u w:val="single"/>
        </w:rPr>
        <w:t>（甲公司全称）</w:t>
      </w:r>
      <w:r>
        <w:rPr>
          <w:rFonts w:hint="eastAsia" w:ascii="宋体" w:hAnsi="宋体"/>
          <w:color w:val="auto"/>
          <w:szCs w:val="21"/>
          <w:highlight w:val="none"/>
        </w:rPr>
        <w:t>签订合同书，并就中标项目分包部分承担法律责任；</w:t>
      </w:r>
    </w:p>
    <w:p w14:paraId="066008A4">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分包意向单位</w:t>
      </w:r>
      <w:r>
        <w:rPr>
          <w:rFonts w:ascii="宋体" w:hAnsi="宋体"/>
          <w:color w:val="auto"/>
          <w:szCs w:val="21"/>
          <w:highlight w:val="none"/>
        </w:rPr>
        <w:t>1</w:t>
      </w:r>
      <w:r>
        <w:rPr>
          <w:rFonts w:hint="eastAsia" w:ascii="宋体" w:hAnsi="宋体"/>
          <w:color w:val="auto"/>
          <w:szCs w:val="21"/>
          <w:highlight w:val="none"/>
          <w:u w:val="single"/>
        </w:rPr>
        <w:t>　（乙公司全称）　</w:t>
      </w:r>
      <w:r>
        <w:rPr>
          <w:rFonts w:hint="eastAsia" w:ascii="宋体" w:hAnsi="宋体"/>
          <w:color w:val="auto"/>
          <w:szCs w:val="21"/>
          <w:highlight w:val="none"/>
        </w:rPr>
        <w:t>为</w:t>
      </w:r>
      <w:r>
        <w:rPr>
          <w:rFonts w:hint="eastAsia" w:ascii="宋体" w:hAnsi="宋体"/>
          <w:color w:val="auto"/>
          <w:szCs w:val="21"/>
          <w:highlight w:val="none"/>
          <w:u w:val="single"/>
        </w:rPr>
        <w:t>（请填写：大型、中型、小型、微型）</w:t>
      </w:r>
      <w:r>
        <w:rPr>
          <w:rFonts w:hint="eastAsia" w:ascii="宋体" w:hAnsi="宋体"/>
          <w:color w:val="auto"/>
          <w:szCs w:val="21"/>
          <w:highlight w:val="none"/>
        </w:rPr>
        <w:t>企业，将承担适宜分包部分</w:t>
      </w:r>
      <w:r>
        <w:rPr>
          <w:rFonts w:ascii="宋体" w:hAnsi="宋体"/>
          <w:color w:val="auto"/>
          <w:szCs w:val="21"/>
          <w:highlight w:val="none"/>
          <w:u w:val="single"/>
        </w:rPr>
        <w:t xml:space="preserve"> </w:t>
      </w:r>
      <w:r>
        <w:rPr>
          <w:rFonts w:hint="eastAsia" w:ascii="宋体" w:hAnsi="宋体"/>
          <w:color w:val="auto"/>
          <w:szCs w:val="21"/>
          <w:highlight w:val="none"/>
          <w:u w:val="single"/>
        </w:rPr>
        <w:t>（具体分包内容）</w:t>
      </w:r>
      <w:r>
        <w:rPr>
          <w:rFonts w:hint="eastAsia" w:ascii="宋体" w:hAnsi="宋体"/>
          <w:color w:val="auto"/>
          <w:szCs w:val="21"/>
          <w:highlight w:val="none"/>
        </w:rPr>
        <w:t>占合同总金额</w:t>
      </w:r>
      <w:r>
        <w:rPr>
          <w:rFonts w:hint="eastAsia" w:ascii="宋体" w:hAnsi="宋体"/>
          <w:color w:val="auto"/>
          <w:szCs w:val="21"/>
          <w:highlight w:val="none"/>
          <w:u w:val="single"/>
        </w:rPr>
        <w:t>　　</w:t>
      </w:r>
      <w:r>
        <w:rPr>
          <w:rFonts w:ascii="宋体" w:hAnsi="宋体"/>
          <w:color w:val="auto"/>
          <w:szCs w:val="21"/>
          <w:highlight w:val="none"/>
        </w:rPr>
        <w:t>%</w:t>
      </w:r>
      <w:r>
        <w:rPr>
          <w:rFonts w:hint="eastAsia" w:ascii="宋体" w:hAnsi="宋体"/>
          <w:color w:val="auto"/>
          <w:szCs w:val="21"/>
          <w:highlight w:val="none"/>
        </w:rPr>
        <w:t>的工作内容。</w:t>
      </w:r>
    </w:p>
    <w:p w14:paraId="0C5666EF">
      <w:pPr>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分包意向单位</w:t>
      </w:r>
      <w:r>
        <w:rPr>
          <w:rFonts w:ascii="宋体" w:hAnsi="宋体"/>
          <w:color w:val="auto"/>
          <w:szCs w:val="21"/>
          <w:highlight w:val="none"/>
        </w:rPr>
        <w:t>2</w:t>
      </w:r>
      <w:r>
        <w:rPr>
          <w:rFonts w:hint="eastAsia" w:ascii="宋体" w:hAnsi="宋体"/>
          <w:color w:val="auto"/>
          <w:szCs w:val="21"/>
          <w:highlight w:val="none"/>
          <w:u w:val="single"/>
        </w:rPr>
        <w:t>　（……公司全称）</w:t>
      </w:r>
      <w:r>
        <w:rPr>
          <w:rFonts w:hint="eastAsia" w:ascii="宋体" w:hAnsi="宋体"/>
          <w:color w:val="auto"/>
          <w:szCs w:val="21"/>
          <w:highlight w:val="none"/>
        </w:rPr>
        <w:t>为</w:t>
      </w:r>
      <w:r>
        <w:rPr>
          <w:rFonts w:hint="eastAsia" w:ascii="宋体" w:hAnsi="宋体"/>
          <w:color w:val="auto"/>
          <w:szCs w:val="21"/>
          <w:highlight w:val="none"/>
          <w:u w:val="single"/>
        </w:rPr>
        <w:t>（请填写：大型、中型、小型、微型）</w:t>
      </w:r>
      <w:r>
        <w:rPr>
          <w:rFonts w:hint="eastAsia" w:ascii="宋体" w:hAnsi="宋体"/>
          <w:color w:val="auto"/>
          <w:szCs w:val="21"/>
          <w:highlight w:val="none"/>
        </w:rPr>
        <w:t>企业，将承担适宜分包部分</w:t>
      </w:r>
      <w:r>
        <w:rPr>
          <w:rFonts w:hint="eastAsia" w:ascii="宋体" w:hAnsi="宋体"/>
          <w:color w:val="auto"/>
          <w:szCs w:val="21"/>
          <w:highlight w:val="none"/>
          <w:u w:val="single"/>
        </w:rPr>
        <w:t>（具体分包内容）占</w:t>
      </w:r>
      <w:r>
        <w:rPr>
          <w:rFonts w:hint="eastAsia" w:ascii="宋体" w:hAnsi="宋体"/>
          <w:color w:val="auto"/>
          <w:szCs w:val="21"/>
          <w:highlight w:val="none"/>
        </w:rPr>
        <w:t>合同总金额</w:t>
      </w:r>
      <w:r>
        <w:rPr>
          <w:rFonts w:hint="eastAsia" w:ascii="宋体" w:hAnsi="宋体"/>
          <w:color w:val="auto"/>
          <w:szCs w:val="21"/>
          <w:highlight w:val="none"/>
          <w:u w:val="single"/>
        </w:rPr>
        <w:t>　　</w:t>
      </w:r>
      <w:r>
        <w:rPr>
          <w:rFonts w:ascii="宋体" w:hAnsi="宋体"/>
          <w:color w:val="auto"/>
          <w:szCs w:val="21"/>
          <w:highlight w:val="none"/>
        </w:rPr>
        <w:t>%</w:t>
      </w:r>
      <w:r>
        <w:rPr>
          <w:rFonts w:hint="eastAsia" w:ascii="宋体" w:hAnsi="宋体"/>
          <w:color w:val="auto"/>
          <w:szCs w:val="21"/>
          <w:highlight w:val="none"/>
        </w:rPr>
        <w:t>的工作内容。</w:t>
      </w:r>
    </w:p>
    <w:p w14:paraId="717FFA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14:paraId="64F0AB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三、接受分包的企业与投标人之间的关系：</w:t>
      </w:r>
    </w:p>
    <w:p w14:paraId="663C3F05">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分包意向单位</w:t>
      </w:r>
      <w:r>
        <w:rPr>
          <w:rFonts w:ascii="宋体" w:hAnsi="宋体"/>
          <w:color w:val="auto"/>
          <w:szCs w:val="21"/>
          <w:highlight w:val="none"/>
        </w:rPr>
        <w:t>1</w:t>
      </w:r>
      <w:r>
        <w:rPr>
          <w:rFonts w:hint="eastAsia" w:ascii="宋体" w:hAnsi="宋体"/>
          <w:color w:val="auto"/>
          <w:szCs w:val="21"/>
          <w:highlight w:val="none"/>
          <w:u w:val="single"/>
        </w:rPr>
        <w:t>　（公司全称）</w:t>
      </w:r>
      <w:r>
        <w:rPr>
          <w:rFonts w:hint="eastAsia" w:ascii="宋体" w:hAnsi="宋体"/>
          <w:color w:val="auto"/>
          <w:szCs w:val="21"/>
          <w:highlight w:val="none"/>
        </w:rPr>
        <w:t>与投标人之间</w:t>
      </w:r>
      <w:r>
        <w:rPr>
          <w:rFonts w:hint="eastAsia" w:ascii="宋体" w:hAnsi="宋体"/>
          <w:color w:val="auto"/>
          <w:szCs w:val="21"/>
          <w:highlight w:val="none"/>
          <w:u w:val="single"/>
        </w:rPr>
        <w:t>（请填写：是否存在）</w:t>
      </w:r>
      <w:r>
        <w:rPr>
          <w:rFonts w:hint="eastAsia" w:ascii="宋体" w:hAnsi="宋体"/>
          <w:color w:val="auto"/>
          <w:szCs w:val="21"/>
          <w:highlight w:val="none"/>
        </w:rPr>
        <w:t>直接控股、管理关系的情形。</w:t>
      </w:r>
    </w:p>
    <w:p w14:paraId="1F631D9D">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分包意向单位</w:t>
      </w:r>
      <w:r>
        <w:rPr>
          <w:rFonts w:ascii="宋体" w:hAnsi="宋体"/>
          <w:color w:val="auto"/>
          <w:szCs w:val="21"/>
          <w:highlight w:val="none"/>
        </w:rPr>
        <w:t>2</w:t>
      </w:r>
      <w:r>
        <w:rPr>
          <w:rFonts w:hint="eastAsia" w:ascii="宋体" w:hAnsi="宋体"/>
          <w:color w:val="auto"/>
          <w:szCs w:val="21"/>
          <w:highlight w:val="none"/>
          <w:u w:val="single"/>
        </w:rPr>
        <w:t>　（公司全称）</w:t>
      </w:r>
      <w:r>
        <w:rPr>
          <w:rFonts w:hint="eastAsia" w:ascii="宋体" w:hAnsi="宋体"/>
          <w:color w:val="auto"/>
          <w:szCs w:val="21"/>
          <w:highlight w:val="none"/>
        </w:rPr>
        <w:t>与投标人之间</w:t>
      </w:r>
      <w:r>
        <w:rPr>
          <w:rFonts w:hint="eastAsia" w:ascii="宋体" w:hAnsi="宋体"/>
          <w:color w:val="auto"/>
          <w:szCs w:val="21"/>
          <w:highlight w:val="none"/>
          <w:u w:val="single"/>
        </w:rPr>
        <w:t>（请填写：是否存在）</w:t>
      </w:r>
      <w:r>
        <w:rPr>
          <w:rFonts w:hint="eastAsia" w:ascii="宋体" w:hAnsi="宋体"/>
          <w:color w:val="auto"/>
          <w:szCs w:val="21"/>
          <w:highlight w:val="none"/>
        </w:rPr>
        <w:t>直接控股、管理关系的情形。</w:t>
      </w:r>
    </w:p>
    <w:p w14:paraId="3991965B">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p w14:paraId="6FF10F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四、如因违约过失责任而导致招标人经济损失或被索赔时，</w:t>
      </w:r>
      <w:r>
        <w:rPr>
          <w:rFonts w:hint="eastAsia" w:ascii="宋体" w:hAnsi="宋体"/>
          <w:color w:val="auto"/>
          <w:szCs w:val="21"/>
          <w:highlight w:val="none"/>
          <w:u w:val="single"/>
        </w:rPr>
        <w:t>（甲公司全称）</w:t>
      </w:r>
      <w:r>
        <w:rPr>
          <w:rFonts w:hint="eastAsia" w:ascii="宋体" w:hAnsi="宋体"/>
          <w:color w:val="auto"/>
          <w:szCs w:val="21"/>
          <w:highlight w:val="none"/>
        </w:rPr>
        <w:t>同意无条件优先清偿招标人的一切债务和经济赔偿。</w:t>
      </w:r>
    </w:p>
    <w:p w14:paraId="4C7062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五、如中标，分包意向单位不得以任何理由提出终止本意向协议。</w:t>
      </w:r>
    </w:p>
    <w:p w14:paraId="01C134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六、如中标，分包意向单位确定后，不得擅自变更。</w:t>
      </w:r>
    </w:p>
    <w:p w14:paraId="71BA73EC">
      <w:pPr>
        <w:spacing w:line="360" w:lineRule="auto"/>
        <w:ind w:left="23" w:leftChars="11" w:firstLine="420" w:firstLineChars="200"/>
        <w:rPr>
          <w:rFonts w:ascii="宋体" w:hAnsi="宋体"/>
          <w:color w:val="auto"/>
          <w:szCs w:val="21"/>
          <w:highlight w:val="none"/>
        </w:rPr>
      </w:pPr>
      <w:r>
        <w:rPr>
          <w:rFonts w:hint="eastAsia" w:ascii="宋体" w:hAnsi="宋体"/>
          <w:color w:val="auto"/>
          <w:szCs w:val="21"/>
          <w:highlight w:val="none"/>
        </w:rPr>
        <w:t>七、本意向书在自签署之日起生效，有效期内有效，如获中标资格，有效期延续至合同履行完毕之日。</w:t>
      </w:r>
    </w:p>
    <w:p w14:paraId="157DDA52">
      <w:pPr>
        <w:widowControl/>
        <w:tabs>
          <w:tab w:val="left" w:pos="2977"/>
          <w:tab w:val="left" w:pos="5954"/>
        </w:tabs>
        <w:spacing w:line="360" w:lineRule="auto"/>
        <w:jc w:val="left"/>
        <w:rPr>
          <w:rFonts w:ascii="宋体" w:hAnsi="宋体"/>
          <w:color w:val="auto"/>
          <w:szCs w:val="21"/>
          <w:highlight w:val="none"/>
        </w:rPr>
      </w:pPr>
    </w:p>
    <w:p w14:paraId="6976FA2B">
      <w:pPr>
        <w:widowControl/>
        <w:tabs>
          <w:tab w:val="left" w:pos="2977"/>
          <w:tab w:val="left" w:pos="5954"/>
        </w:tabs>
        <w:spacing w:line="360" w:lineRule="auto"/>
        <w:jc w:val="left"/>
        <w:rPr>
          <w:rFonts w:ascii="宋体" w:hAnsi="宋体"/>
          <w:color w:val="auto"/>
          <w:szCs w:val="21"/>
          <w:highlight w:val="none"/>
        </w:rPr>
      </w:pPr>
    </w:p>
    <w:p w14:paraId="362044F3">
      <w:pPr>
        <w:widowControl/>
        <w:tabs>
          <w:tab w:val="left" w:pos="2977"/>
          <w:tab w:val="left" w:pos="5954"/>
        </w:tabs>
        <w:spacing w:line="360" w:lineRule="auto"/>
        <w:jc w:val="left"/>
        <w:rPr>
          <w:rFonts w:ascii="宋体" w:hAnsi="宋体"/>
          <w:color w:val="auto"/>
          <w:szCs w:val="21"/>
          <w:highlight w:val="none"/>
        </w:rPr>
      </w:pPr>
    </w:p>
    <w:p w14:paraId="6C0E04B8">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甲公司全称：（盖章）</w:t>
      </w:r>
      <w:r>
        <w:rPr>
          <w:rFonts w:ascii="宋体" w:hAnsi="宋体"/>
          <w:color w:val="auto"/>
          <w:szCs w:val="21"/>
          <w:highlight w:val="none"/>
        </w:rPr>
        <w:t xml:space="preserve"> </w:t>
      </w:r>
      <w:r>
        <w:rPr>
          <w:rFonts w:ascii="宋体" w:hAnsi="宋体"/>
          <w:color w:val="auto"/>
          <w:szCs w:val="21"/>
          <w:highlight w:val="none"/>
        </w:rPr>
        <w:tab/>
      </w:r>
    </w:p>
    <w:p w14:paraId="2EDCB04A">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法定代表人（签字或盖章）</w:t>
      </w:r>
    </w:p>
    <w:p w14:paraId="31AF8C99">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　　年　　月　　日</w:t>
      </w:r>
      <w:r>
        <w:rPr>
          <w:rFonts w:ascii="宋体" w:hAnsi="宋体"/>
          <w:color w:val="auto"/>
          <w:szCs w:val="21"/>
          <w:highlight w:val="none"/>
        </w:rPr>
        <w:tab/>
      </w:r>
    </w:p>
    <w:p w14:paraId="7FC1E40C">
      <w:pPr>
        <w:widowControl/>
        <w:tabs>
          <w:tab w:val="left" w:pos="2977"/>
          <w:tab w:val="left" w:pos="5954"/>
        </w:tabs>
        <w:spacing w:line="360" w:lineRule="auto"/>
        <w:jc w:val="left"/>
        <w:rPr>
          <w:rFonts w:ascii="宋体" w:hAnsi="宋体"/>
          <w:color w:val="auto"/>
          <w:szCs w:val="21"/>
          <w:highlight w:val="none"/>
        </w:rPr>
      </w:pPr>
    </w:p>
    <w:p w14:paraId="37939103">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乙公司全称：（盖章）</w:t>
      </w:r>
      <w:r>
        <w:rPr>
          <w:rFonts w:ascii="宋体" w:hAnsi="宋体"/>
          <w:color w:val="auto"/>
          <w:szCs w:val="21"/>
          <w:highlight w:val="none"/>
        </w:rPr>
        <w:tab/>
      </w:r>
    </w:p>
    <w:p w14:paraId="0A60B11C">
      <w:pPr>
        <w:spacing w:line="360" w:lineRule="auto"/>
        <w:ind w:left="617" w:hanging="617" w:hangingChars="294"/>
        <w:rPr>
          <w:rFonts w:ascii="宋体" w:hAnsi="宋体"/>
          <w:b/>
          <w:color w:val="auto"/>
          <w:szCs w:val="21"/>
          <w:highlight w:val="none"/>
        </w:rPr>
      </w:pPr>
      <w:r>
        <w:rPr>
          <w:rFonts w:hint="eastAsia" w:ascii="宋体" w:hAnsi="宋体"/>
          <w:color w:val="auto"/>
          <w:szCs w:val="21"/>
          <w:highlight w:val="none"/>
        </w:rPr>
        <w:t>法定代表人（签字或盖章）</w:t>
      </w:r>
      <w:r>
        <w:rPr>
          <w:rFonts w:ascii="宋体" w:hAnsi="宋体"/>
          <w:color w:val="auto"/>
          <w:szCs w:val="21"/>
          <w:highlight w:val="none"/>
        </w:rPr>
        <w:tab/>
      </w:r>
    </w:p>
    <w:p w14:paraId="2F9887AE">
      <w:pPr>
        <w:widowControl/>
        <w:tabs>
          <w:tab w:val="left" w:pos="2977"/>
          <w:tab w:val="left" w:pos="5954"/>
        </w:tabs>
        <w:spacing w:line="360" w:lineRule="auto"/>
        <w:ind w:firstLine="405"/>
        <w:jc w:val="left"/>
        <w:rPr>
          <w:rFonts w:ascii="宋体" w:hAnsi="宋体"/>
          <w:color w:val="auto"/>
          <w:szCs w:val="21"/>
          <w:highlight w:val="none"/>
        </w:rPr>
      </w:pPr>
      <w:r>
        <w:rPr>
          <w:rFonts w:hint="eastAsia" w:ascii="宋体" w:hAnsi="宋体"/>
          <w:color w:val="auto"/>
          <w:szCs w:val="21"/>
          <w:highlight w:val="none"/>
        </w:rPr>
        <w:t>年　　月　　日</w:t>
      </w:r>
      <w:r>
        <w:rPr>
          <w:rFonts w:ascii="宋体" w:hAnsi="宋体"/>
          <w:color w:val="auto"/>
          <w:szCs w:val="21"/>
          <w:highlight w:val="none"/>
        </w:rPr>
        <w:tab/>
      </w:r>
    </w:p>
    <w:p w14:paraId="2207E6B3">
      <w:pPr>
        <w:widowControl/>
        <w:tabs>
          <w:tab w:val="left" w:pos="2977"/>
          <w:tab w:val="left" w:pos="5954"/>
        </w:tabs>
        <w:spacing w:line="360" w:lineRule="auto"/>
        <w:jc w:val="left"/>
        <w:rPr>
          <w:rFonts w:ascii="宋体" w:hAnsi="宋体"/>
          <w:color w:val="auto"/>
          <w:szCs w:val="21"/>
          <w:highlight w:val="none"/>
        </w:rPr>
      </w:pPr>
    </w:p>
    <w:p w14:paraId="4D9AA316">
      <w:pPr>
        <w:widowControl/>
        <w:tabs>
          <w:tab w:val="left" w:pos="2977"/>
          <w:tab w:val="left" w:pos="5954"/>
        </w:tabs>
        <w:spacing w:line="360" w:lineRule="auto"/>
        <w:jc w:val="left"/>
        <w:rPr>
          <w:rFonts w:ascii="宋体" w:hAnsi="宋体"/>
          <w:color w:val="auto"/>
          <w:szCs w:val="21"/>
          <w:highlight w:val="none"/>
        </w:rPr>
      </w:pPr>
      <w:r>
        <w:rPr>
          <w:rFonts w:hint="eastAsia" w:ascii="宋体" w:hAnsi="宋体"/>
          <w:color w:val="auto"/>
          <w:szCs w:val="21"/>
          <w:highlight w:val="none"/>
        </w:rPr>
        <w:t>……公司全称（盖章）</w:t>
      </w:r>
    </w:p>
    <w:p w14:paraId="7EC680E3">
      <w:pPr>
        <w:spacing w:line="360" w:lineRule="auto"/>
        <w:ind w:left="617" w:hanging="617" w:hangingChars="294"/>
        <w:rPr>
          <w:rFonts w:ascii="宋体" w:hAnsi="宋体"/>
          <w:color w:val="auto"/>
          <w:szCs w:val="21"/>
          <w:highlight w:val="none"/>
        </w:rPr>
      </w:pPr>
      <w:r>
        <w:rPr>
          <w:rFonts w:hint="eastAsia" w:ascii="宋体" w:hAnsi="宋体"/>
          <w:color w:val="auto"/>
          <w:szCs w:val="21"/>
          <w:highlight w:val="none"/>
        </w:rPr>
        <w:t>法定代表人：（签字或盖章）</w:t>
      </w:r>
    </w:p>
    <w:p w14:paraId="7086D0E2">
      <w:pPr>
        <w:spacing w:line="360" w:lineRule="auto"/>
        <w:ind w:left="617" w:hanging="617" w:hangingChars="294"/>
        <w:rPr>
          <w:rFonts w:ascii="宋体" w:hAnsi="宋体"/>
          <w:b/>
          <w:color w:val="auto"/>
          <w:szCs w:val="21"/>
          <w:highlight w:val="none"/>
        </w:rPr>
      </w:pPr>
      <w:r>
        <w:rPr>
          <w:rFonts w:hint="eastAsia" w:ascii="宋体" w:hAnsi="宋体"/>
          <w:color w:val="auto"/>
          <w:szCs w:val="21"/>
          <w:highlight w:val="none"/>
        </w:rPr>
        <w:t>　　年　　月　　日</w:t>
      </w:r>
    </w:p>
    <w:p w14:paraId="71C6F860">
      <w:pPr>
        <w:spacing w:line="360" w:lineRule="auto"/>
        <w:ind w:left="620" w:hanging="620" w:hangingChars="294"/>
        <w:rPr>
          <w:rFonts w:ascii="宋体" w:hAnsi="宋体"/>
          <w:b/>
          <w:color w:val="auto"/>
          <w:szCs w:val="21"/>
          <w:highlight w:val="none"/>
        </w:rPr>
      </w:pPr>
    </w:p>
    <w:p w14:paraId="7B858B2C">
      <w:pPr>
        <w:spacing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1</w:t>
      </w:r>
      <w:r>
        <w:rPr>
          <w:rFonts w:hint="eastAsia" w:ascii="宋体" w:hAnsi="宋体"/>
          <w:b/>
          <w:color w:val="auto"/>
          <w:szCs w:val="21"/>
          <w:highlight w:val="none"/>
        </w:rPr>
        <w:t>．各方成员应在本意向书上共同盖章确认。</w:t>
      </w:r>
    </w:p>
    <w:p w14:paraId="3560050F">
      <w:pPr>
        <w:spacing w:line="360" w:lineRule="auto"/>
        <w:rPr>
          <w:rFonts w:ascii="宋体" w:hAnsi="宋体" w:cs="宋体"/>
          <w:b/>
          <w:bCs/>
          <w:color w:val="auto"/>
          <w:sz w:val="27"/>
          <w:szCs w:val="27"/>
          <w:highlight w:val="none"/>
        </w:rPr>
      </w:pPr>
      <w:r>
        <w:rPr>
          <w:rFonts w:ascii="宋体" w:hAnsi="宋体"/>
          <w:color w:val="auto"/>
          <w:szCs w:val="21"/>
          <w:highlight w:val="none"/>
        </w:rPr>
        <w:t>2</w:t>
      </w:r>
      <w:r>
        <w:rPr>
          <w:rFonts w:hint="eastAsia" w:ascii="宋体" w:hAnsi="宋体"/>
          <w:color w:val="auto"/>
          <w:szCs w:val="21"/>
          <w:highlight w:val="none"/>
        </w:rPr>
        <w:t>．本意向书内容将作为签订合同的附件之一。</w:t>
      </w:r>
    </w:p>
    <w:p w14:paraId="7141238C">
      <w:pPr>
        <w:spacing w:line="360" w:lineRule="auto"/>
        <w:rPr>
          <w:rFonts w:ascii="宋体" w:hAnsi="宋体" w:cs="宋体"/>
          <w:b/>
          <w:bCs/>
          <w:color w:val="auto"/>
          <w:sz w:val="27"/>
          <w:szCs w:val="27"/>
          <w:highlight w:val="none"/>
        </w:rPr>
      </w:pPr>
    </w:p>
    <w:p w14:paraId="5A003D33">
      <w:pPr>
        <w:spacing w:line="360" w:lineRule="auto"/>
        <w:rPr>
          <w:rFonts w:ascii="宋体" w:hAnsi="宋体" w:cs="宋体"/>
          <w:b/>
          <w:color w:val="auto"/>
          <w:kern w:val="1"/>
          <w:sz w:val="24"/>
          <w:highlight w:val="none"/>
          <w:lang w:val="zh-CN"/>
        </w:rPr>
      </w:pPr>
    </w:p>
    <w:p w14:paraId="0E4CF6D1">
      <w:pP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br w:type="page"/>
      </w:r>
    </w:p>
    <w:p w14:paraId="2495E6A7">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7</w:t>
      </w:r>
      <w:r>
        <w:rPr>
          <w:rFonts w:hint="eastAsia" w:ascii="宋体" w:hAnsi="宋体" w:cs="宋体"/>
          <w:b/>
          <w:color w:val="auto"/>
          <w:kern w:val="1"/>
          <w:sz w:val="24"/>
          <w:highlight w:val="none"/>
          <w:lang w:val="zh-CN"/>
        </w:rPr>
        <w:t xml:space="preserve">： </w:t>
      </w:r>
    </w:p>
    <w:p w14:paraId="0995CCF2">
      <w:pPr>
        <w:pStyle w:val="2"/>
        <w:spacing w:line="360" w:lineRule="auto"/>
        <w:rPr>
          <w:color w:val="auto"/>
          <w:highlight w:val="none"/>
        </w:rPr>
      </w:pPr>
    </w:p>
    <w:p w14:paraId="2FA52BEE">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11BF1D4A">
      <w:pPr>
        <w:pStyle w:val="32"/>
        <w:spacing w:line="360" w:lineRule="auto"/>
        <w:ind w:firstLine="0"/>
        <w:rPr>
          <w:rFonts w:ascii="宋体" w:hAnsi="宋体" w:cs="宋体"/>
          <w:b/>
          <w:bCs/>
          <w:color w:val="auto"/>
          <w:sz w:val="28"/>
          <w:szCs w:val="28"/>
          <w:highlight w:val="none"/>
          <w:lang w:val="zh-CN"/>
        </w:rPr>
      </w:pPr>
    </w:p>
    <w:p w14:paraId="221DE047">
      <w:pPr>
        <w:pStyle w:val="32"/>
        <w:spacing w:line="360" w:lineRule="auto"/>
        <w:ind w:left="-2" w:firstLine="632"/>
        <w:jc w:val="cente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19DF48A3">
      <w:pPr>
        <w:pStyle w:val="3"/>
        <w:spacing w:line="360" w:lineRule="auto"/>
        <w:jc w:val="center"/>
        <w:rPr>
          <w:rFonts w:hint="eastAsia" w:ascii="宋体" w:hAnsi="宋体" w:cs="方正大标宋简体"/>
          <w:color w:val="auto"/>
          <w:sz w:val="32"/>
          <w:szCs w:val="32"/>
          <w:highlight w:val="none"/>
          <w:lang w:bidi="ar"/>
        </w:rPr>
      </w:pPr>
      <w:bookmarkStart w:id="381" w:name="_Toc27574"/>
      <w:r>
        <w:rPr>
          <w:rFonts w:hint="eastAsia" w:ascii="宋体" w:hAnsi="宋体" w:cs="方正大标宋简体"/>
          <w:color w:val="auto"/>
          <w:sz w:val="32"/>
          <w:szCs w:val="32"/>
          <w:highlight w:val="none"/>
          <w:lang w:bidi="ar"/>
        </w:rPr>
        <w:t>第八章</w:t>
      </w:r>
      <w:r>
        <w:rPr>
          <w:rFonts w:ascii="宋体" w:hAnsi="宋体" w:cs="方正大标宋简体"/>
          <w:color w:val="auto"/>
          <w:sz w:val="32"/>
          <w:szCs w:val="32"/>
          <w:highlight w:val="none"/>
          <w:lang w:bidi="ar"/>
        </w:rPr>
        <w:t xml:space="preserve"> </w:t>
      </w:r>
      <w:r>
        <w:rPr>
          <w:rFonts w:hint="eastAsia" w:ascii="宋体" w:hAnsi="宋体" w:cs="方正大标宋简体"/>
          <w:color w:val="auto"/>
          <w:sz w:val="32"/>
          <w:szCs w:val="32"/>
          <w:highlight w:val="none"/>
          <w:lang w:bidi="ar"/>
        </w:rPr>
        <w:t>最高投标限价明细表</w:t>
      </w:r>
      <w:bookmarkEnd w:id="381"/>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3"/>
        <w:gridCol w:w="1185"/>
        <w:gridCol w:w="958"/>
        <w:gridCol w:w="812"/>
        <w:gridCol w:w="1187"/>
        <w:gridCol w:w="1018"/>
        <w:gridCol w:w="3802"/>
      </w:tblGrid>
      <w:tr w14:paraId="1EEE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7"/>
            <w:tcBorders>
              <w:top w:val="nil"/>
              <w:left w:val="nil"/>
              <w:bottom w:val="nil"/>
              <w:right w:val="nil"/>
            </w:tcBorders>
            <w:shd w:val="clear" w:color="auto" w:fill="auto"/>
            <w:vAlign w:val="center"/>
          </w:tcPr>
          <w:p w14:paraId="590C29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项目名称：白云区太和镇卫生院新址建设项目勘察设计施工总承包</w:t>
            </w:r>
          </w:p>
        </w:tc>
      </w:tr>
      <w:tr w14:paraId="4CE9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55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4F3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402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834BB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费用</w:t>
            </w:r>
          </w:p>
        </w:tc>
      </w:tr>
      <w:tr w14:paraId="7995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8CB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975A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勘察费</w:t>
            </w:r>
          </w:p>
        </w:tc>
      </w:tr>
      <w:tr w14:paraId="0CD8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4CC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EB6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A88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工作量</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FF2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名称</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8E3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4256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05E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7878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83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35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岩土工程勘察费</w:t>
            </w:r>
          </w:p>
        </w:tc>
        <w:tc>
          <w:tcPr>
            <w:tcW w:w="533" w:type="pct"/>
            <w:tcBorders>
              <w:top w:val="nil"/>
              <w:left w:val="nil"/>
              <w:bottom w:val="nil"/>
              <w:right w:val="nil"/>
            </w:tcBorders>
            <w:shd w:val="clear" w:color="auto" w:fill="auto"/>
            <w:noWrap/>
            <w:vAlign w:val="center"/>
          </w:tcPr>
          <w:p w14:paraId="79587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28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92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32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37.50</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B5DD">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包括初步勘察、详细勘察、施工阶段勘察及所有实物工作收费、技术工作收费、进退场费、税金等。</w:t>
            </w:r>
            <w:r>
              <w:rPr>
                <w:rFonts w:hint="eastAsia" w:ascii="宋体" w:hAnsi="宋体" w:eastAsia="宋体" w:cs="宋体"/>
                <w:b/>
                <w:bCs/>
                <w:i w:val="0"/>
                <w:iCs w:val="0"/>
                <w:color w:val="auto"/>
                <w:kern w:val="0"/>
                <w:sz w:val="22"/>
                <w:szCs w:val="22"/>
                <w:highlight w:val="none"/>
                <w:u w:val="none"/>
                <w:lang w:val="en-US" w:eastAsia="zh-CN" w:bidi="ar"/>
              </w:rPr>
              <w:t>综合包干投标报价单价应不高于125.00元/m</w:t>
            </w:r>
            <w:r>
              <w:rPr>
                <w:rFonts w:hint="eastAsia" w:ascii="宋体" w:hAnsi="宋体" w:eastAsia="宋体" w:cs="宋体"/>
                <w:i w:val="0"/>
                <w:iCs w:val="0"/>
                <w:color w:val="auto"/>
                <w:kern w:val="0"/>
                <w:sz w:val="22"/>
                <w:szCs w:val="22"/>
                <w:highlight w:val="none"/>
                <w:u w:val="none"/>
                <w:lang w:val="en-US" w:eastAsia="zh-CN" w:bidi="ar"/>
              </w:rPr>
              <w:t>。</w:t>
            </w:r>
          </w:p>
        </w:tc>
      </w:tr>
      <w:tr w14:paraId="1018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F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7B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超前钻费用</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FB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A2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57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BD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73.50</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A6A4">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包括所有实物工作收费、技术工作收费、进退场费、税金等。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综合单价包干，投标报价单价应不高于105.00元/m</w:t>
            </w:r>
            <w:r>
              <w:rPr>
                <w:rFonts w:hint="eastAsia" w:ascii="宋体" w:hAnsi="宋体" w:eastAsia="宋体" w:cs="宋体"/>
                <w:i w:val="0"/>
                <w:iCs w:val="0"/>
                <w:color w:val="auto"/>
                <w:kern w:val="0"/>
                <w:sz w:val="22"/>
                <w:szCs w:val="22"/>
                <w:highlight w:val="none"/>
                <w:u w:val="none"/>
                <w:lang w:val="en-US" w:eastAsia="zh-CN" w:bidi="ar"/>
              </w:rPr>
              <w:t>。</w:t>
            </w:r>
          </w:p>
        </w:tc>
      </w:tr>
      <w:tr w14:paraId="6312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81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2A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工程物探费</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18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73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590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75D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1F40">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综合单价包干，投标报价单价应不高于1.5元/㎡。</w:t>
            </w:r>
          </w:p>
        </w:tc>
      </w:tr>
      <w:tr w14:paraId="3ED8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7F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1C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土壤氡浓度测试</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7D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31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BEB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A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27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r>
      <w:tr w14:paraId="06F2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38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52" w:type="pct"/>
            <w:tcBorders>
              <w:top w:val="single" w:color="000000" w:sz="4" w:space="0"/>
              <w:left w:val="single" w:color="000000" w:sz="4" w:space="0"/>
              <w:bottom w:val="nil"/>
              <w:right w:val="single" w:color="000000" w:sz="4" w:space="0"/>
            </w:tcBorders>
            <w:shd w:val="clear" w:color="auto" w:fill="auto"/>
            <w:vAlign w:val="center"/>
          </w:tcPr>
          <w:p w14:paraId="0357E5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抽水试验</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F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02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BD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CB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829FB">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综合单价包干，投标报价单价应不高于12000元/个。</w:t>
            </w:r>
          </w:p>
        </w:tc>
      </w:tr>
      <w:tr w14:paraId="6E488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0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52" w:type="pct"/>
            <w:tcBorders>
              <w:top w:val="single" w:color="000000" w:sz="4" w:space="0"/>
              <w:left w:val="single" w:color="000000" w:sz="4" w:space="0"/>
              <w:bottom w:val="nil"/>
              <w:right w:val="single" w:color="000000" w:sz="4" w:space="0"/>
            </w:tcBorders>
            <w:shd w:val="clear" w:color="auto" w:fill="auto"/>
            <w:vAlign w:val="center"/>
          </w:tcPr>
          <w:p w14:paraId="4D7272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剪切波速</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400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65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A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B5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0.90</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C24E">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综合单价包干，投标报价单价应不高于3000元/个。</w:t>
            </w:r>
          </w:p>
        </w:tc>
      </w:tr>
      <w:tr w14:paraId="3280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7C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89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噪声测试</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51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42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72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C6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0.30</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35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r>
      <w:tr w14:paraId="705C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59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60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工程测量费</w:t>
            </w:r>
          </w:p>
        </w:tc>
        <w:tc>
          <w:tcPr>
            <w:tcW w:w="20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B09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18F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括不限于控制测量、1：500地形测量、CPS测量等，不包括规划测量。以上内容在《工程勘察设计收费标准（2002年修订本）》有计费标准的，后续结算则按该标准并计取合同约定下浮率20%和投标下浮率计算。没有收费标准参照的，三方依据市场价格协商定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此项属于暂估，结算时按实际完成量结算。</w:t>
            </w:r>
          </w:p>
        </w:tc>
      </w:tr>
      <w:tr w14:paraId="69C6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9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9345E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勘察费小计(万元)</w:t>
            </w:r>
          </w:p>
        </w:tc>
        <w:tc>
          <w:tcPr>
            <w:tcW w:w="30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01C0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142.35</w:t>
            </w:r>
          </w:p>
        </w:tc>
      </w:tr>
      <w:tr w14:paraId="61C8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C8B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5B939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w:t>
            </w:r>
          </w:p>
        </w:tc>
      </w:tr>
      <w:tr w14:paraId="28E7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E1D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311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4ED1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暂定计费额（万元）</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DB06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设计费（万元）</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D96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3197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2"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C9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A1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基本设计费（不含永久用水用电、临时供水供电、燃气工程）</w:t>
            </w: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25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24738.80</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488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627.65</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97E7">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1.计费额：25244.80-50（永久用水工程费）-200.00（永久用电工程费）-50（临时施工供水工程费）-200（临时施工供电工程费）-6（燃气工程设计费）=24738.80万元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2.按暂定计费额的比例并下浮20%。专业系数暂定为1.0，复杂系数暂定为1.15，附加系数暂定为1.0（设计费系数最终按概算批复的设计费系数为准）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3.含基坑支护设计、电梯、洁净区域工程、新城建、厨房工程、海绵城市、绿色建筑、预制装配式、树木迁移等设计内容（具体详见设计任务书）。</w:t>
            </w:r>
          </w:p>
        </w:tc>
      </w:tr>
      <w:tr w14:paraId="3EBE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320" w:type="pct"/>
            <w:tcBorders>
              <w:top w:val="single" w:color="000000" w:sz="4" w:space="0"/>
              <w:left w:val="single" w:color="000000" w:sz="4" w:space="0"/>
              <w:bottom w:val="single" w:color="000000" w:sz="4" w:space="0"/>
              <w:right w:val="nil"/>
            </w:tcBorders>
            <w:shd w:val="clear" w:color="auto" w:fill="auto"/>
            <w:noWrap/>
            <w:vAlign w:val="center"/>
          </w:tcPr>
          <w:p w14:paraId="40ACED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0F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永久用水工程设计费</w:t>
            </w:r>
          </w:p>
        </w:tc>
        <w:tc>
          <w:tcPr>
            <w:tcW w:w="988" w:type="pct"/>
            <w:gridSpan w:val="2"/>
            <w:tcBorders>
              <w:top w:val="single" w:color="000000" w:sz="4" w:space="0"/>
              <w:left w:val="nil"/>
              <w:bottom w:val="single" w:color="000000" w:sz="4" w:space="0"/>
              <w:right w:val="single" w:color="000000" w:sz="4" w:space="0"/>
            </w:tcBorders>
            <w:shd w:val="clear" w:color="auto" w:fill="auto"/>
            <w:noWrap/>
            <w:vAlign w:val="center"/>
          </w:tcPr>
          <w:p w14:paraId="69098F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88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D37B9">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按收费标准计算：下浮率0。专业系数为1.0，复杂系数为0.85，附加系数为1.0</w:t>
            </w:r>
          </w:p>
        </w:tc>
      </w:tr>
      <w:tr w14:paraId="4538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320" w:type="pct"/>
            <w:tcBorders>
              <w:top w:val="single" w:color="000000" w:sz="4" w:space="0"/>
              <w:left w:val="single" w:color="000000" w:sz="4" w:space="0"/>
              <w:bottom w:val="single" w:color="000000" w:sz="4" w:space="0"/>
              <w:right w:val="nil"/>
            </w:tcBorders>
            <w:shd w:val="clear" w:color="auto" w:fill="auto"/>
            <w:noWrap/>
            <w:vAlign w:val="center"/>
          </w:tcPr>
          <w:p w14:paraId="2C59A7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D7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永久用电工程设计费</w:t>
            </w:r>
          </w:p>
        </w:tc>
        <w:tc>
          <w:tcPr>
            <w:tcW w:w="988" w:type="pct"/>
            <w:gridSpan w:val="2"/>
            <w:tcBorders>
              <w:top w:val="single" w:color="000000" w:sz="4" w:space="0"/>
              <w:left w:val="nil"/>
              <w:bottom w:val="single" w:color="000000" w:sz="4" w:space="0"/>
              <w:right w:val="single" w:color="000000" w:sz="4" w:space="0"/>
            </w:tcBorders>
            <w:shd w:val="clear" w:color="auto" w:fill="auto"/>
            <w:noWrap/>
            <w:vAlign w:val="center"/>
          </w:tcPr>
          <w:p w14:paraId="255A9F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200.00</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56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BE70">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按收费标准计算：下浮率0。专业系数为1.0，复杂系数为1.0，附加系数为1.0</w:t>
            </w:r>
          </w:p>
        </w:tc>
      </w:tr>
      <w:tr w14:paraId="25A8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320" w:type="pct"/>
            <w:tcBorders>
              <w:top w:val="single" w:color="000000" w:sz="4" w:space="0"/>
              <w:left w:val="single" w:color="000000" w:sz="4" w:space="0"/>
              <w:bottom w:val="single" w:color="000000" w:sz="4" w:space="0"/>
              <w:right w:val="nil"/>
            </w:tcBorders>
            <w:shd w:val="clear" w:color="auto" w:fill="auto"/>
            <w:noWrap/>
            <w:vAlign w:val="center"/>
          </w:tcPr>
          <w:p w14:paraId="2F30C2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E3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临时施工供水工程设计费</w:t>
            </w:r>
          </w:p>
        </w:tc>
        <w:tc>
          <w:tcPr>
            <w:tcW w:w="988" w:type="pct"/>
            <w:gridSpan w:val="2"/>
            <w:tcBorders>
              <w:top w:val="single" w:color="000000" w:sz="4" w:space="0"/>
              <w:left w:val="nil"/>
              <w:bottom w:val="single" w:color="000000" w:sz="4" w:space="0"/>
              <w:right w:val="single" w:color="000000" w:sz="4" w:space="0"/>
            </w:tcBorders>
            <w:shd w:val="clear" w:color="auto" w:fill="auto"/>
            <w:noWrap/>
            <w:vAlign w:val="center"/>
          </w:tcPr>
          <w:p w14:paraId="16BD9C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D2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42F1">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按收费标准计算：下浮率0。专业系数为1.0，复杂系数为0.85，附加系数为1.0</w:t>
            </w:r>
          </w:p>
        </w:tc>
      </w:tr>
      <w:tr w14:paraId="683C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320" w:type="pct"/>
            <w:tcBorders>
              <w:top w:val="single" w:color="000000" w:sz="4" w:space="0"/>
              <w:left w:val="single" w:color="000000" w:sz="4" w:space="0"/>
              <w:bottom w:val="single" w:color="000000" w:sz="4" w:space="0"/>
              <w:right w:val="nil"/>
            </w:tcBorders>
            <w:shd w:val="clear" w:color="auto" w:fill="auto"/>
            <w:noWrap/>
            <w:vAlign w:val="center"/>
          </w:tcPr>
          <w:p w14:paraId="4BFF47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2E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临时施工供电工程设计费</w:t>
            </w:r>
          </w:p>
        </w:tc>
        <w:tc>
          <w:tcPr>
            <w:tcW w:w="988" w:type="pct"/>
            <w:gridSpan w:val="2"/>
            <w:tcBorders>
              <w:top w:val="single" w:color="000000" w:sz="4" w:space="0"/>
              <w:left w:val="nil"/>
              <w:bottom w:val="single" w:color="000000" w:sz="4" w:space="0"/>
              <w:right w:val="single" w:color="000000" w:sz="4" w:space="0"/>
            </w:tcBorders>
            <w:shd w:val="clear" w:color="auto" w:fill="auto"/>
            <w:noWrap/>
            <w:vAlign w:val="center"/>
          </w:tcPr>
          <w:p w14:paraId="481E60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200.00</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90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144D">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按收费标准计算：下浮率0。专业系数为1.0，复杂系数为1.0，附加系数为1.0</w:t>
            </w:r>
          </w:p>
        </w:tc>
      </w:tr>
      <w:tr w14:paraId="1194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AE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4A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燃气工程设计费</w:t>
            </w:r>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1D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91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0.27</w:t>
            </w:r>
          </w:p>
        </w:tc>
        <w:tc>
          <w:tcPr>
            <w:tcW w:w="20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35DC">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按收费标准计算：下浮率0。专业系数为1.0，复杂系数为1.0，附加系数为1.0</w:t>
            </w:r>
          </w:p>
        </w:tc>
      </w:tr>
      <w:tr w14:paraId="7D8E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3B5CE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设计费小计(万元)</w:t>
            </w:r>
          </w:p>
        </w:tc>
        <w:tc>
          <w:tcPr>
            <w:tcW w:w="3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EB3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649.74</w:t>
            </w:r>
          </w:p>
        </w:tc>
      </w:tr>
      <w:tr w14:paraId="2AD2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595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w:t>
            </w:r>
          </w:p>
        </w:tc>
        <w:tc>
          <w:tcPr>
            <w:tcW w:w="46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13B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建安工程费</w:t>
            </w:r>
          </w:p>
        </w:tc>
      </w:tr>
      <w:tr w14:paraId="23599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5AA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1BE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工程内容</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8012">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建安工程费（万元）</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EAB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7589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62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6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地下工程（±0.00 以下）</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1E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8170.11</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1D5A">
            <w:pPr>
              <w:jc w:val="center"/>
              <w:rPr>
                <w:rFonts w:hint="eastAsia" w:ascii="宋体" w:hAnsi="宋体" w:eastAsia="宋体" w:cs="宋体"/>
                <w:i w:val="0"/>
                <w:iCs w:val="0"/>
                <w:color w:val="auto"/>
                <w:sz w:val="22"/>
                <w:szCs w:val="22"/>
                <w:highlight w:val="none"/>
                <w:u w:val="none"/>
              </w:rPr>
            </w:pPr>
          </w:p>
        </w:tc>
      </w:tr>
      <w:tr w14:paraId="2C2F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425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1F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地上工程（±0.00 以上）</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BA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11393.44</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CA24">
            <w:pPr>
              <w:jc w:val="center"/>
              <w:rPr>
                <w:rFonts w:hint="eastAsia" w:ascii="宋体" w:hAnsi="宋体" w:eastAsia="宋体" w:cs="宋体"/>
                <w:i w:val="0"/>
                <w:iCs w:val="0"/>
                <w:color w:val="auto"/>
                <w:sz w:val="22"/>
                <w:szCs w:val="22"/>
                <w:highlight w:val="none"/>
                <w:u w:val="none"/>
              </w:rPr>
            </w:pPr>
          </w:p>
        </w:tc>
      </w:tr>
      <w:tr w14:paraId="1CB7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AF8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E8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装配式建筑增加费</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B2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436.38</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238F">
            <w:pPr>
              <w:jc w:val="center"/>
              <w:rPr>
                <w:rFonts w:hint="eastAsia" w:ascii="宋体" w:hAnsi="宋体" w:eastAsia="宋体" w:cs="宋体"/>
                <w:i w:val="0"/>
                <w:iCs w:val="0"/>
                <w:color w:val="auto"/>
                <w:sz w:val="22"/>
                <w:szCs w:val="22"/>
                <w:highlight w:val="none"/>
                <w:u w:val="none"/>
              </w:rPr>
            </w:pPr>
          </w:p>
        </w:tc>
      </w:tr>
      <w:tr w14:paraId="598E3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9D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D3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供配电工程</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E9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710.00</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BC71">
            <w:pPr>
              <w:jc w:val="center"/>
              <w:rPr>
                <w:rFonts w:hint="eastAsia" w:ascii="宋体" w:hAnsi="宋体" w:eastAsia="宋体" w:cs="宋体"/>
                <w:i w:val="0"/>
                <w:iCs w:val="0"/>
                <w:color w:val="auto"/>
                <w:sz w:val="22"/>
                <w:szCs w:val="22"/>
                <w:highlight w:val="none"/>
                <w:u w:val="none"/>
              </w:rPr>
            </w:pPr>
          </w:p>
        </w:tc>
      </w:tr>
      <w:tr w14:paraId="6AAF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60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C2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电扶梯工程</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80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315.00</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BD73">
            <w:pPr>
              <w:jc w:val="center"/>
              <w:rPr>
                <w:rFonts w:hint="eastAsia" w:ascii="宋体" w:hAnsi="宋体" w:eastAsia="宋体" w:cs="宋体"/>
                <w:i w:val="0"/>
                <w:iCs w:val="0"/>
                <w:color w:val="auto"/>
                <w:sz w:val="22"/>
                <w:szCs w:val="22"/>
                <w:highlight w:val="none"/>
                <w:u w:val="none"/>
              </w:rPr>
            </w:pPr>
          </w:p>
        </w:tc>
      </w:tr>
      <w:tr w14:paraId="3AE3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13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8D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室外工程</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45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1127.07</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8E2E">
            <w:pPr>
              <w:jc w:val="center"/>
              <w:rPr>
                <w:rFonts w:hint="eastAsia" w:ascii="宋体" w:hAnsi="宋体" w:eastAsia="宋体" w:cs="宋体"/>
                <w:i w:val="0"/>
                <w:iCs w:val="0"/>
                <w:color w:val="auto"/>
                <w:sz w:val="22"/>
                <w:szCs w:val="22"/>
                <w:highlight w:val="none"/>
                <w:u w:val="none"/>
              </w:rPr>
            </w:pPr>
          </w:p>
        </w:tc>
      </w:tr>
      <w:tr w14:paraId="56B1D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27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05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其他工程</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D7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595.94</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6CC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含树木迁移</w:t>
            </w:r>
          </w:p>
        </w:tc>
      </w:tr>
      <w:tr w14:paraId="72E0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91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A0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医技工程</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DC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1394.58</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BBD0">
            <w:pPr>
              <w:jc w:val="center"/>
              <w:rPr>
                <w:rFonts w:hint="eastAsia" w:ascii="宋体" w:hAnsi="宋体" w:eastAsia="宋体" w:cs="宋体"/>
                <w:i w:val="0"/>
                <w:iCs w:val="0"/>
                <w:color w:val="auto"/>
                <w:sz w:val="22"/>
                <w:szCs w:val="22"/>
                <w:highlight w:val="none"/>
                <w:u w:val="none"/>
              </w:rPr>
            </w:pPr>
          </w:p>
        </w:tc>
      </w:tr>
      <w:tr w14:paraId="69A2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9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D3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新城建专项工程</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AB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1102.28</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CA18">
            <w:pPr>
              <w:jc w:val="center"/>
              <w:rPr>
                <w:rFonts w:hint="eastAsia" w:ascii="宋体" w:hAnsi="宋体" w:eastAsia="宋体" w:cs="宋体"/>
                <w:i w:val="0"/>
                <w:iCs w:val="0"/>
                <w:color w:val="auto"/>
                <w:sz w:val="22"/>
                <w:szCs w:val="22"/>
                <w:highlight w:val="none"/>
                <w:u w:val="none"/>
              </w:rPr>
            </w:pPr>
          </w:p>
        </w:tc>
      </w:tr>
      <w:tr w14:paraId="0F6A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9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7A24C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建安工程费小计（万元）</w:t>
            </w:r>
          </w:p>
        </w:tc>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C3F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25244.80</w:t>
            </w:r>
          </w:p>
        </w:tc>
        <w:tc>
          <w:tcPr>
            <w:tcW w:w="2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AD76">
            <w:pPr>
              <w:jc w:val="center"/>
              <w:rPr>
                <w:rFonts w:hint="eastAsia" w:ascii="宋体" w:hAnsi="宋体" w:eastAsia="宋体" w:cs="宋体"/>
                <w:b/>
                <w:bCs/>
                <w:i w:val="0"/>
                <w:iCs w:val="0"/>
                <w:color w:val="auto"/>
                <w:sz w:val="22"/>
                <w:szCs w:val="22"/>
                <w:highlight w:val="none"/>
                <w:u w:val="none"/>
              </w:rPr>
            </w:pPr>
          </w:p>
        </w:tc>
      </w:tr>
      <w:tr w14:paraId="20867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216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w:t>
            </w:r>
          </w:p>
        </w:tc>
        <w:tc>
          <w:tcPr>
            <w:tcW w:w="16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4D5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合计</w:t>
            </w:r>
          </w:p>
        </w:tc>
        <w:tc>
          <w:tcPr>
            <w:tcW w:w="30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D2D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26036.89</w:t>
            </w:r>
          </w:p>
        </w:tc>
      </w:tr>
      <w:tr w14:paraId="1148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000" w:type="pct"/>
            <w:gridSpan w:val="7"/>
            <w:tcBorders>
              <w:top w:val="nil"/>
              <w:left w:val="nil"/>
              <w:bottom w:val="nil"/>
              <w:right w:val="nil"/>
            </w:tcBorders>
            <w:shd w:val="clear" w:color="auto" w:fill="auto"/>
            <w:vAlign w:val="center"/>
          </w:tcPr>
          <w:p w14:paraId="2FD053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注：1、招标人有权根据实际情况对建设内容进行调整，招标人减少的项目无论有无替代，发包人都不予补偿。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2、中标人需按总报价的金额完成本次招标内容及《勘察任务书》、《设计任务书》内的全部内容，不得增加费用。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3、中标单位在进场开展工作之前，需编制岩土勘察、地下管线探测方案，报业主审核同意后方可实施。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4、经算术复核的投标人报价与其投标报价不一致时，按就低不就高原则确定其最终报价。如修正后的投标报价超出相应的最高投标限价，则由评标委员会作废标处理。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5、按上述修正错误的原则及方法调整或修正投标文件的投标报价，调整后的投标报价对投标人起约束作用。如果投标人不接受修正后的报价，则取消其中标资格。</w:t>
            </w:r>
          </w:p>
        </w:tc>
      </w:tr>
    </w:tbl>
    <w:p w14:paraId="1F4F348C">
      <w:pPr>
        <w:bidi w:val="0"/>
        <w:rPr>
          <w:color w:val="auto"/>
          <w:highlight w:val="none"/>
        </w:rPr>
      </w:pPr>
    </w:p>
    <w:p w14:paraId="22434DC5">
      <w:pPr>
        <w:rPr>
          <w:color w:val="auto"/>
          <w:highlight w:val="none"/>
        </w:rPr>
      </w:pPr>
    </w:p>
    <w:sectPr>
      <w:pgSz w:w="11907" w:h="16840"/>
      <w:pgMar w:top="1361" w:right="1304" w:bottom="1304" w:left="1304" w:header="851" w:footer="720"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胭..">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00"/>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65FDC">
    <w:pPr>
      <w:pStyle w:val="22"/>
      <w:tabs>
        <w:tab w:val="left" w:pos="8311"/>
        <w:tab w:val="clear" w:pos="4153"/>
        <w:tab w:val="clear" w:pos="8306"/>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E2DA">
    <w:pPr>
      <w:pStyle w:val="23"/>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C1428F3">
                          <w:pPr>
                            <w:pStyle w:val="22"/>
                          </w:pPr>
                          <w:r>
                            <w:fldChar w:fldCharType="begin"/>
                          </w:r>
                          <w:r>
                            <w:instrText xml:space="preserve"> PAGE  \* MERGEFORMAT </w:instrText>
                          </w:r>
                          <w:r>
                            <w:fldChar w:fldCharType="separate"/>
                          </w:r>
                          <w:r>
                            <w:t>80</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4C1428F3">
                    <w:pPr>
                      <w:pStyle w:val="2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587F">
    <w:pPr>
      <w:pStyle w:val="22"/>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4DE1B7AF">
                          <w:pPr>
                            <w:pStyle w:val="22"/>
                          </w:pPr>
                          <w:r>
                            <w:fldChar w:fldCharType="begin"/>
                          </w:r>
                          <w:r>
                            <w:instrText xml:space="preserve"> PAGE \* Arabic </w:instrText>
                          </w:r>
                          <w:r>
                            <w:fldChar w:fldCharType="separate"/>
                          </w:r>
                          <w: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4DE1B7AF">
                    <w:pPr>
                      <w:pStyle w:val="22"/>
                    </w:pPr>
                    <w:r>
                      <w:fldChar w:fldCharType="begin"/>
                    </w:r>
                    <w:r>
                      <w:instrText xml:space="preserve"> PAGE \* Arabic </w:instrText>
                    </w:r>
                    <w:r>
                      <w:fldChar w:fldCharType="separate"/>
                    </w:r>
                    <w:r>
                      <w:t>24</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0691">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55B2562">
                          <w:pPr>
                            <w:pStyle w:val="22"/>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655B2562">
                    <w:pPr>
                      <w:pStyle w:val="22"/>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F1A22">
    <w:pPr>
      <w:pStyle w:val="23"/>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C8F8D0C">
                          <w:pPr>
                            <w:pStyle w:val="22"/>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0C8F8D0C">
                    <w:pPr>
                      <w:pStyle w:val="2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41F3">
    <w:pPr>
      <w:pStyle w:val="23"/>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7AD74BC">
                          <w:pPr>
                            <w:pStyle w:val="22"/>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37AD74BC">
                    <w:pPr>
                      <w:pStyle w:val="2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955230"/>
    </w:sdtPr>
    <w:sdtContent>
      <w:p w14:paraId="08B5136E">
        <w:pPr>
          <w:pStyle w:val="22"/>
          <w:jc w:val="center"/>
        </w:pPr>
        <w:r>
          <w:fldChar w:fldCharType="begin"/>
        </w:r>
        <w:r>
          <w:instrText xml:space="preserve">PAGE   \* MERGEFORMAT</w:instrText>
        </w:r>
        <w:r>
          <w:fldChar w:fldCharType="separate"/>
        </w:r>
        <w:r>
          <w:rPr>
            <w:lang w:val="zh-CN"/>
          </w:rPr>
          <w:t>40</w:t>
        </w:r>
        <w:r>
          <w:fldChar w:fldCharType="end"/>
        </w:r>
      </w:p>
    </w:sdtContent>
  </w:sdt>
  <w:p w14:paraId="48A81D91">
    <w:pPr>
      <w:pStyle w:val="23"/>
      <w:pBdr>
        <w:bottom w:val="none" w:color="auto" w:sz="0" w:space="0"/>
      </w:pBdr>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CFCAA">
    <w:pPr>
      <w:pStyle w:val="23"/>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2B75CB8">
                          <w:pPr>
                            <w:pStyle w:val="22"/>
                          </w:pPr>
                          <w:r>
                            <w:fldChar w:fldCharType="begin"/>
                          </w:r>
                          <w:r>
                            <w:instrText xml:space="preserve"> PAGE  \* MERGEFORMAT </w:instrText>
                          </w:r>
                          <w:r>
                            <w:fldChar w:fldCharType="separate"/>
                          </w:r>
                          <w:r>
                            <w:t>41</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42B75CB8">
                    <w:pPr>
                      <w:pStyle w:val="2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F3C57">
    <w:pPr>
      <w:pStyle w:val="23"/>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E5E24AB">
                          <w:pPr>
                            <w:pStyle w:val="22"/>
                          </w:pPr>
                          <w:r>
                            <w:fldChar w:fldCharType="begin"/>
                          </w:r>
                          <w:r>
                            <w:instrText xml:space="preserve"> PAGE  \* MERGEFORMAT </w:instrText>
                          </w:r>
                          <w:r>
                            <w:fldChar w:fldCharType="separate"/>
                          </w:r>
                          <w:r>
                            <w:t>45</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2E5E24AB">
                    <w:pPr>
                      <w:pStyle w:val="2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19A52">
    <w:pPr>
      <w:pStyle w:val="23"/>
      <w:pBdr>
        <w:bottom w:val="none" w:color="auto" w:sz="0" w:space="0"/>
      </w:pBdr>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7160E09">
                          <w:pPr>
                            <w:pStyle w:val="22"/>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57160E09">
                    <w:pPr>
                      <w:pStyle w:val="2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A3406">
    <w:pPr>
      <w:pStyle w:val="23"/>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CC93">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83EC">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C4D1">
    <w:pPr>
      <w:pStyle w:val="2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38C8">
    <w:pPr>
      <w:pStyle w:val="2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A56E">
    <w:pPr>
      <w:pStyle w:val="2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62D1">
    <w:pPr>
      <w:pStyle w:val="23"/>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3934">
    <w:pPr>
      <w:pStyle w:val="23"/>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75EF">
    <w:pPr>
      <w:pStyle w:val="23"/>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BAD1A">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B7926"/>
    <w:multiLevelType w:val="singleLevel"/>
    <w:tmpl w:val="A1DB7926"/>
    <w:lvl w:ilvl="0" w:tentative="0">
      <w:start w:val="1"/>
      <w:numFmt w:val="decimal"/>
      <w:suff w:val="nothing"/>
      <w:lvlText w:val="%1、"/>
      <w:lvlJc w:val="left"/>
    </w:lvl>
  </w:abstractNum>
  <w:abstractNum w:abstractNumId="1">
    <w:nsid w:val="BD2ADDAB"/>
    <w:multiLevelType w:val="singleLevel"/>
    <w:tmpl w:val="BD2ADDAB"/>
    <w:lvl w:ilvl="0" w:tentative="0">
      <w:start w:val="4"/>
      <w:numFmt w:val="decimal"/>
      <w:suff w:val="space"/>
      <w:lvlText w:val="%1."/>
      <w:lvlJc w:val="left"/>
    </w:lvl>
  </w:abstractNum>
  <w:abstractNum w:abstractNumId="2">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gutterAtTop/>
  <w:hideSpellingError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WExYTZjNzY2ZWQxMmE0NTQxZTlmNTYzZGI3ZWQifQ=="/>
  </w:docVars>
  <w:rsids>
    <w:rsidRoot w:val="002C1B37"/>
    <w:rsid w:val="00000BFA"/>
    <w:rsid w:val="00001178"/>
    <w:rsid w:val="00001300"/>
    <w:rsid w:val="000026BF"/>
    <w:rsid w:val="00003C3E"/>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17120"/>
    <w:rsid w:val="000200DE"/>
    <w:rsid w:val="00020854"/>
    <w:rsid w:val="00021E1B"/>
    <w:rsid w:val="00022978"/>
    <w:rsid w:val="00022E29"/>
    <w:rsid w:val="0002450E"/>
    <w:rsid w:val="0002481C"/>
    <w:rsid w:val="00025D1A"/>
    <w:rsid w:val="00025F53"/>
    <w:rsid w:val="00026372"/>
    <w:rsid w:val="00026D2B"/>
    <w:rsid w:val="0002753D"/>
    <w:rsid w:val="00030922"/>
    <w:rsid w:val="000327DC"/>
    <w:rsid w:val="00032872"/>
    <w:rsid w:val="000332EC"/>
    <w:rsid w:val="000334E8"/>
    <w:rsid w:val="00034A3E"/>
    <w:rsid w:val="00035A59"/>
    <w:rsid w:val="00036018"/>
    <w:rsid w:val="00040123"/>
    <w:rsid w:val="00040350"/>
    <w:rsid w:val="000409F3"/>
    <w:rsid w:val="00040BAC"/>
    <w:rsid w:val="00041ED8"/>
    <w:rsid w:val="00042265"/>
    <w:rsid w:val="00042AFF"/>
    <w:rsid w:val="00042FCA"/>
    <w:rsid w:val="00043448"/>
    <w:rsid w:val="00043AB8"/>
    <w:rsid w:val="00043B82"/>
    <w:rsid w:val="00043EFB"/>
    <w:rsid w:val="000459BB"/>
    <w:rsid w:val="000462DF"/>
    <w:rsid w:val="000465DD"/>
    <w:rsid w:val="00050156"/>
    <w:rsid w:val="000513CE"/>
    <w:rsid w:val="0005173A"/>
    <w:rsid w:val="000528BF"/>
    <w:rsid w:val="00052DB8"/>
    <w:rsid w:val="00053946"/>
    <w:rsid w:val="000542A4"/>
    <w:rsid w:val="000550FD"/>
    <w:rsid w:val="0005594F"/>
    <w:rsid w:val="00056609"/>
    <w:rsid w:val="00056D4F"/>
    <w:rsid w:val="0006022F"/>
    <w:rsid w:val="0006113C"/>
    <w:rsid w:val="0006120C"/>
    <w:rsid w:val="0006276F"/>
    <w:rsid w:val="00063EDB"/>
    <w:rsid w:val="00065F65"/>
    <w:rsid w:val="00067C50"/>
    <w:rsid w:val="00067DB7"/>
    <w:rsid w:val="00070089"/>
    <w:rsid w:val="00072D86"/>
    <w:rsid w:val="000734DF"/>
    <w:rsid w:val="00073AE4"/>
    <w:rsid w:val="00073E32"/>
    <w:rsid w:val="00075F9F"/>
    <w:rsid w:val="00076904"/>
    <w:rsid w:val="00076E2A"/>
    <w:rsid w:val="000775A1"/>
    <w:rsid w:val="000801C7"/>
    <w:rsid w:val="0008045B"/>
    <w:rsid w:val="000806FF"/>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2BC"/>
    <w:rsid w:val="00097311"/>
    <w:rsid w:val="000A0F40"/>
    <w:rsid w:val="000A1349"/>
    <w:rsid w:val="000A17AF"/>
    <w:rsid w:val="000A1EFA"/>
    <w:rsid w:val="000A35ED"/>
    <w:rsid w:val="000A363E"/>
    <w:rsid w:val="000A48F6"/>
    <w:rsid w:val="000A5A98"/>
    <w:rsid w:val="000A67ED"/>
    <w:rsid w:val="000A6898"/>
    <w:rsid w:val="000A78C4"/>
    <w:rsid w:val="000B0503"/>
    <w:rsid w:val="000B0901"/>
    <w:rsid w:val="000B0ED3"/>
    <w:rsid w:val="000B1A6A"/>
    <w:rsid w:val="000B2113"/>
    <w:rsid w:val="000B35C2"/>
    <w:rsid w:val="000B4043"/>
    <w:rsid w:val="000B4BE9"/>
    <w:rsid w:val="000B4C41"/>
    <w:rsid w:val="000B7A6C"/>
    <w:rsid w:val="000C09D0"/>
    <w:rsid w:val="000C0F10"/>
    <w:rsid w:val="000C1F52"/>
    <w:rsid w:val="000C23EA"/>
    <w:rsid w:val="000C2E96"/>
    <w:rsid w:val="000C301D"/>
    <w:rsid w:val="000C309A"/>
    <w:rsid w:val="000C3AD5"/>
    <w:rsid w:val="000C3E2A"/>
    <w:rsid w:val="000C60CF"/>
    <w:rsid w:val="000C6D7D"/>
    <w:rsid w:val="000C75FA"/>
    <w:rsid w:val="000C7F2D"/>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E7EC8"/>
    <w:rsid w:val="000F0A11"/>
    <w:rsid w:val="000F0FA6"/>
    <w:rsid w:val="000F1425"/>
    <w:rsid w:val="000F1FB8"/>
    <w:rsid w:val="000F2228"/>
    <w:rsid w:val="000F4451"/>
    <w:rsid w:val="000F491E"/>
    <w:rsid w:val="000F5993"/>
    <w:rsid w:val="000F6103"/>
    <w:rsid w:val="000F7D3B"/>
    <w:rsid w:val="00100750"/>
    <w:rsid w:val="00101427"/>
    <w:rsid w:val="0010269C"/>
    <w:rsid w:val="00102F05"/>
    <w:rsid w:val="00104F67"/>
    <w:rsid w:val="001062C3"/>
    <w:rsid w:val="00106918"/>
    <w:rsid w:val="001106A4"/>
    <w:rsid w:val="00110B51"/>
    <w:rsid w:val="00111ED2"/>
    <w:rsid w:val="0011390B"/>
    <w:rsid w:val="00115288"/>
    <w:rsid w:val="00115D9F"/>
    <w:rsid w:val="001160B2"/>
    <w:rsid w:val="0011709F"/>
    <w:rsid w:val="00117DD7"/>
    <w:rsid w:val="00120BE4"/>
    <w:rsid w:val="00122BEC"/>
    <w:rsid w:val="0012522F"/>
    <w:rsid w:val="0012530C"/>
    <w:rsid w:val="00125FCA"/>
    <w:rsid w:val="001262AD"/>
    <w:rsid w:val="001268F1"/>
    <w:rsid w:val="00126E0C"/>
    <w:rsid w:val="001274AA"/>
    <w:rsid w:val="00127A3B"/>
    <w:rsid w:val="00130231"/>
    <w:rsid w:val="00130591"/>
    <w:rsid w:val="00130B44"/>
    <w:rsid w:val="00131E67"/>
    <w:rsid w:val="00132FEC"/>
    <w:rsid w:val="00135DE3"/>
    <w:rsid w:val="001361B7"/>
    <w:rsid w:val="001379F9"/>
    <w:rsid w:val="00140BA4"/>
    <w:rsid w:val="0014329B"/>
    <w:rsid w:val="00143CB7"/>
    <w:rsid w:val="001450C7"/>
    <w:rsid w:val="001455D0"/>
    <w:rsid w:val="00145942"/>
    <w:rsid w:val="00145987"/>
    <w:rsid w:val="00146310"/>
    <w:rsid w:val="00146EC7"/>
    <w:rsid w:val="00147ED7"/>
    <w:rsid w:val="001508A7"/>
    <w:rsid w:val="0015113E"/>
    <w:rsid w:val="0015115B"/>
    <w:rsid w:val="00152FCE"/>
    <w:rsid w:val="001538BF"/>
    <w:rsid w:val="001545C4"/>
    <w:rsid w:val="00154C92"/>
    <w:rsid w:val="001555AD"/>
    <w:rsid w:val="00155F5A"/>
    <w:rsid w:val="00156791"/>
    <w:rsid w:val="001604FD"/>
    <w:rsid w:val="001609C2"/>
    <w:rsid w:val="001609F0"/>
    <w:rsid w:val="00160FF9"/>
    <w:rsid w:val="00161A54"/>
    <w:rsid w:val="0016248D"/>
    <w:rsid w:val="00163DB2"/>
    <w:rsid w:val="00165BCD"/>
    <w:rsid w:val="00165E2F"/>
    <w:rsid w:val="00166155"/>
    <w:rsid w:val="00166D94"/>
    <w:rsid w:val="00166DB7"/>
    <w:rsid w:val="00167C06"/>
    <w:rsid w:val="00167F42"/>
    <w:rsid w:val="00167F81"/>
    <w:rsid w:val="0017042F"/>
    <w:rsid w:val="001719DE"/>
    <w:rsid w:val="001775E9"/>
    <w:rsid w:val="00183E9A"/>
    <w:rsid w:val="001840E1"/>
    <w:rsid w:val="00184F30"/>
    <w:rsid w:val="001859C1"/>
    <w:rsid w:val="00187293"/>
    <w:rsid w:val="001872E3"/>
    <w:rsid w:val="0018767B"/>
    <w:rsid w:val="00190204"/>
    <w:rsid w:val="00190252"/>
    <w:rsid w:val="00191EDB"/>
    <w:rsid w:val="00195146"/>
    <w:rsid w:val="00196BAF"/>
    <w:rsid w:val="001972B2"/>
    <w:rsid w:val="00197658"/>
    <w:rsid w:val="001977F0"/>
    <w:rsid w:val="00197E3E"/>
    <w:rsid w:val="00197EE3"/>
    <w:rsid w:val="001A0E97"/>
    <w:rsid w:val="001A2518"/>
    <w:rsid w:val="001A2626"/>
    <w:rsid w:val="001A28CA"/>
    <w:rsid w:val="001A5530"/>
    <w:rsid w:val="001B032F"/>
    <w:rsid w:val="001B2D7C"/>
    <w:rsid w:val="001B2E1F"/>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48C"/>
    <w:rsid w:val="001D4D67"/>
    <w:rsid w:val="001D652E"/>
    <w:rsid w:val="001D71BC"/>
    <w:rsid w:val="001D7380"/>
    <w:rsid w:val="001E2B1E"/>
    <w:rsid w:val="001E2B30"/>
    <w:rsid w:val="001E32EE"/>
    <w:rsid w:val="001E3528"/>
    <w:rsid w:val="001E3B9E"/>
    <w:rsid w:val="001E47D9"/>
    <w:rsid w:val="001E792A"/>
    <w:rsid w:val="001F0207"/>
    <w:rsid w:val="001F2387"/>
    <w:rsid w:val="001F397E"/>
    <w:rsid w:val="001F43E3"/>
    <w:rsid w:val="001F5C0F"/>
    <w:rsid w:val="0020015C"/>
    <w:rsid w:val="00200617"/>
    <w:rsid w:val="00201C56"/>
    <w:rsid w:val="00206A78"/>
    <w:rsid w:val="00207DC9"/>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627"/>
    <w:rsid w:val="002268F9"/>
    <w:rsid w:val="00227E3E"/>
    <w:rsid w:val="00231625"/>
    <w:rsid w:val="0023242C"/>
    <w:rsid w:val="00233413"/>
    <w:rsid w:val="0023407A"/>
    <w:rsid w:val="002359F0"/>
    <w:rsid w:val="00235A01"/>
    <w:rsid w:val="00236EBC"/>
    <w:rsid w:val="00237A2A"/>
    <w:rsid w:val="00237F38"/>
    <w:rsid w:val="002406FE"/>
    <w:rsid w:val="002413CD"/>
    <w:rsid w:val="00241A6C"/>
    <w:rsid w:val="00241E04"/>
    <w:rsid w:val="002422B4"/>
    <w:rsid w:val="002423E2"/>
    <w:rsid w:val="00243226"/>
    <w:rsid w:val="00243DAE"/>
    <w:rsid w:val="00246001"/>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27CD"/>
    <w:rsid w:val="0028535F"/>
    <w:rsid w:val="0028649C"/>
    <w:rsid w:val="00287188"/>
    <w:rsid w:val="00287BFC"/>
    <w:rsid w:val="00287FC4"/>
    <w:rsid w:val="00290EAC"/>
    <w:rsid w:val="00291C1A"/>
    <w:rsid w:val="002920F0"/>
    <w:rsid w:val="0029265B"/>
    <w:rsid w:val="002935C8"/>
    <w:rsid w:val="002948B9"/>
    <w:rsid w:val="00294B2F"/>
    <w:rsid w:val="002958E2"/>
    <w:rsid w:val="00295C86"/>
    <w:rsid w:val="0029686D"/>
    <w:rsid w:val="0029764E"/>
    <w:rsid w:val="00297AD3"/>
    <w:rsid w:val="002A0228"/>
    <w:rsid w:val="002A0CB0"/>
    <w:rsid w:val="002A1531"/>
    <w:rsid w:val="002A23AB"/>
    <w:rsid w:val="002A2DEC"/>
    <w:rsid w:val="002A30C0"/>
    <w:rsid w:val="002A334E"/>
    <w:rsid w:val="002A44A1"/>
    <w:rsid w:val="002A4B98"/>
    <w:rsid w:val="002A65C7"/>
    <w:rsid w:val="002A67E1"/>
    <w:rsid w:val="002A686E"/>
    <w:rsid w:val="002A7FF6"/>
    <w:rsid w:val="002B1951"/>
    <w:rsid w:val="002B2C5F"/>
    <w:rsid w:val="002B4367"/>
    <w:rsid w:val="002B4BF8"/>
    <w:rsid w:val="002B6916"/>
    <w:rsid w:val="002B7935"/>
    <w:rsid w:val="002C1B37"/>
    <w:rsid w:val="002C21D4"/>
    <w:rsid w:val="002C21DB"/>
    <w:rsid w:val="002C4915"/>
    <w:rsid w:val="002C6D2F"/>
    <w:rsid w:val="002D2298"/>
    <w:rsid w:val="002D46AA"/>
    <w:rsid w:val="002D48C4"/>
    <w:rsid w:val="002D4F65"/>
    <w:rsid w:val="002D505F"/>
    <w:rsid w:val="002D52CA"/>
    <w:rsid w:val="002D667B"/>
    <w:rsid w:val="002D78C2"/>
    <w:rsid w:val="002E0C02"/>
    <w:rsid w:val="002E148F"/>
    <w:rsid w:val="002E235F"/>
    <w:rsid w:val="002E4E23"/>
    <w:rsid w:val="002E4F1E"/>
    <w:rsid w:val="002E5593"/>
    <w:rsid w:val="002E5E2B"/>
    <w:rsid w:val="002E6B18"/>
    <w:rsid w:val="002E6C25"/>
    <w:rsid w:val="002E75A5"/>
    <w:rsid w:val="002F0FFF"/>
    <w:rsid w:val="002F3748"/>
    <w:rsid w:val="002F40B4"/>
    <w:rsid w:val="002F4C46"/>
    <w:rsid w:val="002F510B"/>
    <w:rsid w:val="002F5DDB"/>
    <w:rsid w:val="002F6D43"/>
    <w:rsid w:val="002F6F9A"/>
    <w:rsid w:val="002F7412"/>
    <w:rsid w:val="002F7698"/>
    <w:rsid w:val="00300B77"/>
    <w:rsid w:val="003013B6"/>
    <w:rsid w:val="0030180E"/>
    <w:rsid w:val="0030262C"/>
    <w:rsid w:val="00302996"/>
    <w:rsid w:val="00302C15"/>
    <w:rsid w:val="003030F2"/>
    <w:rsid w:val="00303DEF"/>
    <w:rsid w:val="00306BBE"/>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352A"/>
    <w:rsid w:val="003259D2"/>
    <w:rsid w:val="00326593"/>
    <w:rsid w:val="0032711F"/>
    <w:rsid w:val="003276B1"/>
    <w:rsid w:val="00330265"/>
    <w:rsid w:val="00330887"/>
    <w:rsid w:val="00330AB8"/>
    <w:rsid w:val="0033299F"/>
    <w:rsid w:val="00333BAE"/>
    <w:rsid w:val="00333DD7"/>
    <w:rsid w:val="00334289"/>
    <w:rsid w:val="00334328"/>
    <w:rsid w:val="003357DF"/>
    <w:rsid w:val="00335BCD"/>
    <w:rsid w:val="0033602E"/>
    <w:rsid w:val="0033667B"/>
    <w:rsid w:val="00337656"/>
    <w:rsid w:val="00337788"/>
    <w:rsid w:val="00340034"/>
    <w:rsid w:val="00341CD0"/>
    <w:rsid w:val="0034249A"/>
    <w:rsid w:val="00342906"/>
    <w:rsid w:val="00342ED6"/>
    <w:rsid w:val="0034392C"/>
    <w:rsid w:val="00343E82"/>
    <w:rsid w:val="0034402B"/>
    <w:rsid w:val="00344718"/>
    <w:rsid w:val="00347B1A"/>
    <w:rsid w:val="00350C90"/>
    <w:rsid w:val="00351562"/>
    <w:rsid w:val="00351BFF"/>
    <w:rsid w:val="0035451D"/>
    <w:rsid w:val="00354EE0"/>
    <w:rsid w:val="00355B7B"/>
    <w:rsid w:val="00356345"/>
    <w:rsid w:val="00356FE2"/>
    <w:rsid w:val="0035710D"/>
    <w:rsid w:val="00357BCE"/>
    <w:rsid w:val="00360A4B"/>
    <w:rsid w:val="00361258"/>
    <w:rsid w:val="00361E81"/>
    <w:rsid w:val="00362803"/>
    <w:rsid w:val="00362872"/>
    <w:rsid w:val="00362D5B"/>
    <w:rsid w:val="00363257"/>
    <w:rsid w:val="00363F07"/>
    <w:rsid w:val="00364D92"/>
    <w:rsid w:val="003656A0"/>
    <w:rsid w:val="00365A33"/>
    <w:rsid w:val="00366A4C"/>
    <w:rsid w:val="00366F77"/>
    <w:rsid w:val="00367192"/>
    <w:rsid w:val="00367B85"/>
    <w:rsid w:val="00370356"/>
    <w:rsid w:val="00370E8C"/>
    <w:rsid w:val="00372774"/>
    <w:rsid w:val="00373B81"/>
    <w:rsid w:val="003758E8"/>
    <w:rsid w:val="00375DDC"/>
    <w:rsid w:val="0037622A"/>
    <w:rsid w:val="00376C67"/>
    <w:rsid w:val="003770C2"/>
    <w:rsid w:val="003772C8"/>
    <w:rsid w:val="00381C41"/>
    <w:rsid w:val="00382117"/>
    <w:rsid w:val="003822B1"/>
    <w:rsid w:val="00382A62"/>
    <w:rsid w:val="00383099"/>
    <w:rsid w:val="00383CA4"/>
    <w:rsid w:val="00384DCD"/>
    <w:rsid w:val="00384F6C"/>
    <w:rsid w:val="00386AB6"/>
    <w:rsid w:val="00386BC9"/>
    <w:rsid w:val="0038764A"/>
    <w:rsid w:val="003879A7"/>
    <w:rsid w:val="0039183C"/>
    <w:rsid w:val="00391D82"/>
    <w:rsid w:val="00392861"/>
    <w:rsid w:val="003937AF"/>
    <w:rsid w:val="00394488"/>
    <w:rsid w:val="003945A0"/>
    <w:rsid w:val="003949E6"/>
    <w:rsid w:val="0039505D"/>
    <w:rsid w:val="00395CD7"/>
    <w:rsid w:val="00396BA0"/>
    <w:rsid w:val="003A03F7"/>
    <w:rsid w:val="003A160D"/>
    <w:rsid w:val="003A291E"/>
    <w:rsid w:val="003A2984"/>
    <w:rsid w:val="003A3332"/>
    <w:rsid w:val="003A3D8F"/>
    <w:rsid w:val="003A4B35"/>
    <w:rsid w:val="003A552C"/>
    <w:rsid w:val="003A6652"/>
    <w:rsid w:val="003A7A79"/>
    <w:rsid w:val="003A7F28"/>
    <w:rsid w:val="003B0254"/>
    <w:rsid w:val="003B077B"/>
    <w:rsid w:val="003B371C"/>
    <w:rsid w:val="003B42B3"/>
    <w:rsid w:val="003B6BB7"/>
    <w:rsid w:val="003B6BD4"/>
    <w:rsid w:val="003B7659"/>
    <w:rsid w:val="003C0DB4"/>
    <w:rsid w:val="003C1A65"/>
    <w:rsid w:val="003C1F1C"/>
    <w:rsid w:val="003C2BD7"/>
    <w:rsid w:val="003C387A"/>
    <w:rsid w:val="003C3CCC"/>
    <w:rsid w:val="003C6FAD"/>
    <w:rsid w:val="003C729F"/>
    <w:rsid w:val="003C78C6"/>
    <w:rsid w:val="003C7D8F"/>
    <w:rsid w:val="003D1A07"/>
    <w:rsid w:val="003D4BE1"/>
    <w:rsid w:val="003D4D42"/>
    <w:rsid w:val="003D5A68"/>
    <w:rsid w:val="003D6959"/>
    <w:rsid w:val="003D7690"/>
    <w:rsid w:val="003E097F"/>
    <w:rsid w:val="003E09B3"/>
    <w:rsid w:val="003E21FD"/>
    <w:rsid w:val="003E26D5"/>
    <w:rsid w:val="003E3DA6"/>
    <w:rsid w:val="003E43BB"/>
    <w:rsid w:val="003E4ADB"/>
    <w:rsid w:val="003E5C92"/>
    <w:rsid w:val="003E6348"/>
    <w:rsid w:val="003E6B5C"/>
    <w:rsid w:val="003E7C81"/>
    <w:rsid w:val="003F026E"/>
    <w:rsid w:val="003F11D7"/>
    <w:rsid w:val="003F158E"/>
    <w:rsid w:val="003F2132"/>
    <w:rsid w:val="003F245F"/>
    <w:rsid w:val="003F2502"/>
    <w:rsid w:val="003F2947"/>
    <w:rsid w:val="003F43A4"/>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1F1"/>
    <w:rsid w:val="004055E9"/>
    <w:rsid w:val="00405E28"/>
    <w:rsid w:val="00406971"/>
    <w:rsid w:val="00407388"/>
    <w:rsid w:val="00410E6F"/>
    <w:rsid w:val="00410FFF"/>
    <w:rsid w:val="004126D7"/>
    <w:rsid w:val="004129EB"/>
    <w:rsid w:val="00412F35"/>
    <w:rsid w:val="0041352B"/>
    <w:rsid w:val="004145F4"/>
    <w:rsid w:val="0041562E"/>
    <w:rsid w:val="004167EC"/>
    <w:rsid w:val="0041756D"/>
    <w:rsid w:val="00420E41"/>
    <w:rsid w:val="004224D3"/>
    <w:rsid w:val="00422BFB"/>
    <w:rsid w:val="00422D2F"/>
    <w:rsid w:val="00423F91"/>
    <w:rsid w:val="00424021"/>
    <w:rsid w:val="00425084"/>
    <w:rsid w:val="0042618C"/>
    <w:rsid w:val="00431F09"/>
    <w:rsid w:val="004337BA"/>
    <w:rsid w:val="00434887"/>
    <w:rsid w:val="00435980"/>
    <w:rsid w:val="00437242"/>
    <w:rsid w:val="004431B5"/>
    <w:rsid w:val="00445A98"/>
    <w:rsid w:val="00446213"/>
    <w:rsid w:val="00446FD2"/>
    <w:rsid w:val="00447A42"/>
    <w:rsid w:val="00447E74"/>
    <w:rsid w:val="00447EC3"/>
    <w:rsid w:val="00447ECA"/>
    <w:rsid w:val="00450CE3"/>
    <w:rsid w:val="00451603"/>
    <w:rsid w:val="004527CD"/>
    <w:rsid w:val="004532C3"/>
    <w:rsid w:val="00453727"/>
    <w:rsid w:val="00455617"/>
    <w:rsid w:val="00455710"/>
    <w:rsid w:val="00455C87"/>
    <w:rsid w:val="00456131"/>
    <w:rsid w:val="004572B0"/>
    <w:rsid w:val="0045734C"/>
    <w:rsid w:val="00464B90"/>
    <w:rsid w:val="00466B6E"/>
    <w:rsid w:val="00467A47"/>
    <w:rsid w:val="00467AF7"/>
    <w:rsid w:val="00470F82"/>
    <w:rsid w:val="00471A58"/>
    <w:rsid w:val="00471DA0"/>
    <w:rsid w:val="00472745"/>
    <w:rsid w:val="004727CB"/>
    <w:rsid w:val="00472C6C"/>
    <w:rsid w:val="00473101"/>
    <w:rsid w:val="00473F2E"/>
    <w:rsid w:val="004742B1"/>
    <w:rsid w:val="00475B59"/>
    <w:rsid w:val="004769BA"/>
    <w:rsid w:val="00477761"/>
    <w:rsid w:val="0048065E"/>
    <w:rsid w:val="0048358C"/>
    <w:rsid w:val="0048484A"/>
    <w:rsid w:val="0048486E"/>
    <w:rsid w:val="00484D87"/>
    <w:rsid w:val="004856F8"/>
    <w:rsid w:val="00485DDF"/>
    <w:rsid w:val="004874B1"/>
    <w:rsid w:val="00490BDB"/>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1C1"/>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77F"/>
    <w:rsid w:val="004B68B3"/>
    <w:rsid w:val="004B7C60"/>
    <w:rsid w:val="004C09D2"/>
    <w:rsid w:val="004C16CC"/>
    <w:rsid w:val="004C1CA1"/>
    <w:rsid w:val="004C2160"/>
    <w:rsid w:val="004C3FA2"/>
    <w:rsid w:val="004C5DA4"/>
    <w:rsid w:val="004C5E6E"/>
    <w:rsid w:val="004C5EFF"/>
    <w:rsid w:val="004D07BA"/>
    <w:rsid w:val="004D0AD6"/>
    <w:rsid w:val="004D0ADA"/>
    <w:rsid w:val="004D1621"/>
    <w:rsid w:val="004D1A77"/>
    <w:rsid w:val="004D402A"/>
    <w:rsid w:val="004D5F6B"/>
    <w:rsid w:val="004D6A48"/>
    <w:rsid w:val="004E022C"/>
    <w:rsid w:val="004E070F"/>
    <w:rsid w:val="004E0B5B"/>
    <w:rsid w:val="004E109B"/>
    <w:rsid w:val="004E262E"/>
    <w:rsid w:val="004E2A7D"/>
    <w:rsid w:val="004E3A4B"/>
    <w:rsid w:val="004E3BD0"/>
    <w:rsid w:val="004E44FC"/>
    <w:rsid w:val="004E51A6"/>
    <w:rsid w:val="004E591E"/>
    <w:rsid w:val="004E5AA5"/>
    <w:rsid w:val="004E6B74"/>
    <w:rsid w:val="004E71E7"/>
    <w:rsid w:val="004F0255"/>
    <w:rsid w:val="004F1B52"/>
    <w:rsid w:val="004F1F19"/>
    <w:rsid w:val="004F2E59"/>
    <w:rsid w:val="004F2F39"/>
    <w:rsid w:val="004F4800"/>
    <w:rsid w:val="004F6035"/>
    <w:rsid w:val="00500451"/>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4876"/>
    <w:rsid w:val="00517A61"/>
    <w:rsid w:val="005203F8"/>
    <w:rsid w:val="005229CA"/>
    <w:rsid w:val="00522C13"/>
    <w:rsid w:val="00523B55"/>
    <w:rsid w:val="00524611"/>
    <w:rsid w:val="005253D9"/>
    <w:rsid w:val="0052782D"/>
    <w:rsid w:val="00532D4A"/>
    <w:rsid w:val="00533CA6"/>
    <w:rsid w:val="005340E8"/>
    <w:rsid w:val="00534DE6"/>
    <w:rsid w:val="00535628"/>
    <w:rsid w:val="00535849"/>
    <w:rsid w:val="005359FA"/>
    <w:rsid w:val="00535D4E"/>
    <w:rsid w:val="00535D5C"/>
    <w:rsid w:val="00535F74"/>
    <w:rsid w:val="005363B4"/>
    <w:rsid w:val="00536D77"/>
    <w:rsid w:val="005374F1"/>
    <w:rsid w:val="005427B5"/>
    <w:rsid w:val="00544D75"/>
    <w:rsid w:val="005452AA"/>
    <w:rsid w:val="00545474"/>
    <w:rsid w:val="00547355"/>
    <w:rsid w:val="00550B08"/>
    <w:rsid w:val="00551309"/>
    <w:rsid w:val="00551B3C"/>
    <w:rsid w:val="00551EA4"/>
    <w:rsid w:val="005528EC"/>
    <w:rsid w:val="00552E67"/>
    <w:rsid w:val="00553206"/>
    <w:rsid w:val="00553939"/>
    <w:rsid w:val="00554562"/>
    <w:rsid w:val="00555636"/>
    <w:rsid w:val="005559F5"/>
    <w:rsid w:val="00556229"/>
    <w:rsid w:val="00560B8B"/>
    <w:rsid w:val="00564BB8"/>
    <w:rsid w:val="005650DE"/>
    <w:rsid w:val="0057033F"/>
    <w:rsid w:val="00570535"/>
    <w:rsid w:val="005710B7"/>
    <w:rsid w:val="005716FE"/>
    <w:rsid w:val="005719AD"/>
    <w:rsid w:val="0057338B"/>
    <w:rsid w:val="0057349C"/>
    <w:rsid w:val="00573BB0"/>
    <w:rsid w:val="00577E5D"/>
    <w:rsid w:val="00581390"/>
    <w:rsid w:val="00582AC5"/>
    <w:rsid w:val="00582E87"/>
    <w:rsid w:val="00583483"/>
    <w:rsid w:val="00584965"/>
    <w:rsid w:val="005867FB"/>
    <w:rsid w:val="00590060"/>
    <w:rsid w:val="00590511"/>
    <w:rsid w:val="00591C64"/>
    <w:rsid w:val="0059220F"/>
    <w:rsid w:val="00593AD4"/>
    <w:rsid w:val="00593D5A"/>
    <w:rsid w:val="00593E93"/>
    <w:rsid w:val="00594E36"/>
    <w:rsid w:val="0059620A"/>
    <w:rsid w:val="005A0B5A"/>
    <w:rsid w:val="005A0F25"/>
    <w:rsid w:val="005A128C"/>
    <w:rsid w:val="005A29C4"/>
    <w:rsid w:val="005A2DD9"/>
    <w:rsid w:val="005A37DB"/>
    <w:rsid w:val="005A42A5"/>
    <w:rsid w:val="005A436D"/>
    <w:rsid w:val="005A586D"/>
    <w:rsid w:val="005A785C"/>
    <w:rsid w:val="005B094F"/>
    <w:rsid w:val="005B0B18"/>
    <w:rsid w:val="005B1130"/>
    <w:rsid w:val="005B2BAD"/>
    <w:rsid w:val="005B3395"/>
    <w:rsid w:val="005B4858"/>
    <w:rsid w:val="005B601C"/>
    <w:rsid w:val="005C053E"/>
    <w:rsid w:val="005C1733"/>
    <w:rsid w:val="005C1DC5"/>
    <w:rsid w:val="005C23A3"/>
    <w:rsid w:val="005C38BD"/>
    <w:rsid w:val="005C5685"/>
    <w:rsid w:val="005C5BCB"/>
    <w:rsid w:val="005C6377"/>
    <w:rsid w:val="005C76BB"/>
    <w:rsid w:val="005C7DB8"/>
    <w:rsid w:val="005C7F73"/>
    <w:rsid w:val="005D0230"/>
    <w:rsid w:val="005D0946"/>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2DAA"/>
    <w:rsid w:val="005E301C"/>
    <w:rsid w:val="005E3B6A"/>
    <w:rsid w:val="005E5157"/>
    <w:rsid w:val="005E7488"/>
    <w:rsid w:val="005F0CB0"/>
    <w:rsid w:val="005F15A5"/>
    <w:rsid w:val="005F2850"/>
    <w:rsid w:val="005F355F"/>
    <w:rsid w:val="005F3E4B"/>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58B"/>
    <w:rsid w:val="00605D09"/>
    <w:rsid w:val="00605F80"/>
    <w:rsid w:val="00607D5C"/>
    <w:rsid w:val="0061072A"/>
    <w:rsid w:val="00611023"/>
    <w:rsid w:val="00611636"/>
    <w:rsid w:val="006121C7"/>
    <w:rsid w:val="006134D1"/>
    <w:rsid w:val="00614BC0"/>
    <w:rsid w:val="006158EE"/>
    <w:rsid w:val="00615E93"/>
    <w:rsid w:val="0061721D"/>
    <w:rsid w:val="006234B4"/>
    <w:rsid w:val="0062382C"/>
    <w:rsid w:val="00624113"/>
    <w:rsid w:val="00624C23"/>
    <w:rsid w:val="00624FF6"/>
    <w:rsid w:val="00625D6C"/>
    <w:rsid w:val="0062678D"/>
    <w:rsid w:val="006271E3"/>
    <w:rsid w:val="00627D0B"/>
    <w:rsid w:val="00631C01"/>
    <w:rsid w:val="0063313D"/>
    <w:rsid w:val="006333AD"/>
    <w:rsid w:val="0063410F"/>
    <w:rsid w:val="006348CC"/>
    <w:rsid w:val="00635072"/>
    <w:rsid w:val="006350CB"/>
    <w:rsid w:val="006354F2"/>
    <w:rsid w:val="006355D1"/>
    <w:rsid w:val="0063590B"/>
    <w:rsid w:val="00636886"/>
    <w:rsid w:val="00636926"/>
    <w:rsid w:val="00636CA1"/>
    <w:rsid w:val="00636F44"/>
    <w:rsid w:val="00636F63"/>
    <w:rsid w:val="006370B1"/>
    <w:rsid w:val="006372CC"/>
    <w:rsid w:val="00637426"/>
    <w:rsid w:val="00637C43"/>
    <w:rsid w:val="0064085C"/>
    <w:rsid w:val="00641276"/>
    <w:rsid w:val="00641DA2"/>
    <w:rsid w:val="006424D6"/>
    <w:rsid w:val="006426EA"/>
    <w:rsid w:val="006431C3"/>
    <w:rsid w:val="00643A81"/>
    <w:rsid w:val="006440F7"/>
    <w:rsid w:val="00644D31"/>
    <w:rsid w:val="00644F94"/>
    <w:rsid w:val="00645437"/>
    <w:rsid w:val="006463E6"/>
    <w:rsid w:val="0064694F"/>
    <w:rsid w:val="00646A81"/>
    <w:rsid w:val="00646B32"/>
    <w:rsid w:val="00646E79"/>
    <w:rsid w:val="00646FC8"/>
    <w:rsid w:val="00647CEB"/>
    <w:rsid w:val="006503FF"/>
    <w:rsid w:val="0065101C"/>
    <w:rsid w:val="006520AB"/>
    <w:rsid w:val="00652BFE"/>
    <w:rsid w:val="0065341E"/>
    <w:rsid w:val="00653C9A"/>
    <w:rsid w:val="00654589"/>
    <w:rsid w:val="00655C6D"/>
    <w:rsid w:val="00656EF5"/>
    <w:rsid w:val="0065774F"/>
    <w:rsid w:val="00660F8C"/>
    <w:rsid w:val="00662649"/>
    <w:rsid w:val="006650A7"/>
    <w:rsid w:val="006652F7"/>
    <w:rsid w:val="00666F39"/>
    <w:rsid w:val="00667295"/>
    <w:rsid w:val="00667571"/>
    <w:rsid w:val="00667B8A"/>
    <w:rsid w:val="00667EAB"/>
    <w:rsid w:val="006712E2"/>
    <w:rsid w:val="00671771"/>
    <w:rsid w:val="00673B3C"/>
    <w:rsid w:val="00675F15"/>
    <w:rsid w:val="0067635F"/>
    <w:rsid w:val="006775FA"/>
    <w:rsid w:val="00677CE5"/>
    <w:rsid w:val="006805B4"/>
    <w:rsid w:val="00681E33"/>
    <w:rsid w:val="00682372"/>
    <w:rsid w:val="00682F99"/>
    <w:rsid w:val="00683426"/>
    <w:rsid w:val="0068387A"/>
    <w:rsid w:val="00684480"/>
    <w:rsid w:val="00684F95"/>
    <w:rsid w:val="00685D5B"/>
    <w:rsid w:val="00686290"/>
    <w:rsid w:val="00686D59"/>
    <w:rsid w:val="00687CCF"/>
    <w:rsid w:val="0069021B"/>
    <w:rsid w:val="006907BF"/>
    <w:rsid w:val="00690923"/>
    <w:rsid w:val="00691FC5"/>
    <w:rsid w:val="00692922"/>
    <w:rsid w:val="00692A06"/>
    <w:rsid w:val="00692C15"/>
    <w:rsid w:val="0069347A"/>
    <w:rsid w:val="00693924"/>
    <w:rsid w:val="00694180"/>
    <w:rsid w:val="00695AAC"/>
    <w:rsid w:val="00695AD9"/>
    <w:rsid w:val="006968CC"/>
    <w:rsid w:val="006968D8"/>
    <w:rsid w:val="006A0227"/>
    <w:rsid w:val="006A1F0B"/>
    <w:rsid w:val="006A20F7"/>
    <w:rsid w:val="006A2C52"/>
    <w:rsid w:val="006A2DDE"/>
    <w:rsid w:val="006A53C3"/>
    <w:rsid w:val="006A5D19"/>
    <w:rsid w:val="006A5FA9"/>
    <w:rsid w:val="006A6073"/>
    <w:rsid w:val="006A64C1"/>
    <w:rsid w:val="006A7E38"/>
    <w:rsid w:val="006B019D"/>
    <w:rsid w:val="006B0D4F"/>
    <w:rsid w:val="006B0F89"/>
    <w:rsid w:val="006B17C9"/>
    <w:rsid w:val="006B1D29"/>
    <w:rsid w:val="006B2428"/>
    <w:rsid w:val="006B3923"/>
    <w:rsid w:val="006B3D7B"/>
    <w:rsid w:val="006B4021"/>
    <w:rsid w:val="006B4482"/>
    <w:rsid w:val="006B46AF"/>
    <w:rsid w:val="006B49D0"/>
    <w:rsid w:val="006B576A"/>
    <w:rsid w:val="006B72C3"/>
    <w:rsid w:val="006C0BE5"/>
    <w:rsid w:val="006C110D"/>
    <w:rsid w:val="006C1A18"/>
    <w:rsid w:val="006C225F"/>
    <w:rsid w:val="006C4128"/>
    <w:rsid w:val="006C4796"/>
    <w:rsid w:val="006C4898"/>
    <w:rsid w:val="006C5ED0"/>
    <w:rsid w:val="006C6073"/>
    <w:rsid w:val="006C67DE"/>
    <w:rsid w:val="006C6E84"/>
    <w:rsid w:val="006C6F65"/>
    <w:rsid w:val="006C7C14"/>
    <w:rsid w:val="006C7FE9"/>
    <w:rsid w:val="006C7FEE"/>
    <w:rsid w:val="006D0D23"/>
    <w:rsid w:val="006D3C7E"/>
    <w:rsid w:val="006D4080"/>
    <w:rsid w:val="006D421E"/>
    <w:rsid w:val="006D588A"/>
    <w:rsid w:val="006E0AA1"/>
    <w:rsid w:val="006E0C52"/>
    <w:rsid w:val="006E2F6F"/>
    <w:rsid w:val="006E3CFA"/>
    <w:rsid w:val="006E48FF"/>
    <w:rsid w:val="006E5D6B"/>
    <w:rsid w:val="006E6E3D"/>
    <w:rsid w:val="006E7EDB"/>
    <w:rsid w:val="006F11DD"/>
    <w:rsid w:val="006F2C0F"/>
    <w:rsid w:val="006F340A"/>
    <w:rsid w:val="006F384A"/>
    <w:rsid w:val="006F4A2F"/>
    <w:rsid w:val="006F54DA"/>
    <w:rsid w:val="006F5ACA"/>
    <w:rsid w:val="006F5EFC"/>
    <w:rsid w:val="006F6AF9"/>
    <w:rsid w:val="006F77A9"/>
    <w:rsid w:val="00700DC4"/>
    <w:rsid w:val="007016D8"/>
    <w:rsid w:val="00701C48"/>
    <w:rsid w:val="00701FD0"/>
    <w:rsid w:val="007032B0"/>
    <w:rsid w:val="00703715"/>
    <w:rsid w:val="007039E8"/>
    <w:rsid w:val="00703BD6"/>
    <w:rsid w:val="0070560B"/>
    <w:rsid w:val="00705B85"/>
    <w:rsid w:val="00706891"/>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E8B"/>
    <w:rsid w:val="00734600"/>
    <w:rsid w:val="0073558D"/>
    <w:rsid w:val="00735693"/>
    <w:rsid w:val="007362F5"/>
    <w:rsid w:val="00736599"/>
    <w:rsid w:val="007367A9"/>
    <w:rsid w:val="007379AD"/>
    <w:rsid w:val="00740491"/>
    <w:rsid w:val="0074064B"/>
    <w:rsid w:val="007415FD"/>
    <w:rsid w:val="00741B4B"/>
    <w:rsid w:val="00741DD6"/>
    <w:rsid w:val="00741F7B"/>
    <w:rsid w:val="00744411"/>
    <w:rsid w:val="0074515A"/>
    <w:rsid w:val="00745205"/>
    <w:rsid w:val="007452B6"/>
    <w:rsid w:val="00746FCF"/>
    <w:rsid w:val="00750EEA"/>
    <w:rsid w:val="00754364"/>
    <w:rsid w:val="007545EE"/>
    <w:rsid w:val="00754CD1"/>
    <w:rsid w:val="007550A0"/>
    <w:rsid w:val="00755578"/>
    <w:rsid w:val="00755796"/>
    <w:rsid w:val="0075579E"/>
    <w:rsid w:val="00756493"/>
    <w:rsid w:val="00757142"/>
    <w:rsid w:val="00757DBE"/>
    <w:rsid w:val="00760D5D"/>
    <w:rsid w:val="0076119E"/>
    <w:rsid w:val="0076143D"/>
    <w:rsid w:val="0076379E"/>
    <w:rsid w:val="00764BEE"/>
    <w:rsid w:val="0076513F"/>
    <w:rsid w:val="00766304"/>
    <w:rsid w:val="00771751"/>
    <w:rsid w:val="007727D2"/>
    <w:rsid w:val="00773B2C"/>
    <w:rsid w:val="00773E30"/>
    <w:rsid w:val="00776407"/>
    <w:rsid w:val="00776498"/>
    <w:rsid w:val="00776A10"/>
    <w:rsid w:val="00777298"/>
    <w:rsid w:val="007807E4"/>
    <w:rsid w:val="00780A45"/>
    <w:rsid w:val="007848AE"/>
    <w:rsid w:val="00786AC3"/>
    <w:rsid w:val="007907FE"/>
    <w:rsid w:val="007912DC"/>
    <w:rsid w:val="00791955"/>
    <w:rsid w:val="00791D9E"/>
    <w:rsid w:val="00791DA9"/>
    <w:rsid w:val="0079293E"/>
    <w:rsid w:val="00792C86"/>
    <w:rsid w:val="007934F3"/>
    <w:rsid w:val="007942BF"/>
    <w:rsid w:val="007970B9"/>
    <w:rsid w:val="007978BF"/>
    <w:rsid w:val="00797A27"/>
    <w:rsid w:val="007A1302"/>
    <w:rsid w:val="007A149F"/>
    <w:rsid w:val="007A1D22"/>
    <w:rsid w:val="007A2A40"/>
    <w:rsid w:val="007A7536"/>
    <w:rsid w:val="007B01F6"/>
    <w:rsid w:val="007B0C66"/>
    <w:rsid w:val="007B20D2"/>
    <w:rsid w:val="007B2553"/>
    <w:rsid w:val="007B33C0"/>
    <w:rsid w:val="007B3CC2"/>
    <w:rsid w:val="007B3FD6"/>
    <w:rsid w:val="007B5233"/>
    <w:rsid w:val="007B6247"/>
    <w:rsid w:val="007B6542"/>
    <w:rsid w:val="007C00AF"/>
    <w:rsid w:val="007C09A2"/>
    <w:rsid w:val="007C0A2F"/>
    <w:rsid w:val="007C1E01"/>
    <w:rsid w:val="007C1EEF"/>
    <w:rsid w:val="007C41A6"/>
    <w:rsid w:val="007C4CE2"/>
    <w:rsid w:val="007C63D4"/>
    <w:rsid w:val="007C737A"/>
    <w:rsid w:val="007C763F"/>
    <w:rsid w:val="007D109C"/>
    <w:rsid w:val="007D1BC0"/>
    <w:rsid w:val="007D1E04"/>
    <w:rsid w:val="007D3A20"/>
    <w:rsid w:val="007D3B5B"/>
    <w:rsid w:val="007D4156"/>
    <w:rsid w:val="007D504C"/>
    <w:rsid w:val="007D5515"/>
    <w:rsid w:val="007D55B2"/>
    <w:rsid w:val="007D6A55"/>
    <w:rsid w:val="007D6A7D"/>
    <w:rsid w:val="007D7192"/>
    <w:rsid w:val="007D76BF"/>
    <w:rsid w:val="007E0722"/>
    <w:rsid w:val="007E0A45"/>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1E1"/>
    <w:rsid w:val="007F6408"/>
    <w:rsid w:val="007F6680"/>
    <w:rsid w:val="007F6E30"/>
    <w:rsid w:val="007F7264"/>
    <w:rsid w:val="00800386"/>
    <w:rsid w:val="008008BF"/>
    <w:rsid w:val="00803162"/>
    <w:rsid w:val="008036EC"/>
    <w:rsid w:val="0080529C"/>
    <w:rsid w:val="008059F8"/>
    <w:rsid w:val="0080608B"/>
    <w:rsid w:val="0080674F"/>
    <w:rsid w:val="00807ABC"/>
    <w:rsid w:val="00807F09"/>
    <w:rsid w:val="008118D7"/>
    <w:rsid w:val="008123BB"/>
    <w:rsid w:val="00814D79"/>
    <w:rsid w:val="00816ECE"/>
    <w:rsid w:val="00817082"/>
    <w:rsid w:val="0081798B"/>
    <w:rsid w:val="00821273"/>
    <w:rsid w:val="0082167D"/>
    <w:rsid w:val="008222A9"/>
    <w:rsid w:val="00822874"/>
    <w:rsid w:val="00822BE6"/>
    <w:rsid w:val="00822DC8"/>
    <w:rsid w:val="008236C3"/>
    <w:rsid w:val="00825AFB"/>
    <w:rsid w:val="00825D5A"/>
    <w:rsid w:val="008261B1"/>
    <w:rsid w:val="00831638"/>
    <w:rsid w:val="0083201C"/>
    <w:rsid w:val="00833085"/>
    <w:rsid w:val="008348DB"/>
    <w:rsid w:val="00835C5B"/>
    <w:rsid w:val="0083692F"/>
    <w:rsid w:val="00836CB6"/>
    <w:rsid w:val="00837EFF"/>
    <w:rsid w:val="00840158"/>
    <w:rsid w:val="00841829"/>
    <w:rsid w:val="00845206"/>
    <w:rsid w:val="00845FBE"/>
    <w:rsid w:val="00846EF6"/>
    <w:rsid w:val="0084769C"/>
    <w:rsid w:val="008502BB"/>
    <w:rsid w:val="008507FB"/>
    <w:rsid w:val="00852BB7"/>
    <w:rsid w:val="0085384E"/>
    <w:rsid w:val="00854388"/>
    <w:rsid w:val="0085462E"/>
    <w:rsid w:val="00855BB6"/>
    <w:rsid w:val="0085616C"/>
    <w:rsid w:val="00857F71"/>
    <w:rsid w:val="00861D45"/>
    <w:rsid w:val="008636FE"/>
    <w:rsid w:val="00863B00"/>
    <w:rsid w:val="00864BFF"/>
    <w:rsid w:val="00865318"/>
    <w:rsid w:val="00866E44"/>
    <w:rsid w:val="00867777"/>
    <w:rsid w:val="008706D7"/>
    <w:rsid w:val="00870C6E"/>
    <w:rsid w:val="00871071"/>
    <w:rsid w:val="008711BC"/>
    <w:rsid w:val="00872894"/>
    <w:rsid w:val="008730FB"/>
    <w:rsid w:val="0087789D"/>
    <w:rsid w:val="00880932"/>
    <w:rsid w:val="00883C1A"/>
    <w:rsid w:val="00883CDF"/>
    <w:rsid w:val="008841A5"/>
    <w:rsid w:val="00884875"/>
    <w:rsid w:val="00887581"/>
    <w:rsid w:val="00887A87"/>
    <w:rsid w:val="00887C32"/>
    <w:rsid w:val="00891034"/>
    <w:rsid w:val="0089229B"/>
    <w:rsid w:val="00892D86"/>
    <w:rsid w:val="0089362F"/>
    <w:rsid w:val="00894700"/>
    <w:rsid w:val="00895C34"/>
    <w:rsid w:val="00896177"/>
    <w:rsid w:val="00896387"/>
    <w:rsid w:val="00897E08"/>
    <w:rsid w:val="008A1CF7"/>
    <w:rsid w:val="008A201B"/>
    <w:rsid w:val="008A22B2"/>
    <w:rsid w:val="008A2802"/>
    <w:rsid w:val="008A38BE"/>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534E"/>
    <w:rsid w:val="008C695D"/>
    <w:rsid w:val="008C6B34"/>
    <w:rsid w:val="008C7603"/>
    <w:rsid w:val="008D00C1"/>
    <w:rsid w:val="008D1878"/>
    <w:rsid w:val="008D1B0B"/>
    <w:rsid w:val="008D2688"/>
    <w:rsid w:val="008D2A0D"/>
    <w:rsid w:val="008D3362"/>
    <w:rsid w:val="008D5057"/>
    <w:rsid w:val="008D507E"/>
    <w:rsid w:val="008D5103"/>
    <w:rsid w:val="008D5B85"/>
    <w:rsid w:val="008D74CA"/>
    <w:rsid w:val="008D7848"/>
    <w:rsid w:val="008E0A71"/>
    <w:rsid w:val="008E1063"/>
    <w:rsid w:val="008E2477"/>
    <w:rsid w:val="008E2797"/>
    <w:rsid w:val="008E386F"/>
    <w:rsid w:val="008E38CE"/>
    <w:rsid w:val="008E3FF7"/>
    <w:rsid w:val="008E5D4C"/>
    <w:rsid w:val="008E5FEC"/>
    <w:rsid w:val="008E6014"/>
    <w:rsid w:val="008E67D9"/>
    <w:rsid w:val="008E690D"/>
    <w:rsid w:val="008E7953"/>
    <w:rsid w:val="008F180A"/>
    <w:rsid w:val="008F3240"/>
    <w:rsid w:val="008F3570"/>
    <w:rsid w:val="008F37D4"/>
    <w:rsid w:val="008F5118"/>
    <w:rsid w:val="008F5413"/>
    <w:rsid w:val="008F5B20"/>
    <w:rsid w:val="008F6D9F"/>
    <w:rsid w:val="008F7DDF"/>
    <w:rsid w:val="009005DF"/>
    <w:rsid w:val="00900676"/>
    <w:rsid w:val="00900AF8"/>
    <w:rsid w:val="00901FE5"/>
    <w:rsid w:val="00902377"/>
    <w:rsid w:val="00903230"/>
    <w:rsid w:val="00903EFB"/>
    <w:rsid w:val="00904334"/>
    <w:rsid w:val="0090511C"/>
    <w:rsid w:val="00911AD9"/>
    <w:rsid w:val="00911FC2"/>
    <w:rsid w:val="00912CBD"/>
    <w:rsid w:val="00912D06"/>
    <w:rsid w:val="00913497"/>
    <w:rsid w:val="00914152"/>
    <w:rsid w:val="00915673"/>
    <w:rsid w:val="00915A46"/>
    <w:rsid w:val="009164A4"/>
    <w:rsid w:val="00916C1E"/>
    <w:rsid w:val="009173E2"/>
    <w:rsid w:val="0092002F"/>
    <w:rsid w:val="00925026"/>
    <w:rsid w:val="009254E1"/>
    <w:rsid w:val="00926247"/>
    <w:rsid w:val="00926349"/>
    <w:rsid w:val="00927675"/>
    <w:rsid w:val="00927AC8"/>
    <w:rsid w:val="00927DDF"/>
    <w:rsid w:val="00927E8B"/>
    <w:rsid w:val="009308F7"/>
    <w:rsid w:val="009316D0"/>
    <w:rsid w:val="00931BE8"/>
    <w:rsid w:val="0093232E"/>
    <w:rsid w:val="00932371"/>
    <w:rsid w:val="00932B8D"/>
    <w:rsid w:val="009331BC"/>
    <w:rsid w:val="0093359D"/>
    <w:rsid w:val="009335C3"/>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25D1"/>
    <w:rsid w:val="00952ACB"/>
    <w:rsid w:val="00952BD9"/>
    <w:rsid w:val="0095305A"/>
    <w:rsid w:val="00953BE0"/>
    <w:rsid w:val="0095437F"/>
    <w:rsid w:val="009545F8"/>
    <w:rsid w:val="00954E7C"/>
    <w:rsid w:val="00955231"/>
    <w:rsid w:val="00956358"/>
    <w:rsid w:val="00956D76"/>
    <w:rsid w:val="00957341"/>
    <w:rsid w:val="009606E7"/>
    <w:rsid w:val="0096159B"/>
    <w:rsid w:val="00961694"/>
    <w:rsid w:val="0096175E"/>
    <w:rsid w:val="00961ADF"/>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753B"/>
    <w:rsid w:val="00977AE7"/>
    <w:rsid w:val="00977FBD"/>
    <w:rsid w:val="00982072"/>
    <w:rsid w:val="00982B27"/>
    <w:rsid w:val="00983FC5"/>
    <w:rsid w:val="00985D7D"/>
    <w:rsid w:val="00986974"/>
    <w:rsid w:val="00986B52"/>
    <w:rsid w:val="00986C32"/>
    <w:rsid w:val="00992577"/>
    <w:rsid w:val="009927E5"/>
    <w:rsid w:val="009927E6"/>
    <w:rsid w:val="0099345A"/>
    <w:rsid w:val="00994149"/>
    <w:rsid w:val="009947D7"/>
    <w:rsid w:val="00994C17"/>
    <w:rsid w:val="009966AA"/>
    <w:rsid w:val="00996B9D"/>
    <w:rsid w:val="00996FC1"/>
    <w:rsid w:val="009A1897"/>
    <w:rsid w:val="009A2625"/>
    <w:rsid w:val="009A2B8B"/>
    <w:rsid w:val="009A2E64"/>
    <w:rsid w:val="009A3FC1"/>
    <w:rsid w:val="009A55C1"/>
    <w:rsid w:val="009A56A4"/>
    <w:rsid w:val="009A5D0A"/>
    <w:rsid w:val="009A67A0"/>
    <w:rsid w:val="009B0961"/>
    <w:rsid w:val="009B11A3"/>
    <w:rsid w:val="009B1535"/>
    <w:rsid w:val="009B34C8"/>
    <w:rsid w:val="009B35B4"/>
    <w:rsid w:val="009B460A"/>
    <w:rsid w:val="009B61AE"/>
    <w:rsid w:val="009B6763"/>
    <w:rsid w:val="009B74F2"/>
    <w:rsid w:val="009C066F"/>
    <w:rsid w:val="009C08E2"/>
    <w:rsid w:val="009C0D31"/>
    <w:rsid w:val="009C20D9"/>
    <w:rsid w:val="009C4906"/>
    <w:rsid w:val="009C53EE"/>
    <w:rsid w:val="009C6570"/>
    <w:rsid w:val="009C68F5"/>
    <w:rsid w:val="009C79AC"/>
    <w:rsid w:val="009C7E38"/>
    <w:rsid w:val="009D0DA8"/>
    <w:rsid w:val="009D2C24"/>
    <w:rsid w:val="009D368E"/>
    <w:rsid w:val="009D3955"/>
    <w:rsid w:val="009D437B"/>
    <w:rsid w:val="009D6F83"/>
    <w:rsid w:val="009D773B"/>
    <w:rsid w:val="009E088F"/>
    <w:rsid w:val="009E1625"/>
    <w:rsid w:val="009E256F"/>
    <w:rsid w:val="009E2FD2"/>
    <w:rsid w:val="009E33C2"/>
    <w:rsid w:val="009E3ACC"/>
    <w:rsid w:val="009E58C4"/>
    <w:rsid w:val="009E5EDD"/>
    <w:rsid w:val="009E7393"/>
    <w:rsid w:val="009F0A4A"/>
    <w:rsid w:val="009F0CDA"/>
    <w:rsid w:val="009F19D5"/>
    <w:rsid w:val="009F2410"/>
    <w:rsid w:val="009F2BBD"/>
    <w:rsid w:val="009F32DC"/>
    <w:rsid w:val="009F436B"/>
    <w:rsid w:val="009F511A"/>
    <w:rsid w:val="009F5C90"/>
    <w:rsid w:val="009F660A"/>
    <w:rsid w:val="009F69F8"/>
    <w:rsid w:val="009F6AB0"/>
    <w:rsid w:val="009F7C75"/>
    <w:rsid w:val="00A00650"/>
    <w:rsid w:val="00A0184B"/>
    <w:rsid w:val="00A01A29"/>
    <w:rsid w:val="00A02E04"/>
    <w:rsid w:val="00A03E05"/>
    <w:rsid w:val="00A043C0"/>
    <w:rsid w:val="00A04D7C"/>
    <w:rsid w:val="00A06280"/>
    <w:rsid w:val="00A109CD"/>
    <w:rsid w:val="00A13476"/>
    <w:rsid w:val="00A1359C"/>
    <w:rsid w:val="00A1470D"/>
    <w:rsid w:val="00A15BDD"/>
    <w:rsid w:val="00A16C9E"/>
    <w:rsid w:val="00A16E6D"/>
    <w:rsid w:val="00A17E4F"/>
    <w:rsid w:val="00A204D7"/>
    <w:rsid w:val="00A20DED"/>
    <w:rsid w:val="00A225B2"/>
    <w:rsid w:val="00A22826"/>
    <w:rsid w:val="00A2392C"/>
    <w:rsid w:val="00A23969"/>
    <w:rsid w:val="00A239D1"/>
    <w:rsid w:val="00A23A2D"/>
    <w:rsid w:val="00A23E33"/>
    <w:rsid w:val="00A24692"/>
    <w:rsid w:val="00A25388"/>
    <w:rsid w:val="00A260AE"/>
    <w:rsid w:val="00A27A3C"/>
    <w:rsid w:val="00A301C7"/>
    <w:rsid w:val="00A30BD6"/>
    <w:rsid w:val="00A33034"/>
    <w:rsid w:val="00A33198"/>
    <w:rsid w:val="00A343E9"/>
    <w:rsid w:val="00A35C06"/>
    <w:rsid w:val="00A406F0"/>
    <w:rsid w:val="00A40A58"/>
    <w:rsid w:val="00A41843"/>
    <w:rsid w:val="00A43CBD"/>
    <w:rsid w:val="00A440E4"/>
    <w:rsid w:val="00A444A4"/>
    <w:rsid w:val="00A44997"/>
    <w:rsid w:val="00A46474"/>
    <w:rsid w:val="00A47559"/>
    <w:rsid w:val="00A475A1"/>
    <w:rsid w:val="00A4764E"/>
    <w:rsid w:val="00A513AE"/>
    <w:rsid w:val="00A515D0"/>
    <w:rsid w:val="00A51847"/>
    <w:rsid w:val="00A53304"/>
    <w:rsid w:val="00A53461"/>
    <w:rsid w:val="00A537A4"/>
    <w:rsid w:val="00A53A9C"/>
    <w:rsid w:val="00A554C8"/>
    <w:rsid w:val="00A56657"/>
    <w:rsid w:val="00A57113"/>
    <w:rsid w:val="00A57429"/>
    <w:rsid w:val="00A6082F"/>
    <w:rsid w:val="00A6187D"/>
    <w:rsid w:val="00A62584"/>
    <w:rsid w:val="00A6289F"/>
    <w:rsid w:val="00A64241"/>
    <w:rsid w:val="00A64899"/>
    <w:rsid w:val="00A66744"/>
    <w:rsid w:val="00A66A78"/>
    <w:rsid w:val="00A70313"/>
    <w:rsid w:val="00A71FBA"/>
    <w:rsid w:val="00A73DA3"/>
    <w:rsid w:val="00A748E2"/>
    <w:rsid w:val="00A761DC"/>
    <w:rsid w:val="00A7697D"/>
    <w:rsid w:val="00A77AE2"/>
    <w:rsid w:val="00A80817"/>
    <w:rsid w:val="00A8350D"/>
    <w:rsid w:val="00A83FC8"/>
    <w:rsid w:val="00A85242"/>
    <w:rsid w:val="00A869D0"/>
    <w:rsid w:val="00A9098E"/>
    <w:rsid w:val="00A917F5"/>
    <w:rsid w:val="00A92F53"/>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970"/>
    <w:rsid w:val="00AB5EE6"/>
    <w:rsid w:val="00AB5F1E"/>
    <w:rsid w:val="00AB6E9B"/>
    <w:rsid w:val="00AB6F35"/>
    <w:rsid w:val="00AB72A6"/>
    <w:rsid w:val="00AB75DA"/>
    <w:rsid w:val="00AC0D3E"/>
    <w:rsid w:val="00AC13F9"/>
    <w:rsid w:val="00AC1732"/>
    <w:rsid w:val="00AC2033"/>
    <w:rsid w:val="00AC23CC"/>
    <w:rsid w:val="00AC24B5"/>
    <w:rsid w:val="00AC5682"/>
    <w:rsid w:val="00AC721F"/>
    <w:rsid w:val="00AC762C"/>
    <w:rsid w:val="00AC7720"/>
    <w:rsid w:val="00AD19EC"/>
    <w:rsid w:val="00AD24AA"/>
    <w:rsid w:val="00AD2EF3"/>
    <w:rsid w:val="00AD4ED2"/>
    <w:rsid w:val="00AD624B"/>
    <w:rsid w:val="00AE1E05"/>
    <w:rsid w:val="00AE29DA"/>
    <w:rsid w:val="00AE2CEE"/>
    <w:rsid w:val="00AE4F97"/>
    <w:rsid w:val="00AE5EEB"/>
    <w:rsid w:val="00AE63FA"/>
    <w:rsid w:val="00AE6A66"/>
    <w:rsid w:val="00AE7DFB"/>
    <w:rsid w:val="00AF11FC"/>
    <w:rsid w:val="00AF29A8"/>
    <w:rsid w:val="00AF3FCB"/>
    <w:rsid w:val="00AF4F3F"/>
    <w:rsid w:val="00AF4F6D"/>
    <w:rsid w:val="00B018BF"/>
    <w:rsid w:val="00B01AA4"/>
    <w:rsid w:val="00B01F9F"/>
    <w:rsid w:val="00B028F0"/>
    <w:rsid w:val="00B03A7B"/>
    <w:rsid w:val="00B04662"/>
    <w:rsid w:val="00B0495E"/>
    <w:rsid w:val="00B06DDC"/>
    <w:rsid w:val="00B06E53"/>
    <w:rsid w:val="00B07916"/>
    <w:rsid w:val="00B11B7C"/>
    <w:rsid w:val="00B13D45"/>
    <w:rsid w:val="00B1485A"/>
    <w:rsid w:val="00B15403"/>
    <w:rsid w:val="00B167F4"/>
    <w:rsid w:val="00B17756"/>
    <w:rsid w:val="00B20278"/>
    <w:rsid w:val="00B21229"/>
    <w:rsid w:val="00B2127D"/>
    <w:rsid w:val="00B21962"/>
    <w:rsid w:val="00B2304E"/>
    <w:rsid w:val="00B24840"/>
    <w:rsid w:val="00B25650"/>
    <w:rsid w:val="00B26019"/>
    <w:rsid w:val="00B26A14"/>
    <w:rsid w:val="00B300B5"/>
    <w:rsid w:val="00B31044"/>
    <w:rsid w:val="00B3109C"/>
    <w:rsid w:val="00B31F42"/>
    <w:rsid w:val="00B328AE"/>
    <w:rsid w:val="00B32C80"/>
    <w:rsid w:val="00B34613"/>
    <w:rsid w:val="00B34E1F"/>
    <w:rsid w:val="00B35774"/>
    <w:rsid w:val="00B35B0A"/>
    <w:rsid w:val="00B36A73"/>
    <w:rsid w:val="00B3754B"/>
    <w:rsid w:val="00B3773A"/>
    <w:rsid w:val="00B377CE"/>
    <w:rsid w:val="00B4044B"/>
    <w:rsid w:val="00B4059D"/>
    <w:rsid w:val="00B419DF"/>
    <w:rsid w:val="00B42FC0"/>
    <w:rsid w:val="00B4312B"/>
    <w:rsid w:val="00B43AC4"/>
    <w:rsid w:val="00B4400B"/>
    <w:rsid w:val="00B44216"/>
    <w:rsid w:val="00B44313"/>
    <w:rsid w:val="00B4462C"/>
    <w:rsid w:val="00B449CF"/>
    <w:rsid w:val="00B44EFA"/>
    <w:rsid w:val="00B46A15"/>
    <w:rsid w:val="00B46CD8"/>
    <w:rsid w:val="00B47428"/>
    <w:rsid w:val="00B477E8"/>
    <w:rsid w:val="00B47B92"/>
    <w:rsid w:val="00B5018C"/>
    <w:rsid w:val="00B508F6"/>
    <w:rsid w:val="00B52C6D"/>
    <w:rsid w:val="00B5582A"/>
    <w:rsid w:val="00B55A44"/>
    <w:rsid w:val="00B55ECB"/>
    <w:rsid w:val="00B55EDB"/>
    <w:rsid w:val="00B57076"/>
    <w:rsid w:val="00B57987"/>
    <w:rsid w:val="00B57CA4"/>
    <w:rsid w:val="00B61F11"/>
    <w:rsid w:val="00B62DD0"/>
    <w:rsid w:val="00B63BB1"/>
    <w:rsid w:val="00B65E1E"/>
    <w:rsid w:val="00B71074"/>
    <w:rsid w:val="00B723D9"/>
    <w:rsid w:val="00B74AF9"/>
    <w:rsid w:val="00B75F16"/>
    <w:rsid w:val="00B7700C"/>
    <w:rsid w:val="00B77EBE"/>
    <w:rsid w:val="00B81C46"/>
    <w:rsid w:val="00B8485E"/>
    <w:rsid w:val="00B85B1F"/>
    <w:rsid w:val="00B85C96"/>
    <w:rsid w:val="00B85D21"/>
    <w:rsid w:val="00B90557"/>
    <w:rsid w:val="00B918D0"/>
    <w:rsid w:val="00B9239C"/>
    <w:rsid w:val="00B92524"/>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A7760"/>
    <w:rsid w:val="00BB1638"/>
    <w:rsid w:val="00BB1EC7"/>
    <w:rsid w:val="00BB1F3F"/>
    <w:rsid w:val="00BB2A22"/>
    <w:rsid w:val="00BB2D64"/>
    <w:rsid w:val="00BB2FE5"/>
    <w:rsid w:val="00BB447B"/>
    <w:rsid w:val="00BB51E3"/>
    <w:rsid w:val="00BB56D4"/>
    <w:rsid w:val="00BB5A95"/>
    <w:rsid w:val="00BB6CA7"/>
    <w:rsid w:val="00BB7C0B"/>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3A45"/>
    <w:rsid w:val="00BD535D"/>
    <w:rsid w:val="00BD56EE"/>
    <w:rsid w:val="00BD5CAB"/>
    <w:rsid w:val="00BD6484"/>
    <w:rsid w:val="00BD69A1"/>
    <w:rsid w:val="00BD740A"/>
    <w:rsid w:val="00BE027C"/>
    <w:rsid w:val="00BE11DF"/>
    <w:rsid w:val="00BE1318"/>
    <w:rsid w:val="00BE1BE2"/>
    <w:rsid w:val="00BE4498"/>
    <w:rsid w:val="00BE4DE2"/>
    <w:rsid w:val="00BE53BA"/>
    <w:rsid w:val="00BE5484"/>
    <w:rsid w:val="00BE678A"/>
    <w:rsid w:val="00BE7A9D"/>
    <w:rsid w:val="00BE7E44"/>
    <w:rsid w:val="00BF0008"/>
    <w:rsid w:val="00BF0518"/>
    <w:rsid w:val="00BF0B7D"/>
    <w:rsid w:val="00BF15BB"/>
    <w:rsid w:val="00BF1D7E"/>
    <w:rsid w:val="00BF1F00"/>
    <w:rsid w:val="00BF2580"/>
    <w:rsid w:val="00BF2810"/>
    <w:rsid w:val="00BF2AB5"/>
    <w:rsid w:val="00BF2BBA"/>
    <w:rsid w:val="00BF2C4D"/>
    <w:rsid w:val="00BF2EB9"/>
    <w:rsid w:val="00BF3E6F"/>
    <w:rsid w:val="00BF426D"/>
    <w:rsid w:val="00BF4401"/>
    <w:rsid w:val="00BF463D"/>
    <w:rsid w:val="00BF4776"/>
    <w:rsid w:val="00BF4EAA"/>
    <w:rsid w:val="00BF5760"/>
    <w:rsid w:val="00BF5DCE"/>
    <w:rsid w:val="00BF62E8"/>
    <w:rsid w:val="00BF7D85"/>
    <w:rsid w:val="00C003AE"/>
    <w:rsid w:val="00C011DF"/>
    <w:rsid w:val="00C011F6"/>
    <w:rsid w:val="00C01AD1"/>
    <w:rsid w:val="00C01BBE"/>
    <w:rsid w:val="00C0300B"/>
    <w:rsid w:val="00C034B5"/>
    <w:rsid w:val="00C03C3C"/>
    <w:rsid w:val="00C0584C"/>
    <w:rsid w:val="00C0611B"/>
    <w:rsid w:val="00C10099"/>
    <w:rsid w:val="00C1089C"/>
    <w:rsid w:val="00C11C45"/>
    <w:rsid w:val="00C11C48"/>
    <w:rsid w:val="00C11CAF"/>
    <w:rsid w:val="00C15197"/>
    <w:rsid w:val="00C16A58"/>
    <w:rsid w:val="00C1765C"/>
    <w:rsid w:val="00C207A1"/>
    <w:rsid w:val="00C216DE"/>
    <w:rsid w:val="00C22BDA"/>
    <w:rsid w:val="00C22C0E"/>
    <w:rsid w:val="00C22FC5"/>
    <w:rsid w:val="00C24292"/>
    <w:rsid w:val="00C242E4"/>
    <w:rsid w:val="00C24656"/>
    <w:rsid w:val="00C26B4D"/>
    <w:rsid w:val="00C26F0A"/>
    <w:rsid w:val="00C300B3"/>
    <w:rsid w:val="00C3094F"/>
    <w:rsid w:val="00C31353"/>
    <w:rsid w:val="00C31467"/>
    <w:rsid w:val="00C317F0"/>
    <w:rsid w:val="00C318F1"/>
    <w:rsid w:val="00C32581"/>
    <w:rsid w:val="00C33B4F"/>
    <w:rsid w:val="00C33E54"/>
    <w:rsid w:val="00C354B4"/>
    <w:rsid w:val="00C36250"/>
    <w:rsid w:val="00C37516"/>
    <w:rsid w:val="00C37808"/>
    <w:rsid w:val="00C4010B"/>
    <w:rsid w:val="00C41092"/>
    <w:rsid w:val="00C41B39"/>
    <w:rsid w:val="00C41C44"/>
    <w:rsid w:val="00C42AF3"/>
    <w:rsid w:val="00C447D0"/>
    <w:rsid w:val="00C44894"/>
    <w:rsid w:val="00C45BF6"/>
    <w:rsid w:val="00C45CB9"/>
    <w:rsid w:val="00C45FDA"/>
    <w:rsid w:val="00C46C60"/>
    <w:rsid w:val="00C47CF7"/>
    <w:rsid w:val="00C506F9"/>
    <w:rsid w:val="00C5105D"/>
    <w:rsid w:val="00C51CC3"/>
    <w:rsid w:val="00C5220D"/>
    <w:rsid w:val="00C538AA"/>
    <w:rsid w:val="00C57E62"/>
    <w:rsid w:val="00C611E0"/>
    <w:rsid w:val="00C614AF"/>
    <w:rsid w:val="00C61D95"/>
    <w:rsid w:val="00C61E90"/>
    <w:rsid w:val="00C626A9"/>
    <w:rsid w:val="00C62E9B"/>
    <w:rsid w:val="00C668F8"/>
    <w:rsid w:val="00C6753D"/>
    <w:rsid w:val="00C7193E"/>
    <w:rsid w:val="00C71ACD"/>
    <w:rsid w:val="00C72699"/>
    <w:rsid w:val="00C75B08"/>
    <w:rsid w:val="00C76690"/>
    <w:rsid w:val="00C76DE8"/>
    <w:rsid w:val="00C81926"/>
    <w:rsid w:val="00C8197E"/>
    <w:rsid w:val="00C82906"/>
    <w:rsid w:val="00C82A51"/>
    <w:rsid w:val="00C82AFB"/>
    <w:rsid w:val="00C85CB7"/>
    <w:rsid w:val="00C85DC3"/>
    <w:rsid w:val="00C8637A"/>
    <w:rsid w:val="00C901B8"/>
    <w:rsid w:val="00C90280"/>
    <w:rsid w:val="00C918CE"/>
    <w:rsid w:val="00C91F76"/>
    <w:rsid w:val="00C939F8"/>
    <w:rsid w:val="00C94A3B"/>
    <w:rsid w:val="00CA0D84"/>
    <w:rsid w:val="00CA16AE"/>
    <w:rsid w:val="00CA1D06"/>
    <w:rsid w:val="00CA217E"/>
    <w:rsid w:val="00CA23A7"/>
    <w:rsid w:val="00CA378A"/>
    <w:rsid w:val="00CA406F"/>
    <w:rsid w:val="00CA4261"/>
    <w:rsid w:val="00CA68E7"/>
    <w:rsid w:val="00CA7DB5"/>
    <w:rsid w:val="00CB04AC"/>
    <w:rsid w:val="00CB06E2"/>
    <w:rsid w:val="00CB1D65"/>
    <w:rsid w:val="00CB2D0F"/>
    <w:rsid w:val="00CB2E36"/>
    <w:rsid w:val="00CB3AB8"/>
    <w:rsid w:val="00CB42C3"/>
    <w:rsid w:val="00CB4A6B"/>
    <w:rsid w:val="00CB6385"/>
    <w:rsid w:val="00CB681D"/>
    <w:rsid w:val="00CB6D38"/>
    <w:rsid w:val="00CB7C49"/>
    <w:rsid w:val="00CC1764"/>
    <w:rsid w:val="00CC1F19"/>
    <w:rsid w:val="00CC296C"/>
    <w:rsid w:val="00CC3AD3"/>
    <w:rsid w:val="00CC4791"/>
    <w:rsid w:val="00CC6609"/>
    <w:rsid w:val="00CC7AAC"/>
    <w:rsid w:val="00CD0692"/>
    <w:rsid w:val="00CD0BC4"/>
    <w:rsid w:val="00CD2579"/>
    <w:rsid w:val="00CD2C68"/>
    <w:rsid w:val="00CD424B"/>
    <w:rsid w:val="00CD42A5"/>
    <w:rsid w:val="00CD503A"/>
    <w:rsid w:val="00CD54CD"/>
    <w:rsid w:val="00CD5ED4"/>
    <w:rsid w:val="00CD5FCE"/>
    <w:rsid w:val="00CD658A"/>
    <w:rsid w:val="00CD680A"/>
    <w:rsid w:val="00CD7724"/>
    <w:rsid w:val="00CD7E8E"/>
    <w:rsid w:val="00CE1827"/>
    <w:rsid w:val="00CE1C43"/>
    <w:rsid w:val="00CE1F9E"/>
    <w:rsid w:val="00CE3226"/>
    <w:rsid w:val="00CE343E"/>
    <w:rsid w:val="00CE36CB"/>
    <w:rsid w:val="00CE4A10"/>
    <w:rsid w:val="00CE56AC"/>
    <w:rsid w:val="00CE6515"/>
    <w:rsid w:val="00CE77B2"/>
    <w:rsid w:val="00CF054E"/>
    <w:rsid w:val="00CF0A13"/>
    <w:rsid w:val="00CF1869"/>
    <w:rsid w:val="00CF1E71"/>
    <w:rsid w:val="00CF362B"/>
    <w:rsid w:val="00CF5747"/>
    <w:rsid w:val="00CF6694"/>
    <w:rsid w:val="00CF761E"/>
    <w:rsid w:val="00D00CB0"/>
    <w:rsid w:val="00D01958"/>
    <w:rsid w:val="00D01B48"/>
    <w:rsid w:val="00D031F5"/>
    <w:rsid w:val="00D03349"/>
    <w:rsid w:val="00D035B7"/>
    <w:rsid w:val="00D037C3"/>
    <w:rsid w:val="00D03B98"/>
    <w:rsid w:val="00D06D1F"/>
    <w:rsid w:val="00D06D80"/>
    <w:rsid w:val="00D0741E"/>
    <w:rsid w:val="00D11912"/>
    <w:rsid w:val="00D11978"/>
    <w:rsid w:val="00D1471B"/>
    <w:rsid w:val="00D159EA"/>
    <w:rsid w:val="00D1767F"/>
    <w:rsid w:val="00D17ECE"/>
    <w:rsid w:val="00D21B4A"/>
    <w:rsid w:val="00D22019"/>
    <w:rsid w:val="00D2277D"/>
    <w:rsid w:val="00D23181"/>
    <w:rsid w:val="00D23951"/>
    <w:rsid w:val="00D254E8"/>
    <w:rsid w:val="00D2552A"/>
    <w:rsid w:val="00D25545"/>
    <w:rsid w:val="00D26E8A"/>
    <w:rsid w:val="00D3097C"/>
    <w:rsid w:val="00D30E9C"/>
    <w:rsid w:val="00D31E4A"/>
    <w:rsid w:val="00D32742"/>
    <w:rsid w:val="00D33A1C"/>
    <w:rsid w:val="00D344DF"/>
    <w:rsid w:val="00D34892"/>
    <w:rsid w:val="00D349BA"/>
    <w:rsid w:val="00D35574"/>
    <w:rsid w:val="00D36C75"/>
    <w:rsid w:val="00D400CE"/>
    <w:rsid w:val="00D4176A"/>
    <w:rsid w:val="00D4315D"/>
    <w:rsid w:val="00D448A2"/>
    <w:rsid w:val="00D44F56"/>
    <w:rsid w:val="00D4508B"/>
    <w:rsid w:val="00D45BC7"/>
    <w:rsid w:val="00D45CDD"/>
    <w:rsid w:val="00D461D9"/>
    <w:rsid w:val="00D4702D"/>
    <w:rsid w:val="00D50554"/>
    <w:rsid w:val="00D505A3"/>
    <w:rsid w:val="00D51060"/>
    <w:rsid w:val="00D514AF"/>
    <w:rsid w:val="00D51643"/>
    <w:rsid w:val="00D530D4"/>
    <w:rsid w:val="00D551C2"/>
    <w:rsid w:val="00D561B8"/>
    <w:rsid w:val="00D576D6"/>
    <w:rsid w:val="00D60BF0"/>
    <w:rsid w:val="00D61748"/>
    <w:rsid w:val="00D62B78"/>
    <w:rsid w:val="00D644FC"/>
    <w:rsid w:val="00D647E1"/>
    <w:rsid w:val="00D65555"/>
    <w:rsid w:val="00D65B3C"/>
    <w:rsid w:val="00D70461"/>
    <w:rsid w:val="00D71639"/>
    <w:rsid w:val="00D72E30"/>
    <w:rsid w:val="00D73B0D"/>
    <w:rsid w:val="00D73C4A"/>
    <w:rsid w:val="00D7448B"/>
    <w:rsid w:val="00D750EC"/>
    <w:rsid w:val="00D75D93"/>
    <w:rsid w:val="00D76DE4"/>
    <w:rsid w:val="00D76FD2"/>
    <w:rsid w:val="00D77D3D"/>
    <w:rsid w:val="00D81A04"/>
    <w:rsid w:val="00D834D2"/>
    <w:rsid w:val="00D837CB"/>
    <w:rsid w:val="00D83F4E"/>
    <w:rsid w:val="00D852EA"/>
    <w:rsid w:val="00D85867"/>
    <w:rsid w:val="00D8627D"/>
    <w:rsid w:val="00D86ECC"/>
    <w:rsid w:val="00D908C6"/>
    <w:rsid w:val="00D9143C"/>
    <w:rsid w:val="00D919DB"/>
    <w:rsid w:val="00D91B24"/>
    <w:rsid w:val="00D920F2"/>
    <w:rsid w:val="00D924BD"/>
    <w:rsid w:val="00D93A6B"/>
    <w:rsid w:val="00D9436C"/>
    <w:rsid w:val="00D94EB5"/>
    <w:rsid w:val="00D94EC2"/>
    <w:rsid w:val="00D96185"/>
    <w:rsid w:val="00D97744"/>
    <w:rsid w:val="00D97E55"/>
    <w:rsid w:val="00DA13C4"/>
    <w:rsid w:val="00DA3BAC"/>
    <w:rsid w:val="00DA4AF3"/>
    <w:rsid w:val="00DA4C18"/>
    <w:rsid w:val="00DA4D73"/>
    <w:rsid w:val="00DB1B37"/>
    <w:rsid w:val="00DB1BCD"/>
    <w:rsid w:val="00DB2380"/>
    <w:rsid w:val="00DB4B42"/>
    <w:rsid w:val="00DB642B"/>
    <w:rsid w:val="00DC1CAF"/>
    <w:rsid w:val="00DC3394"/>
    <w:rsid w:val="00DC355A"/>
    <w:rsid w:val="00DC4877"/>
    <w:rsid w:val="00DC5F9A"/>
    <w:rsid w:val="00DC6318"/>
    <w:rsid w:val="00DC6E18"/>
    <w:rsid w:val="00DD0FDD"/>
    <w:rsid w:val="00DD1D88"/>
    <w:rsid w:val="00DD1F64"/>
    <w:rsid w:val="00DD332F"/>
    <w:rsid w:val="00DD443C"/>
    <w:rsid w:val="00DD45D8"/>
    <w:rsid w:val="00DD4C6C"/>
    <w:rsid w:val="00DD5B3A"/>
    <w:rsid w:val="00DD6F4D"/>
    <w:rsid w:val="00DD6F69"/>
    <w:rsid w:val="00DD6FD7"/>
    <w:rsid w:val="00DD7323"/>
    <w:rsid w:val="00DD778E"/>
    <w:rsid w:val="00DD7DEC"/>
    <w:rsid w:val="00DE0467"/>
    <w:rsid w:val="00DE056F"/>
    <w:rsid w:val="00DE10A3"/>
    <w:rsid w:val="00DE184C"/>
    <w:rsid w:val="00DE309C"/>
    <w:rsid w:val="00DE3FC6"/>
    <w:rsid w:val="00DE4143"/>
    <w:rsid w:val="00DE4D50"/>
    <w:rsid w:val="00DE644D"/>
    <w:rsid w:val="00DE68D4"/>
    <w:rsid w:val="00DE6BAF"/>
    <w:rsid w:val="00DE7D47"/>
    <w:rsid w:val="00DF010F"/>
    <w:rsid w:val="00DF0512"/>
    <w:rsid w:val="00DF10CA"/>
    <w:rsid w:val="00DF1601"/>
    <w:rsid w:val="00DF3CB3"/>
    <w:rsid w:val="00DF51F9"/>
    <w:rsid w:val="00DF5486"/>
    <w:rsid w:val="00DF5A90"/>
    <w:rsid w:val="00DF68C6"/>
    <w:rsid w:val="00E0245B"/>
    <w:rsid w:val="00E02545"/>
    <w:rsid w:val="00E03390"/>
    <w:rsid w:val="00E035B2"/>
    <w:rsid w:val="00E049E2"/>
    <w:rsid w:val="00E04EC6"/>
    <w:rsid w:val="00E05908"/>
    <w:rsid w:val="00E06045"/>
    <w:rsid w:val="00E065F2"/>
    <w:rsid w:val="00E0706E"/>
    <w:rsid w:val="00E07089"/>
    <w:rsid w:val="00E0773F"/>
    <w:rsid w:val="00E10121"/>
    <w:rsid w:val="00E1039B"/>
    <w:rsid w:val="00E11018"/>
    <w:rsid w:val="00E117FB"/>
    <w:rsid w:val="00E12D56"/>
    <w:rsid w:val="00E12E7D"/>
    <w:rsid w:val="00E15625"/>
    <w:rsid w:val="00E15A17"/>
    <w:rsid w:val="00E15F9C"/>
    <w:rsid w:val="00E23F23"/>
    <w:rsid w:val="00E240D5"/>
    <w:rsid w:val="00E248B4"/>
    <w:rsid w:val="00E24D29"/>
    <w:rsid w:val="00E24E87"/>
    <w:rsid w:val="00E2569A"/>
    <w:rsid w:val="00E26790"/>
    <w:rsid w:val="00E30E02"/>
    <w:rsid w:val="00E3427D"/>
    <w:rsid w:val="00E347F0"/>
    <w:rsid w:val="00E356AA"/>
    <w:rsid w:val="00E3600F"/>
    <w:rsid w:val="00E370FF"/>
    <w:rsid w:val="00E40771"/>
    <w:rsid w:val="00E40D4E"/>
    <w:rsid w:val="00E40EFD"/>
    <w:rsid w:val="00E41791"/>
    <w:rsid w:val="00E424C5"/>
    <w:rsid w:val="00E429F4"/>
    <w:rsid w:val="00E43378"/>
    <w:rsid w:val="00E43896"/>
    <w:rsid w:val="00E43A55"/>
    <w:rsid w:val="00E450F3"/>
    <w:rsid w:val="00E46108"/>
    <w:rsid w:val="00E46BAD"/>
    <w:rsid w:val="00E477D7"/>
    <w:rsid w:val="00E516B7"/>
    <w:rsid w:val="00E51AE8"/>
    <w:rsid w:val="00E521C4"/>
    <w:rsid w:val="00E534A2"/>
    <w:rsid w:val="00E539CC"/>
    <w:rsid w:val="00E53D47"/>
    <w:rsid w:val="00E56D2F"/>
    <w:rsid w:val="00E60850"/>
    <w:rsid w:val="00E61DCD"/>
    <w:rsid w:val="00E64D0A"/>
    <w:rsid w:val="00E65981"/>
    <w:rsid w:val="00E66D83"/>
    <w:rsid w:val="00E70E3A"/>
    <w:rsid w:val="00E71371"/>
    <w:rsid w:val="00E73FA3"/>
    <w:rsid w:val="00E7409C"/>
    <w:rsid w:val="00E748BD"/>
    <w:rsid w:val="00E762E7"/>
    <w:rsid w:val="00E76694"/>
    <w:rsid w:val="00E76D64"/>
    <w:rsid w:val="00E76EDE"/>
    <w:rsid w:val="00E76F2D"/>
    <w:rsid w:val="00E76F88"/>
    <w:rsid w:val="00E800DA"/>
    <w:rsid w:val="00E80D8B"/>
    <w:rsid w:val="00E80F5B"/>
    <w:rsid w:val="00E810F4"/>
    <w:rsid w:val="00E81757"/>
    <w:rsid w:val="00E820D4"/>
    <w:rsid w:val="00E836BE"/>
    <w:rsid w:val="00E84A78"/>
    <w:rsid w:val="00E85C93"/>
    <w:rsid w:val="00E86419"/>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4216"/>
    <w:rsid w:val="00EA607F"/>
    <w:rsid w:val="00EA6BC9"/>
    <w:rsid w:val="00EA6FC1"/>
    <w:rsid w:val="00EA7237"/>
    <w:rsid w:val="00EA7D02"/>
    <w:rsid w:val="00EA7D9E"/>
    <w:rsid w:val="00EB0228"/>
    <w:rsid w:val="00EB049E"/>
    <w:rsid w:val="00EB0A47"/>
    <w:rsid w:val="00EB0B84"/>
    <w:rsid w:val="00EB37F6"/>
    <w:rsid w:val="00EB54EB"/>
    <w:rsid w:val="00EB7E8E"/>
    <w:rsid w:val="00EC03A7"/>
    <w:rsid w:val="00EC0D72"/>
    <w:rsid w:val="00EC24E2"/>
    <w:rsid w:val="00EC656D"/>
    <w:rsid w:val="00EC6F3C"/>
    <w:rsid w:val="00EC764F"/>
    <w:rsid w:val="00ED0498"/>
    <w:rsid w:val="00ED1AA2"/>
    <w:rsid w:val="00ED4484"/>
    <w:rsid w:val="00ED5385"/>
    <w:rsid w:val="00ED5BA1"/>
    <w:rsid w:val="00ED5F4B"/>
    <w:rsid w:val="00ED77EF"/>
    <w:rsid w:val="00ED79FA"/>
    <w:rsid w:val="00EE0D5E"/>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2CBC"/>
    <w:rsid w:val="00F03738"/>
    <w:rsid w:val="00F040E5"/>
    <w:rsid w:val="00F041FD"/>
    <w:rsid w:val="00F05169"/>
    <w:rsid w:val="00F052B4"/>
    <w:rsid w:val="00F05339"/>
    <w:rsid w:val="00F066FF"/>
    <w:rsid w:val="00F06DBD"/>
    <w:rsid w:val="00F06E60"/>
    <w:rsid w:val="00F079C0"/>
    <w:rsid w:val="00F10A08"/>
    <w:rsid w:val="00F10B16"/>
    <w:rsid w:val="00F10B88"/>
    <w:rsid w:val="00F12DCD"/>
    <w:rsid w:val="00F13FB8"/>
    <w:rsid w:val="00F15A7B"/>
    <w:rsid w:val="00F16D39"/>
    <w:rsid w:val="00F17D69"/>
    <w:rsid w:val="00F20613"/>
    <w:rsid w:val="00F21C4D"/>
    <w:rsid w:val="00F229B0"/>
    <w:rsid w:val="00F23BDF"/>
    <w:rsid w:val="00F24686"/>
    <w:rsid w:val="00F25134"/>
    <w:rsid w:val="00F26440"/>
    <w:rsid w:val="00F26C4C"/>
    <w:rsid w:val="00F27DF7"/>
    <w:rsid w:val="00F3180B"/>
    <w:rsid w:val="00F32760"/>
    <w:rsid w:val="00F32F26"/>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4368"/>
    <w:rsid w:val="00F468EE"/>
    <w:rsid w:val="00F46B47"/>
    <w:rsid w:val="00F46F12"/>
    <w:rsid w:val="00F47219"/>
    <w:rsid w:val="00F47DAB"/>
    <w:rsid w:val="00F5314C"/>
    <w:rsid w:val="00F536DF"/>
    <w:rsid w:val="00F53AF7"/>
    <w:rsid w:val="00F546E8"/>
    <w:rsid w:val="00F54BA6"/>
    <w:rsid w:val="00F56D34"/>
    <w:rsid w:val="00F605F2"/>
    <w:rsid w:val="00F60C18"/>
    <w:rsid w:val="00F61D6A"/>
    <w:rsid w:val="00F62815"/>
    <w:rsid w:val="00F63260"/>
    <w:rsid w:val="00F64078"/>
    <w:rsid w:val="00F670E5"/>
    <w:rsid w:val="00F67D42"/>
    <w:rsid w:val="00F67E55"/>
    <w:rsid w:val="00F70BE8"/>
    <w:rsid w:val="00F71B12"/>
    <w:rsid w:val="00F71E0E"/>
    <w:rsid w:val="00F73795"/>
    <w:rsid w:val="00F74A5A"/>
    <w:rsid w:val="00F74E94"/>
    <w:rsid w:val="00F75C98"/>
    <w:rsid w:val="00F76556"/>
    <w:rsid w:val="00F76AA7"/>
    <w:rsid w:val="00F80CD9"/>
    <w:rsid w:val="00F8225D"/>
    <w:rsid w:val="00F83EDA"/>
    <w:rsid w:val="00F8419D"/>
    <w:rsid w:val="00F856A0"/>
    <w:rsid w:val="00F86D47"/>
    <w:rsid w:val="00F901AF"/>
    <w:rsid w:val="00F9070A"/>
    <w:rsid w:val="00F90928"/>
    <w:rsid w:val="00F93581"/>
    <w:rsid w:val="00F9386E"/>
    <w:rsid w:val="00F93AE2"/>
    <w:rsid w:val="00F9470D"/>
    <w:rsid w:val="00F94A1E"/>
    <w:rsid w:val="00F94A46"/>
    <w:rsid w:val="00F956EF"/>
    <w:rsid w:val="00F95887"/>
    <w:rsid w:val="00FA2AF6"/>
    <w:rsid w:val="00FA416D"/>
    <w:rsid w:val="00FA62E4"/>
    <w:rsid w:val="00FA6C78"/>
    <w:rsid w:val="00FA704B"/>
    <w:rsid w:val="00FA7222"/>
    <w:rsid w:val="00FA7CED"/>
    <w:rsid w:val="00FB0352"/>
    <w:rsid w:val="00FB0877"/>
    <w:rsid w:val="00FB0E64"/>
    <w:rsid w:val="00FB0ED7"/>
    <w:rsid w:val="00FB145F"/>
    <w:rsid w:val="00FB2778"/>
    <w:rsid w:val="00FB3F6D"/>
    <w:rsid w:val="00FB669D"/>
    <w:rsid w:val="00FB6DEC"/>
    <w:rsid w:val="00FB6F5D"/>
    <w:rsid w:val="00FC0359"/>
    <w:rsid w:val="00FC0A75"/>
    <w:rsid w:val="00FC1136"/>
    <w:rsid w:val="00FC22EF"/>
    <w:rsid w:val="00FC3336"/>
    <w:rsid w:val="00FC388A"/>
    <w:rsid w:val="00FC5A37"/>
    <w:rsid w:val="00FC5AEA"/>
    <w:rsid w:val="00FC5F75"/>
    <w:rsid w:val="00FC69C6"/>
    <w:rsid w:val="00FC6B8E"/>
    <w:rsid w:val="00FC7020"/>
    <w:rsid w:val="00FC7591"/>
    <w:rsid w:val="00FD0A2B"/>
    <w:rsid w:val="00FD0C4B"/>
    <w:rsid w:val="00FD13E7"/>
    <w:rsid w:val="00FD1C15"/>
    <w:rsid w:val="00FD1FCE"/>
    <w:rsid w:val="00FD277F"/>
    <w:rsid w:val="00FD5779"/>
    <w:rsid w:val="00FD5BBB"/>
    <w:rsid w:val="00FD6815"/>
    <w:rsid w:val="00FD6ADE"/>
    <w:rsid w:val="00FD705E"/>
    <w:rsid w:val="00FD7609"/>
    <w:rsid w:val="00FE09F7"/>
    <w:rsid w:val="00FE127C"/>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2B3923"/>
    <w:rsid w:val="016C3D8E"/>
    <w:rsid w:val="01702D73"/>
    <w:rsid w:val="0174208A"/>
    <w:rsid w:val="0188685E"/>
    <w:rsid w:val="018D1B93"/>
    <w:rsid w:val="01A8450E"/>
    <w:rsid w:val="01BC1294"/>
    <w:rsid w:val="01C2207C"/>
    <w:rsid w:val="01C776E0"/>
    <w:rsid w:val="01CF13C4"/>
    <w:rsid w:val="01DB4E9F"/>
    <w:rsid w:val="01EB2BE1"/>
    <w:rsid w:val="02064BCD"/>
    <w:rsid w:val="02090068"/>
    <w:rsid w:val="0211252B"/>
    <w:rsid w:val="02263C2A"/>
    <w:rsid w:val="02273298"/>
    <w:rsid w:val="023F3EF2"/>
    <w:rsid w:val="02682FB0"/>
    <w:rsid w:val="027A6549"/>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F09AF"/>
    <w:rsid w:val="04611A78"/>
    <w:rsid w:val="046D3876"/>
    <w:rsid w:val="04701B8C"/>
    <w:rsid w:val="04826287"/>
    <w:rsid w:val="04A24AA9"/>
    <w:rsid w:val="04B17104"/>
    <w:rsid w:val="04C201F5"/>
    <w:rsid w:val="04C51222"/>
    <w:rsid w:val="04CB2483"/>
    <w:rsid w:val="04CC4CEF"/>
    <w:rsid w:val="04D63E4A"/>
    <w:rsid w:val="04EC6B31"/>
    <w:rsid w:val="04F06B51"/>
    <w:rsid w:val="04F811F7"/>
    <w:rsid w:val="052D3EE9"/>
    <w:rsid w:val="053E580B"/>
    <w:rsid w:val="05441E69"/>
    <w:rsid w:val="055D4726"/>
    <w:rsid w:val="0570795A"/>
    <w:rsid w:val="05723253"/>
    <w:rsid w:val="05762920"/>
    <w:rsid w:val="0576360E"/>
    <w:rsid w:val="057E3893"/>
    <w:rsid w:val="05896DC4"/>
    <w:rsid w:val="058F7672"/>
    <w:rsid w:val="05B44425"/>
    <w:rsid w:val="05BD0C12"/>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6B2218"/>
    <w:rsid w:val="07766587"/>
    <w:rsid w:val="07815C50"/>
    <w:rsid w:val="07B62C9C"/>
    <w:rsid w:val="07EA291F"/>
    <w:rsid w:val="080808A0"/>
    <w:rsid w:val="081508A2"/>
    <w:rsid w:val="081749A7"/>
    <w:rsid w:val="08211367"/>
    <w:rsid w:val="083E2F25"/>
    <w:rsid w:val="08437EF3"/>
    <w:rsid w:val="084B0A1E"/>
    <w:rsid w:val="08594498"/>
    <w:rsid w:val="085A7797"/>
    <w:rsid w:val="085D2441"/>
    <w:rsid w:val="08692312"/>
    <w:rsid w:val="08706A66"/>
    <w:rsid w:val="08751E5D"/>
    <w:rsid w:val="089036B7"/>
    <w:rsid w:val="089F7CA5"/>
    <w:rsid w:val="08B51453"/>
    <w:rsid w:val="08BD0EA0"/>
    <w:rsid w:val="08C064C0"/>
    <w:rsid w:val="08DB4B25"/>
    <w:rsid w:val="08E01BCE"/>
    <w:rsid w:val="08E216F0"/>
    <w:rsid w:val="08E26F45"/>
    <w:rsid w:val="08E3734A"/>
    <w:rsid w:val="08E702BF"/>
    <w:rsid w:val="08EA6987"/>
    <w:rsid w:val="09081B56"/>
    <w:rsid w:val="0922699A"/>
    <w:rsid w:val="09404248"/>
    <w:rsid w:val="0940701D"/>
    <w:rsid w:val="09440304"/>
    <w:rsid w:val="09551130"/>
    <w:rsid w:val="09725318"/>
    <w:rsid w:val="097D37AA"/>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6D3C90"/>
    <w:rsid w:val="0A9D519E"/>
    <w:rsid w:val="0A9E3A18"/>
    <w:rsid w:val="0AA94BEF"/>
    <w:rsid w:val="0ABB1E85"/>
    <w:rsid w:val="0ABE5888"/>
    <w:rsid w:val="0AC24A92"/>
    <w:rsid w:val="0AC534D0"/>
    <w:rsid w:val="0AC62D12"/>
    <w:rsid w:val="0AC7358C"/>
    <w:rsid w:val="0AFF6668"/>
    <w:rsid w:val="0B0D528C"/>
    <w:rsid w:val="0B1C1C00"/>
    <w:rsid w:val="0B1C6E34"/>
    <w:rsid w:val="0B1F4F7F"/>
    <w:rsid w:val="0B3253A5"/>
    <w:rsid w:val="0B326CC7"/>
    <w:rsid w:val="0B370769"/>
    <w:rsid w:val="0B3F16B2"/>
    <w:rsid w:val="0B562DAC"/>
    <w:rsid w:val="0B702D58"/>
    <w:rsid w:val="0B75201D"/>
    <w:rsid w:val="0B813677"/>
    <w:rsid w:val="0B8575F9"/>
    <w:rsid w:val="0BA42587"/>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6F5DE9"/>
    <w:rsid w:val="0C89400B"/>
    <w:rsid w:val="0C8B6B05"/>
    <w:rsid w:val="0C8F5CD8"/>
    <w:rsid w:val="0C9469DE"/>
    <w:rsid w:val="0C976EF0"/>
    <w:rsid w:val="0C9873D4"/>
    <w:rsid w:val="0CA1259A"/>
    <w:rsid w:val="0CAF6A80"/>
    <w:rsid w:val="0CB0214B"/>
    <w:rsid w:val="0CC422C0"/>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E2A3D48"/>
    <w:rsid w:val="0E48217E"/>
    <w:rsid w:val="0E4C6690"/>
    <w:rsid w:val="0E666C91"/>
    <w:rsid w:val="0EA73C6D"/>
    <w:rsid w:val="0EAC1173"/>
    <w:rsid w:val="0EB02422"/>
    <w:rsid w:val="0EB5640F"/>
    <w:rsid w:val="0EB8426F"/>
    <w:rsid w:val="0EBB3A4B"/>
    <w:rsid w:val="0EBB3D1D"/>
    <w:rsid w:val="0EC23B23"/>
    <w:rsid w:val="0EDF6D79"/>
    <w:rsid w:val="0EF27A89"/>
    <w:rsid w:val="0EFB3355"/>
    <w:rsid w:val="0F0D19D8"/>
    <w:rsid w:val="0F217D15"/>
    <w:rsid w:val="0F321715"/>
    <w:rsid w:val="0F3E131E"/>
    <w:rsid w:val="0F471525"/>
    <w:rsid w:val="0F5977B6"/>
    <w:rsid w:val="0F6A0D23"/>
    <w:rsid w:val="0F735BF1"/>
    <w:rsid w:val="0FAF385C"/>
    <w:rsid w:val="0FBF197F"/>
    <w:rsid w:val="0FC32FB3"/>
    <w:rsid w:val="0FF54C4D"/>
    <w:rsid w:val="1005432D"/>
    <w:rsid w:val="1009448F"/>
    <w:rsid w:val="102313C5"/>
    <w:rsid w:val="102C4A8E"/>
    <w:rsid w:val="1060768A"/>
    <w:rsid w:val="10616FD4"/>
    <w:rsid w:val="10726AB1"/>
    <w:rsid w:val="10951CC5"/>
    <w:rsid w:val="10BD62F9"/>
    <w:rsid w:val="10D4264C"/>
    <w:rsid w:val="10DD707D"/>
    <w:rsid w:val="10DF592B"/>
    <w:rsid w:val="10E636FF"/>
    <w:rsid w:val="10F57129"/>
    <w:rsid w:val="11175E42"/>
    <w:rsid w:val="111854A2"/>
    <w:rsid w:val="112231F4"/>
    <w:rsid w:val="11290272"/>
    <w:rsid w:val="114A7AE3"/>
    <w:rsid w:val="118A1992"/>
    <w:rsid w:val="119F755E"/>
    <w:rsid w:val="11A23697"/>
    <w:rsid w:val="11B322D4"/>
    <w:rsid w:val="11B72EF1"/>
    <w:rsid w:val="11B82A44"/>
    <w:rsid w:val="11BA669D"/>
    <w:rsid w:val="11BC0ABD"/>
    <w:rsid w:val="11CA5AA2"/>
    <w:rsid w:val="11D973BC"/>
    <w:rsid w:val="11DA0BCE"/>
    <w:rsid w:val="11F53E16"/>
    <w:rsid w:val="12113CC6"/>
    <w:rsid w:val="121B516A"/>
    <w:rsid w:val="12231D95"/>
    <w:rsid w:val="12312C85"/>
    <w:rsid w:val="123C702A"/>
    <w:rsid w:val="12441B06"/>
    <w:rsid w:val="1249182D"/>
    <w:rsid w:val="125B2E40"/>
    <w:rsid w:val="12877439"/>
    <w:rsid w:val="129725E9"/>
    <w:rsid w:val="12B343B2"/>
    <w:rsid w:val="12C6402B"/>
    <w:rsid w:val="12C86981"/>
    <w:rsid w:val="12CF4C41"/>
    <w:rsid w:val="12DD1218"/>
    <w:rsid w:val="12FD6E69"/>
    <w:rsid w:val="130E0A9E"/>
    <w:rsid w:val="13270EFD"/>
    <w:rsid w:val="13384EBF"/>
    <w:rsid w:val="13401D7B"/>
    <w:rsid w:val="13450C06"/>
    <w:rsid w:val="134E59DE"/>
    <w:rsid w:val="137F762D"/>
    <w:rsid w:val="138D3A49"/>
    <w:rsid w:val="13BC5F47"/>
    <w:rsid w:val="13C76AD9"/>
    <w:rsid w:val="13D24932"/>
    <w:rsid w:val="13DF2F86"/>
    <w:rsid w:val="13E16550"/>
    <w:rsid w:val="13E97AE8"/>
    <w:rsid w:val="13EE5A17"/>
    <w:rsid w:val="1406065E"/>
    <w:rsid w:val="140E6A2C"/>
    <w:rsid w:val="142C50B5"/>
    <w:rsid w:val="143417A2"/>
    <w:rsid w:val="143E3F4A"/>
    <w:rsid w:val="144B6AEB"/>
    <w:rsid w:val="14576A07"/>
    <w:rsid w:val="146C05D1"/>
    <w:rsid w:val="14774747"/>
    <w:rsid w:val="147A40E5"/>
    <w:rsid w:val="14B645DD"/>
    <w:rsid w:val="14CF6367"/>
    <w:rsid w:val="14FE3308"/>
    <w:rsid w:val="1506170C"/>
    <w:rsid w:val="15304C6C"/>
    <w:rsid w:val="154A5A8D"/>
    <w:rsid w:val="156F1D08"/>
    <w:rsid w:val="15823A3D"/>
    <w:rsid w:val="15946B6F"/>
    <w:rsid w:val="15B071CF"/>
    <w:rsid w:val="15D5286E"/>
    <w:rsid w:val="15F21A3A"/>
    <w:rsid w:val="15F36591"/>
    <w:rsid w:val="15F5236F"/>
    <w:rsid w:val="15FE48A1"/>
    <w:rsid w:val="1606188B"/>
    <w:rsid w:val="160A0F52"/>
    <w:rsid w:val="160C313A"/>
    <w:rsid w:val="160C4353"/>
    <w:rsid w:val="162843BF"/>
    <w:rsid w:val="16346A72"/>
    <w:rsid w:val="1639477A"/>
    <w:rsid w:val="16450461"/>
    <w:rsid w:val="16565231"/>
    <w:rsid w:val="166C5AE0"/>
    <w:rsid w:val="16756ED4"/>
    <w:rsid w:val="167911A4"/>
    <w:rsid w:val="168C097C"/>
    <w:rsid w:val="16A57952"/>
    <w:rsid w:val="16C31A06"/>
    <w:rsid w:val="16CC6C81"/>
    <w:rsid w:val="16D534FC"/>
    <w:rsid w:val="16FD7C84"/>
    <w:rsid w:val="17053FFF"/>
    <w:rsid w:val="1710641E"/>
    <w:rsid w:val="1714609D"/>
    <w:rsid w:val="171B2DF6"/>
    <w:rsid w:val="17497D3D"/>
    <w:rsid w:val="174D2D72"/>
    <w:rsid w:val="17504F3A"/>
    <w:rsid w:val="175B185B"/>
    <w:rsid w:val="17614581"/>
    <w:rsid w:val="1765436B"/>
    <w:rsid w:val="177249E0"/>
    <w:rsid w:val="17862906"/>
    <w:rsid w:val="179130B8"/>
    <w:rsid w:val="179768AD"/>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582F79"/>
    <w:rsid w:val="1A637597"/>
    <w:rsid w:val="1A64443B"/>
    <w:rsid w:val="1A690D88"/>
    <w:rsid w:val="1A8628C5"/>
    <w:rsid w:val="1A9D3EBF"/>
    <w:rsid w:val="1AA4068A"/>
    <w:rsid w:val="1AB04A42"/>
    <w:rsid w:val="1AB674F6"/>
    <w:rsid w:val="1ABC7B11"/>
    <w:rsid w:val="1ABD335D"/>
    <w:rsid w:val="1AF8344E"/>
    <w:rsid w:val="1B0516FC"/>
    <w:rsid w:val="1B1D35F1"/>
    <w:rsid w:val="1B261436"/>
    <w:rsid w:val="1B415EF7"/>
    <w:rsid w:val="1B441B4B"/>
    <w:rsid w:val="1B524CFD"/>
    <w:rsid w:val="1B8F198C"/>
    <w:rsid w:val="1B932E9D"/>
    <w:rsid w:val="1BB75B29"/>
    <w:rsid w:val="1BCA400A"/>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759EA"/>
    <w:rsid w:val="1CFB039E"/>
    <w:rsid w:val="1D5E6460"/>
    <w:rsid w:val="1D5F31C0"/>
    <w:rsid w:val="1D894D3C"/>
    <w:rsid w:val="1D8B75A9"/>
    <w:rsid w:val="1D9B1DF7"/>
    <w:rsid w:val="1DA51865"/>
    <w:rsid w:val="1DAA6B76"/>
    <w:rsid w:val="1DC46FF2"/>
    <w:rsid w:val="1DE25941"/>
    <w:rsid w:val="1DF338DF"/>
    <w:rsid w:val="1DF563BD"/>
    <w:rsid w:val="1E0D2F8B"/>
    <w:rsid w:val="1E157441"/>
    <w:rsid w:val="1E492823"/>
    <w:rsid w:val="1E6F1FB2"/>
    <w:rsid w:val="1E6F3637"/>
    <w:rsid w:val="1E7C28E8"/>
    <w:rsid w:val="1E7D2B5A"/>
    <w:rsid w:val="1E827D7E"/>
    <w:rsid w:val="1E8534F8"/>
    <w:rsid w:val="1E9721B3"/>
    <w:rsid w:val="1E9A240C"/>
    <w:rsid w:val="1E9A6994"/>
    <w:rsid w:val="1EA86A96"/>
    <w:rsid w:val="1EBF1537"/>
    <w:rsid w:val="1EC56616"/>
    <w:rsid w:val="1F3A1DB1"/>
    <w:rsid w:val="1F3D4D6E"/>
    <w:rsid w:val="1F4C2D8C"/>
    <w:rsid w:val="1F60412E"/>
    <w:rsid w:val="1F6720F9"/>
    <w:rsid w:val="1F6C447F"/>
    <w:rsid w:val="1F6C6915"/>
    <w:rsid w:val="1F6F0C8C"/>
    <w:rsid w:val="1F7258E1"/>
    <w:rsid w:val="1F7D76DF"/>
    <w:rsid w:val="1F8C1EF8"/>
    <w:rsid w:val="1F8D6A01"/>
    <w:rsid w:val="1F971487"/>
    <w:rsid w:val="1F977814"/>
    <w:rsid w:val="1F9B50FB"/>
    <w:rsid w:val="1FB91067"/>
    <w:rsid w:val="1FBE071B"/>
    <w:rsid w:val="1FC2289A"/>
    <w:rsid w:val="1FC23276"/>
    <w:rsid w:val="1FC85BAB"/>
    <w:rsid w:val="1FC95279"/>
    <w:rsid w:val="1FD43313"/>
    <w:rsid w:val="1FF17C2B"/>
    <w:rsid w:val="1FFF4E7B"/>
    <w:rsid w:val="2018207F"/>
    <w:rsid w:val="202B6F7B"/>
    <w:rsid w:val="20323E6A"/>
    <w:rsid w:val="204A0ACB"/>
    <w:rsid w:val="20586827"/>
    <w:rsid w:val="20702B26"/>
    <w:rsid w:val="20780093"/>
    <w:rsid w:val="20907043"/>
    <w:rsid w:val="2091709B"/>
    <w:rsid w:val="20B81A77"/>
    <w:rsid w:val="20B84F06"/>
    <w:rsid w:val="20BE6AB2"/>
    <w:rsid w:val="20E36096"/>
    <w:rsid w:val="21030F54"/>
    <w:rsid w:val="21033A9A"/>
    <w:rsid w:val="2109527E"/>
    <w:rsid w:val="213D6CC6"/>
    <w:rsid w:val="21636D7B"/>
    <w:rsid w:val="216F71FD"/>
    <w:rsid w:val="21914B24"/>
    <w:rsid w:val="21C87D97"/>
    <w:rsid w:val="21C961E4"/>
    <w:rsid w:val="21CA3166"/>
    <w:rsid w:val="21CF326F"/>
    <w:rsid w:val="21D8702B"/>
    <w:rsid w:val="21DF6586"/>
    <w:rsid w:val="21F74154"/>
    <w:rsid w:val="220A22BA"/>
    <w:rsid w:val="22180C02"/>
    <w:rsid w:val="222372A0"/>
    <w:rsid w:val="222C0C55"/>
    <w:rsid w:val="222F0FA7"/>
    <w:rsid w:val="222F46EE"/>
    <w:rsid w:val="22753E0A"/>
    <w:rsid w:val="227919AA"/>
    <w:rsid w:val="22811DE4"/>
    <w:rsid w:val="22814045"/>
    <w:rsid w:val="22A30143"/>
    <w:rsid w:val="22A42B75"/>
    <w:rsid w:val="22B62C3D"/>
    <w:rsid w:val="22BE307F"/>
    <w:rsid w:val="22C30C00"/>
    <w:rsid w:val="22D24498"/>
    <w:rsid w:val="22EA7B20"/>
    <w:rsid w:val="22F95FB5"/>
    <w:rsid w:val="23022971"/>
    <w:rsid w:val="2304021D"/>
    <w:rsid w:val="23105139"/>
    <w:rsid w:val="231F4C56"/>
    <w:rsid w:val="23251948"/>
    <w:rsid w:val="23372B85"/>
    <w:rsid w:val="233740CD"/>
    <w:rsid w:val="2342491A"/>
    <w:rsid w:val="234E7127"/>
    <w:rsid w:val="23521D38"/>
    <w:rsid w:val="23613237"/>
    <w:rsid w:val="23616034"/>
    <w:rsid w:val="23677B55"/>
    <w:rsid w:val="237F49BB"/>
    <w:rsid w:val="23816D3F"/>
    <w:rsid w:val="23856A36"/>
    <w:rsid w:val="23A10B26"/>
    <w:rsid w:val="23A72E6D"/>
    <w:rsid w:val="23AA0742"/>
    <w:rsid w:val="23B12D40"/>
    <w:rsid w:val="23B20D3E"/>
    <w:rsid w:val="23C506D5"/>
    <w:rsid w:val="23C84470"/>
    <w:rsid w:val="23DD01B9"/>
    <w:rsid w:val="240F6896"/>
    <w:rsid w:val="2425734F"/>
    <w:rsid w:val="24393FFA"/>
    <w:rsid w:val="24582D0C"/>
    <w:rsid w:val="245D3D13"/>
    <w:rsid w:val="2469029B"/>
    <w:rsid w:val="24695D13"/>
    <w:rsid w:val="246F05F7"/>
    <w:rsid w:val="24754746"/>
    <w:rsid w:val="247B7BAD"/>
    <w:rsid w:val="24A4671B"/>
    <w:rsid w:val="24B753DA"/>
    <w:rsid w:val="24D87048"/>
    <w:rsid w:val="24D87381"/>
    <w:rsid w:val="24DB52FC"/>
    <w:rsid w:val="24E47DD8"/>
    <w:rsid w:val="25233450"/>
    <w:rsid w:val="25272813"/>
    <w:rsid w:val="253E5A1B"/>
    <w:rsid w:val="2542408E"/>
    <w:rsid w:val="2558593D"/>
    <w:rsid w:val="255A64F0"/>
    <w:rsid w:val="256F366E"/>
    <w:rsid w:val="258745AB"/>
    <w:rsid w:val="259B5417"/>
    <w:rsid w:val="25A345C7"/>
    <w:rsid w:val="25BA0083"/>
    <w:rsid w:val="25C62C10"/>
    <w:rsid w:val="260F10C4"/>
    <w:rsid w:val="26312206"/>
    <w:rsid w:val="26386ABC"/>
    <w:rsid w:val="263E0227"/>
    <w:rsid w:val="26451DDC"/>
    <w:rsid w:val="26540875"/>
    <w:rsid w:val="26572E04"/>
    <w:rsid w:val="265A302E"/>
    <w:rsid w:val="268D1231"/>
    <w:rsid w:val="26995E1A"/>
    <w:rsid w:val="26A60B05"/>
    <w:rsid w:val="26BC1123"/>
    <w:rsid w:val="26EF0BA1"/>
    <w:rsid w:val="27124CDE"/>
    <w:rsid w:val="273B5402"/>
    <w:rsid w:val="273C3E45"/>
    <w:rsid w:val="274D57E8"/>
    <w:rsid w:val="27584838"/>
    <w:rsid w:val="275B152E"/>
    <w:rsid w:val="275F0664"/>
    <w:rsid w:val="27605DF0"/>
    <w:rsid w:val="276E3AFE"/>
    <w:rsid w:val="27737039"/>
    <w:rsid w:val="27791188"/>
    <w:rsid w:val="27A87CA4"/>
    <w:rsid w:val="27EC1425"/>
    <w:rsid w:val="280669D8"/>
    <w:rsid w:val="280E08E2"/>
    <w:rsid w:val="2820402B"/>
    <w:rsid w:val="283413A6"/>
    <w:rsid w:val="286A598B"/>
    <w:rsid w:val="2874353A"/>
    <w:rsid w:val="28810504"/>
    <w:rsid w:val="288D28A0"/>
    <w:rsid w:val="288D6D08"/>
    <w:rsid w:val="28B36B23"/>
    <w:rsid w:val="28B40502"/>
    <w:rsid w:val="28C223DE"/>
    <w:rsid w:val="28C22C4B"/>
    <w:rsid w:val="28CD08FE"/>
    <w:rsid w:val="28DE60CD"/>
    <w:rsid w:val="28F71147"/>
    <w:rsid w:val="29321D97"/>
    <w:rsid w:val="29694A41"/>
    <w:rsid w:val="29854667"/>
    <w:rsid w:val="2999700F"/>
    <w:rsid w:val="299C1F80"/>
    <w:rsid w:val="29BB5357"/>
    <w:rsid w:val="29C06B34"/>
    <w:rsid w:val="29C14785"/>
    <w:rsid w:val="29DD07EB"/>
    <w:rsid w:val="29E73928"/>
    <w:rsid w:val="29F96867"/>
    <w:rsid w:val="29FE19BA"/>
    <w:rsid w:val="2A0D31C6"/>
    <w:rsid w:val="2A156AF0"/>
    <w:rsid w:val="2A1E196F"/>
    <w:rsid w:val="2A3D0A69"/>
    <w:rsid w:val="2A3F34CF"/>
    <w:rsid w:val="2A576519"/>
    <w:rsid w:val="2A5C3BA7"/>
    <w:rsid w:val="2A650DC0"/>
    <w:rsid w:val="2A6571D9"/>
    <w:rsid w:val="2A7D5EE3"/>
    <w:rsid w:val="2A9F5694"/>
    <w:rsid w:val="2AB51E86"/>
    <w:rsid w:val="2ABB16D3"/>
    <w:rsid w:val="2AC21E7D"/>
    <w:rsid w:val="2AC77008"/>
    <w:rsid w:val="2AF63DBB"/>
    <w:rsid w:val="2AFC0493"/>
    <w:rsid w:val="2B117844"/>
    <w:rsid w:val="2B244005"/>
    <w:rsid w:val="2B344690"/>
    <w:rsid w:val="2B4E043B"/>
    <w:rsid w:val="2B501478"/>
    <w:rsid w:val="2B717896"/>
    <w:rsid w:val="2B7353EA"/>
    <w:rsid w:val="2B835C97"/>
    <w:rsid w:val="2B852663"/>
    <w:rsid w:val="2B917598"/>
    <w:rsid w:val="2BA74BE2"/>
    <w:rsid w:val="2BD44729"/>
    <w:rsid w:val="2BE0448D"/>
    <w:rsid w:val="2BEE68D3"/>
    <w:rsid w:val="2BF2058C"/>
    <w:rsid w:val="2BF259E2"/>
    <w:rsid w:val="2C044214"/>
    <w:rsid w:val="2C053456"/>
    <w:rsid w:val="2C2579E8"/>
    <w:rsid w:val="2C3B57A4"/>
    <w:rsid w:val="2C3D0672"/>
    <w:rsid w:val="2C4922BA"/>
    <w:rsid w:val="2C6E5BE6"/>
    <w:rsid w:val="2C997D1F"/>
    <w:rsid w:val="2CAD6701"/>
    <w:rsid w:val="2CCC5FED"/>
    <w:rsid w:val="2CCF2078"/>
    <w:rsid w:val="2CE528D0"/>
    <w:rsid w:val="2CEB5D27"/>
    <w:rsid w:val="2CFA7FE4"/>
    <w:rsid w:val="2D030DC3"/>
    <w:rsid w:val="2D095E18"/>
    <w:rsid w:val="2D43177C"/>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52339"/>
    <w:rsid w:val="2E5B6362"/>
    <w:rsid w:val="2E615D08"/>
    <w:rsid w:val="2E6C6861"/>
    <w:rsid w:val="2E781782"/>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43F8A"/>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73AF4"/>
    <w:rsid w:val="30BB364D"/>
    <w:rsid w:val="30C43E45"/>
    <w:rsid w:val="30CF509D"/>
    <w:rsid w:val="31067E7B"/>
    <w:rsid w:val="310E5FB5"/>
    <w:rsid w:val="31187A66"/>
    <w:rsid w:val="311D6212"/>
    <w:rsid w:val="31262BBA"/>
    <w:rsid w:val="31403265"/>
    <w:rsid w:val="31411D99"/>
    <w:rsid w:val="314C2989"/>
    <w:rsid w:val="316A3A43"/>
    <w:rsid w:val="317642CF"/>
    <w:rsid w:val="317654F8"/>
    <w:rsid w:val="318A7B30"/>
    <w:rsid w:val="31974C9E"/>
    <w:rsid w:val="31A262FD"/>
    <w:rsid w:val="31B40C75"/>
    <w:rsid w:val="31B64731"/>
    <w:rsid w:val="31BF11AD"/>
    <w:rsid w:val="31C56C6F"/>
    <w:rsid w:val="31C7383D"/>
    <w:rsid w:val="31C77AD7"/>
    <w:rsid w:val="31D12B73"/>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1964B7"/>
    <w:rsid w:val="34207020"/>
    <w:rsid w:val="34341AA0"/>
    <w:rsid w:val="343B04DD"/>
    <w:rsid w:val="34534056"/>
    <w:rsid w:val="34567B7B"/>
    <w:rsid w:val="345A1B9E"/>
    <w:rsid w:val="348E6394"/>
    <w:rsid w:val="34B63A90"/>
    <w:rsid w:val="34C7150A"/>
    <w:rsid w:val="34D1182B"/>
    <w:rsid w:val="35072CEF"/>
    <w:rsid w:val="351F2985"/>
    <w:rsid w:val="354F72C2"/>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11A21"/>
    <w:rsid w:val="36361890"/>
    <w:rsid w:val="364E1314"/>
    <w:rsid w:val="3658064C"/>
    <w:rsid w:val="36693D28"/>
    <w:rsid w:val="366F1447"/>
    <w:rsid w:val="367F78CD"/>
    <w:rsid w:val="368A4D4A"/>
    <w:rsid w:val="368C52E8"/>
    <w:rsid w:val="369D3ED8"/>
    <w:rsid w:val="36AF4BCB"/>
    <w:rsid w:val="36BE1A6B"/>
    <w:rsid w:val="36C97D97"/>
    <w:rsid w:val="36DB1B0B"/>
    <w:rsid w:val="36EA0D6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D52F37"/>
    <w:rsid w:val="37DF616E"/>
    <w:rsid w:val="37ED6965"/>
    <w:rsid w:val="381F5D04"/>
    <w:rsid w:val="38420EEC"/>
    <w:rsid w:val="384E431A"/>
    <w:rsid w:val="38562FAB"/>
    <w:rsid w:val="38606CE0"/>
    <w:rsid w:val="386D62E0"/>
    <w:rsid w:val="38704A02"/>
    <w:rsid w:val="38714C38"/>
    <w:rsid w:val="388A441C"/>
    <w:rsid w:val="38B439AB"/>
    <w:rsid w:val="38D073A9"/>
    <w:rsid w:val="38E4723D"/>
    <w:rsid w:val="38EC013B"/>
    <w:rsid w:val="3904328E"/>
    <w:rsid w:val="390C4BB8"/>
    <w:rsid w:val="3914330A"/>
    <w:rsid w:val="3925101A"/>
    <w:rsid w:val="395122B2"/>
    <w:rsid w:val="3951491A"/>
    <w:rsid w:val="39625FC8"/>
    <w:rsid w:val="39633820"/>
    <w:rsid w:val="396E45E5"/>
    <w:rsid w:val="398A730D"/>
    <w:rsid w:val="399D5069"/>
    <w:rsid w:val="39BA1BA2"/>
    <w:rsid w:val="39BF445A"/>
    <w:rsid w:val="39C8479B"/>
    <w:rsid w:val="39E555E3"/>
    <w:rsid w:val="39E81D16"/>
    <w:rsid w:val="39E93843"/>
    <w:rsid w:val="3A093664"/>
    <w:rsid w:val="3A0D7F05"/>
    <w:rsid w:val="3A400A75"/>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7796F"/>
    <w:rsid w:val="3B0E5A2C"/>
    <w:rsid w:val="3B241944"/>
    <w:rsid w:val="3B54788C"/>
    <w:rsid w:val="3B5F76F5"/>
    <w:rsid w:val="3B6177D3"/>
    <w:rsid w:val="3B640142"/>
    <w:rsid w:val="3B700ED6"/>
    <w:rsid w:val="3B775D80"/>
    <w:rsid w:val="3B920E16"/>
    <w:rsid w:val="3BAA64D6"/>
    <w:rsid w:val="3BBC7ABA"/>
    <w:rsid w:val="3BC43E29"/>
    <w:rsid w:val="3C032B8A"/>
    <w:rsid w:val="3C1C05FF"/>
    <w:rsid w:val="3C324A5D"/>
    <w:rsid w:val="3C3B1FBA"/>
    <w:rsid w:val="3C3B7D13"/>
    <w:rsid w:val="3C467733"/>
    <w:rsid w:val="3C4F32DD"/>
    <w:rsid w:val="3C5D77C4"/>
    <w:rsid w:val="3C6651F7"/>
    <w:rsid w:val="3C68076E"/>
    <w:rsid w:val="3C7448C1"/>
    <w:rsid w:val="3C771162"/>
    <w:rsid w:val="3C8F469B"/>
    <w:rsid w:val="3C955239"/>
    <w:rsid w:val="3C986F76"/>
    <w:rsid w:val="3CAD5BC0"/>
    <w:rsid w:val="3CBE5019"/>
    <w:rsid w:val="3CCB2283"/>
    <w:rsid w:val="3CD363A6"/>
    <w:rsid w:val="3CE31817"/>
    <w:rsid w:val="3CEA0C86"/>
    <w:rsid w:val="3CEE5B3A"/>
    <w:rsid w:val="3CFC3D7C"/>
    <w:rsid w:val="3CFE1C8B"/>
    <w:rsid w:val="3D016725"/>
    <w:rsid w:val="3D0A7209"/>
    <w:rsid w:val="3D0F7DF5"/>
    <w:rsid w:val="3D220E7D"/>
    <w:rsid w:val="3D502711"/>
    <w:rsid w:val="3D510A70"/>
    <w:rsid w:val="3D547F1F"/>
    <w:rsid w:val="3D5C0385"/>
    <w:rsid w:val="3D5F0191"/>
    <w:rsid w:val="3D6253C5"/>
    <w:rsid w:val="3D6F4667"/>
    <w:rsid w:val="3D725A53"/>
    <w:rsid w:val="3D9A5BD2"/>
    <w:rsid w:val="3DAC026A"/>
    <w:rsid w:val="3DB34D94"/>
    <w:rsid w:val="3DCA0564"/>
    <w:rsid w:val="3DDD556C"/>
    <w:rsid w:val="3DE8419C"/>
    <w:rsid w:val="3DEB5DCE"/>
    <w:rsid w:val="3E0B5732"/>
    <w:rsid w:val="3E3B533C"/>
    <w:rsid w:val="3E6137E1"/>
    <w:rsid w:val="3E665A51"/>
    <w:rsid w:val="3E692E72"/>
    <w:rsid w:val="3E7D3335"/>
    <w:rsid w:val="3E851149"/>
    <w:rsid w:val="3E973062"/>
    <w:rsid w:val="3E9B56C3"/>
    <w:rsid w:val="3EAE65CE"/>
    <w:rsid w:val="3EBD7715"/>
    <w:rsid w:val="3EBF0128"/>
    <w:rsid w:val="3EE635DA"/>
    <w:rsid w:val="3EF10DF1"/>
    <w:rsid w:val="3EFC1673"/>
    <w:rsid w:val="3F000844"/>
    <w:rsid w:val="3F027066"/>
    <w:rsid w:val="3F0726FB"/>
    <w:rsid w:val="3F18407C"/>
    <w:rsid w:val="3F204392"/>
    <w:rsid w:val="3F3E53F2"/>
    <w:rsid w:val="3F4140B4"/>
    <w:rsid w:val="3F43173A"/>
    <w:rsid w:val="3F877D8F"/>
    <w:rsid w:val="3F9139AD"/>
    <w:rsid w:val="3FAF1D15"/>
    <w:rsid w:val="3FBD4959"/>
    <w:rsid w:val="3FCB1EEC"/>
    <w:rsid w:val="3FCD7F00"/>
    <w:rsid w:val="3FEB1D1B"/>
    <w:rsid w:val="3FED1D39"/>
    <w:rsid w:val="3FFC74D6"/>
    <w:rsid w:val="400141B7"/>
    <w:rsid w:val="40032049"/>
    <w:rsid w:val="40124984"/>
    <w:rsid w:val="40201A50"/>
    <w:rsid w:val="40307D52"/>
    <w:rsid w:val="403E4DBF"/>
    <w:rsid w:val="40442975"/>
    <w:rsid w:val="405B0584"/>
    <w:rsid w:val="40647F02"/>
    <w:rsid w:val="406835CB"/>
    <w:rsid w:val="407856CA"/>
    <w:rsid w:val="40806DBD"/>
    <w:rsid w:val="408779EB"/>
    <w:rsid w:val="408F2CC6"/>
    <w:rsid w:val="40947A5F"/>
    <w:rsid w:val="4098608C"/>
    <w:rsid w:val="40A2014F"/>
    <w:rsid w:val="40A434CC"/>
    <w:rsid w:val="40A84A20"/>
    <w:rsid w:val="40AC43A4"/>
    <w:rsid w:val="40B44059"/>
    <w:rsid w:val="40BC0428"/>
    <w:rsid w:val="40BD6488"/>
    <w:rsid w:val="40C60C7C"/>
    <w:rsid w:val="40CC5B1A"/>
    <w:rsid w:val="41174D77"/>
    <w:rsid w:val="41364669"/>
    <w:rsid w:val="41545FF1"/>
    <w:rsid w:val="4174619E"/>
    <w:rsid w:val="418A540F"/>
    <w:rsid w:val="41B81A4B"/>
    <w:rsid w:val="41C142DB"/>
    <w:rsid w:val="41CB60F4"/>
    <w:rsid w:val="41D63219"/>
    <w:rsid w:val="41E631F1"/>
    <w:rsid w:val="41F00EBF"/>
    <w:rsid w:val="421637D4"/>
    <w:rsid w:val="42367B8F"/>
    <w:rsid w:val="42430868"/>
    <w:rsid w:val="424D59C6"/>
    <w:rsid w:val="42875F49"/>
    <w:rsid w:val="42CC379C"/>
    <w:rsid w:val="42D15BE8"/>
    <w:rsid w:val="42D259CD"/>
    <w:rsid w:val="430E203F"/>
    <w:rsid w:val="43175D05"/>
    <w:rsid w:val="431762B8"/>
    <w:rsid w:val="431E5D7A"/>
    <w:rsid w:val="432013FB"/>
    <w:rsid w:val="432E60A8"/>
    <w:rsid w:val="43314424"/>
    <w:rsid w:val="43364B9B"/>
    <w:rsid w:val="43406531"/>
    <w:rsid w:val="434331FA"/>
    <w:rsid w:val="436113EA"/>
    <w:rsid w:val="43841533"/>
    <w:rsid w:val="438B33AE"/>
    <w:rsid w:val="438E0CDB"/>
    <w:rsid w:val="439B737F"/>
    <w:rsid w:val="43A079C1"/>
    <w:rsid w:val="43C62ADF"/>
    <w:rsid w:val="43E279FF"/>
    <w:rsid w:val="43E702A1"/>
    <w:rsid w:val="43F92F27"/>
    <w:rsid w:val="441E7344"/>
    <w:rsid w:val="442F4789"/>
    <w:rsid w:val="44392250"/>
    <w:rsid w:val="44690CC8"/>
    <w:rsid w:val="446C2AA4"/>
    <w:rsid w:val="447104C6"/>
    <w:rsid w:val="447A5EDE"/>
    <w:rsid w:val="448A4A98"/>
    <w:rsid w:val="449B3BBD"/>
    <w:rsid w:val="44BB35ED"/>
    <w:rsid w:val="44D505C5"/>
    <w:rsid w:val="450A0AA9"/>
    <w:rsid w:val="451E2EFD"/>
    <w:rsid w:val="451F5984"/>
    <w:rsid w:val="45276081"/>
    <w:rsid w:val="45340FC1"/>
    <w:rsid w:val="4545457C"/>
    <w:rsid w:val="455029A9"/>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310D8"/>
    <w:rsid w:val="472520BD"/>
    <w:rsid w:val="47315579"/>
    <w:rsid w:val="47370D5C"/>
    <w:rsid w:val="47473BF4"/>
    <w:rsid w:val="474D343B"/>
    <w:rsid w:val="475F29BB"/>
    <w:rsid w:val="4770372A"/>
    <w:rsid w:val="478C4FF0"/>
    <w:rsid w:val="47943893"/>
    <w:rsid w:val="47A33AD8"/>
    <w:rsid w:val="47A9447F"/>
    <w:rsid w:val="47AB4803"/>
    <w:rsid w:val="47AF314A"/>
    <w:rsid w:val="47DF6F1B"/>
    <w:rsid w:val="47E00D01"/>
    <w:rsid w:val="47E84AB8"/>
    <w:rsid w:val="47F06738"/>
    <w:rsid w:val="47F24D0F"/>
    <w:rsid w:val="481E580C"/>
    <w:rsid w:val="48292150"/>
    <w:rsid w:val="48292D00"/>
    <w:rsid w:val="482B6AA8"/>
    <w:rsid w:val="48306AE6"/>
    <w:rsid w:val="48362813"/>
    <w:rsid w:val="48362B8F"/>
    <w:rsid w:val="48746178"/>
    <w:rsid w:val="487840D4"/>
    <w:rsid w:val="48981E67"/>
    <w:rsid w:val="489C465D"/>
    <w:rsid w:val="48BB2874"/>
    <w:rsid w:val="48DA700F"/>
    <w:rsid w:val="48E70868"/>
    <w:rsid w:val="49003648"/>
    <w:rsid w:val="490078D6"/>
    <w:rsid w:val="492A5852"/>
    <w:rsid w:val="49336729"/>
    <w:rsid w:val="49422133"/>
    <w:rsid w:val="49481F51"/>
    <w:rsid w:val="49503781"/>
    <w:rsid w:val="495C44D4"/>
    <w:rsid w:val="498D71F3"/>
    <w:rsid w:val="49B1277C"/>
    <w:rsid w:val="49B32963"/>
    <w:rsid w:val="49B35C2C"/>
    <w:rsid w:val="49BE2795"/>
    <w:rsid w:val="49CE2C0E"/>
    <w:rsid w:val="49D93B21"/>
    <w:rsid w:val="49ED435B"/>
    <w:rsid w:val="49F477F7"/>
    <w:rsid w:val="4A003368"/>
    <w:rsid w:val="4A045A8C"/>
    <w:rsid w:val="4A1173C4"/>
    <w:rsid w:val="4A122EA2"/>
    <w:rsid w:val="4A154026"/>
    <w:rsid w:val="4A175A72"/>
    <w:rsid w:val="4A38281D"/>
    <w:rsid w:val="4A447A5F"/>
    <w:rsid w:val="4A5633ED"/>
    <w:rsid w:val="4A5C1498"/>
    <w:rsid w:val="4A7D3428"/>
    <w:rsid w:val="4A8608FF"/>
    <w:rsid w:val="4A885261"/>
    <w:rsid w:val="4A9341AD"/>
    <w:rsid w:val="4A954692"/>
    <w:rsid w:val="4AA56943"/>
    <w:rsid w:val="4AB640D1"/>
    <w:rsid w:val="4AD80E43"/>
    <w:rsid w:val="4AFC731C"/>
    <w:rsid w:val="4B0233A9"/>
    <w:rsid w:val="4B0E631E"/>
    <w:rsid w:val="4B1C6789"/>
    <w:rsid w:val="4B232D48"/>
    <w:rsid w:val="4B297309"/>
    <w:rsid w:val="4B2F5EF1"/>
    <w:rsid w:val="4B610E18"/>
    <w:rsid w:val="4B7A2A77"/>
    <w:rsid w:val="4B865E4D"/>
    <w:rsid w:val="4B9A7792"/>
    <w:rsid w:val="4BA142DC"/>
    <w:rsid w:val="4BA81B45"/>
    <w:rsid w:val="4BB134C2"/>
    <w:rsid w:val="4BC64F54"/>
    <w:rsid w:val="4BD00E7B"/>
    <w:rsid w:val="4BDA233F"/>
    <w:rsid w:val="4BE11388"/>
    <w:rsid w:val="4BF17575"/>
    <w:rsid w:val="4C1B55F9"/>
    <w:rsid w:val="4C1D57B6"/>
    <w:rsid w:val="4C2F3138"/>
    <w:rsid w:val="4C2F44B9"/>
    <w:rsid w:val="4C49456A"/>
    <w:rsid w:val="4C4C1930"/>
    <w:rsid w:val="4C617F2E"/>
    <w:rsid w:val="4C64768C"/>
    <w:rsid w:val="4C727777"/>
    <w:rsid w:val="4C794241"/>
    <w:rsid w:val="4C88610C"/>
    <w:rsid w:val="4C9E7C7A"/>
    <w:rsid w:val="4CC07FD8"/>
    <w:rsid w:val="4CC129DC"/>
    <w:rsid w:val="4CF60AD0"/>
    <w:rsid w:val="4CFD27AB"/>
    <w:rsid w:val="4D066243"/>
    <w:rsid w:val="4D0B785E"/>
    <w:rsid w:val="4D114375"/>
    <w:rsid w:val="4D235B56"/>
    <w:rsid w:val="4D3F4CEF"/>
    <w:rsid w:val="4D565BDF"/>
    <w:rsid w:val="4D764D27"/>
    <w:rsid w:val="4D9B08B1"/>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E141FF"/>
    <w:rsid w:val="4EFE010D"/>
    <w:rsid w:val="4F027246"/>
    <w:rsid w:val="4F21402F"/>
    <w:rsid w:val="4F2B0742"/>
    <w:rsid w:val="4F2C30D4"/>
    <w:rsid w:val="4F462F16"/>
    <w:rsid w:val="4F653279"/>
    <w:rsid w:val="4F65588A"/>
    <w:rsid w:val="4F685B2A"/>
    <w:rsid w:val="4F687CA9"/>
    <w:rsid w:val="4F6B4FCC"/>
    <w:rsid w:val="4FC5614B"/>
    <w:rsid w:val="4FCB274B"/>
    <w:rsid w:val="4FCC44FB"/>
    <w:rsid w:val="4FCE28F9"/>
    <w:rsid w:val="4FD21ED3"/>
    <w:rsid w:val="4FD34A84"/>
    <w:rsid w:val="4FE331CA"/>
    <w:rsid w:val="50004F60"/>
    <w:rsid w:val="50081462"/>
    <w:rsid w:val="50152642"/>
    <w:rsid w:val="5028210C"/>
    <w:rsid w:val="50297B01"/>
    <w:rsid w:val="50304284"/>
    <w:rsid w:val="50483F54"/>
    <w:rsid w:val="504F44E7"/>
    <w:rsid w:val="50633B3F"/>
    <w:rsid w:val="506604BA"/>
    <w:rsid w:val="506B4DD4"/>
    <w:rsid w:val="507363BF"/>
    <w:rsid w:val="50930348"/>
    <w:rsid w:val="50951339"/>
    <w:rsid w:val="509E66BF"/>
    <w:rsid w:val="50A11AA3"/>
    <w:rsid w:val="50CA6EAA"/>
    <w:rsid w:val="50D27A0A"/>
    <w:rsid w:val="50E872C0"/>
    <w:rsid w:val="50F36100"/>
    <w:rsid w:val="50FF7595"/>
    <w:rsid w:val="51186F2A"/>
    <w:rsid w:val="512F14C2"/>
    <w:rsid w:val="513A2BE3"/>
    <w:rsid w:val="51417175"/>
    <w:rsid w:val="514D38CD"/>
    <w:rsid w:val="518538E8"/>
    <w:rsid w:val="518C2832"/>
    <w:rsid w:val="51AD1BB3"/>
    <w:rsid w:val="51AD6E85"/>
    <w:rsid w:val="51CC12AA"/>
    <w:rsid w:val="51D06AC2"/>
    <w:rsid w:val="51DE47BD"/>
    <w:rsid w:val="51FB1F66"/>
    <w:rsid w:val="52092C75"/>
    <w:rsid w:val="52145553"/>
    <w:rsid w:val="52160374"/>
    <w:rsid w:val="52210F7E"/>
    <w:rsid w:val="523073CD"/>
    <w:rsid w:val="52454C5D"/>
    <w:rsid w:val="52465006"/>
    <w:rsid w:val="524D6727"/>
    <w:rsid w:val="52514B61"/>
    <w:rsid w:val="525F05B8"/>
    <w:rsid w:val="52641A60"/>
    <w:rsid w:val="52650DED"/>
    <w:rsid w:val="526D7F2B"/>
    <w:rsid w:val="526E674B"/>
    <w:rsid w:val="527010B5"/>
    <w:rsid w:val="52797078"/>
    <w:rsid w:val="527C619D"/>
    <w:rsid w:val="52800362"/>
    <w:rsid w:val="528B57FF"/>
    <w:rsid w:val="52CA77C1"/>
    <w:rsid w:val="52CC2E2D"/>
    <w:rsid w:val="52D74002"/>
    <w:rsid w:val="52E52C2B"/>
    <w:rsid w:val="52E706B0"/>
    <w:rsid w:val="52F6649B"/>
    <w:rsid w:val="530731A9"/>
    <w:rsid w:val="530B0A16"/>
    <w:rsid w:val="531A3B9B"/>
    <w:rsid w:val="533031A8"/>
    <w:rsid w:val="53354C48"/>
    <w:rsid w:val="5358440D"/>
    <w:rsid w:val="5362482F"/>
    <w:rsid w:val="5375181F"/>
    <w:rsid w:val="53832FC7"/>
    <w:rsid w:val="538C3048"/>
    <w:rsid w:val="5391176E"/>
    <w:rsid w:val="53B53BCA"/>
    <w:rsid w:val="53BA69C7"/>
    <w:rsid w:val="53C66688"/>
    <w:rsid w:val="53D129A5"/>
    <w:rsid w:val="54027A3D"/>
    <w:rsid w:val="540E3026"/>
    <w:rsid w:val="540F1649"/>
    <w:rsid w:val="542B1000"/>
    <w:rsid w:val="542E3D8B"/>
    <w:rsid w:val="54323AE7"/>
    <w:rsid w:val="543C6793"/>
    <w:rsid w:val="54672D6B"/>
    <w:rsid w:val="546C1308"/>
    <w:rsid w:val="54736410"/>
    <w:rsid w:val="54795B98"/>
    <w:rsid w:val="547A71A6"/>
    <w:rsid w:val="548B6133"/>
    <w:rsid w:val="549878E0"/>
    <w:rsid w:val="54A068BF"/>
    <w:rsid w:val="54D00696"/>
    <w:rsid w:val="54D20F09"/>
    <w:rsid w:val="54D73949"/>
    <w:rsid w:val="54E8113A"/>
    <w:rsid w:val="54F70F58"/>
    <w:rsid w:val="54FB4913"/>
    <w:rsid w:val="550C22CB"/>
    <w:rsid w:val="5511700B"/>
    <w:rsid w:val="552E4B10"/>
    <w:rsid w:val="5531351D"/>
    <w:rsid w:val="55321CBF"/>
    <w:rsid w:val="5553235C"/>
    <w:rsid w:val="555923B6"/>
    <w:rsid w:val="55723899"/>
    <w:rsid w:val="557811E2"/>
    <w:rsid w:val="55833BB3"/>
    <w:rsid w:val="559D532A"/>
    <w:rsid w:val="559F3F84"/>
    <w:rsid w:val="559F6615"/>
    <w:rsid w:val="55AE5055"/>
    <w:rsid w:val="55BD10AA"/>
    <w:rsid w:val="55C02F7D"/>
    <w:rsid w:val="55C45892"/>
    <w:rsid w:val="55D87C51"/>
    <w:rsid w:val="55E0250C"/>
    <w:rsid w:val="55FC10F6"/>
    <w:rsid w:val="55FF309C"/>
    <w:rsid w:val="55FF3307"/>
    <w:rsid w:val="560960F4"/>
    <w:rsid w:val="560D13FF"/>
    <w:rsid w:val="56384344"/>
    <w:rsid w:val="56407F58"/>
    <w:rsid w:val="565E5C23"/>
    <w:rsid w:val="56637EEB"/>
    <w:rsid w:val="56657AFF"/>
    <w:rsid w:val="567A4719"/>
    <w:rsid w:val="56882188"/>
    <w:rsid w:val="56942747"/>
    <w:rsid w:val="56A42EFF"/>
    <w:rsid w:val="56C60B1B"/>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D178FC"/>
    <w:rsid w:val="57E4573A"/>
    <w:rsid w:val="58116040"/>
    <w:rsid w:val="58225E85"/>
    <w:rsid w:val="582A7332"/>
    <w:rsid w:val="582C4CEB"/>
    <w:rsid w:val="58386028"/>
    <w:rsid w:val="583A35CC"/>
    <w:rsid w:val="583C43C5"/>
    <w:rsid w:val="583F25E8"/>
    <w:rsid w:val="584624D1"/>
    <w:rsid w:val="5856016B"/>
    <w:rsid w:val="58607C16"/>
    <w:rsid w:val="58931150"/>
    <w:rsid w:val="589C780E"/>
    <w:rsid w:val="58BB2538"/>
    <w:rsid w:val="58BB43ED"/>
    <w:rsid w:val="58BD45E1"/>
    <w:rsid w:val="58CE5E3E"/>
    <w:rsid w:val="58DC4A95"/>
    <w:rsid w:val="58E53494"/>
    <w:rsid w:val="59053B5E"/>
    <w:rsid w:val="590D1B89"/>
    <w:rsid w:val="59374B66"/>
    <w:rsid w:val="59436497"/>
    <w:rsid w:val="594A0A1F"/>
    <w:rsid w:val="594E0191"/>
    <w:rsid w:val="59531CE9"/>
    <w:rsid w:val="597F3CD5"/>
    <w:rsid w:val="59C106EE"/>
    <w:rsid w:val="59CB15D9"/>
    <w:rsid w:val="59E57AA7"/>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91108D"/>
    <w:rsid w:val="5A96525B"/>
    <w:rsid w:val="5A9E48A8"/>
    <w:rsid w:val="5AA95C4D"/>
    <w:rsid w:val="5AC8101E"/>
    <w:rsid w:val="5AD47C48"/>
    <w:rsid w:val="5AFA611E"/>
    <w:rsid w:val="5AFE695B"/>
    <w:rsid w:val="5B0071A9"/>
    <w:rsid w:val="5B0E1342"/>
    <w:rsid w:val="5B197E3E"/>
    <w:rsid w:val="5B276294"/>
    <w:rsid w:val="5B2F4088"/>
    <w:rsid w:val="5B4120BC"/>
    <w:rsid w:val="5B486682"/>
    <w:rsid w:val="5B7C3E8B"/>
    <w:rsid w:val="5B931A5F"/>
    <w:rsid w:val="5B962ECF"/>
    <w:rsid w:val="5BA8515B"/>
    <w:rsid w:val="5BAA6E73"/>
    <w:rsid w:val="5BCF36E5"/>
    <w:rsid w:val="5BD37F8B"/>
    <w:rsid w:val="5BD53DD0"/>
    <w:rsid w:val="5BD54D17"/>
    <w:rsid w:val="5BDF0C9F"/>
    <w:rsid w:val="5BE06405"/>
    <w:rsid w:val="5BEA53DB"/>
    <w:rsid w:val="5BEC1C38"/>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8A1"/>
    <w:rsid w:val="5CAB3E27"/>
    <w:rsid w:val="5CB75132"/>
    <w:rsid w:val="5CC9559C"/>
    <w:rsid w:val="5D0B11D5"/>
    <w:rsid w:val="5D1E6D1F"/>
    <w:rsid w:val="5D243D32"/>
    <w:rsid w:val="5D264906"/>
    <w:rsid w:val="5D2A2DD2"/>
    <w:rsid w:val="5D2E7321"/>
    <w:rsid w:val="5D3F5D03"/>
    <w:rsid w:val="5D426C92"/>
    <w:rsid w:val="5D6E6BA0"/>
    <w:rsid w:val="5D8309BE"/>
    <w:rsid w:val="5D851FBD"/>
    <w:rsid w:val="5D8D7F9C"/>
    <w:rsid w:val="5DBA44C8"/>
    <w:rsid w:val="5DCE0823"/>
    <w:rsid w:val="5DDB7C6D"/>
    <w:rsid w:val="5DE258C5"/>
    <w:rsid w:val="5DE3698F"/>
    <w:rsid w:val="5DE9492E"/>
    <w:rsid w:val="5DF855E3"/>
    <w:rsid w:val="5DFE0C63"/>
    <w:rsid w:val="5DFF57B7"/>
    <w:rsid w:val="5E00791B"/>
    <w:rsid w:val="5E193D20"/>
    <w:rsid w:val="5E1E00A2"/>
    <w:rsid w:val="5E237FB0"/>
    <w:rsid w:val="5E284486"/>
    <w:rsid w:val="5E3235EB"/>
    <w:rsid w:val="5E35775F"/>
    <w:rsid w:val="5E4539E6"/>
    <w:rsid w:val="5E483CCE"/>
    <w:rsid w:val="5E4F7C3E"/>
    <w:rsid w:val="5E7E3530"/>
    <w:rsid w:val="5E8F1E81"/>
    <w:rsid w:val="5E9A3166"/>
    <w:rsid w:val="5EA94A1B"/>
    <w:rsid w:val="5EBF7813"/>
    <w:rsid w:val="5EC605EC"/>
    <w:rsid w:val="5EC8428D"/>
    <w:rsid w:val="5ED01A16"/>
    <w:rsid w:val="5ED41357"/>
    <w:rsid w:val="5EDC7172"/>
    <w:rsid w:val="5EF561AF"/>
    <w:rsid w:val="5EF70C14"/>
    <w:rsid w:val="5F007B33"/>
    <w:rsid w:val="5F1D10D7"/>
    <w:rsid w:val="5F211922"/>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85A6B"/>
    <w:rsid w:val="607B387F"/>
    <w:rsid w:val="607C6223"/>
    <w:rsid w:val="60A5363F"/>
    <w:rsid w:val="60B266BA"/>
    <w:rsid w:val="60D33281"/>
    <w:rsid w:val="60EF03EE"/>
    <w:rsid w:val="60FB4822"/>
    <w:rsid w:val="60FD1DE9"/>
    <w:rsid w:val="61176C1A"/>
    <w:rsid w:val="6140228C"/>
    <w:rsid w:val="61546BBA"/>
    <w:rsid w:val="615E0514"/>
    <w:rsid w:val="61601B08"/>
    <w:rsid w:val="6163419B"/>
    <w:rsid w:val="616828E2"/>
    <w:rsid w:val="6175499D"/>
    <w:rsid w:val="618C38D3"/>
    <w:rsid w:val="61C94160"/>
    <w:rsid w:val="61CA14D3"/>
    <w:rsid w:val="61D10E64"/>
    <w:rsid w:val="61E02DAC"/>
    <w:rsid w:val="61E7115C"/>
    <w:rsid w:val="62037E7B"/>
    <w:rsid w:val="62324E61"/>
    <w:rsid w:val="623D1D75"/>
    <w:rsid w:val="624C7D2C"/>
    <w:rsid w:val="624E6F27"/>
    <w:rsid w:val="626B054B"/>
    <w:rsid w:val="62731173"/>
    <w:rsid w:val="627D0EAE"/>
    <w:rsid w:val="627D0F0C"/>
    <w:rsid w:val="628469D5"/>
    <w:rsid w:val="62D55D1A"/>
    <w:rsid w:val="62E219AE"/>
    <w:rsid w:val="62F11BBE"/>
    <w:rsid w:val="62F11FCB"/>
    <w:rsid w:val="631A4BA2"/>
    <w:rsid w:val="632B13DC"/>
    <w:rsid w:val="633579E3"/>
    <w:rsid w:val="63402B17"/>
    <w:rsid w:val="63486CC7"/>
    <w:rsid w:val="634D7A80"/>
    <w:rsid w:val="6350605D"/>
    <w:rsid w:val="63570D4F"/>
    <w:rsid w:val="635E0F3D"/>
    <w:rsid w:val="637E4FF0"/>
    <w:rsid w:val="637F7F04"/>
    <w:rsid w:val="63942CCD"/>
    <w:rsid w:val="639E34B5"/>
    <w:rsid w:val="63C05976"/>
    <w:rsid w:val="63C86CFA"/>
    <w:rsid w:val="63D623B2"/>
    <w:rsid w:val="63E00632"/>
    <w:rsid w:val="63E41EF8"/>
    <w:rsid w:val="63F15196"/>
    <w:rsid w:val="64103E1C"/>
    <w:rsid w:val="641F55CF"/>
    <w:rsid w:val="642C7A1C"/>
    <w:rsid w:val="64403E24"/>
    <w:rsid w:val="6443442D"/>
    <w:rsid w:val="644417BE"/>
    <w:rsid w:val="644C3FF3"/>
    <w:rsid w:val="644E387F"/>
    <w:rsid w:val="646470FA"/>
    <w:rsid w:val="646933B1"/>
    <w:rsid w:val="647C5B19"/>
    <w:rsid w:val="64851666"/>
    <w:rsid w:val="64886E91"/>
    <w:rsid w:val="649D1A1E"/>
    <w:rsid w:val="64A350CE"/>
    <w:rsid w:val="64AD2180"/>
    <w:rsid w:val="64B838A5"/>
    <w:rsid w:val="64BC1D6F"/>
    <w:rsid w:val="64BD7D1A"/>
    <w:rsid w:val="64C762CD"/>
    <w:rsid w:val="64E329AA"/>
    <w:rsid w:val="64F30A4B"/>
    <w:rsid w:val="64F4163A"/>
    <w:rsid w:val="64FB1B95"/>
    <w:rsid w:val="64FF4279"/>
    <w:rsid w:val="65003476"/>
    <w:rsid w:val="65051A72"/>
    <w:rsid w:val="65062204"/>
    <w:rsid w:val="653359FA"/>
    <w:rsid w:val="6548480B"/>
    <w:rsid w:val="65485F42"/>
    <w:rsid w:val="6558194B"/>
    <w:rsid w:val="655C27DB"/>
    <w:rsid w:val="656B19E1"/>
    <w:rsid w:val="65B059DA"/>
    <w:rsid w:val="65D0103F"/>
    <w:rsid w:val="65E5538A"/>
    <w:rsid w:val="65EE2245"/>
    <w:rsid w:val="65FA0C86"/>
    <w:rsid w:val="65FD3A76"/>
    <w:rsid w:val="660E73B6"/>
    <w:rsid w:val="66183B89"/>
    <w:rsid w:val="661C16B0"/>
    <w:rsid w:val="66470F91"/>
    <w:rsid w:val="66525382"/>
    <w:rsid w:val="665D4D15"/>
    <w:rsid w:val="666C58EA"/>
    <w:rsid w:val="667514BC"/>
    <w:rsid w:val="667C127C"/>
    <w:rsid w:val="66927307"/>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87E6E"/>
    <w:rsid w:val="677919E0"/>
    <w:rsid w:val="678215E8"/>
    <w:rsid w:val="679A1306"/>
    <w:rsid w:val="67CF0E30"/>
    <w:rsid w:val="67E524DE"/>
    <w:rsid w:val="67E90436"/>
    <w:rsid w:val="6812607A"/>
    <w:rsid w:val="682B41DA"/>
    <w:rsid w:val="684A728B"/>
    <w:rsid w:val="68602195"/>
    <w:rsid w:val="68716D41"/>
    <w:rsid w:val="688C7D72"/>
    <w:rsid w:val="691A16FE"/>
    <w:rsid w:val="691A2777"/>
    <w:rsid w:val="691F0CB5"/>
    <w:rsid w:val="691F37A5"/>
    <w:rsid w:val="692302F8"/>
    <w:rsid w:val="692519C7"/>
    <w:rsid w:val="694E72F1"/>
    <w:rsid w:val="69563C12"/>
    <w:rsid w:val="69601B80"/>
    <w:rsid w:val="696273CC"/>
    <w:rsid w:val="69871792"/>
    <w:rsid w:val="699C507C"/>
    <w:rsid w:val="69A037F9"/>
    <w:rsid w:val="69C65FFE"/>
    <w:rsid w:val="69D95735"/>
    <w:rsid w:val="69DD3BEC"/>
    <w:rsid w:val="69EC69F7"/>
    <w:rsid w:val="6A0C3890"/>
    <w:rsid w:val="6A265F03"/>
    <w:rsid w:val="6A3B77F3"/>
    <w:rsid w:val="6A3F73CE"/>
    <w:rsid w:val="6A460A7A"/>
    <w:rsid w:val="6A4C7395"/>
    <w:rsid w:val="6A572ABF"/>
    <w:rsid w:val="6A584B38"/>
    <w:rsid w:val="6A6179B3"/>
    <w:rsid w:val="6A6D269D"/>
    <w:rsid w:val="6A87428E"/>
    <w:rsid w:val="6A874AA8"/>
    <w:rsid w:val="6A8F0512"/>
    <w:rsid w:val="6A976378"/>
    <w:rsid w:val="6AA55079"/>
    <w:rsid w:val="6AAD5248"/>
    <w:rsid w:val="6AB56452"/>
    <w:rsid w:val="6ABB4E2C"/>
    <w:rsid w:val="6ACF578F"/>
    <w:rsid w:val="6AEF5A6B"/>
    <w:rsid w:val="6B292598"/>
    <w:rsid w:val="6B354780"/>
    <w:rsid w:val="6B4210B8"/>
    <w:rsid w:val="6B470615"/>
    <w:rsid w:val="6B5E1012"/>
    <w:rsid w:val="6B6E7A8A"/>
    <w:rsid w:val="6B701F8A"/>
    <w:rsid w:val="6B7A0BBB"/>
    <w:rsid w:val="6B8616EB"/>
    <w:rsid w:val="6B9464AF"/>
    <w:rsid w:val="6B9D798C"/>
    <w:rsid w:val="6BAF371F"/>
    <w:rsid w:val="6BC71348"/>
    <w:rsid w:val="6BC87F6C"/>
    <w:rsid w:val="6BE92141"/>
    <w:rsid w:val="6BF8101C"/>
    <w:rsid w:val="6C090B05"/>
    <w:rsid w:val="6C2D30F2"/>
    <w:rsid w:val="6C3C4E4A"/>
    <w:rsid w:val="6C506B3E"/>
    <w:rsid w:val="6C53185F"/>
    <w:rsid w:val="6C747438"/>
    <w:rsid w:val="6C752A69"/>
    <w:rsid w:val="6C7F629D"/>
    <w:rsid w:val="6C8A0478"/>
    <w:rsid w:val="6C8F50C7"/>
    <w:rsid w:val="6C970F4F"/>
    <w:rsid w:val="6CA66243"/>
    <w:rsid w:val="6CBF5376"/>
    <w:rsid w:val="6CC255DF"/>
    <w:rsid w:val="6CC265FC"/>
    <w:rsid w:val="6CCA59DA"/>
    <w:rsid w:val="6CDA6271"/>
    <w:rsid w:val="6CE141AB"/>
    <w:rsid w:val="6CE74BF9"/>
    <w:rsid w:val="6CF4763F"/>
    <w:rsid w:val="6CF521E3"/>
    <w:rsid w:val="6D313483"/>
    <w:rsid w:val="6D3276C6"/>
    <w:rsid w:val="6D38141A"/>
    <w:rsid w:val="6D4856DD"/>
    <w:rsid w:val="6D553FBF"/>
    <w:rsid w:val="6D5E201C"/>
    <w:rsid w:val="6D695347"/>
    <w:rsid w:val="6D6E5582"/>
    <w:rsid w:val="6D7F17CD"/>
    <w:rsid w:val="6D8030A2"/>
    <w:rsid w:val="6D8609F1"/>
    <w:rsid w:val="6D8C28AC"/>
    <w:rsid w:val="6D963E3F"/>
    <w:rsid w:val="6D9A5C6B"/>
    <w:rsid w:val="6DBA30BF"/>
    <w:rsid w:val="6DE85C9A"/>
    <w:rsid w:val="6DF545B2"/>
    <w:rsid w:val="6DFB1388"/>
    <w:rsid w:val="6E031D07"/>
    <w:rsid w:val="6E2A6B30"/>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F36D4"/>
    <w:rsid w:val="6F1C2869"/>
    <w:rsid w:val="6F264C76"/>
    <w:rsid w:val="6F3E73AD"/>
    <w:rsid w:val="6F621577"/>
    <w:rsid w:val="6F6B60F5"/>
    <w:rsid w:val="6F8036EC"/>
    <w:rsid w:val="6F914114"/>
    <w:rsid w:val="6F9F4EBA"/>
    <w:rsid w:val="6FAE1EFD"/>
    <w:rsid w:val="6FB44E15"/>
    <w:rsid w:val="6FD4676B"/>
    <w:rsid w:val="6FD867C1"/>
    <w:rsid w:val="6FE31653"/>
    <w:rsid w:val="6FF036F6"/>
    <w:rsid w:val="6FF84047"/>
    <w:rsid w:val="6FFF442E"/>
    <w:rsid w:val="70007E69"/>
    <w:rsid w:val="701640C3"/>
    <w:rsid w:val="702B4CA8"/>
    <w:rsid w:val="703E08A5"/>
    <w:rsid w:val="704768DE"/>
    <w:rsid w:val="704A2C54"/>
    <w:rsid w:val="7077783B"/>
    <w:rsid w:val="70874FC3"/>
    <w:rsid w:val="70880060"/>
    <w:rsid w:val="708F29D8"/>
    <w:rsid w:val="70935481"/>
    <w:rsid w:val="709B7D36"/>
    <w:rsid w:val="709D579F"/>
    <w:rsid w:val="70A33DCF"/>
    <w:rsid w:val="70A41616"/>
    <w:rsid w:val="70C75C49"/>
    <w:rsid w:val="70D256F5"/>
    <w:rsid w:val="70EA4B5A"/>
    <w:rsid w:val="70FE5EC3"/>
    <w:rsid w:val="71264748"/>
    <w:rsid w:val="71297470"/>
    <w:rsid w:val="713A1BE3"/>
    <w:rsid w:val="7168027F"/>
    <w:rsid w:val="71815A96"/>
    <w:rsid w:val="7185508C"/>
    <w:rsid w:val="718A3557"/>
    <w:rsid w:val="718E6821"/>
    <w:rsid w:val="719218CD"/>
    <w:rsid w:val="7195140E"/>
    <w:rsid w:val="719C3C19"/>
    <w:rsid w:val="71A20CAD"/>
    <w:rsid w:val="71B545B7"/>
    <w:rsid w:val="71DB12C0"/>
    <w:rsid w:val="71EF4453"/>
    <w:rsid w:val="7200787E"/>
    <w:rsid w:val="720C3BED"/>
    <w:rsid w:val="7215661E"/>
    <w:rsid w:val="721970A7"/>
    <w:rsid w:val="72232AC3"/>
    <w:rsid w:val="723932AD"/>
    <w:rsid w:val="723F2389"/>
    <w:rsid w:val="724E591C"/>
    <w:rsid w:val="7250460E"/>
    <w:rsid w:val="72591107"/>
    <w:rsid w:val="726D1A27"/>
    <w:rsid w:val="72837FB3"/>
    <w:rsid w:val="728B683A"/>
    <w:rsid w:val="72AF312B"/>
    <w:rsid w:val="72D53B48"/>
    <w:rsid w:val="72DC528A"/>
    <w:rsid w:val="72E05F51"/>
    <w:rsid w:val="72F3797D"/>
    <w:rsid w:val="73005FA5"/>
    <w:rsid w:val="73147496"/>
    <w:rsid w:val="73150860"/>
    <w:rsid w:val="732D00A1"/>
    <w:rsid w:val="733F3663"/>
    <w:rsid w:val="7340275D"/>
    <w:rsid w:val="735241E8"/>
    <w:rsid w:val="73680F71"/>
    <w:rsid w:val="736C20ED"/>
    <w:rsid w:val="737F24B3"/>
    <w:rsid w:val="738B4A50"/>
    <w:rsid w:val="739255B0"/>
    <w:rsid w:val="7397230A"/>
    <w:rsid w:val="73A04BD2"/>
    <w:rsid w:val="73A3445C"/>
    <w:rsid w:val="73BC53B2"/>
    <w:rsid w:val="73C05A2C"/>
    <w:rsid w:val="73CC344D"/>
    <w:rsid w:val="73D272B0"/>
    <w:rsid w:val="73E22169"/>
    <w:rsid w:val="73E63E70"/>
    <w:rsid w:val="73E7745D"/>
    <w:rsid w:val="73ED71E2"/>
    <w:rsid w:val="73F10759"/>
    <w:rsid w:val="742D1E90"/>
    <w:rsid w:val="74395419"/>
    <w:rsid w:val="7449306F"/>
    <w:rsid w:val="74547BEE"/>
    <w:rsid w:val="74746D7C"/>
    <w:rsid w:val="74932A0C"/>
    <w:rsid w:val="749D7028"/>
    <w:rsid w:val="74A2256D"/>
    <w:rsid w:val="74AA43DB"/>
    <w:rsid w:val="74AC24F5"/>
    <w:rsid w:val="74B60A2F"/>
    <w:rsid w:val="74C1723C"/>
    <w:rsid w:val="74C3110D"/>
    <w:rsid w:val="74DF7BAB"/>
    <w:rsid w:val="74E729C3"/>
    <w:rsid w:val="74F11220"/>
    <w:rsid w:val="74F12022"/>
    <w:rsid w:val="751D462F"/>
    <w:rsid w:val="75216E5D"/>
    <w:rsid w:val="753701F3"/>
    <w:rsid w:val="755456FF"/>
    <w:rsid w:val="755505AF"/>
    <w:rsid w:val="75711F18"/>
    <w:rsid w:val="757D1AC1"/>
    <w:rsid w:val="759A27A6"/>
    <w:rsid w:val="75A037A5"/>
    <w:rsid w:val="75BB5BEE"/>
    <w:rsid w:val="75C4659B"/>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74667"/>
    <w:rsid w:val="76AB0C14"/>
    <w:rsid w:val="76E01454"/>
    <w:rsid w:val="76EC329E"/>
    <w:rsid w:val="76EF1998"/>
    <w:rsid w:val="770F5577"/>
    <w:rsid w:val="771C5ED1"/>
    <w:rsid w:val="775E4133"/>
    <w:rsid w:val="77636631"/>
    <w:rsid w:val="77661A0F"/>
    <w:rsid w:val="77727A5A"/>
    <w:rsid w:val="777D07EB"/>
    <w:rsid w:val="779B611E"/>
    <w:rsid w:val="779C103C"/>
    <w:rsid w:val="77D60618"/>
    <w:rsid w:val="77FC7D69"/>
    <w:rsid w:val="77FF4DFE"/>
    <w:rsid w:val="78125987"/>
    <w:rsid w:val="78174746"/>
    <w:rsid w:val="781751F3"/>
    <w:rsid w:val="782021A6"/>
    <w:rsid w:val="782B6D92"/>
    <w:rsid w:val="782E281E"/>
    <w:rsid w:val="783B03F8"/>
    <w:rsid w:val="783B686C"/>
    <w:rsid w:val="786243F7"/>
    <w:rsid w:val="78647781"/>
    <w:rsid w:val="78717535"/>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A0FA1"/>
    <w:rsid w:val="7976773A"/>
    <w:rsid w:val="797D43BF"/>
    <w:rsid w:val="798028DB"/>
    <w:rsid w:val="798F237E"/>
    <w:rsid w:val="79940854"/>
    <w:rsid w:val="799B7A09"/>
    <w:rsid w:val="79A40AEF"/>
    <w:rsid w:val="79A93B7F"/>
    <w:rsid w:val="79B00CFE"/>
    <w:rsid w:val="79BB7457"/>
    <w:rsid w:val="79C43F43"/>
    <w:rsid w:val="79C72E91"/>
    <w:rsid w:val="79D87A55"/>
    <w:rsid w:val="79EA261C"/>
    <w:rsid w:val="79F31B43"/>
    <w:rsid w:val="79FD66BF"/>
    <w:rsid w:val="7A0B3584"/>
    <w:rsid w:val="7A0B5667"/>
    <w:rsid w:val="7A2F70C4"/>
    <w:rsid w:val="7A372826"/>
    <w:rsid w:val="7A3B0D2D"/>
    <w:rsid w:val="7A451348"/>
    <w:rsid w:val="7A4610EA"/>
    <w:rsid w:val="7A492843"/>
    <w:rsid w:val="7A4A7061"/>
    <w:rsid w:val="7A4D46B1"/>
    <w:rsid w:val="7A522490"/>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E6E3A"/>
    <w:rsid w:val="7AFF2D44"/>
    <w:rsid w:val="7B09782A"/>
    <w:rsid w:val="7B0A17DB"/>
    <w:rsid w:val="7B304435"/>
    <w:rsid w:val="7B3B07F5"/>
    <w:rsid w:val="7B5D1B94"/>
    <w:rsid w:val="7B5E7BA1"/>
    <w:rsid w:val="7B6A3FB1"/>
    <w:rsid w:val="7B725A89"/>
    <w:rsid w:val="7B75534E"/>
    <w:rsid w:val="7B7840FC"/>
    <w:rsid w:val="7B8D438C"/>
    <w:rsid w:val="7BA50D4D"/>
    <w:rsid w:val="7BB37346"/>
    <w:rsid w:val="7BCF4F4A"/>
    <w:rsid w:val="7BDB3521"/>
    <w:rsid w:val="7BE04399"/>
    <w:rsid w:val="7BEA728A"/>
    <w:rsid w:val="7C0B5A94"/>
    <w:rsid w:val="7C0C5586"/>
    <w:rsid w:val="7C1C423A"/>
    <w:rsid w:val="7C7E4C0A"/>
    <w:rsid w:val="7C881C3E"/>
    <w:rsid w:val="7CB30080"/>
    <w:rsid w:val="7CB97792"/>
    <w:rsid w:val="7CC51228"/>
    <w:rsid w:val="7CD8312B"/>
    <w:rsid w:val="7CF40A25"/>
    <w:rsid w:val="7CF770C4"/>
    <w:rsid w:val="7D065435"/>
    <w:rsid w:val="7D39266F"/>
    <w:rsid w:val="7D3C4634"/>
    <w:rsid w:val="7D406813"/>
    <w:rsid w:val="7D41687E"/>
    <w:rsid w:val="7D464F92"/>
    <w:rsid w:val="7D4A18A6"/>
    <w:rsid w:val="7D5B405C"/>
    <w:rsid w:val="7D6C5EC3"/>
    <w:rsid w:val="7D820591"/>
    <w:rsid w:val="7DA309E3"/>
    <w:rsid w:val="7DB70D15"/>
    <w:rsid w:val="7DC5442D"/>
    <w:rsid w:val="7DF8495E"/>
    <w:rsid w:val="7DFC3B04"/>
    <w:rsid w:val="7DFF2780"/>
    <w:rsid w:val="7E0265B5"/>
    <w:rsid w:val="7E070AD1"/>
    <w:rsid w:val="7E190A95"/>
    <w:rsid w:val="7E270BC4"/>
    <w:rsid w:val="7E36036B"/>
    <w:rsid w:val="7E3A3582"/>
    <w:rsid w:val="7E56114F"/>
    <w:rsid w:val="7E5A1313"/>
    <w:rsid w:val="7E5F2A98"/>
    <w:rsid w:val="7E627938"/>
    <w:rsid w:val="7E6422AE"/>
    <w:rsid w:val="7E706A12"/>
    <w:rsid w:val="7E8161FD"/>
    <w:rsid w:val="7E955F38"/>
    <w:rsid w:val="7EB444B6"/>
    <w:rsid w:val="7EC87A85"/>
    <w:rsid w:val="7ECB3E04"/>
    <w:rsid w:val="7ED16786"/>
    <w:rsid w:val="7EF17A1B"/>
    <w:rsid w:val="7F1C70D5"/>
    <w:rsid w:val="7F340717"/>
    <w:rsid w:val="7F4D216F"/>
    <w:rsid w:val="7F4F1CA8"/>
    <w:rsid w:val="7F865FB7"/>
    <w:rsid w:val="7F873E53"/>
    <w:rsid w:val="7F8A1CB4"/>
    <w:rsid w:val="7F8A4EF6"/>
    <w:rsid w:val="7F8D3F7F"/>
    <w:rsid w:val="7F9D49AE"/>
    <w:rsid w:val="7FA72FCA"/>
    <w:rsid w:val="7FB056E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5">
    <w:name w:val="heading 3"/>
    <w:basedOn w:val="1"/>
    <w:next w:val="1"/>
    <w:link w:val="93"/>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6">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7"/>
    <w:qFormat/>
    <w:uiPriority w:val="0"/>
    <w:rPr>
      <w:rFonts w:ascii="宋体" w:hAnsi="宋体" w:cs="Courier New"/>
      <w:sz w:val="20"/>
      <w:szCs w:val="20"/>
      <w:lang w:val="zh-CN"/>
    </w:rPr>
  </w:style>
  <w:style w:type="paragraph" w:styleId="7">
    <w:name w:val="toc 7"/>
    <w:basedOn w:val="1"/>
    <w:next w:val="1"/>
    <w:unhideWhenUsed/>
    <w:qFormat/>
    <w:uiPriority w:val="39"/>
    <w:pPr>
      <w:ind w:left="2520" w:leftChars="1200"/>
    </w:pPr>
    <w:rPr>
      <w:rFonts w:cs="Times New Roman"/>
      <w:color w:val="auto"/>
      <w:kern w:val="2"/>
    </w:rPr>
  </w:style>
  <w:style w:type="paragraph" w:styleId="8">
    <w:name w:val="index 8"/>
    <w:basedOn w:val="1"/>
    <w:next w:val="1"/>
    <w:unhideWhenUsed/>
    <w:qFormat/>
    <w:uiPriority w:val="99"/>
    <w:pPr>
      <w:ind w:left="1400" w:leftChars="1400"/>
    </w:pPr>
  </w:style>
  <w:style w:type="paragraph" w:styleId="9">
    <w:name w:val="Normal Indent"/>
    <w:basedOn w:val="1"/>
    <w:qFormat/>
    <w:uiPriority w:val="0"/>
    <w:pPr>
      <w:ind w:firstLine="420" w:firstLineChars="200"/>
    </w:pPr>
    <w:rPr>
      <w:rFonts w:ascii="Times New Roman" w:hAnsi="Times New Roman" w:cs="Times New Roman"/>
      <w:szCs w:val="24"/>
    </w:rPr>
  </w:style>
  <w:style w:type="paragraph" w:styleId="10">
    <w:name w:val="Document Map"/>
    <w:basedOn w:val="1"/>
    <w:qFormat/>
    <w:uiPriority w:val="0"/>
    <w:pPr>
      <w:shd w:val="clear" w:color="000000" w:fill="00007F"/>
    </w:pPr>
    <w:rPr>
      <w:kern w:val="1"/>
      <w:szCs w:val="24"/>
      <w:lang w:val="zh-CN"/>
    </w:rPr>
  </w:style>
  <w:style w:type="paragraph" w:styleId="11">
    <w:name w:val="annotation text"/>
    <w:basedOn w:val="1"/>
    <w:link w:val="43"/>
    <w:qFormat/>
    <w:uiPriority w:val="99"/>
    <w:pPr>
      <w:jc w:val="left"/>
    </w:pPr>
    <w:rPr>
      <w:sz w:val="20"/>
      <w:szCs w:val="24"/>
      <w:lang w:val="zh-CN"/>
    </w:rPr>
  </w:style>
  <w:style w:type="paragraph" w:styleId="12">
    <w:name w:val="Body Text 3"/>
    <w:basedOn w:val="1"/>
    <w:qFormat/>
    <w:uiPriority w:val="0"/>
    <w:rPr>
      <w:rFonts w:ascii="宋体" w:hAnsi="宋体" w:cs="宋体"/>
      <w:sz w:val="24"/>
      <w:szCs w:val="20"/>
    </w:rPr>
  </w:style>
  <w:style w:type="paragraph" w:styleId="13">
    <w:name w:val="Body Text"/>
    <w:basedOn w:val="1"/>
    <w:qFormat/>
    <w:uiPriority w:val="0"/>
    <w:pPr>
      <w:spacing w:after="120"/>
    </w:pPr>
    <w:rPr>
      <w:kern w:val="1"/>
    </w:rPr>
  </w:style>
  <w:style w:type="paragraph" w:styleId="14">
    <w:name w:val="Body Text Indent"/>
    <w:basedOn w:val="1"/>
    <w:link w:val="101"/>
    <w:semiHidden/>
    <w:unhideWhenUsed/>
    <w:qFormat/>
    <w:uiPriority w:val="99"/>
    <w:pPr>
      <w:spacing w:after="120"/>
      <w:ind w:left="420" w:leftChars="200"/>
    </w:pPr>
  </w:style>
  <w:style w:type="paragraph" w:styleId="15">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6">
    <w:name w:val="toc 5"/>
    <w:basedOn w:val="1"/>
    <w:next w:val="1"/>
    <w:unhideWhenUsed/>
    <w:qFormat/>
    <w:uiPriority w:val="39"/>
    <w:pPr>
      <w:ind w:left="1680" w:leftChars="800"/>
    </w:pPr>
    <w:rPr>
      <w:rFonts w:cs="Times New Roman"/>
      <w:color w:val="auto"/>
      <w:kern w:val="2"/>
    </w:r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86"/>
    <w:semiHidden/>
    <w:unhideWhenUsed/>
    <w:qFormat/>
    <w:uiPriority w:val="99"/>
    <w:pPr>
      <w:ind w:left="100" w:leftChars="2500"/>
    </w:pPr>
  </w:style>
  <w:style w:type="paragraph" w:styleId="20">
    <w:name w:val="Body Text Indent 2"/>
    <w:basedOn w:val="1"/>
    <w:qFormat/>
    <w:uiPriority w:val="0"/>
    <w:pPr>
      <w:spacing w:after="120" w:line="480" w:lineRule="auto"/>
      <w:ind w:left="420"/>
    </w:pPr>
    <w:rPr>
      <w:sz w:val="20"/>
      <w:szCs w:val="24"/>
    </w:rPr>
  </w:style>
  <w:style w:type="paragraph" w:styleId="21">
    <w:name w:val="Balloon Text"/>
    <w:basedOn w:val="1"/>
    <w:qFormat/>
    <w:uiPriority w:val="0"/>
    <w:rPr>
      <w:kern w:val="1"/>
      <w:sz w:val="18"/>
      <w:szCs w:val="18"/>
      <w:lang w:val="zh-CN"/>
    </w:rPr>
  </w:style>
  <w:style w:type="paragraph" w:styleId="22">
    <w:name w:val="footer"/>
    <w:basedOn w:val="1"/>
    <w:link w:val="45"/>
    <w:qFormat/>
    <w:uiPriority w:val="99"/>
    <w:pPr>
      <w:tabs>
        <w:tab w:val="center" w:pos="4153"/>
        <w:tab w:val="right" w:pos="8306"/>
      </w:tabs>
      <w:jc w:val="left"/>
    </w:pPr>
    <w:rPr>
      <w:rFonts w:cs="Times New Roman"/>
      <w:color w:val="auto"/>
      <w:sz w:val="18"/>
      <w:szCs w:val="24"/>
    </w:rPr>
  </w:style>
  <w:style w:type="paragraph" w:styleId="23">
    <w:name w:val="header"/>
    <w:basedOn w:val="1"/>
    <w:qFormat/>
    <w:uiPriority w:val="0"/>
    <w:pPr>
      <w:pBdr>
        <w:bottom w:val="single" w:color="000000" w:sz="6" w:space="1"/>
      </w:pBdr>
      <w:tabs>
        <w:tab w:val="center" w:pos="4153"/>
        <w:tab w:val="right" w:pos="8306"/>
      </w:tabs>
      <w:jc w:val="center"/>
    </w:pPr>
    <w:rPr>
      <w:sz w:val="18"/>
      <w:szCs w:val="18"/>
    </w:rPr>
  </w:style>
  <w:style w:type="paragraph" w:styleId="24">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5">
    <w:name w:val="toc 4"/>
    <w:basedOn w:val="1"/>
    <w:next w:val="1"/>
    <w:unhideWhenUsed/>
    <w:qFormat/>
    <w:uiPriority w:val="39"/>
    <w:pPr>
      <w:ind w:left="1260" w:leftChars="600"/>
    </w:pPr>
    <w:rPr>
      <w:rFonts w:cs="Times New Roman"/>
      <w:color w:val="auto"/>
      <w:kern w:val="2"/>
    </w:rPr>
  </w:style>
  <w:style w:type="paragraph" w:styleId="26">
    <w:name w:val="toc 6"/>
    <w:basedOn w:val="1"/>
    <w:next w:val="1"/>
    <w:unhideWhenUsed/>
    <w:qFormat/>
    <w:uiPriority w:val="39"/>
    <w:pPr>
      <w:ind w:left="2100" w:leftChars="1000"/>
    </w:pPr>
    <w:rPr>
      <w:rFonts w:cs="Times New Roman"/>
      <w:color w:val="auto"/>
      <w:kern w:val="2"/>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cs="Times New Roman"/>
      <w:color w:val="auto"/>
      <w:kern w:val="2"/>
    </w:rPr>
  </w:style>
  <w:style w:type="paragraph" w:styleId="29">
    <w:name w:val="Body Text 2"/>
    <w:basedOn w:val="1"/>
    <w:qFormat/>
    <w:uiPriority w:val="0"/>
    <w:pPr>
      <w:spacing w:after="120" w:line="480" w:lineRule="auto"/>
    </w:pPr>
    <w:rPr>
      <w:sz w:val="20"/>
      <w:szCs w:val="24"/>
    </w:rPr>
  </w:style>
  <w:style w:type="paragraph" w:styleId="30">
    <w:name w:val="Normal (Web)"/>
    <w:basedOn w:val="1"/>
    <w:unhideWhenUsed/>
    <w:qFormat/>
    <w:uiPriority w:val="0"/>
    <w:rPr>
      <w:sz w:val="24"/>
    </w:rPr>
  </w:style>
  <w:style w:type="paragraph" w:styleId="31">
    <w:name w:val="annotation subject"/>
    <w:basedOn w:val="11"/>
    <w:next w:val="11"/>
    <w:qFormat/>
    <w:uiPriority w:val="0"/>
    <w:rPr>
      <w:b/>
      <w:kern w:val="1"/>
      <w:sz w:val="21"/>
      <w:szCs w:val="22"/>
    </w:rPr>
  </w:style>
  <w:style w:type="paragraph" w:styleId="32">
    <w:name w:val="Body Text First Indent"/>
    <w:basedOn w:val="13"/>
    <w:link w:val="108"/>
    <w:qFormat/>
    <w:uiPriority w:val="0"/>
    <w:pPr>
      <w:spacing w:line="312" w:lineRule="auto"/>
      <w:ind w:firstLine="420"/>
    </w:pPr>
  </w:style>
  <w:style w:type="paragraph" w:styleId="33">
    <w:name w:val="Body Text First Indent 2"/>
    <w:basedOn w:val="14"/>
    <w:link w:val="102"/>
    <w:semiHidden/>
    <w:unhideWhenUsed/>
    <w:qFormat/>
    <w:uiPriority w:val="99"/>
    <w:pPr>
      <w:ind w:firstLine="420" w:firstLineChars="200"/>
    </w:p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character" w:customStyle="1" w:styleId="41">
    <w:name w:val="批注框文本 Char"/>
    <w:qFormat/>
    <w:uiPriority w:val="0"/>
    <w:rPr>
      <w:kern w:val="1"/>
      <w:sz w:val="18"/>
      <w:szCs w:val="18"/>
    </w:rPr>
  </w:style>
  <w:style w:type="character" w:customStyle="1" w:styleId="42">
    <w:name w:val="纯文本 Char"/>
    <w:qFormat/>
    <w:uiPriority w:val="0"/>
    <w:rPr>
      <w:rFonts w:ascii="宋体" w:hAnsi="宋体"/>
    </w:rPr>
  </w:style>
  <w:style w:type="character" w:customStyle="1" w:styleId="43">
    <w:name w:val="批注文字 字符"/>
    <w:link w:val="11"/>
    <w:qFormat/>
    <w:uiPriority w:val="99"/>
    <w:rPr>
      <w:rFonts w:ascii="Calibri" w:hAnsi="Calibri" w:eastAsia="宋体" w:cs="Calibri"/>
      <w:color w:val="000000"/>
      <w:szCs w:val="24"/>
      <w:lang w:val="zh-CN" w:eastAsia="zh-CN" w:bidi="ar-SA"/>
    </w:rPr>
  </w:style>
  <w:style w:type="character" w:customStyle="1" w:styleId="44">
    <w:name w:val="批注文字 Char"/>
    <w:qFormat/>
    <w:uiPriority w:val="99"/>
    <w:rPr>
      <w:szCs w:val="24"/>
    </w:rPr>
  </w:style>
  <w:style w:type="character" w:customStyle="1" w:styleId="45">
    <w:name w:val="页脚 字符"/>
    <w:link w:val="22"/>
    <w:qFormat/>
    <w:uiPriority w:val="99"/>
    <w:rPr>
      <w:sz w:val="18"/>
      <w:szCs w:val="24"/>
    </w:rPr>
  </w:style>
  <w:style w:type="character" w:customStyle="1" w:styleId="46">
    <w:name w:val="文档结构图 Char"/>
    <w:qFormat/>
    <w:uiPriority w:val="0"/>
    <w:rPr>
      <w:kern w:val="1"/>
      <w:sz w:val="21"/>
      <w:szCs w:val="24"/>
      <w:shd w:val="clear" w:color="auto" w:fill="00007F"/>
    </w:rPr>
  </w:style>
  <w:style w:type="character" w:customStyle="1" w:styleId="47">
    <w:name w:val="font01"/>
    <w:qFormat/>
    <w:uiPriority w:val="0"/>
    <w:rPr>
      <w:rFonts w:ascii="Times New Roman" w:hAnsi="Times New Roman" w:cs="Times New Roman"/>
      <w:color w:val="000000"/>
      <w:sz w:val="20"/>
      <w:szCs w:val="20"/>
    </w:rPr>
  </w:style>
  <w:style w:type="character" w:customStyle="1" w:styleId="48">
    <w:name w:val="文档结构图 Char1"/>
    <w:qFormat/>
    <w:uiPriority w:val="0"/>
    <w:rPr>
      <w:rFonts w:ascii="宋体" w:hAnsi="宋体"/>
      <w:kern w:val="1"/>
      <w:sz w:val="18"/>
      <w:szCs w:val="18"/>
    </w:rPr>
  </w:style>
  <w:style w:type="character" w:customStyle="1" w:styleId="49">
    <w:name w:val="apple-converted-space"/>
    <w:qFormat/>
    <w:uiPriority w:val="0"/>
  </w:style>
  <w:style w:type="character" w:customStyle="1" w:styleId="50">
    <w:name w:val="首行缩进两字 Char1"/>
    <w:link w:val="51"/>
    <w:qFormat/>
    <w:locked/>
    <w:uiPriority w:val="0"/>
    <w:rPr>
      <w:rFonts w:ascii="宋体" w:hAnsi="宋体"/>
      <w:color w:val="000000"/>
      <w:sz w:val="28"/>
    </w:rPr>
  </w:style>
  <w:style w:type="paragraph" w:customStyle="1" w:styleId="51">
    <w:name w:val="首行缩进两字"/>
    <w:basedOn w:val="1"/>
    <w:link w:val="50"/>
    <w:qFormat/>
    <w:uiPriority w:val="0"/>
    <w:pPr>
      <w:ind w:firstLine="549" w:firstLineChars="200"/>
      <w:jc w:val="left"/>
    </w:pPr>
    <w:rPr>
      <w:rFonts w:ascii="宋体" w:hAnsi="宋体" w:cs="Times New Roman"/>
      <w:sz w:val="28"/>
      <w:szCs w:val="20"/>
    </w:rPr>
  </w:style>
  <w:style w:type="character" w:customStyle="1" w:styleId="52">
    <w:name w:val="标题 2 Char"/>
    <w:qFormat/>
    <w:uiPriority w:val="0"/>
    <w:rPr>
      <w:rFonts w:ascii="Arial" w:hAnsi="Arial" w:eastAsia="黑体"/>
      <w:b/>
      <w:kern w:val="0"/>
      <w:sz w:val="32"/>
      <w:szCs w:val="32"/>
    </w:rPr>
  </w:style>
  <w:style w:type="character" w:customStyle="1" w:styleId="53">
    <w:name w:val="页脚 Char1"/>
    <w:qFormat/>
    <w:uiPriority w:val="0"/>
    <w:rPr>
      <w:kern w:val="2"/>
      <w:sz w:val="18"/>
      <w:szCs w:val="18"/>
    </w:rPr>
  </w:style>
  <w:style w:type="character" w:customStyle="1" w:styleId="54">
    <w:name w:val="_Style 8"/>
    <w:qFormat/>
    <w:uiPriority w:val="0"/>
    <w:rPr>
      <w:smallCaps/>
      <w:color w:val="C0504D"/>
      <w:u w:val="single"/>
    </w:rPr>
  </w:style>
  <w:style w:type="character" w:customStyle="1" w:styleId="55">
    <w:name w:val="font21"/>
    <w:qFormat/>
    <w:uiPriority w:val="0"/>
    <w:rPr>
      <w:rFonts w:ascii="宋体" w:hAnsi="宋体" w:eastAsia="宋体" w:cs="宋体"/>
      <w:color w:val="000000"/>
      <w:sz w:val="24"/>
      <w:szCs w:val="24"/>
      <w:u w:val="none"/>
    </w:rPr>
  </w:style>
  <w:style w:type="character" w:customStyle="1" w:styleId="56">
    <w:name w:val="批注主题 Char"/>
    <w:qFormat/>
    <w:uiPriority w:val="0"/>
    <w:rPr>
      <w:b/>
      <w:kern w:val="1"/>
      <w:sz w:val="21"/>
      <w:szCs w:val="22"/>
    </w:rPr>
  </w:style>
  <w:style w:type="paragraph" w:customStyle="1" w:styleId="57">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8">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9">
    <w:name w:val="标题 1 New"/>
    <w:basedOn w:val="60"/>
    <w:next w:val="60"/>
    <w:qFormat/>
    <w:uiPriority w:val="0"/>
    <w:pPr>
      <w:keepNext/>
      <w:keepLines/>
      <w:spacing w:line="576" w:lineRule="auto"/>
      <w:outlineLvl w:val="0"/>
    </w:pPr>
    <w:rPr>
      <w:b/>
      <w:sz w:val="44"/>
      <w:szCs w:val="44"/>
    </w:rPr>
  </w:style>
  <w:style w:type="paragraph" w:customStyle="1" w:styleId="60">
    <w:name w:val="正文 New"/>
    <w:next w:val="61"/>
    <w:qFormat/>
    <w:uiPriority w:val="0"/>
    <w:pPr>
      <w:widowControl w:val="0"/>
      <w:jc w:val="both"/>
    </w:pPr>
    <w:rPr>
      <w:rFonts w:ascii="Calibri" w:hAnsi="Calibri" w:eastAsia="宋体" w:cs="Calibri"/>
      <w:color w:val="000000"/>
      <w:sz w:val="21"/>
      <w:szCs w:val="22"/>
      <w:lang w:val="en-US" w:eastAsia="zh-CN" w:bidi="ar-SA"/>
    </w:rPr>
  </w:style>
  <w:style w:type="paragraph" w:customStyle="1" w:styleId="61">
    <w:name w:val="纯文本1"/>
    <w:basedOn w:val="60"/>
    <w:qFormat/>
    <w:uiPriority w:val="0"/>
    <w:rPr>
      <w:rFonts w:ascii="宋体" w:hAnsi="宋体" w:cs="Courier New"/>
      <w:sz w:val="20"/>
      <w:szCs w:val="20"/>
      <w:lang w:val="zh-CN"/>
    </w:rPr>
  </w:style>
  <w:style w:type="paragraph" w:styleId="62">
    <w:name w:val="List Paragraph"/>
    <w:basedOn w:val="1"/>
    <w:qFormat/>
    <w:uiPriority w:val="99"/>
    <w:pPr>
      <w:ind w:firstLine="420" w:firstLineChars="200"/>
    </w:pPr>
  </w:style>
  <w:style w:type="paragraph" w:customStyle="1" w:styleId="63">
    <w:name w:val="修订1"/>
    <w:qFormat/>
    <w:uiPriority w:val="0"/>
    <w:rPr>
      <w:rFonts w:ascii="Calibri" w:hAnsi="Calibri" w:eastAsia="宋体" w:cs="Calibri"/>
      <w:color w:val="000000"/>
      <w:kern w:val="1"/>
      <w:sz w:val="21"/>
      <w:szCs w:val="22"/>
      <w:lang w:val="en-US" w:eastAsia="zh-CN" w:bidi="ar-SA"/>
    </w:rPr>
  </w:style>
  <w:style w:type="paragraph" w:customStyle="1" w:styleId="64">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5">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6">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7">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8">
    <w:name w:val="文一"/>
    <w:basedOn w:val="1"/>
    <w:qFormat/>
    <w:uiPriority w:val="0"/>
    <w:pPr>
      <w:spacing w:line="360" w:lineRule="auto"/>
      <w:ind w:firstLine="200"/>
    </w:pPr>
    <w:rPr>
      <w:spacing w:val="4"/>
      <w:sz w:val="24"/>
      <w:szCs w:val="24"/>
    </w:rPr>
  </w:style>
  <w:style w:type="paragraph" w:customStyle="1" w:styleId="69">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70">
    <w:name w:val="列出段落1"/>
    <w:basedOn w:val="1"/>
    <w:qFormat/>
    <w:uiPriority w:val="0"/>
    <w:pPr>
      <w:ind w:firstLine="420"/>
    </w:pPr>
    <w:rPr>
      <w:kern w:val="1"/>
      <w:szCs w:val="24"/>
    </w:rPr>
  </w:style>
  <w:style w:type="paragraph" w:customStyle="1" w:styleId="71">
    <w:name w:val="表头"/>
    <w:basedOn w:val="1"/>
    <w:qFormat/>
    <w:uiPriority w:val="0"/>
    <w:pPr>
      <w:spacing w:line="360" w:lineRule="auto"/>
      <w:jc w:val="center"/>
    </w:pPr>
    <w:rPr>
      <w:rFonts w:ascii="黑体" w:hAnsi="黑体" w:eastAsia="黑体" w:cs="Times New Roman"/>
      <w:sz w:val="24"/>
      <w:szCs w:val="20"/>
    </w:rPr>
  </w:style>
  <w:style w:type="paragraph" w:customStyle="1" w:styleId="72">
    <w:name w:val="普通(网站)1"/>
    <w:basedOn w:val="1"/>
    <w:qFormat/>
    <w:uiPriority w:val="0"/>
    <w:pPr>
      <w:spacing w:before="100" w:beforeAutospacing="1" w:after="100" w:afterAutospacing="1"/>
    </w:pPr>
    <w:rPr>
      <w:rFonts w:ascii="宋体" w:hAnsi="宋体" w:cs="宋体"/>
      <w:sz w:val="24"/>
      <w:szCs w:val="24"/>
    </w:rPr>
  </w:style>
  <w:style w:type="paragraph" w:customStyle="1" w:styleId="73">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4">
    <w:name w:val="修订2"/>
    <w:unhideWhenUsed/>
    <w:qFormat/>
    <w:uiPriority w:val="99"/>
    <w:rPr>
      <w:rFonts w:ascii="Calibri" w:hAnsi="Calibri" w:eastAsia="宋体" w:cs="Calibri"/>
      <w:color w:val="000000"/>
      <w:sz w:val="21"/>
      <w:szCs w:val="22"/>
      <w:lang w:val="en-US" w:eastAsia="zh-CN" w:bidi="ar-SA"/>
    </w:rPr>
  </w:style>
  <w:style w:type="paragraph" w:customStyle="1" w:styleId="75">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6">
    <w:name w:val="纯文本11"/>
    <w:basedOn w:val="60"/>
    <w:qFormat/>
    <w:uiPriority w:val="0"/>
    <w:rPr>
      <w:rFonts w:ascii="宋体" w:hAnsi="宋体" w:cs="Courier New"/>
      <w:sz w:val="20"/>
      <w:szCs w:val="20"/>
      <w:lang w:val="zh-CN"/>
    </w:rPr>
  </w:style>
  <w:style w:type="paragraph" w:customStyle="1" w:styleId="77">
    <w:name w:val="_Style 1"/>
    <w:basedOn w:val="1"/>
    <w:qFormat/>
    <w:uiPriority w:val="0"/>
    <w:rPr>
      <w:kern w:val="1"/>
      <w:sz w:val="20"/>
      <w:szCs w:val="20"/>
    </w:rPr>
  </w:style>
  <w:style w:type="paragraph" w:customStyle="1" w:styleId="78">
    <w:name w:val="样式1"/>
    <w:basedOn w:val="1"/>
    <w:next w:val="6"/>
    <w:qFormat/>
    <w:uiPriority w:val="0"/>
    <w:pPr>
      <w:spacing w:line="360" w:lineRule="auto"/>
      <w:ind w:firstLine="420"/>
    </w:pPr>
    <w:rPr>
      <w:rFonts w:ascii="宋体" w:hAnsi="宋体" w:cs="宋体"/>
      <w:kern w:val="1"/>
      <w:szCs w:val="21"/>
    </w:rPr>
  </w:style>
  <w:style w:type="paragraph" w:customStyle="1" w:styleId="79">
    <w:name w:val="标题 2 New"/>
    <w:basedOn w:val="60"/>
    <w:next w:val="60"/>
    <w:qFormat/>
    <w:uiPriority w:val="0"/>
    <w:pPr>
      <w:keepNext/>
      <w:keepLines/>
      <w:spacing w:line="413" w:lineRule="auto"/>
      <w:outlineLvl w:val="1"/>
    </w:pPr>
    <w:rPr>
      <w:rFonts w:ascii="Arial" w:hAnsi="Arial" w:eastAsia="黑体" w:cs="Arial"/>
      <w:b/>
      <w:sz w:val="32"/>
      <w:szCs w:val="32"/>
    </w:rPr>
  </w:style>
  <w:style w:type="paragraph" w:customStyle="1" w:styleId="80">
    <w:name w:val="文二"/>
    <w:basedOn w:val="1"/>
    <w:qFormat/>
    <w:uiPriority w:val="0"/>
    <w:pPr>
      <w:jc w:val="left"/>
    </w:pPr>
    <w:rPr>
      <w:rFonts w:ascii="宋体" w:hAnsi="宋体" w:cs="宋体"/>
      <w:kern w:val="1"/>
      <w:szCs w:val="21"/>
    </w:rPr>
  </w:style>
  <w:style w:type="paragraph" w:customStyle="1" w:styleId="81">
    <w:name w:val="发文落款"/>
    <w:basedOn w:val="69"/>
    <w:qFormat/>
    <w:uiPriority w:val="0"/>
    <w:pPr>
      <w:ind w:left="4094" w:right="607" w:firstLine="0"/>
      <w:jc w:val="center"/>
    </w:pPr>
  </w:style>
  <w:style w:type="paragraph" w:customStyle="1" w:styleId="82">
    <w:name w:val="正文 New New"/>
    <w:basedOn w:val="1"/>
    <w:qFormat/>
    <w:uiPriority w:val="0"/>
    <w:rPr>
      <w:rFonts w:ascii="Times New Roman" w:hAnsi="Times New Roman" w:cs="Times New Roman"/>
      <w:kern w:val="2"/>
      <w:szCs w:val="24"/>
    </w:rPr>
  </w:style>
  <w:style w:type="paragraph" w:customStyle="1" w:styleId="83">
    <w:name w:val="正题"/>
    <w:basedOn w:val="68"/>
    <w:next w:val="68"/>
    <w:qFormat/>
    <w:uiPriority w:val="0"/>
    <w:pPr>
      <w:ind w:firstLine="0"/>
      <w:jc w:val="center"/>
    </w:pPr>
    <w:rPr>
      <w:rFonts w:eastAsia="黑体"/>
      <w:b/>
      <w:sz w:val="36"/>
      <w:szCs w:val="36"/>
    </w:rPr>
  </w:style>
  <w:style w:type="paragraph" w:customStyle="1" w:styleId="84">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TOC 标题1"/>
    <w:basedOn w:val="3"/>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6">
    <w:name w:val="日期 字符"/>
    <w:link w:val="19"/>
    <w:semiHidden/>
    <w:qFormat/>
    <w:uiPriority w:val="99"/>
    <w:rPr>
      <w:rFonts w:ascii="Calibri" w:hAnsi="Calibri" w:cs="Calibri"/>
      <w:color w:val="000000"/>
      <w:sz w:val="21"/>
      <w:szCs w:val="22"/>
    </w:rPr>
  </w:style>
  <w:style w:type="character" w:customStyle="1" w:styleId="87">
    <w:name w:val="纯文本 字符1"/>
    <w:link w:val="2"/>
    <w:qFormat/>
    <w:uiPriority w:val="0"/>
    <w:rPr>
      <w:rFonts w:ascii="宋体" w:hAnsi="宋体" w:cs="Courier New"/>
      <w:color w:val="000000"/>
      <w:lang w:val="zh-CN"/>
    </w:rPr>
  </w:style>
  <w:style w:type="character" w:customStyle="1" w:styleId="88">
    <w:name w:val="正文 New New New Char Char"/>
    <w:link w:val="89"/>
    <w:qFormat/>
    <w:uiPriority w:val="0"/>
  </w:style>
  <w:style w:type="paragraph" w:customStyle="1" w:styleId="89">
    <w:name w:val="正文 New New New"/>
    <w:link w:val="88"/>
    <w:qFormat/>
    <w:uiPriority w:val="0"/>
    <w:pPr>
      <w:widowControl w:val="0"/>
      <w:jc w:val="both"/>
    </w:pPr>
    <w:rPr>
      <w:rFonts w:ascii="Times New Roman" w:hAnsi="Times New Roman" w:eastAsia="宋体" w:cs="Times New Roman"/>
      <w:lang w:val="en-US" w:eastAsia="zh-CN" w:bidi="ar-SA"/>
    </w:rPr>
  </w:style>
  <w:style w:type="character" w:customStyle="1" w:styleId="90">
    <w:name w:val="font11"/>
    <w:qFormat/>
    <w:uiPriority w:val="0"/>
    <w:rPr>
      <w:rFonts w:hint="eastAsia" w:ascii="仿宋" w:hAnsi="仿宋" w:eastAsia="仿宋" w:cs="仿宋"/>
      <w:color w:val="000000"/>
      <w:sz w:val="28"/>
      <w:szCs w:val="28"/>
      <w:u w:val="none"/>
    </w:rPr>
  </w:style>
  <w:style w:type="paragraph" w:customStyle="1" w:styleId="91">
    <w:name w:val="p0"/>
    <w:basedOn w:val="1"/>
    <w:qFormat/>
    <w:uiPriority w:val="99"/>
    <w:pPr>
      <w:widowControl/>
    </w:pPr>
    <w:rPr>
      <w:rFonts w:ascii="Times New Roman" w:hAnsi="Times New Roman" w:cs="Times New Roman"/>
      <w:color w:val="auto"/>
      <w:szCs w:val="21"/>
    </w:rPr>
  </w:style>
  <w:style w:type="paragraph" w:customStyle="1" w:styleId="92">
    <w:name w:val="TOC 标题2"/>
    <w:basedOn w:val="3"/>
    <w:next w:val="1"/>
    <w:semiHidden/>
    <w:unhideWhenUsed/>
    <w:qFormat/>
    <w:uiPriority w:val="39"/>
    <w:pPr>
      <w:spacing w:line="578" w:lineRule="auto"/>
      <w:outlineLvl w:val="9"/>
    </w:pPr>
    <w:rPr>
      <w:bCs/>
      <w:kern w:val="44"/>
    </w:rPr>
  </w:style>
  <w:style w:type="character" w:customStyle="1" w:styleId="93">
    <w:name w:val="标题 3 字符1"/>
    <w:basedOn w:val="36"/>
    <w:link w:val="5"/>
    <w:qFormat/>
    <w:uiPriority w:val="0"/>
    <w:rPr>
      <w:rFonts w:ascii="黑体" w:hAnsi="黑体" w:eastAsia="黑体" w:cs="宋体"/>
      <w:color w:val="000000"/>
      <w:sz w:val="28"/>
      <w:szCs w:val="28"/>
    </w:rPr>
  </w:style>
  <w:style w:type="paragraph" w:customStyle="1" w:styleId="94">
    <w:name w:val="修订3"/>
    <w:hidden/>
    <w:semiHidden/>
    <w:qFormat/>
    <w:uiPriority w:val="99"/>
    <w:rPr>
      <w:rFonts w:ascii="Calibri" w:hAnsi="Calibri" w:eastAsia="宋体" w:cs="Calibri"/>
      <w:color w:val="000000"/>
      <w:sz w:val="21"/>
      <w:szCs w:val="22"/>
      <w:lang w:val="en-US" w:eastAsia="zh-CN" w:bidi="ar-SA"/>
    </w:rPr>
  </w:style>
  <w:style w:type="character" w:customStyle="1" w:styleId="95">
    <w:name w:val="font31"/>
    <w:basedOn w:val="36"/>
    <w:qFormat/>
    <w:uiPriority w:val="0"/>
    <w:rPr>
      <w:rFonts w:hint="eastAsia" w:ascii="宋体" w:hAnsi="宋体" w:eastAsia="宋体"/>
      <w:color w:val="000000"/>
      <w:sz w:val="21"/>
      <w:szCs w:val="21"/>
      <w:u w:val="none"/>
    </w:rPr>
  </w:style>
  <w:style w:type="character" w:customStyle="1" w:styleId="96">
    <w:name w:val="font51"/>
    <w:basedOn w:val="36"/>
    <w:qFormat/>
    <w:uiPriority w:val="0"/>
    <w:rPr>
      <w:rFonts w:hint="default" w:ascii="Calibri" w:hAnsi="Calibri" w:cs="Calibri"/>
      <w:strike/>
      <w:color w:val="000000"/>
      <w:sz w:val="21"/>
      <w:szCs w:val="21"/>
    </w:rPr>
  </w:style>
  <w:style w:type="character" w:customStyle="1" w:styleId="97">
    <w:name w:val="font41"/>
    <w:basedOn w:val="36"/>
    <w:qFormat/>
    <w:uiPriority w:val="0"/>
    <w:rPr>
      <w:rFonts w:hint="eastAsia" w:ascii="宋体" w:hAnsi="宋体" w:eastAsia="宋体"/>
      <w:strike/>
      <w:color w:val="000000"/>
      <w:sz w:val="21"/>
      <w:szCs w:val="21"/>
    </w:rPr>
  </w:style>
  <w:style w:type="paragraph" w:customStyle="1" w:styleId="98">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99">
    <w:name w:val="font71"/>
    <w:basedOn w:val="36"/>
    <w:qFormat/>
    <w:uiPriority w:val="0"/>
    <w:rPr>
      <w:rFonts w:hint="eastAsia" w:ascii="宋体" w:hAnsi="宋体" w:eastAsia="宋体"/>
      <w:b/>
      <w:bCs/>
      <w:color w:val="000000"/>
      <w:sz w:val="22"/>
      <w:szCs w:val="22"/>
      <w:u w:val="none"/>
    </w:rPr>
  </w:style>
  <w:style w:type="character" w:customStyle="1" w:styleId="100">
    <w:name w:val="font81"/>
    <w:basedOn w:val="36"/>
    <w:qFormat/>
    <w:uiPriority w:val="0"/>
    <w:rPr>
      <w:rFonts w:hint="eastAsia" w:ascii="宋体" w:hAnsi="宋体" w:eastAsia="宋体"/>
      <w:color w:val="000000"/>
      <w:sz w:val="22"/>
      <w:szCs w:val="22"/>
      <w:u w:val="none"/>
    </w:rPr>
  </w:style>
  <w:style w:type="character" w:customStyle="1" w:styleId="101">
    <w:name w:val="正文文本缩进 字符"/>
    <w:basedOn w:val="36"/>
    <w:link w:val="14"/>
    <w:semiHidden/>
    <w:qFormat/>
    <w:uiPriority w:val="99"/>
    <w:rPr>
      <w:rFonts w:ascii="Calibri" w:hAnsi="Calibri" w:cs="Calibri"/>
      <w:color w:val="000000"/>
      <w:sz w:val="21"/>
      <w:szCs w:val="22"/>
    </w:rPr>
  </w:style>
  <w:style w:type="character" w:customStyle="1" w:styleId="102">
    <w:name w:val="正文首行缩进 2 字符"/>
    <w:basedOn w:val="101"/>
    <w:link w:val="33"/>
    <w:semiHidden/>
    <w:qFormat/>
    <w:uiPriority w:val="99"/>
    <w:rPr>
      <w:rFonts w:ascii="Calibri" w:hAnsi="Calibri" w:cs="Calibri"/>
      <w:color w:val="000000"/>
      <w:sz w:val="21"/>
      <w:szCs w:val="22"/>
    </w:rPr>
  </w:style>
  <w:style w:type="paragraph" w:customStyle="1" w:styleId="103">
    <w:name w:val="修订4"/>
    <w:hidden/>
    <w:semiHidden/>
    <w:qFormat/>
    <w:uiPriority w:val="99"/>
    <w:rPr>
      <w:rFonts w:ascii="Calibri" w:hAnsi="Calibri" w:eastAsia="宋体" w:cs="Calibri"/>
      <w:color w:val="000000"/>
      <w:sz w:val="21"/>
      <w:szCs w:val="22"/>
      <w:lang w:val="en-US" w:eastAsia="zh-CN" w:bidi="ar-SA"/>
    </w:rPr>
  </w:style>
  <w:style w:type="paragraph" w:customStyle="1" w:styleId="104">
    <w:name w:val="修订5"/>
    <w:hidden/>
    <w:semiHidden/>
    <w:qFormat/>
    <w:uiPriority w:val="99"/>
    <w:rPr>
      <w:rFonts w:ascii="Calibri" w:hAnsi="Calibri" w:eastAsia="宋体" w:cs="Calibri"/>
      <w:color w:val="000000"/>
      <w:sz w:val="21"/>
      <w:szCs w:val="22"/>
      <w:lang w:val="en-US" w:eastAsia="zh-CN" w:bidi="ar-SA"/>
    </w:rPr>
  </w:style>
  <w:style w:type="paragraph" w:customStyle="1" w:styleId="105">
    <w:name w:val="修订6"/>
    <w:hidden/>
    <w:semiHidden/>
    <w:qFormat/>
    <w:uiPriority w:val="99"/>
    <w:rPr>
      <w:rFonts w:ascii="Calibri" w:hAnsi="Calibri" w:eastAsia="宋体" w:cs="Calibri"/>
      <w:color w:val="000000"/>
      <w:sz w:val="21"/>
      <w:szCs w:val="22"/>
      <w:lang w:val="en-US" w:eastAsia="zh-CN" w:bidi="ar-SA"/>
    </w:rPr>
  </w:style>
  <w:style w:type="character" w:customStyle="1" w:styleId="106">
    <w:name w:val="标题 3 字符"/>
    <w:qFormat/>
    <w:uiPriority w:val="0"/>
    <w:rPr>
      <w:rFonts w:ascii="黑体" w:hAnsi="黑体" w:eastAsia="黑体" w:cs="宋体"/>
      <w:color w:val="000000"/>
      <w:sz w:val="28"/>
      <w:szCs w:val="28"/>
    </w:rPr>
  </w:style>
  <w:style w:type="character" w:customStyle="1" w:styleId="107">
    <w:name w:val="纯文本 字符"/>
    <w:qFormat/>
    <w:uiPriority w:val="0"/>
    <w:rPr>
      <w:rFonts w:ascii="宋体" w:hAnsi="宋体" w:cs="Courier New"/>
      <w:color w:val="000000"/>
      <w:lang w:val="zh-CN"/>
    </w:rPr>
  </w:style>
  <w:style w:type="character" w:customStyle="1" w:styleId="108">
    <w:name w:val="正文首行缩进 字符"/>
    <w:basedOn w:val="36"/>
    <w:link w:val="32"/>
    <w:qFormat/>
    <w:uiPriority w:val="0"/>
    <w:rPr>
      <w:rFonts w:ascii="Calibri" w:hAnsi="Calibri" w:cs="Calibri"/>
      <w:color w:val="000000"/>
      <w:kern w:val="1"/>
      <w:sz w:val="21"/>
      <w:szCs w:val="22"/>
    </w:rPr>
  </w:style>
  <w:style w:type="character" w:customStyle="1" w:styleId="109">
    <w:name w:val="font101"/>
    <w:basedOn w:val="36"/>
    <w:qFormat/>
    <w:uiPriority w:val="0"/>
    <w:rPr>
      <w:rFonts w:hint="eastAsia" w:ascii="黑体" w:hAnsi="黑体" w:eastAsia="黑体"/>
      <w:color w:val="000000"/>
      <w:sz w:val="24"/>
      <w:szCs w:val="24"/>
      <w:u w:val="none"/>
      <w:vertAlign w:val="superscript"/>
    </w:rPr>
  </w:style>
  <w:style w:type="character" w:customStyle="1" w:styleId="110">
    <w:name w:val="font91"/>
    <w:basedOn w:val="36"/>
    <w:qFormat/>
    <w:uiPriority w:val="0"/>
    <w:rPr>
      <w:rFonts w:hint="eastAsia" w:ascii="黑体" w:hAnsi="黑体" w:eastAsia="黑体"/>
      <w:color w:val="000000"/>
      <w:sz w:val="24"/>
      <w:szCs w:val="24"/>
      <w:u w:val="none"/>
      <w:vertAlign w:val="superscript"/>
    </w:rPr>
  </w:style>
  <w:style w:type="paragraph" w:customStyle="1" w:styleId="111">
    <w:name w:val="6'"/>
    <w:next w:val="112"/>
    <w:qFormat/>
    <w:uiPriority w:val="0"/>
    <w:pPr>
      <w:widowControl w:val="0"/>
      <w:autoSpaceDE w:val="0"/>
      <w:autoSpaceDN w:val="0"/>
      <w:adjustRightInd w:val="0"/>
      <w:snapToGrid w:val="0"/>
      <w:spacing w:line="320" w:lineRule="exact"/>
      <w:jc w:val="center"/>
    </w:pPr>
    <w:rPr>
      <w:rFonts w:ascii="Times New Roman" w:hAnsi="Times New Roman" w:eastAsia="宋体" w:cs="Times New Roman"/>
      <w:spacing w:val="20"/>
      <w:sz w:val="24"/>
      <w:lang w:val="en-US" w:eastAsia="zh-CN" w:bidi="ar-SA"/>
    </w:rPr>
  </w:style>
  <w:style w:type="paragraph" w:customStyle="1" w:styleId="112">
    <w:name w:val="AOHead3"/>
    <w:next w:val="1"/>
    <w:qFormat/>
    <w:uiPriority w:val="0"/>
    <w:pPr>
      <w:autoSpaceDE w:val="0"/>
      <w:autoSpaceDN w:val="0"/>
      <w:adjustRightInd w:val="0"/>
      <w:spacing w:line="360" w:lineRule="auto"/>
      <w:ind w:left="1260"/>
      <w:outlineLvl w:val="2"/>
    </w:pPr>
    <w:rPr>
      <w:rFonts w:ascii="Times New Roman" w:hAnsi="Times New Roman" w:eastAsia="宋体" w:cs="Times New Roman"/>
      <w:color w:val="0000FF"/>
      <w:sz w:val="24"/>
      <w:lang w:val="en-US" w:eastAsia="zh-CN" w:bidi="ar-SA"/>
    </w:rPr>
  </w:style>
  <w:style w:type="paragraph" w:customStyle="1" w:styleId="113">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font61"/>
    <w:basedOn w:val="36"/>
    <w:qFormat/>
    <w:uiPriority w:val="0"/>
    <w:rPr>
      <w:rFonts w:hint="eastAsia" w:ascii="宋体" w:hAnsi="宋体" w:eastAsia="宋体" w:cs="宋体"/>
      <w:b/>
      <w:bCs/>
      <w:color w:val="000000"/>
      <w:sz w:val="24"/>
      <w:szCs w:val="24"/>
      <w:u w:val="none"/>
    </w:rPr>
  </w:style>
  <w:style w:type="character" w:customStyle="1" w:styleId="115">
    <w:name w:val="font131"/>
    <w:basedOn w:val="36"/>
    <w:qFormat/>
    <w:uiPriority w:val="0"/>
    <w:rPr>
      <w:rFonts w:hint="eastAsia" w:ascii="黑体" w:hAnsi="宋体" w:eastAsia="黑体" w:cs="黑体"/>
      <w:color w:val="000000"/>
      <w:sz w:val="24"/>
      <w:szCs w:val="24"/>
      <w:u w:val="none"/>
      <w:vertAlign w:val="superscript"/>
    </w:rPr>
  </w:style>
  <w:style w:type="character" w:customStyle="1" w:styleId="116">
    <w:name w:val="font112"/>
    <w:basedOn w:val="36"/>
    <w:qFormat/>
    <w:uiPriority w:val="0"/>
    <w:rPr>
      <w:rFonts w:hint="eastAsia" w:ascii="黑体" w:hAnsi="宋体" w:eastAsia="黑体" w:cs="黑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82</Pages>
  <Words>42396</Words>
  <Characters>44480</Characters>
  <Lines>362</Lines>
  <Paragraphs>102</Paragraphs>
  <TotalTime>33</TotalTime>
  <ScaleCrop>false</ScaleCrop>
  <LinksUpToDate>false</LinksUpToDate>
  <CharactersWithSpaces>47635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2023-10-20T01:17:00Z</dcterms:created>
  <dc:creator>KO</dc:creator>
  <cp:lastModifiedBy>An</cp:lastModifiedBy>
  <cp:lastPrinted>2025-02-07T03:13:00Z</cp:lastPrinted>
  <dcterms:modified xsi:type="dcterms:W3CDTF">2025-08-28T10:14:55Z</dcterms:modified>
  <dc:title>设计施工总承包（EPC）</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35C02B5343D14E598436D74B186E7412_13</vt:lpwstr>
  </property>
  <property fmtid="{D5CDD505-2E9C-101B-9397-08002B2CF9AE}" pid="4" name="KSOTemplateDocerSaveRecord">
    <vt:lpwstr>eyJoZGlkIjoiMDEwYzI2ZTI4MDA0ODg3MjA0ZTYxNTVhYzAzYTY5OTkiLCJ1c2VySWQiOiIzNjQxMjMwNTgifQ==</vt:lpwstr>
  </property>
</Properties>
</file>