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D072E">
      <w:pPr>
        <w:adjustRightInd w:val="0"/>
        <w:snapToGrid w:val="0"/>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白云区太和镇卫生院新址建设项目</w:t>
      </w:r>
    </w:p>
    <w:p w14:paraId="650724D1">
      <w:pPr>
        <w:adjustRightInd w:val="0"/>
        <w:snapToGrid w:val="0"/>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勘察设计任务书</w:t>
      </w:r>
    </w:p>
    <w:p w14:paraId="613D6E81">
      <w:pPr>
        <w:adjustRightInd w:val="0"/>
        <w:snapToGrid w:val="0"/>
        <w:spacing w:line="360" w:lineRule="auto"/>
        <w:jc w:val="center"/>
        <w:rPr>
          <w:rFonts w:ascii="宋体" w:hAnsi="宋体"/>
          <w:bCs/>
          <w:color w:val="auto"/>
          <w:szCs w:val="21"/>
          <w:highlight w:val="none"/>
        </w:rPr>
      </w:pPr>
    </w:p>
    <w:p w14:paraId="0782C274">
      <w:pPr>
        <w:spacing w:line="360" w:lineRule="auto"/>
        <w:jc w:val="left"/>
        <w:rPr>
          <w:rFonts w:ascii="宋体" w:hAnsi="宋体" w:cs="宋体"/>
          <w:color w:val="auto"/>
          <w:sz w:val="24"/>
          <w:highlight w:val="none"/>
          <w:lang w:bidi="ar"/>
        </w:rPr>
      </w:pPr>
    </w:p>
    <w:p w14:paraId="5571AFCE">
      <w:pPr>
        <w:pStyle w:val="3"/>
        <w:spacing w:line="360" w:lineRule="auto"/>
        <w:rPr>
          <w:color w:val="auto"/>
          <w:highlight w:val="none"/>
        </w:rPr>
      </w:pPr>
      <w:r>
        <w:rPr>
          <w:rFonts w:hint="eastAsia"/>
          <w:color w:val="auto"/>
          <w:highlight w:val="none"/>
        </w:rPr>
        <w:t>一、项目概况</w:t>
      </w:r>
    </w:p>
    <w:p w14:paraId="29882162">
      <w:pPr>
        <w:spacing w:line="560" w:lineRule="exact"/>
        <w:ind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本项目位于白云区太和镇广州民营科技园核心区东南部，南侧紧邻北太路，东侧临近广从三路</w:t>
      </w:r>
      <w:r>
        <w:rPr>
          <w:rFonts w:hint="eastAsia" w:ascii="宋体" w:hAnsi="宋体" w:cs="宋体"/>
          <w:color w:val="auto"/>
          <w:sz w:val="24"/>
          <w:highlight w:val="none"/>
          <w:lang w:bidi="ar"/>
        </w:rPr>
        <w:t>，项目地块</w:t>
      </w:r>
      <w:r>
        <w:rPr>
          <w:rFonts w:hint="eastAsia" w:ascii="宋体" w:hAnsi="宋体" w:cs="宋体"/>
          <w:color w:val="auto"/>
          <w:sz w:val="24"/>
          <w:highlight w:val="none"/>
          <w:lang w:eastAsia="zh" w:bidi="ar"/>
        </w:rPr>
        <w:t>为</w:t>
      </w:r>
      <w:r>
        <w:rPr>
          <w:rFonts w:ascii="宋体" w:hAnsi="宋体" w:cs="宋体"/>
          <w:color w:val="auto"/>
          <w:sz w:val="24"/>
          <w:highlight w:val="none"/>
          <w:lang w:bidi="ar"/>
        </w:rPr>
        <w:t xml:space="preserve"> AB1208</w:t>
      </w:r>
      <w:r>
        <w:rPr>
          <w:rFonts w:hint="eastAsia" w:ascii="宋体" w:hAnsi="宋体" w:cs="宋体"/>
          <w:color w:val="auto"/>
          <w:sz w:val="24"/>
          <w:highlight w:val="none"/>
          <w:lang w:bidi="ar"/>
        </w:rPr>
        <w:t>规划管理单元。规划用地性质为医疗卫生用地（</w:t>
      </w:r>
      <w:r>
        <w:rPr>
          <w:rFonts w:ascii="宋体" w:hAnsi="宋体" w:cs="宋体"/>
          <w:color w:val="auto"/>
          <w:sz w:val="24"/>
          <w:highlight w:val="none"/>
          <w:lang w:bidi="ar"/>
        </w:rPr>
        <w:t>A5</w:t>
      </w:r>
      <w:r>
        <w:rPr>
          <w:rFonts w:hint="eastAsia" w:ascii="宋体" w:hAnsi="宋体" w:cs="宋体"/>
          <w:color w:val="auto"/>
          <w:sz w:val="24"/>
          <w:highlight w:val="none"/>
          <w:lang w:bidi="ar"/>
        </w:rPr>
        <w:t>），总用地面积为</w:t>
      </w:r>
      <w:r>
        <w:rPr>
          <w:rFonts w:ascii="宋体" w:hAnsi="宋体" w:cs="宋体"/>
          <w:color w:val="auto"/>
          <w:sz w:val="24"/>
          <w:highlight w:val="none"/>
          <w:lang w:bidi="ar"/>
        </w:rPr>
        <w:t>17098㎡</w:t>
      </w:r>
      <w:r>
        <w:rPr>
          <w:rFonts w:hint="eastAsia" w:ascii="宋体" w:hAnsi="宋体" w:cs="宋体"/>
          <w:color w:val="auto"/>
          <w:sz w:val="24"/>
          <w:highlight w:val="none"/>
          <w:lang w:bidi="ar"/>
        </w:rPr>
        <w:t>，绿地用地面积为</w:t>
      </w:r>
      <w:r>
        <w:rPr>
          <w:rFonts w:ascii="宋体" w:hAnsi="宋体" w:cs="宋体"/>
          <w:color w:val="auto"/>
          <w:sz w:val="24"/>
          <w:highlight w:val="none"/>
          <w:lang w:bidi="ar"/>
        </w:rPr>
        <w:t>2093㎡</w:t>
      </w:r>
      <w:r>
        <w:rPr>
          <w:rFonts w:hint="eastAsia" w:ascii="宋体" w:hAnsi="宋体" w:cs="宋体"/>
          <w:color w:val="auto"/>
          <w:sz w:val="24"/>
          <w:highlight w:val="none"/>
          <w:lang w:bidi="ar"/>
        </w:rPr>
        <w:t>，可建设用地面积为</w:t>
      </w:r>
      <w:r>
        <w:rPr>
          <w:rFonts w:ascii="宋体" w:hAnsi="宋体" w:cs="宋体"/>
          <w:color w:val="auto"/>
          <w:sz w:val="24"/>
          <w:highlight w:val="none"/>
          <w:lang w:bidi="ar"/>
        </w:rPr>
        <w:t>15005㎡</w:t>
      </w:r>
      <w:r>
        <w:rPr>
          <w:rFonts w:hint="eastAsia" w:ascii="宋体" w:hAnsi="宋体" w:cs="宋体"/>
          <w:color w:val="auto"/>
          <w:sz w:val="24"/>
          <w:highlight w:val="none"/>
          <w:lang w:bidi="ar"/>
        </w:rPr>
        <w:t>。</w:t>
      </w:r>
    </w:p>
    <w:p w14:paraId="3FBD29B6">
      <w:pPr>
        <w:spacing w:line="560" w:lineRule="exact"/>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主要建设内容</w:t>
      </w:r>
      <w:r>
        <w:rPr>
          <w:rFonts w:hint="eastAsia" w:ascii="宋体" w:hAnsi="宋体" w:cs="宋体"/>
          <w:color w:val="auto"/>
          <w:sz w:val="24"/>
          <w:highlight w:val="none"/>
          <w:lang w:eastAsia="zh" w:bidi="ar"/>
        </w:rPr>
        <w:t>为太和镇卫生院门急诊医技综合楼、</w:t>
      </w:r>
      <w:r>
        <w:rPr>
          <w:rFonts w:hint="eastAsia" w:ascii="宋体" w:hAnsi="宋体" w:cs="宋体"/>
          <w:color w:val="auto"/>
          <w:sz w:val="24"/>
          <w:highlight w:val="none"/>
          <w:lang w:bidi="ar"/>
        </w:rPr>
        <w:t>地下</w:t>
      </w:r>
      <w:r>
        <w:rPr>
          <w:rFonts w:hint="eastAsia" w:ascii="宋体" w:hAnsi="宋体" w:cs="宋体"/>
          <w:color w:val="auto"/>
          <w:sz w:val="24"/>
          <w:highlight w:val="none"/>
          <w:lang w:eastAsia="zh" w:bidi="ar"/>
        </w:rPr>
        <w:t>室</w:t>
      </w:r>
      <w:r>
        <w:rPr>
          <w:rFonts w:hint="eastAsia" w:ascii="宋体" w:hAnsi="宋体" w:cs="宋体"/>
          <w:color w:val="auto"/>
          <w:sz w:val="24"/>
          <w:highlight w:val="none"/>
          <w:lang w:bidi="ar"/>
        </w:rPr>
        <w:t>及其配套工程等。</w:t>
      </w:r>
    </w:p>
    <w:p w14:paraId="48D640D5">
      <w:pPr>
        <w:pStyle w:val="2"/>
        <w:ind w:firstLine="372"/>
        <w:rPr>
          <w:color w:val="auto"/>
          <w:highlight w:val="none"/>
        </w:rPr>
      </w:pPr>
    </w:p>
    <w:p w14:paraId="228B4F21">
      <w:pPr>
        <w:pStyle w:val="3"/>
        <w:spacing w:line="360" w:lineRule="auto"/>
        <w:rPr>
          <w:color w:val="auto"/>
          <w:highlight w:val="none"/>
        </w:rPr>
      </w:pPr>
      <w:r>
        <w:rPr>
          <w:color w:val="auto"/>
          <w:highlight w:val="none"/>
        </w:rPr>
        <w:t>二、建设内容与规模</w:t>
      </w:r>
    </w:p>
    <w:p w14:paraId="2A9B6044">
      <w:pPr>
        <w:spacing w:line="560" w:lineRule="exact"/>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根据项目用地规划条件，</w:t>
      </w:r>
      <w:r>
        <w:rPr>
          <w:rFonts w:ascii="宋体" w:hAnsi="宋体" w:cs="宋体"/>
          <w:color w:val="auto"/>
          <w:sz w:val="24"/>
          <w:highlight w:val="none"/>
          <w:lang w:bidi="ar"/>
        </w:rPr>
        <w:t>项目总用地面积17098平方米，可建设用地面积15005平方米，绿地用地面积2093平方米。</w:t>
      </w:r>
      <w:r>
        <w:rPr>
          <w:rFonts w:hint="eastAsia" w:ascii="宋体" w:hAnsi="宋体" w:cs="宋体"/>
          <w:color w:val="auto"/>
          <w:sz w:val="24"/>
          <w:highlight w:val="none"/>
          <w:lang w:eastAsia="zh" w:bidi="ar"/>
        </w:rPr>
        <w:t>总计容建筑面积</w:t>
      </w:r>
      <w:r>
        <w:rPr>
          <w:rFonts w:hint="eastAsia" w:ascii="宋体" w:hAnsi="宋体" w:cs="宋体"/>
          <w:color w:val="auto"/>
          <w:sz w:val="24"/>
          <w:highlight w:val="none"/>
          <w:lang w:bidi="ar"/>
        </w:rPr>
        <w:t>≤</w:t>
      </w:r>
      <w:r>
        <w:rPr>
          <w:rFonts w:hint="eastAsia" w:ascii="宋体" w:hAnsi="宋体" w:cs="宋体"/>
          <w:color w:val="auto"/>
          <w:sz w:val="24"/>
          <w:highlight w:val="none"/>
          <w:lang w:eastAsia="zh" w:bidi="ar"/>
        </w:rPr>
        <w:t>30010平方米</w:t>
      </w:r>
      <w:r>
        <w:rPr>
          <w:rFonts w:hint="eastAsia" w:ascii="宋体" w:hAnsi="宋体" w:cs="宋体"/>
          <w:color w:val="auto"/>
          <w:sz w:val="24"/>
          <w:highlight w:val="none"/>
          <w:lang w:bidi="ar"/>
        </w:rPr>
        <w:t>，地块设计要求及限高等按规划条件以及城市设计管理图则控制。拟开发建设</w:t>
      </w:r>
      <w:r>
        <w:rPr>
          <w:rFonts w:hint="eastAsia" w:ascii="宋体" w:hAnsi="宋体" w:cs="宋体"/>
          <w:color w:val="auto"/>
          <w:sz w:val="24"/>
          <w:highlight w:val="none"/>
          <w:lang w:eastAsia="zh" w:bidi="ar"/>
        </w:rPr>
        <w:t>医院</w:t>
      </w:r>
      <w:r>
        <w:rPr>
          <w:rFonts w:hint="eastAsia" w:ascii="宋体" w:hAnsi="宋体" w:cs="宋体"/>
          <w:color w:val="auto"/>
          <w:sz w:val="24"/>
          <w:highlight w:val="none"/>
          <w:lang w:bidi="ar"/>
        </w:rPr>
        <w:t>，地下停车场（含人防工程）及其配套室外工程。</w:t>
      </w:r>
      <w:r>
        <w:rPr>
          <w:rFonts w:ascii="宋体" w:hAnsi="宋体" w:cs="宋体"/>
          <w:color w:val="auto"/>
          <w:sz w:val="24"/>
          <w:highlight w:val="none"/>
          <w:lang w:bidi="ar"/>
        </w:rPr>
        <w:t>本次新建250床位，总建筑面积42592.25平方米，地上建筑面积29092.25平方米，地下建筑面积13500平方米。</w:t>
      </w:r>
      <w:r>
        <w:rPr>
          <w:rFonts w:hint="eastAsia" w:ascii="宋体" w:hAnsi="宋体" w:cs="宋体"/>
          <w:color w:val="auto"/>
          <w:sz w:val="24"/>
          <w:highlight w:val="none"/>
          <w:lang w:eastAsia="zh" w:bidi="ar"/>
        </w:rPr>
        <w:t xml:space="preserve">容积率1.9. </w:t>
      </w:r>
      <w:r>
        <w:rPr>
          <w:rFonts w:hint="eastAsia" w:ascii="宋体" w:hAnsi="宋体" w:cs="宋体"/>
          <w:color w:val="auto"/>
          <w:sz w:val="24"/>
          <w:highlight w:val="none"/>
          <w:lang w:bidi="ar"/>
        </w:rPr>
        <w:t>建筑密度</w:t>
      </w:r>
      <w:r>
        <w:rPr>
          <w:rFonts w:hint="eastAsia" w:ascii="宋体" w:hAnsi="宋体" w:cs="宋体"/>
          <w:color w:val="auto"/>
          <w:sz w:val="24"/>
          <w:highlight w:val="none"/>
          <w:lang w:eastAsia="zh" w:bidi="ar"/>
        </w:rPr>
        <w:t>26</w:t>
      </w:r>
      <w:r>
        <w:rPr>
          <w:rFonts w:hint="eastAsia" w:ascii="宋体" w:hAnsi="宋体" w:cs="宋体"/>
          <w:color w:val="auto"/>
          <w:sz w:val="24"/>
          <w:highlight w:val="none"/>
          <w:lang w:bidi="ar"/>
        </w:rPr>
        <w:t>%，绿地率3</w:t>
      </w:r>
      <w:r>
        <w:rPr>
          <w:rFonts w:hint="eastAsia" w:ascii="宋体" w:hAnsi="宋体" w:cs="宋体"/>
          <w:color w:val="auto"/>
          <w:sz w:val="24"/>
          <w:highlight w:val="none"/>
          <w:lang w:eastAsia="zh" w:bidi="ar"/>
        </w:rPr>
        <w:t>0</w:t>
      </w:r>
      <w:r>
        <w:rPr>
          <w:rFonts w:hint="eastAsia" w:ascii="宋体" w:hAnsi="宋体" w:cs="宋体"/>
          <w:color w:val="auto"/>
          <w:sz w:val="24"/>
          <w:highlight w:val="none"/>
          <w:lang w:bidi="ar"/>
        </w:rPr>
        <w:t>%。以上最终面积以国土规划部门批复面积为准。其他规划条件要求 参照文件：《广州市建设用地规划条件 穗规划资源业务函〔202</w:t>
      </w:r>
      <w:r>
        <w:rPr>
          <w:rFonts w:hint="eastAsia" w:ascii="宋体" w:hAnsi="宋体" w:cs="宋体"/>
          <w:color w:val="auto"/>
          <w:sz w:val="24"/>
          <w:highlight w:val="none"/>
          <w:lang w:eastAsia="zh" w:bidi="ar"/>
        </w:rPr>
        <w:t>4</w:t>
      </w:r>
      <w:r>
        <w:rPr>
          <w:rFonts w:hint="eastAsia" w:ascii="宋体" w:hAnsi="宋体" w:cs="宋体"/>
          <w:color w:val="auto"/>
          <w:sz w:val="24"/>
          <w:highlight w:val="none"/>
          <w:lang w:bidi="ar"/>
        </w:rPr>
        <w:t>〕</w:t>
      </w:r>
      <w:r>
        <w:rPr>
          <w:rFonts w:hint="eastAsia" w:ascii="宋体" w:hAnsi="宋体" w:cs="宋体"/>
          <w:color w:val="auto"/>
          <w:sz w:val="24"/>
          <w:highlight w:val="none"/>
          <w:lang w:eastAsia="zh" w:bidi="ar"/>
        </w:rPr>
        <w:t>346</w:t>
      </w:r>
      <w:r>
        <w:rPr>
          <w:rFonts w:hint="eastAsia" w:ascii="宋体" w:hAnsi="宋体" w:cs="宋体"/>
          <w:color w:val="auto"/>
          <w:sz w:val="24"/>
          <w:highlight w:val="none"/>
          <w:lang w:bidi="ar"/>
        </w:rPr>
        <w:t>号》</w:t>
      </w:r>
    </w:p>
    <w:p w14:paraId="20DF4455">
      <w:pPr>
        <w:spacing w:line="560" w:lineRule="exact"/>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地基基础设计等级甲级 ，建筑内最大</w:t>
      </w:r>
      <w:r>
        <w:rPr>
          <w:rFonts w:hint="eastAsia" w:ascii="宋体" w:hAnsi="宋体" w:cs="宋体"/>
          <w:color w:val="auto"/>
          <w:sz w:val="24"/>
          <w:highlight w:val="none"/>
          <w:lang w:eastAsia="zh" w:bidi="ar"/>
        </w:rPr>
        <w:t>23.80</w:t>
      </w:r>
      <w:r>
        <w:rPr>
          <w:rFonts w:hint="eastAsia" w:ascii="宋体" w:hAnsi="宋体" w:cs="宋体"/>
          <w:color w:val="auto"/>
          <w:sz w:val="24"/>
          <w:highlight w:val="none"/>
          <w:lang w:bidi="ar"/>
        </w:rPr>
        <w:t>米柱跨，基坑工程安全等级1级，基坑环境等级1级，建筑控高≤1</w:t>
      </w:r>
      <w:r>
        <w:rPr>
          <w:rFonts w:hint="eastAsia" w:ascii="宋体" w:hAnsi="宋体" w:cs="宋体"/>
          <w:color w:val="auto"/>
          <w:sz w:val="24"/>
          <w:highlight w:val="none"/>
          <w:lang w:eastAsia="zh" w:bidi="ar"/>
        </w:rPr>
        <w:t>00</w:t>
      </w:r>
      <w:r>
        <w:rPr>
          <w:rFonts w:hint="eastAsia" w:ascii="宋体" w:hAnsi="宋体" w:cs="宋体"/>
          <w:color w:val="auto"/>
          <w:sz w:val="24"/>
          <w:highlight w:val="none"/>
          <w:lang w:bidi="ar"/>
        </w:rPr>
        <w:t>米。</w:t>
      </w:r>
    </w:p>
    <w:p w14:paraId="0B1998ED">
      <w:pPr>
        <w:pStyle w:val="2"/>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1地上工程</w:t>
      </w:r>
    </w:p>
    <w:p w14:paraId="135674D1">
      <w:pPr>
        <w:pStyle w:val="2"/>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地上</w:t>
      </w:r>
      <w:r>
        <w:rPr>
          <w:rFonts w:ascii="宋体" w:hAnsi="宋体" w:cs="宋体"/>
          <w:color w:val="auto"/>
          <w:kern w:val="0"/>
          <w:sz w:val="24"/>
          <w:highlight w:val="none"/>
          <w:lang w:bidi="ar"/>
        </w:rPr>
        <w:t>总</w:t>
      </w:r>
      <w:r>
        <w:rPr>
          <w:rFonts w:hint="eastAsia" w:ascii="宋体" w:hAnsi="宋体" w:cs="宋体"/>
          <w:color w:val="auto"/>
          <w:kern w:val="0"/>
          <w:sz w:val="24"/>
          <w:highlight w:val="none"/>
          <w:lang w:bidi="ar"/>
        </w:rPr>
        <w:t>建筑</w:t>
      </w:r>
      <w:r>
        <w:rPr>
          <w:rFonts w:ascii="宋体" w:hAnsi="宋体" w:cs="宋体"/>
          <w:color w:val="auto"/>
          <w:kern w:val="0"/>
          <w:sz w:val="24"/>
          <w:highlight w:val="none"/>
          <w:lang w:bidi="ar"/>
        </w:rPr>
        <w:t>面积约</w:t>
      </w:r>
      <w:r>
        <w:rPr>
          <w:rFonts w:hint="eastAsia" w:ascii="宋体" w:hAnsi="宋体" w:cs="宋体"/>
          <w:color w:val="auto"/>
          <w:kern w:val="0"/>
          <w:sz w:val="24"/>
          <w:highlight w:val="none"/>
          <w:lang w:eastAsia="zh" w:bidi="ar"/>
        </w:rPr>
        <w:t>29092.25</w:t>
      </w:r>
      <w:r>
        <w:rPr>
          <w:rFonts w:hint="eastAsia" w:ascii="宋体" w:hAnsi="宋体" w:cs="宋体"/>
          <w:color w:val="auto"/>
          <w:kern w:val="0"/>
          <w:sz w:val="24"/>
          <w:highlight w:val="none"/>
          <w:lang w:bidi="ar"/>
        </w:rPr>
        <w:t>平方米，以</w:t>
      </w:r>
      <w:r>
        <w:rPr>
          <w:rFonts w:hint="eastAsia" w:ascii="宋体" w:hAnsi="宋体" w:cs="宋体"/>
          <w:color w:val="auto"/>
          <w:kern w:val="0"/>
          <w:sz w:val="24"/>
          <w:highlight w:val="none"/>
          <w:lang w:eastAsia="zh" w:bidi="ar"/>
        </w:rPr>
        <w:t>医院</w:t>
      </w:r>
      <w:r>
        <w:rPr>
          <w:rFonts w:hint="eastAsia" w:ascii="宋体" w:hAnsi="宋体" w:cs="宋体"/>
          <w:color w:val="auto"/>
          <w:sz w:val="24"/>
          <w:highlight w:val="none"/>
          <w:lang w:eastAsia="zh" w:bidi="ar"/>
        </w:rPr>
        <w:t>门急诊医技综合楼</w:t>
      </w:r>
      <w:r>
        <w:rPr>
          <w:rFonts w:hint="eastAsia" w:ascii="宋体" w:hAnsi="宋体" w:cs="宋体"/>
          <w:color w:val="auto"/>
          <w:kern w:val="0"/>
          <w:sz w:val="24"/>
          <w:highlight w:val="none"/>
          <w:lang w:bidi="ar"/>
        </w:rPr>
        <w:t>为主</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最终建设内容须以建设单位需求为准。</w:t>
      </w:r>
    </w:p>
    <w:p w14:paraId="7C3DD579">
      <w:pPr>
        <w:pStyle w:val="2"/>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2地下工程</w:t>
      </w:r>
    </w:p>
    <w:p w14:paraId="41DBC1F1">
      <w:pPr>
        <w:spacing w:line="360" w:lineRule="auto"/>
        <w:jc w:val="left"/>
        <w:rPr>
          <w:rFonts w:ascii="宋体" w:hAnsi="宋体" w:cs="宋体"/>
          <w:color w:val="auto"/>
          <w:sz w:val="24"/>
          <w:highlight w:val="none"/>
          <w:lang w:bidi="ar"/>
        </w:rPr>
      </w:pPr>
      <w:r>
        <w:rPr>
          <w:rFonts w:ascii="宋体" w:hAnsi="宋体" w:cs="宋体"/>
          <w:color w:val="auto"/>
          <w:sz w:val="24"/>
          <w:highlight w:val="none"/>
          <w:lang w:bidi="ar"/>
        </w:rPr>
        <w:t xml:space="preserve">    地下建筑面积约</w:t>
      </w:r>
      <w:r>
        <w:rPr>
          <w:rFonts w:hint="eastAsia" w:ascii="宋体" w:hAnsi="宋体" w:cs="宋体"/>
          <w:color w:val="auto"/>
          <w:sz w:val="24"/>
          <w:highlight w:val="none"/>
          <w:lang w:eastAsia="zh" w:bidi="ar"/>
        </w:rPr>
        <w:t>13500</w:t>
      </w:r>
      <w:r>
        <w:rPr>
          <w:rFonts w:hint="eastAsia" w:ascii="宋体" w:hAnsi="宋体" w:cs="宋体"/>
          <w:color w:val="auto"/>
          <w:sz w:val="24"/>
          <w:highlight w:val="none"/>
          <w:lang w:bidi="ar"/>
        </w:rPr>
        <w:t>平方米，主要使用功能为停车库、人防工程、设备用房</w:t>
      </w:r>
      <w:r>
        <w:rPr>
          <w:rFonts w:hint="eastAsia" w:ascii="宋体" w:hAnsi="宋体" w:cs="宋体"/>
          <w:color w:val="auto"/>
          <w:sz w:val="24"/>
          <w:highlight w:val="none"/>
          <w:lang w:eastAsia="zh" w:bidi="ar"/>
        </w:rPr>
        <w:t>、医疗用房</w:t>
      </w:r>
      <w:r>
        <w:rPr>
          <w:rFonts w:hint="eastAsia" w:ascii="宋体" w:hAnsi="宋体" w:cs="宋体"/>
          <w:color w:val="auto"/>
          <w:sz w:val="24"/>
          <w:highlight w:val="none"/>
          <w:lang w:bidi="ar"/>
        </w:rPr>
        <w:t>。机动车位及非机动车位要满足相关规划要求。</w:t>
      </w:r>
    </w:p>
    <w:p w14:paraId="0E56DE99">
      <w:pPr>
        <w:pStyle w:val="2"/>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3室外工程</w:t>
      </w:r>
    </w:p>
    <w:p w14:paraId="7D8946D0">
      <w:pPr>
        <w:spacing w:line="360" w:lineRule="auto"/>
        <w:ind w:left="420"/>
        <w:jc w:val="left"/>
        <w:rPr>
          <w:rFonts w:ascii="宋体" w:hAnsi="宋体" w:cs="宋体"/>
          <w:color w:val="auto"/>
          <w:sz w:val="24"/>
          <w:highlight w:val="none"/>
          <w:lang w:bidi="ar"/>
        </w:rPr>
      </w:pPr>
      <w:r>
        <w:rPr>
          <w:rFonts w:hint="eastAsia" w:ascii="宋体" w:hAnsi="宋体" w:cs="宋体"/>
          <w:color w:val="auto"/>
          <w:sz w:val="24"/>
          <w:highlight w:val="none"/>
          <w:lang w:bidi="ar"/>
        </w:rPr>
        <w:t>根据场地条件设计广场，景观绿化节点，符合项目定位。</w:t>
      </w:r>
    </w:p>
    <w:p w14:paraId="5DC85BFC">
      <w:pPr>
        <w:spacing w:line="360" w:lineRule="auto"/>
        <w:ind w:firstLine="480" w:firstLineChars="200"/>
        <w:jc w:val="left"/>
        <w:rPr>
          <w:color w:val="auto"/>
          <w:highlight w:val="none"/>
          <w:lang w:bidi="ar"/>
        </w:rPr>
      </w:pPr>
      <w:r>
        <w:rPr>
          <w:rFonts w:hint="eastAsia" w:ascii="宋体" w:hAnsi="宋体" w:cs="宋体"/>
          <w:color w:val="auto"/>
          <w:sz w:val="24"/>
          <w:highlight w:val="none"/>
          <w:lang w:bidi="ar"/>
        </w:rPr>
        <w:t>（备注：以上建设内容和规模最终以建设管理部门和规划国土管理部门批复意见为准。）</w:t>
      </w:r>
    </w:p>
    <w:p w14:paraId="52E21E04">
      <w:pPr>
        <w:pStyle w:val="3"/>
        <w:spacing w:line="360" w:lineRule="auto"/>
        <w:rPr>
          <w:color w:val="auto"/>
          <w:highlight w:val="none"/>
        </w:rPr>
      </w:pPr>
      <w:r>
        <w:rPr>
          <w:color w:val="auto"/>
          <w:highlight w:val="none"/>
        </w:rPr>
        <w:t>三、设计范围及规划设计要求</w:t>
      </w:r>
    </w:p>
    <w:p w14:paraId="2FE75EEE">
      <w:pPr>
        <w:pStyle w:val="4"/>
        <w:spacing w:line="360" w:lineRule="auto"/>
        <w:rPr>
          <w:color w:val="auto"/>
          <w:highlight w:val="none"/>
        </w:rPr>
      </w:pPr>
      <w:r>
        <w:rPr>
          <w:color w:val="auto"/>
          <w:highlight w:val="none"/>
        </w:rPr>
        <w:t>（一）设计范围</w:t>
      </w:r>
    </w:p>
    <w:p w14:paraId="1003E3D3">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本次设计范围按照《建设用地规划许可证》</w:t>
      </w:r>
      <w:r>
        <w:rPr>
          <w:rFonts w:hint="eastAsia" w:ascii="宋体" w:hAnsi="宋体"/>
          <w:color w:val="auto"/>
          <w:sz w:val="24"/>
          <w:szCs w:val="24"/>
          <w:highlight w:val="none"/>
        </w:rPr>
        <w:t>红线范围内</w:t>
      </w:r>
      <w:r>
        <w:rPr>
          <w:rFonts w:ascii="宋体" w:hAnsi="宋体"/>
          <w:color w:val="auto"/>
          <w:sz w:val="24"/>
          <w:szCs w:val="24"/>
          <w:highlight w:val="none"/>
        </w:rPr>
        <w:t>的市政配套</w:t>
      </w:r>
      <w:r>
        <w:rPr>
          <w:rFonts w:hint="eastAsia" w:ascii="宋体" w:hAnsi="宋体"/>
          <w:color w:val="auto"/>
          <w:sz w:val="24"/>
          <w:szCs w:val="24"/>
          <w:highlight w:val="none"/>
        </w:rPr>
        <w:t>（道路、绿地、永久用电、永久用水、燃气等</w:t>
      </w:r>
      <w:r>
        <w:rPr>
          <w:rFonts w:hint="eastAsia" w:ascii="宋体" w:hAnsi="宋体" w:cs="宋体"/>
          <w:color w:val="auto"/>
          <w:sz w:val="24"/>
          <w:highlight w:val="none"/>
          <w:lang w:bidi="ar"/>
        </w:rPr>
        <w:t>）</w:t>
      </w:r>
      <w:r>
        <w:rPr>
          <w:rFonts w:ascii="宋体" w:hAnsi="宋体"/>
          <w:color w:val="auto"/>
          <w:sz w:val="24"/>
          <w:szCs w:val="24"/>
          <w:highlight w:val="none"/>
        </w:rPr>
        <w:t>设施</w:t>
      </w:r>
      <w:r>
        <w:rPr>
          <w:rFonts w:hint="eastAsia" w:ascii="宋体" w:hAnsi="宋体"/>
          <w:color w:val="auto"/>
          <w:sz w:val="24"/>
          <w:szCs w:val="24"/>
          <w:highlight w:val="none"/>
        </w:rPr>
        <w:t>，</w:t>
      </w:r>
      <w:r>
        <w:rPr>
          <w:rFonts w:ascii="宋体" w:hAnsi="宋体"/>
          <w:color w:val="auto"/>
          <w:sz w:val="24"/>
          <w:szCs w:val="24"/>
          <w:highlight w:val="none"/>
        </w:rPr>
        <w:t>按政府审批的相关文件及规范确定。</w:t>
      </w:r>
    </w:p>
    <w:p w14:paraId="7A00DE6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装修包括以下部分（不含业主另行委托的专业装修）：</w:t>
      </w:r>
    </w:p>
    <w:p w14:paraId="1D83FCDA">
      <w:pPr>
        <w:pStyle w:val="80"/>
        <w:numPr>
          <w:ilvl w:val="0"/>
          <w:numId w:val="1"/>
        </w:numPr>
        <w:snapToGrid w:val="0"/>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lang w:eastAsia="zh" w:bidi="ar"/>
        </w:rPr>
        <w:t xml:space="preserve"> 急诊部、门诊部、住院部、医技科室、保障系统、业务管理、院内生活、架空层。</w:t>
      </w:r>
      <w:r>
        <w:rPr>
          <w:rFonts w:hint="eastAsia" w:ascii="宋体" w:hAnsi="宋体" w:cs="宋体"/>
          <w:color w:val="auto"/>
          <w:sz w:val="24"/>
          <w:highlight w:val="none"/>
          <w:lang w:bidi="ar"/>
        </w:rPr>
        <w:t>按照基本装修的标准，并满足竣工验收要求</w:t>
      </w:r>
      <w:r>
        <w:rPr>
          <w:rFonts w:hint="eastAsia" w:ascii="宋体" w:hAnsi="宋体" w:cs="宋体"/>
          <w:color w:val="auto"/>
          <w:sz w:val="24"/>
          <w:highlight w:val="none"/>
          <w:lang w:eastAsia="zh" w:bidi="ar"/>
        </w:rPr>
        <w:t>。</w:t>
      </w:r>
    </w:p>
    <w:p w14:paraId="68E8A07D">
      <w:pPr>
        <w:pStyle w:val="80"/>
        <w:numPr>
          <w:ilvl w:val="0"/>
          <w:numId w:val="1"/>
        </w:numPr>
        <w:snapToGrid w:val="0"/>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lang w:bidi="ar"/>
        </w:rPr>
        <w:t>其余公共区域（含架空层、地下室车库部分、屋面露台、设备用房等部分按照基本装修的标准，并满足竣工验收要求。</w:t>
      </w:r>
    </w:p>
    <w:p w14:paraId="1AE74664">
      <w:pPr>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室外广场以满足业主使用要求交付，预留水源、独立电源。车库充电桩配电管线需预留至停车位。</w:t>
      </w:r>
    </w:p>
    <w:p w14:paraId="7F82AF6E">
      <w:pPr>
        <w:pStyle w:val="4"/>
        <w:spacing w:line="360" w:lineRule="auto"/>
        <w:rPr>
          <w:color w:val="auto"/>
          <w:highlight w:val="none"/>
        </w:rPr>
      </w:pPr>
      <w:r>
        <w:rPr>
          <w:color w:val="auto"/>
          <w:highlight w:val="none"/>
        </w:rPr>
        <w:t>（</w:t>
      </w:r>
      <w:r>
        <w:rPr>
          <w:rFonts w:hint="eastAsia"/>
          <w:color w:val="auto"/>
          <w:highlight w:val="none"/>
        </w:rPr>
        <w:t>二</w:t>
      </w:r>
      <w:r>
        <w:rPr>
          <w:color w:val="auto"/>
          <w:highlight w:val="none"/>
        </w:rPr>
        <w:t>）</w:t>
      </w:r>
      <w:r>
        <w:rPr>
          <w:rFonts w:hint="eastAsia"/>
          <w:color w:val="auto"/>
          <w:highlight w:val="none"/>
        </w:rPr>
        <w:t>设计依据</w:t>
      </w:r>
    </w:p>
    <w:p w14:paraId="572B1C85">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《民用建筑通用规范》-GB55031-2022</w:t>
      </w:r>
    </w:p>
    <w:p w14:paraId="22354BB5">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《建筑与市政工程无障碍通用规范》-</w:t>
      </w:r>
      <w:r>
        <w:rPr>
          <w:rFonts w:ascii="宋体" w:hAnsi="宋体"/>
          <w:color w:val="auto"/>
          <w:sz w:val="24"/>
          <w:szCs w:val="24"/>
          <w:highlight w:val="none"/>
        </w:rPr>
        <w:t>GB55019-2021</w:t>
      </w:r>
    </w:p>
    <w:p w14:paraId="440387A0">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《消防设施通用规范》 GB55036-2022</w:t>
      </w:r>
    </w:p>
    <w:p w14:paraId="6E0E9679">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《建筑防火通用规范》 </w:t>
      </w:r>
      <w:r>
        <w:rPr>
          <w:rFonts w:ascii="宋体" w:hAnsi="宋体"/>
          <w:color w:val="auto"/>
          <w:sz w:val="24"/>
          <w:szCs w:val="24"/>
          <w:highlight w:val="none"/>
        </w:rPr>
        <w:t>GB55037-2022</w:t>
      </w:r>
    </w:p>
    <w:p w14:paraId="4C6180CC">
      <w:pPr>
        <w:spacing w:line="360" w:lineRule="auto"/>
        <w:ind w:firstLine="420" w:firstLineChars="200"/>
        <w:jc w:val="left"/>
        <w:rPr>
          <w:color w:val="auto"/>
          <w:highlight w:val="none"/>
        </w:rPr>
      </w:pPr>
      <w:r>
        <w:rPr>
          <w:color w:val="auto"/>
          <w:highlight w:val="none"/>
        </w:rPr>
        <w:t xml:space="preserve"> </w:t>
      </w:r>
      <w:r>
        <w:rPr>
          <w:rFonts w:hint="eastAsia" w:ascii="宋体" w:hAnsi="宋体"/>
          <w:color w:val="auto"/>
          <w:sz w:val="24"/>
          <w:szCs w:val="24"/>
          <w:highlight w:val="none"/>
        </w:rPr>
        <w:t>《建筑与市政工程防水通用规范》</w:t>
      </w:r>
      <w:r>
        <w:rPr>
          <w:rFonts w:ascii="宋体" w:hAnsi="宋体"/>
          <w:color w:val="auto"/>
          <w:sz w:val="24"/>
          <w:szCs w:val="24"/>
          <w:highlight w:val="none"/>
        </w:rPr>
        <w:t xml:space="preserve">  GB55030-2022</w:t>
      </w:r>
    </w:p>
    <w:p w14:paraId="20AC93B7">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《工程结构通用规范》 </w:t>
      </w:r>
      <w:r>
        <w:rPr>
          <w:rFonts w:ascii="宋体" w:hAnsi="宋体"/>
          <w:color w:val="auto"/>
          <w:sz w:val="24"/>
          <w:szCs w:val="24"/>
          <w:highlight w:val="none"/>
        </w:rPr>
        <w:t>GB55001-2021</w:t>
      </w:r>
    </w:p>
    <w:p w14:paraId="64FDE893">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《建筑与市政工程抗震通用规范》 </w:t>
      </w:r>
      <w:r>
        <w:rPr>
          <w:rFonts w:ascii="宋体" w:hAnsi="宋体"/>
          <w:color w:val="auto"/>
          <w:sz w:val="24"/>
          <w:szCs w:val="24"/>
          <w:highlight w:val="none"/>
        </w:rPr>
        <w:t>GB55002-2021</w:t>
      </w:r>
    </w:p>
    <w:p w14:paraId="1CA3CE1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《建筑给水排水与节水通用规范》 </w:t>
      </w:r>
      <w:r>
        <w:rPr>
          <w:rFonts w:ascii="宋体" w:hAnsi="宋体"/>
          <w:color w:val="auto"/>
          <w:sz w:val="24"/>
          <w:szCs w:val="24"/>
          <w:highlight w:val="none"/>
        </w:rPr>
        <w:t>GB55020-2021</w:t>
      </w:r>
    </w:p>
    <w:p w14:paraId="35753D9D">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《混凝土结构通用规范》 </w:t>
      </w:r>
      <w:r>
        <w:rPr>
          <w:rFonts w:ascii="宋体" w:hAnsi="宋体"/>
          <w:color w:val="auto"/>
          <w:sz w:val="24"/>
          <w:szCs w:val="24"/>
          <w:highlight w:val="none"/>
        </w:rPr>
        <w:t xml:space="preserve"> GB55008-2021</w:t>
      </w:r>
    </w:p>
    <w:p w14:paraId="4B29BCB6">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《建筑电气与智能化通用规范》</w:t>
      </w:r>
      <w:r>
        <w:rPr>
          <w:rFonts w:ascii="宋体" w:hAnsi="宋体"/>
          <w:color w:val="auto"/>
          <w:sz w:val="24"/>
          <w:szCs w:val="24"/>
          <w:highlight w:val="none"/>
        </w:rPr>
        <w:t>GB55024-2022</w:t>
      </w:r>
    </w:p>
    <w:p w14:paraId="556C9BF7">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《总图制图标准》GB/T 50103-2010 </w:t>
      </w:r>
    </w:p>
    <w:p w14:paraId="6805F761">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《房屋建筑制图统一标准》GB/T 50001-2017  </w:t>
      </w:r>
    </w:p>
    <w:p w14:paraId="3249EECD">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《建筑设计防火规范》GB 50016-2014（2018年）</w:t>
      </w:r>
    </w:p>
    <w:p w14:paraId="02F65F9A">
      <w:pPr>
        <w:spacing w:line="360" w:lineRule="auto"/>
        <w:ind w:firstLine="480" w:firstLineChars="200"/>
        <w:jc w:val="left"/>
        <w:rPr>
          <w:rFonts w:ascii="宋体" w:hAnsi="宋体"/>
          <w:color w:val="auto"/>
          <w:sz w:val="24"/>
          <w:szCs w:val="24"/>
          <w:highlight w:val="none"/>
          <w:lang w:eastAsia="zh"/>
        </w:rPr>
      </w:pPr>
      <w:r>
        <w:rPr>
          <w:rFonts w:hint="eastAsia" w:ascii="宋体" w:hAnsi="宋体"/>
          <w:color w:val="auto"/>
          <w:sz w:val="24"/>
          <w:szCs w:val="24"/>
          <w:highlight w:val="none"/>
          <w:lang w:eastAsia="zh"/>
        </w:rPr>
        <w:t>《综合医院建筑设计标准》GB 51039-2014(2024年版)</w:t>
      </w:r>
    </w:p>
    <w:p w14:paraId="42323875">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《医疗机构水污染物排放标准》（GB18466-2005）</w:t>
      </w:r>
    </w:p>
    <w:p w14:paraId="3A292DE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《污水排入城镇下水道水质标准》（GB/T 31962-2015）</w:t>
      </w:r>
    </w:p>
    <w:p w14:paraId="77CAFFEE">
      <w:pPr>
        <w:spacing w:line="360" w:lineRule="auto"/>
        <w:ind w:firstLine="480" w:firstLineChars="200"/>
        <w:jc w:val="left"/>
        <w:rPr>
          <w:color w:val="auto"/>
          <w:highlight w:val="none"/>
        </w:rPr>
      </w:pPr>
      <w:r>
        <w:rPr>
          <w:rFonts w:ascii="宋体" w:hAnsi="宋体"/>
          <w:color w:val="auto"/>
          <w:sz w:val="24"/>
          <w:szCs w:val="24"/>
          <w:highlight w:val="none"/>
        </w:rPr>
        <w:t>《医疗机构污水处理工程技术标准》（GB51459-2024）</w:t>
      </w:r>
    </w:p>
    <w:p w14:paraId="7780286C">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《工业企业总平面设计规范》GB 50187-2012  </w:t>
      </w:r>
    </w:p>
    <w:p w14:paraId="2975A699">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《建筑结构可靠性设计统一标准》GB 50068-2018</w:t>
      </w:r>
    </w:p>
    <w:p w14:paraId="773EA04C">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《建筑结构荷载规范》GB 50009-2012</w:t>
      </w:r>
    </w:p>
    <w:p w14:paraId="0FC13731">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《建筑抗震设计标准》GB/T50011-2010</w:t>
      </w:r>
      <w:r>
        <w:rPr>
          <w:rFonts w:hint="eastAsia" w:ascii="宋体" w:hAnsi="宋体"/>
          <w:color w:val="auto"/>
          <w:sz w:val="24"/>
          <w:szCs w:val="24"/>
          <w:highlight w:val="none"/>
          <w:lang w:eastAsia="zh"/>
        </w:rPr>
        <w:t>(2024年版)</w:t>
      </w:r>
    </w:p>
    <w:p w14:paraId="7B9A8BFE">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《建筑地基基础设计规范》GB 50007-2011； </w:t>
      </w:r>
    </w:p>
    <w:p w14:paraId="19CFD2E5">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广东省标准《建筑地基基础设计规范》DBJ 15-31-2016 </w:t>
      </w:r>
    </w:p>
    <w:p w14:paraId="578928F0">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《建筑地基处理技术规范》JGJ 79-2012； </w:t>
      </w:r>
    </w:p>
    <w:p w14:paraId="385E4BDF">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《混凝土结构设计标准》GB/T50010-2010</w:t>
      </w:r>
      <w:r>
        <w:rPr>
          <w:rFonts w:hint="eastAsia" w:ascii="宋体" w:hAnsi="宋体"/>
          <w:color w:val="auto"/>
          <w:sz w:val="24"/>
          <w:szCs w:val="24"/>
          <w:highlight w:val="none"/>
          <w:lang w:eastAsia="zh"/>
        </w:rPr>
        <w:t>(2024年版)</w:t>
      </w:r>
      <w:r>
        <w:rPr>
          <w:rFonts w:hint="eastAsia" w:ascii="宋体" w:hAnsi="宋体"/>
          <w:color w:val="auto"/>
          <w:sz w:val="24"/>
          <w:szCs w:val="24"/>
          <w:highlight w:val="none"/>
        </w:rPr>
        <w:t xml:space="preserve"> </w:t>
      </w:r>
    </w:p>
    <w:p w14:paraId="715A04EF">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《砌体结构设计规范》GB 50003-2011</w:t>
      </w:r>
    </w:p>
    <w:p w14:paraId="0ACE7F49">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《钢结构设计标准》GB 50017-2017</w:t>
      </w:r>
    </w:p>
    <w:p w14:paraId="35916B8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《构筑物抗震设计规范》GB 50191-2012 </w:t>
      </w:r>
    </w:p>
    <w:p w14:paraId="56D90133">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《建筑桩基技术规范》JGJ 94-2008</w:t>
      </w:r>
    </w:p>
    <w:p w14:paraId="02891A9A">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《建筑基坑支护技术规程》JGJ 120-2012 </w:t>
      </w:r>
    </w:p>
    <w:p w14:paraId="46FDDDE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广东省标准《建筑基坑工程技术规程》DBJ/T 15-20-2016</w:t>
      </w:r>
    </w:p>
    <w:p w14:paraId="17B5932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《通风与空调工程施工质量验收规范》 GB 50243-2016</w:t>
      </w:r>
    </w:p>
    <w:p w14:paraId="759CD911">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《大气污染物综合排放标准》 GB 16297-1996 </w:t>
      </w:r>
    </w:p>
    <w:p w14:paraId="3C6D1156">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《公共建筑节能设计标准》GB 50189-2015</w:t>
      </w:r>
    </w:p>
    <w:p w14:paraId="2AD52A5C">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《建筑照明设计标准》GB/T 50034-2024</w:t>
      </w:r>
    </w:p>
    <w:p w14:paraId="257A344F">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《民用建筑电气设计标准》</w:t>
      </w:r>
      <w:r>
        <w:rPr>
          <w:rStyle w:val="34"/>
          <w:rFonts w:hint="eastAsia" w:ascii="宋体" w:hAnsi="宋体" w:cs="宋体"/>
          <w:b w:val="0"/>
          <w:color w:val="auto"/>
          <w:sz w:val="24"/>
          <w:szCs w:val="24"/>
          <w:highlight w:val="none"/>
        </w:rPr>
        <w:t>GB 51348-2019</w:t>
      </w:r>
      <w:r>
        <w:rPr>
          <w:rFonts w:hint="eastAsia" w:ascii="宋体" w:hAnsi="宋体"/>
          <w:b/>
          <w:color w:val="auto"/>
          <w:sz w:val="24"/>
          <w:szCs w:val="24"/>
          <w:highlight w:val="none"/>
        </w:rPr>
        <w:t xml:space="preserve"> </w:t>
      </w:r>
    </w:p>
    <w:p w14:paraId="182EBB8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《建筑给水排水设计标准》GB 50015-2019 </w:t>
      </w:r>
    </w:p>
    <w:p w14:paraId="781831A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《室外排水设计标准》GB 50014-2021 </w:t>
      </w:r>
    </w:p>
    <w:p w14:paraId="351725C2">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《室外给水设计标准》GB 50013-2018</w:t>
      </w:r>
    </w:p>
    <w:p w14:paraId="1B6623A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《建筑防烟排烟系统技术标准》GB 51251-2017</w:t>
      </w:r>
    </w:p>
    <w:p w14:paraId="54FEECA3">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《火灾自动报警系统设计规范》GB 50116-2013</w:t>
      </w:r>
    </w:p>
    <w:p w14:paraId="166F3DEE">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《火灾自动报警系统施工及验收标准》GB 50166-2019  </w:t>
      </w:r>
    </w:p>
    <w:p w14:paraId="38551138">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《城市道路工程设计规范》CJJ 37-2012（2016年） </w:t>
      </w:r>
    </w:p>
    <w:p w14:paraId="5523EF95">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《电力电缆敷设计标准》GB 50217-2018 </w:t>
      </w:r>
    </w:p>
    <w:p w14:paraId="32AC66E7">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《电力系统设计技术规程》DL/T 5429-2009  </w:t>
      </w:r>
    </w:p>
    <w:p w14:paraId="5D1885E9">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《建筑工程设计文件编制深度规定》(2016 版)  </w:t>
      </w:r>
    </w:p>
    <w:p w14:paraId="060CA0C6">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审批通过的本项目前期成果文件及其它现行的国家及地方有关规范、标准、规程、规定。 </w:t>
      </w:r>
    </w:p>
    <w:p w14:paraId="33A622E2">
      <w:pPr>
        <w:pStyle w:val="3"/>
        <w:spacing w:line="360" w:lineRule="auto"/>
        <w:rPr>
          <w:color w:val="auto"/>
          <w:highlight w:val="none"/>
        </w:rPr>
      </w:pPr>
      <w:r>
        <w:rPr>
          <w:color w:val="auto"/>
          <w:highlight w:val="none"/>
        </w:rPr>
        <w:t>四、设计内容</w:t>
      </w:r>
    </w:p>
    <w:p w14:paraId="75499085">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设计内容包括但不仅限于以下工作：</w:t>
      </w:r>
    </w:p>
    <w:p w14:paraId="2E4B704B">
      <w:pPr>
        <w:spacing w:line="360" w:lineRule="auto"/>
        <w:ind w:firstLine="450"/>
        <w:rPr>
          <w:rFonts w:ascii="宋体" w:hAnsi="宋体"/>
          <w:color w:val="auto"/>
          <w:sz w:val="24"/>
          <w:szCs w:val="24"/>
          <w:highlight w:val="none"/>
        </w:rPr>
      </w:pPr>
      <w:r>
        <w:rPr>
          <w:rFonts w:hint="eastAsia" w:ascii="宋体" w:hAnsi="宋体"/>
          <w:color w:val="auto"/>
          <w:sz w:val="24"/>
          <w:szCs w:val="24"/>
          <w:highlight w:val="none"/>
        </w:rPr>
        <w:t>一、（1）规划设计：</w:t>
      </w:r>
      <w:r>
        <w:rPr>
          <w:rFonts w:hint="eastAsia" w:ascii="宋体" w:hAnsi="宋体"/>
          <w:color w:val="auto"/>
          <w:sz w:val="24"/>
          <w:szCs w:val="24"/>
          <w:highlight w:val="none"/>
          <w:lang w:eastAsia="zh"/>
        </w:rPr>
        <w:t>白云区太和镇卫生院新址建设</w:t>
      </w:r>
      <w:r>
        <w:rPr>
          <w:rFonts w:hint="eastAsia" w:ascii="宋体" w:hAnsi="宋体"/>
          <w:color w:val="auto"/>
          <w:sz w:val="24"/>
          <w:szCs w:val="24"/>
          <w:highlight w:val="none"/>
        </w:rPr>
        <w:t>总体修建性详细规划（含AB2108017/AB2108020地块）、管线综合规划、项目二期建筑单体报建图设计及报建通编制、配套市政道路报建图设计及报建通编制；（2）建筑工程；（3）结构工程（包含钢结构）；（4）装修工程（包括但不限于电梯厅、公共走道、公共卫生间、配套用房等）；（5）给排水工程（含永久用水）；（6）电气工程（含永久用电、建筑智能化及泛光照明）；（7）通风空调工程；（8）土方平衡；（9）抗震支架；（10）基坑支护；（11）不良地质处理；（12）防雷节能；（13）绿色建筑；（15）海绵城市；（16）充电桩；（17）园林景观（含代征绿地及红线外出入口）；（18）人防工程；（19）消防系统（含精装修）；（20）标志标识设计（含户内外）；（21）室外与市政工程（道路、交通出入口、电气、给排水、燃气、绿化、照明、电力及电信通讯）、电梯；（2</w:t>
      </w:r>
      <w:r>
        <w:rPr>
          <w:rFonts w:hint="eastAsia" w:ascii="宋体" w:hAnsi="宋体"/>
          <w:color w:val="auto"/>
          <w:sz w:val="24"/>
          <w:szCs w:val="24"/>
          <w:highlight w:val="none"/>
          <w:lang w:eastAsia="zh"/>
        </w:rPr>
        <w:t>2</w:t>
      </w:r>
      <w:r>
        <w:rPr>
          <w:rFonts w:hint="eastAsia" w:ascii="宋体" w:hAnsi="宋体"/>
          <w:color w:val="auto"/>
          <w:sz w:val="24"/>
          <w:szCs w:val="24"/>
          <w:highlight w:val="none"/>
        </w:rPr>
        <w:t>）防撞柱；（2</w:t>
      </w:r>
      <w:r>
        <w:rPr>
          <w:rFonts w:hint="eastAsia" w:ascii="宋体" w:hAnsi="宋体"/>
          <w:color w:val="auto"/>
          <w:sz w:val="24"/>
          <w:szCs w:val="24"/>
          <w:highlight w:val="none"/>
          <w:lang w:eastAsia="zh"/>
        </w:rPr>
        <w:t>3</w:t>
      </w:r>
      <w:r>
        <w:rPr>
          <w:rFonts w:hint="eastAsia" w:ascii="宋体" w:hAnsi="宋体"/>
          <w:color w:val="auto"/>
          <w:sz w:val="24"/>
          <w:szCs w:val="24"/>
          <w:highlight w:val="none"/>
        </w:rPr>
        <w:t>）管线综合（含抗震支架）；（2</w:t>
      </w:r>
      <w:r>
        <w:rPr>
          <w:rFonts w:hint="eastAsia" w:ascii="宋体" w:hAnsi="宋体"/>
          <w:color w:val="auto"/>
          <w:sz w:val="24"/>
          <w:szCs w:val="24"/>
          <w:highlight w:val="none"/>
          <w:lang w:eastAsia="zh"/>
        </w:rPr>
        <w:t>4</w:t>
      </w:r>
      <w:r>
        <w:rPr>
          <w:rFonts w:hint="eastAsia" w:ascii="宋体" w:hAnsi="宋体"/>
          <w:color w:val="auto"/>
          <w:sz w:val="24"/>
          <w:szCs w:val="24"/>
          <w:highlight w:val="none"/>
        </w:rPr>
        <w:t>）节能设计；（2</w:t>
      </w:r>
      <w:r>
        <w:rPr>
          <w:rFonts w:hint="eastAsia" w:ascii="宋体" w:hAnsi="宋体"/>
          <w:color w:val="auto"/>
          <w:sz w:val="24"/>
          <w:szCs w:val="24"/>
          <w:highlight w:val="none"/>
          <w:lang w:eastAsia="zh"/>
        </w:rPr>
        <w:t>5</w:t>
      </w:r>
      <w:r>
        <w:rPr>
          <w:rFonts w:hint="eastAsia" w:ascii="宋体" w:hAnsi="宋体"/>
          <w:color w:val="auto"/>
          <w:sz w:val="24"/>
          <w:szCs w:val="24"/>
          <w:highlight w:val="none"/>
        </w:rPr>
        <w:t>）场地内管线迁改设计方案；（2</w:t>
      </w:r>
      <w:r>
        <w:rPr>
          <w:rFonts w:hint="eastAsia" w:ascii="宋体" w:hAnsi="宋体"/>
          <w:color w:val="auto"/>
          <w:sz w:val="24"/>
          <w:szCs w:val="24"/>
          <w:highlight w:val="none"/>
          <w:lang w:eastAsia="zh"/>
        </w:rPr>
        <w:t>6</w:t>
      </w:r>
      <w:r>
        <w:rPr>
          <w:rFonts w:hint="eastAsia" w:ascii="宋体" w:hAnsi="宋体"/>
          <w:color w:val="auto"/>
          <w:sz w:val="24"/>
          <w:szCs w:val="24"/>
          <w:highlight w:val="none"/>
        </w:rPr>
        <w:t>）代征市政道路</w:t>
      </w:r>
      <w:r>
        <w:rPr>
          <w:rFonts w:hint="eastAsia" w:ascii="宋体" w:hAnsi="宋体"/>
          <w:color w:val="auto"/>
          <w:sz w:val="24"/>
          <w:szCs w:val="24"/>
          <w:highlight w:val="none"/>
          <w:lang w:eastAsia="zh"/>
        </w:rPr>
        <w:t>（如有）</w:t>
      </w:r>
      <w:r>
        <w:rPr>
          <w:rFonts w:hint="eastAsia" w:ascii="宋体" w:hAnsi="宋体"/>
          <w:color w:val="auto"/>
          <w:sz w:val="24"/>
          <w:szCs w:val="24"/>
          <w:highlight w:val="none"/>
        </w:rPr>
        <w:t>；（2</w:t>
      </w:r>
      <w:r>
        <w:rPr>
          <w:rFonts w:hint="eastAsia" w:ascii="宋体" w:hAnsi="宋体"/>
          <w:color w:val="auto"/>
          <w:sz w:val="24"/>
          <w:szCs w:val="24"/>
          <w:highlight w:val="none"/>
          <w:lang w:eastAsia="zh"/>
        </w:rPr>
        <w:t>7</w:t>
      </w:r>
      <w:r>
        <w:rPr>
          <w:rFonts w:hint="eastAsia" w:ascii="宋体" w:hAnsi="宋体"/>
          <w:color w:val="auto"/>
          <w:sz w:val="24"/>
          <w:szCs w:val="24"/>
          <w:highlight w:val="none"/>
        </w:rPr>
        <w:t>）代征绿地等工程设计工作（如需要）；（</w:t>
      </w:r>
      <w:r>
        <w:rPr>
          <w:rFonts w:ascii="宋体" w:hAnsi="宋体"/>
          <w:color w:val="auto"/>
          <w:sz w:val="24"/>
          <w:szCs w:val="24"/>
          <w:highlight w:val="none"/>
        </w:rPr>
        <w:t>2</w:t>
      </w:r>
      <w:r>
        <w:rPr>
          <w:rFonts w:hint="eastAsia" w:ascii="宋体" w:hAnsi="宋体"/>
          <w:color w:val="auto"/>
          <w:sz w:val="24"/>
          <w:szCs w:val="24"/>
          <w:highlight w:val="none"/>
          <w:lang w:eastAsia="zh"/>
        </w:rPr>
        <w:t>8</w:t>
      </w:r>
      <w:r>
        <w:rPr>
          <w:rFonts w:hint="eastAsia" w:ascii="宋体" w:hAnsi="宋体"/>
          <w:color w:val="auto"/>
          <w:sz w:val="24"/>
          <w:szCs w:val="24"/>
          <w:highlight w:val="none"/>
        </w:rPr>
        <w:t>）光伏设计（如有）；（</w:t>
      </w:r>
      <w:r>
        <w:rPr>
          <w:rFonts w:hint="eastAsia" w:ascii="宋体" w:hAnsi="宋体"/>
          <w:color w:val="auto"/>
          <w:sz w:val="24"/>
          <w:szCs w:val="24"/>
          <w:highlight w:val="none"/>
          <w:lang w:eastAsia="zh"/>
        </w:rPr>
        <w:t>29</w:t>
      </w:r>
      <w:r>
        <w:rPr>
          <w:rFonts w:hint="eastAsia" w:ascii="宋体" w:hAnsi="宋体"/>
          <w:color w:val="auto"/>
          <w:sz w:val="24"/>
          <w:szCs w:val="24"/>
          <w:highlight w:val="none"/>
        </w:rPr>
        <w:t>）根据甲方要求进行方案设计展示图纸制作，展示图套数按需提供，并提供一个1：100的实体模型或按甲方要求提交电子沙盘模型。</w:t>
      </w:r>
    </w:p>
    <w:p w14:paraId="0D96628E">
      <w:pPr>
        <w:pStyle w:val="2"/>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二、以上设计内容包含但不仅限于幕墙、钢结构、电梯、雨污排入市政管网、厨房等各专业的施工图二次深化设计工作和保证建筑物正常使用及交付要求的其他专业工程设计。</w:t>
      </w:r>
    </w:p>
    <w:p w14:paraId="3EC3D086">
      <w:pPr>
        <w:pStyle w:val="2"/>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三、室外市政配套工程设计，包括本项目用地红线范围内、外（总用地红线内）的道路（含规划市政道路接驳及小区道路）、市政管网接驳（包括通讯、永久用电及市政给排水等）、挡土墙（≤5m）护坡、围墙、室外广场、室外标识、连廊、停车场、入口大门、道路照明、景观照明、室外广播、监控及停车管理系统、室外给排水系统等工程设计，以及总平面图、室外（总用地红线内）综合管线施工图设计。</w:t>
      </w:r>
    </w:p>
    <w:p w14:paraId="26A88D3E">
      <w:pPr>
        <w:pStyle w:val="3"/>
        <w:spacing w:line="360" w:lineRule="auto"/>
        <w:rPr>
          <w:color w:val="auto"/>
          <w:highlight w:val="none"/>
        </w:rPr>
      </w:pPr>
      <w:r>
        <w:rPr>
          <w:color w:val="auto"/>
          <w:highlight w:val="none"/>
        </w:rPr>
        <w:t>五、各阶段的设计工作</w:t>
      </w:r>
    </w:p>
    <w:p w14:paraId="17C423AC">
      <w:pPr>
        <w:spacing w:line="360" w:lineRule="auto"/>
        <w:ind w:right="-57" w:rightChars="-27" w:firstLine="480" w:firstLineChars="200"/>
        <w:rPr>
          <w:rFonts w:ascii="宋体" w:hAnsi="宋体"/>
          <w:color w:val="auto"/>
          <w:sz w:val="24"/>
          <w:szCs w:val="24"/>
          <w:highlight w:val="none"/>
        </w:rPr>
      </w:pPr>
      <w:r>
        <w:rPr>
          <w:rFonts w:ascii="宋体" w:hAnsi="宋体"/>
          <w:color w:val="auto"/>
          <w:sz w:val="24"/>
          <w:szCs w:val="24"/>
          <w:highlight w:val="none"/>
        </w:rPr>
        <w:t>设计单位应根据本项目工程建设的要求和中国及地方有关法律、法规、规范，完成包括以下工作：</w:t>
      </w:r>
    </w:p>
    <w:p w14:paraId="73541EDE">
      <w:pPr>
        <w:numPr>
          <w:ilvl w:val="0"/>
          <w:numId w:val="2"/>
        </w:numPr>
        <w:spacing w:line="360" w:lineRule="auto"/>
        <w:ind w:right="-57" w:rightChars="-27" w:firstLine="480" w:firstLineChars="200"/>
        <w:rPr>
          <w:rFonts w:ascii="宋体" w:hAnsi="宋体"/>
          <w:color w:val="auto"/>
          <w:sz w:val="24"/>
          <w:szCs w:val="24"/>
          <w:highlight w:val="none"/>
        </w:rPr>
      </w:pPr>
      <w:r>
        <w:rPr>
          <w:rFonts w:hint="eastAsia" w:ascii="宋体" w:hAnsi="宋体"/>
          <w:color w:val="auto"/>
          <w:sz w:val="24"/>
          <w:szCs w:val="24"/>
          <w:highlight w:val="none"/>
        </w:rPr>
        <w:t>完成整体方案设计并负责与政府各部门对接和向上级部门方案汇报和修改工作。编制方案的设计估算，完成报建通及综合管线规划设计及报批；</w:t>
      </w:r>
    </w:p>
    <w:p w14:paraId="2811404D">
      <w:pPr>
        <w:numPr>
          <w:ilvl w:val="0"/>
          <w:numId w:val="2"/>
        </w:numPr>
        <w:spacing w:line="360" w:lineRule="auto"/>
        <w:ind w:right="-57" w:rightChars="-27" w:firstLine="480" w:firstLineChars="200"/>
        <w:rPr>
          <w:rFonts w:ascii="宋体" w:hAnsi="宋体"/>
          <w:color w:val="auto"/>
          <w:sz w:val="24"/>
          <w:szCs w:val="24"/>
          <w:highlight w:val="none"/>
        </w:rPr>
      </w:pPr>
      <w:r>
        <w:rPr>
          <w:rFonts w:ascii="宋体" w:hAnsi="宋体"/>
          <w:color w:val="auto"/>
          <w:sz w:val="24"/>
          <w:szCs w:val="24"/>
          <w:highlight w:val="none"/>
        </w:rPr>
        <w:t>编制初步设计文件及初步设计概算，</w:t>
      </w:r>
      <w:r>
        <w:rPr>
          <w:rFonts w:hint="eastAsia" w:ascii="宋体" w:hAnsi="宋体"/>
          <w:color w:val="auto"/>
          <w:sz w:val="24"/>
          <w:szCs w:val="24"/>
          <w:highlight w:val="none"/>
        </w:rPr>
        <w:t xml:space="preserve"> 1</w:t>
      </w:r>
      <w:r>
        <w:rPr>
          <w:rFonts w:ascii="宋体" w:hAnsi="宋体"/>
          <w:color w:val="auto"/>
          <w:sz w:val="24"/>
          <w:szCs w:val="24"/>
          <w:highlight w:val="none"/>
        </w:rPr>
        <w:t>00</w:t>
      </w:r>
      <w:r>
        <w:rPr>
          <w:rFonts w:hint="eastAsia" w:ascii="宋体" w:hAnsi="宋体"/>
          <w:color w:val="auto"/>
          <w:sz w:val="24"/>
          <w:szCs w:val="24"/>
          <w:highlight w:val="none"/>
        </w:rPr>
        <w:t>天内完成满足投资限额要求的初步设计概算编制（以中标通知书发出时间起算）</w:t>
      </w:r>
      <w:r>
        <w:rPr>
          <w:rFonts w:hint="eastAsia" w:ascii="宋体" w:hAnsi="宋体"/>
          <w:color w:val="auto"/>
          <w:sz w:val="24"/>
          <w:szCs w:val="24"/>
          <w:highlight w:val="none"/>
        </w:rPr>
        <w:t>，</w:t>
      </w:r>
      <w:r>
        <w:rPr>
          <w:rFonts w:hint="eastAsia" w:ascii="宋体" w:hAnsi="宋体"/>
          <w:color w:val="auto"/>
          <w:sz w:val="24"/>
          <w:szCs w:val="24"/>
          <w:highlight w:val="none"/>
        </w:rPr>
        <w:t>配合初步设计及概算评审等相关工作。</w:t>
      </w:r>
    </w:p>
    <w:p w14:paraId="1931B111">
      <w:pPr>
        <w:spacing w:line="360" w:lineRule="auto"/>
        <w:ind w:right="-57" w:rightChars="-27"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完成施工图设计，组织内部校审并向甲方提交正式校审意见单，确保施工图设计文件通过施工图审查及消防设计审查；在施工图审查及消防设计审查过程中，设计单位负责扫描施工图及相关审查资料等，扫描费用包括在设计费总额之中。</w:t>
      </w:r>
    </w:p>
    <w:p w14:paraId="42E82D0E">
      <w:pPr>
        <w:spacing w:line="360" w:lineRule="auto"/>
        <w:ind w:right="-57" w:rightChars="-27" w:firstLine="480" w:firstLineChars="200"/>
        <w:rPr>
          <w:rFonts w:ascii="宋体" w:hAnsi="宋体"/>
          <w:color w:val="auto"/>
          <w:sz w:val="24"/>
          <w:szCs w:val="24"/>
          <w:highlight w:val="none"/>
        </w:rPr>
      </w:pPr>
      <w:r>
        <w:rPr>
          <w:rFonts w:hint="eastAsia" w:ascii="宋体" w:hAnsi="宋体"/>
          <w:color w:val="auto"/>
          <w:sz w:val="24"/>
          <w:szCs w:val="24"/>
          <w:highlight w:val="none"/>
        </w:rPr>
        <w:t>4、负责设备、大宗材料采购时采购清单、技术参数等编制工作，配合设计参数提交，还包括各阶段方案比选、技术选型比选的投资分析、施工阶段的设计变更造价变化分析等；要求初步设计的</w:t>
      </w:r>
      <w:r>
        <w:rPr>
          <w:rFonts w:ascii="宋体" w:hAnsi="宋体"/>
          <w:color w:val="auto"/>
          <w:sz w:val="24"/>
          <w:szCs w:val="24"/>
          <w:highlight w:val="none"/>
        </w:rPr>
        <w:t>成果</w:t>
      </w:r>
      <w:r>
        <w:rPr>
          <w:rFonts w:hint="eastAsia" w:ascii="宋体" w:hAnsi="宋体"/>
          <w:color w:val="auto"/>
          <w:sz w:val="24"/>
          <w:szCs w:val="24"/>
          <w:highlight w:val="none"/>
        </w:rPr>
        <w:t>达到施工图深度，概算建安费达到施工图预算深度；</w:t>
      </w:r>
    </w:p>
    <w:p w14:paraId="6586A7AC">
      <w:pPr>
        <w:spacing w:line="360" w:lineRule="auto"/>
        <w:ind w:right="-57" w:rightChars="-27"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配合开展前期报建报批、方案审查</w:t>
      </w:r>
      <w:bookmarkStart w:id="1" w:name="_GoBack"/>
      <w:bookmarkEnd w:id="1"/>
      <w:r>
        <w:rPr>
          <w:rFonts w:hint="eastAsia" w:ascii="宋体" w:hAnsi="宋体"/>
          <w:color w:val="auto"/>
          <w:sz w:val="24"/>
          <w:szCs w:val="24"/>
          <w:highlight w:val="none"/>
        </w:rPr>
        <w:t>、专业报建、设计图纸评审、概预算评审、施工图审查及备案（含节能、人防、消防审查），以及从开工至项目竣工验收的现场服务及专人驻场服务（包括现场指导与监督、图纸修改、工程变更等工作）、配合完成工程验收和配合完成竣工图审核盖章（含验收通过）等；包括申请永久外水、永久外电、燃气管道的设计报批和出图。在项目报建过程中，设计单位负责扫描报建蓝图、扫描工规证及其附件蓝图、扫描放线册及其附件图纸等，扫描费用包括在设计费总额之中。</w:t>
      </w:r>
    </w:p>
    <w:p w14:paraId="0F7B50FD">
      <w:pPr>
        <w:spacing w:line="360" w:lineRule="auto"/>
        <w:ind w:right="-57" w:rightChars="-27" w:firstLine="480" w:firstLineChars="200"/>
        <w:rPr>
          <w:rFonts w:ascii="宋体" w:hAnsi="宋体"/>
          <w:color w:val="auto"/>
          <w:sz w:val="24"/>
          <w:szCs w:val="24"/>
          <w:highlight w:val="none"/>
        </w:rPr>
      </w:pPr>
      <w:r>
        <w:rPr>
          <w:rFonts w:ascii="宋体" w:hAnsi="宋体"/>
          <w:color w:val="auto"/>
          <w:sz w:val="24"/>
          <w:szCs w:val="24"/>
          <w:highlight w:val="none"/>
        </w:rPr>
        <w:t>6、除应按合同规定的时间和要求向发包人提出设计成果外，还应承担工程施工过程直至竣工验收前的设计服务等工作</w:t>
      </w:r>
      <w:r>
        <w:rPr>
          <w:rFonts w:hint="eastAsia" w:ascii="宋体" w:hAnsi="宋体"/>
          <w:color w:val="auto"/>
          <w:sz w:val="24"/>
          <w:szCs w:val="24"/>
          <w:highlight w:val="none"/>
        </w:rPr>
        <w:t>（包括设计驻场、施工深化图纸的确认、不可抗力及其他人为因素导致的工程修复设计等），</w:t>
      </w:r>
      <w:r>
        <w:rPr>
          <w:rFonts w:ascii="宋体" w:hAnsi="宋体"/>
          <w:color w:val="auto"/>
          <w:sz w:val="24"/>
          <w:szCs w:val="24"/>
          <w:highlight w:val="none"/>
        </w:rPr>
        <w:t>保证设计变更满足施工进度要求，并按发包人要求准备汇报材料；</w:t>
      </w:r>
    </w:p>
    <w:p w14:paraId="2C22C6D9">
      <w:pPr>
        <w:spacing w:line="360" w:lineRule="auto"/>
        <w:ind w:right="-57" w:rightChars="-27" w:firstLine="480" w:firstLineChars="20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负责提供全过程设计服务及相关协调工作；负责根据</w:t>
      </w:r>
      <w:r>
        <w:rPr>
          <w:rFonts w:ascii="宋体" w:hAnsi="宋体"/>
          <w:color w:val="auto"/>
          <w:sz w:val="24"/>
          <w:szCs w:val="24"/>
          <w:highlight w:val="none"/>
        </w:rPr>
        <w:t>建设要求</w:t>
      </w:r>
      <w:r>
        <w:rPr>
          <w:rFonts w:hint="eastAsia" w:ascii="宋体" w:hAnsi="宋体"/>
          <w:color w:val="auto"/>
          <w:sz w:val="24"/>
          <w:szCs w:val="24"/>
          <w:highlight w:val="none"/>
        </w:rPr>
        <w:t>组织</w:t>
      </w:r>
      <w:r>
        <w:rPr>
          <w:rFonts w:ascii="宋体" w:hAnsi="宋体"/>
          <w:color w:val="auto"/>
          <w:sz w:val="24"/>
          <w:szCs w:val="24"/>
          <w:highlight w:val="none"/>
        </w:rPr>
        <w:t>各项专家评审</w:t>
      </w:r>
      <w:r>
        <w:rPr>
          <w:rFonts w:hint="eastAsia" w:ascii="宋体" w:hAnsi="宋体"/>
          <w:color w:val="auto"/>
          <w:sz w:val="24"/>
          <w:szCs w:val="24"/>
          <w:highlight w:val="none"/>
        </w:rPr>
        <w:t>，并承担相应的专家评审费用</w:t>
      </w:r>
      <w:r>
        <w:rPr>
          <w:rFonts w:ascii="宋体" w:hAnsi="宋体"/>
          <w:color w:val="auto"/>
          <w:sz w:val="24"/>
          <w:szCs w:val="24"/>
          <w:highlight w:val="none"/>
        </w:rPr>
        <w:t>；</w:t>
      </w:r>
    </w:p>
    <w:p w14:paraId="222B2CA0">
      <w:pPr>
        <w:spacing w:line="360" w:lineRule="auto"/>
        <w:ind w:right="-57" w:rightChars="-27" w:firstLine="480" w:firstLineChars="200"/>
        <w:rPr>
          <w:rFonts w:ascii="宋体" w:hAnsi="宋体"/>
          <w:color w:val="auto"/>
          <w:sz w:val="24"/>
          <w:szCs w:val="24"/>
          <w:highlight w:val="none"/>
        </w:rPr>
      </w:pPr>
      <w:r>
        <w:rPr>
          <w:rFonts w:ascii="宋体" w:hAnsi="宋体"/>
          <w:color w:val="auto"/>
          <w:sz w:val="24"/>
          <w:szCs w:val="24"/>
          <w:highlight w:val="none"/>
        </w:rPr>
        <w:t>8、</w:t>
      </w:r>
      <w:r>
        <w:rPr>
          <w:rFonts w:hint="eastAsia" w:ascii="宋体" w:hAnsi="宋体"/>
          <w:color w:val="auto"/>
          <w:sz w:val="24"/>
          <w:szCs w:val="24"/>
          <w:highlight w:val="none"/>
        </w:rPr>
        <w:t>负责绿色建筑</w:t>
      </w:r>
      <w:r>
        <w:rPr>
          <w:rFonts w:hint="eastAsia" w:ascii="宋体" w:hAnsi="宋体"/>
          <w:color w:val="auto"/>
          <w:sz w:val="24"/>
          <w:szCs w:val="24"/>
          <w:highlight w:val="none"/>
          <w:lang w:eastAsia="zh"/>
        </w:rPr>
        <w:t>二</w:t>
      </w:r>
      <w:r>
        <w:rPr>
          <w:rFonts w:hint="eastAsia" w:ascii="宋体" w:hAnsi="宋体"/>
          <w:color w:val="auto"/>
          <w:sz w:val="24"/>
          <w:szCs w:val="24"/>
          <w:highlight w:val="none"/>
        </w:rPr>
        <w:t>星（暂定，以规划条件、政府部门文件为准）预评价的申报、报告编制及相关报批程序办理，并承担相应的专家评审费用。</w:t>
      </w:r>
    </w:p>
    <w:p w14:paraId="049E9682">
      <w:pPr>
        <w:spacing w:line="360" w:lineRule="auto"/>
        <w:ind w:right="-57" w:rightChars="-27" w:firstLine="480" w:firstLineChars="200"/>
        <w:rPr>
          <w:rFonts w:ascii="宋体" w:hAnsi="宋体"/>
          <w:color w:val="auto"/>
          <w:sz w:val="24"/>
          <w:szCs w:val="24"/>
          <w:highlight w:val="none"/>
        </w:rPr>
      </w:pPr>
      <w:r>
        <w:rPr>
          <w:rFonts w:ascii="宋体" w:hAnsi="宋体"/>
          <w:color w:val="auto"/>
          <w:sz w:val="24"/>
          <w:szCs w:val="24"/>
          <w:highlight w:val="none"/>
        </w:rPr>
        <w:t>9、负责项目竣工图审核</w:t>
      </w:r>
      <w:r>
        <w:rPr>
          <w:rFonts w:hint="eastAsia" w:ascii="宋体" w:hAnsi="宋体"/>
          <w:color w:val="auto"/>
          <w:sz w:val="24"/>
          <w:szCs w:val="24"/>
          <w:highlight w:val="none"/>
        </w:rPr>
        <w:t>及盖章工作</w:t>
      </w:r>
      <w:r>
        <w:rPr>
          <w:rFonts w:ascii="宋体" w:hAnsi="宋体"/>
          <w:color w:val="auto"/>
          <w:sz w:val="24"/>
          <w:szCs w:val="24"/>
          <w:highlight w:val="none"/>
        </w:rPr>
        <w:t>；</w:t>
      </w:r>
    </w:p>
    <w:p w14:paraId="5BF658C6">
      <w:pPr>
        <w:spacing w:line="360" w:lineRule="auto"/>
        <w:ind w:right="-57" w:rightChars="-27" w:firstLine="480" w:firstLineChars="200"/>
        <w:rPr>
          <w:rFonts w:ascii="宋体" w:hAnsi="宋体"/>
          <w:color w:val="auto"/>
          <w:sz w:val="24"/>
          <w:szCs w:val="24"/>
          <w:highlight w:val="none"/>
        </w:rPr>
      </w:pPr>
      <w:r>
        <w:rPr>
          <w:rFonts w:ascii="宋体" w:hAnsi="宋体"/>
          <w:color w:val="auto"/>
          <w:sz w:val="24"/>
          <w:szCs w:val="24"/>
          <w:highlight w:val="none"/>
        </w:rPr>
        <w:t>10</w:t>
      </w:r>
      <w:r>
        <w:rPr>
          <w:rFonts w:hint="eastAsia" w:ascii="宋体" w:hAnsi="宋体"/>
          <w:color w:val="auto"/>
          <w:sz w:val="24"/>
          <w:szCs w:val="24"/>
          <w:highlight w:val="none"/>
        </w:rPr>
        <w:t>、负责本项目数字沙盘和</w:t>
      </w:r>
      <w:r>
        <w:rPr>
          <w:rFonts w:ascii="宋体" w:hAnsi="宋体"/>
          <w:color w:val="auto"/>
          <w:sz w:val="24"/>
          <w:szCs w:val="24"/>
          <w:highlight w:val="none"/>
        </w:rPr>
        <w:t>方案阶段的</w:t>
      </w:r>
      <w:r>
        <w:rPr>
          <w:rFonts w:hint="eastAsia" w:ascii="宋体" w:hAnsi="宋体"/>
          <w:color w:val="auto"/>
          <w:sz w:val="24"/>
          <w:szCs w:val="24"/>
          <w:highlight w:val="none"/>
        </w:rPr>
        <w:t>三维媒体制作（如需）。</w:t>
      </w:r>
    </w:p>
    <w:p w14:paraId="1F1858D2">
      <w:pPr>
        <w:spacing w:line="360" w:lineRule="auto"/>
        <w:ind w:right="-57" w:rightChars="-27"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、负责配合营销工作：负责配合项目展示需要提供各项专业设计服务。</w:t>
      </w:r>
    </w:p>
    <w:p w14:paraId="131437A7">
      <w:pPr>
        <w:spacing w:line="360" w:lineRule="auto"/>
        <w:ind w:right="-57" w:rightChars="-27"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、项目开工后，设计院应选派中级职称或以上设计人员驻场服务，至少每天驻场8小时并执行现场打卡制度。每周安排驻场设计师对项目至少巡检一次，并于巡检当天提交设计巡检报告。</w:t>
      </w:r>
    </w:p>
    <w:p w14:paraId="494E32D6">
      <w:pPr>
        <w:pStyle w:val="3"/>
        <w:spacing w:line="360" w:lineRule="auto"/>
        <w:rPr>
          <w:color w:val="auto"/>
          <w:highlight w:val="none"/>
        </w:rPr>
      </w:pPr>
      <w:r>
        <w:rPr>
          <w:color w:val="auto"/>
          <w:highlight w:val="none"/>
        </w:rPr>
        <w:t>六、设计要求</w:t>
      </w:r>
    </w:p>
    <w:p w14:paraId="44107E9E">
      <w:pPr>
        <w:pStyle w:val="4"/>
        <w:spacing w:line="360" w:lineRule="auto"/>
        <w:rPr>
          <w:color w:val="auto"/>
          <w:highlight w:val="none"/>
        </w:rPr>
      </w:pPr>
      <w:r>
        <w:rPr>
          <w:color w:val="auto"/>
          <w:highlight w:val="none"/>
        </w:rPr>
        <w:t>（一）总体要求</w:t>
      </w:r>
    </w:p>
    <w:p w14:paraId="6011B50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设计文件包括但不仅限于以下内容：建筑、结构、电气、给排水、暖通、人防、市政绿地、动力、消防、室内室外管线综合、幕墙、泛光、电梯、日照分析、设计各阶段的节能专篇、消防专篇、人防专篇、交通组织设计、环保专篇、防雷、抗震和超限专篇、智能化专篇、电信通讯、海绵城市专篇，方案投资估算、初步设计概算以及当地政府及行业报批报建所需的专业设计工作和成果。设计成果应达到建设部颁发的《建筑工程设计文件编制深度规定》（2016年版）</w:t>
      </w:r>
      <w:r>
        <w:rPr>
          <w:rFonts w:ascii="宋体" w:hAnsi="宋体"/>
          <w:color w:val="auto"/>
          <w:sz w:val="24"/>
          <w:szCs w:val="24"/>
          <w:highlight w:val="none"/>
        </w:rPr>
        <w:t>。</w:t>
      </w:r>
    </w:p>
    <w:p w14:paraId="319B754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本项目采用实行限额、限规模设计，具体规划指标应严格满足规划设计条件的要求进行设计</w:t>
      </w:r>
      <w:r>
        <w:rPr>
          <w:rFonts w:ascii="宋体" w:hAnsi="宋体"/>
          <w:color w:val="auto"/>
          <w:sz w:val="24"/>
          <w:szCs w:val="24"/>
          <w:highlight w:val="none"/>
        </w:rPr>
        <w:t>。</w:t>
      </w:r>
    </w:p>
    <w:p w14:paraId="16FFD66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3、设计单位应依据业主单位的投资开发要求确定建筑物设计方案，</w:t>
      </w:r>
      <w:r>
        <w:rPr>
          <w:rFonts w:hint="eastAsia" w:cs="Cambria" w:asciiTheme="minorEastAsia" w:hAnsiTheme="minorEastAsia" w:eastAsiaTheme="minorEastAsia"/>
          <w:color w:val="auto"/>
          <w:sz w:val="24"/>
          <w:highlight w:val="none"/>
        </w:rPr>
        <w:t>提交设计选型成果报告（含造价比较、运营费用比较），</w:t>
      </w:r>
      <w:r>
        <w:rPr>
          <w:rFonts w:ascii="宋体" w:hAnsi="宋体"/>
          <w:color w:val="auto"/>
          <w:sz w:val="24"/>
          <w:szCs w:val="24"/>
          <w:highlight w:val="none"/>
        </w:rPr>
        <w:t>注意选用节能、环保、健康的材料，合理的施工技术和工期，严格控制成本造价，降低运营费用。</w:t>
      </w:r>
    </w:p>
    <w:p w14:paraId="57F855A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、在项目报建阶段满足建设单位报批各种手续的要求，分阶段提供所需的设计文件。</w:t>
      </w:r>
    </w:p>
    <w:p w14:paraId="3F1D522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专业图纸必须符合国家现行的技术规范及标准要求，达到《建筑工程设计文件编制深度规定》（2016年版）深度要求。施工阶段需要对施工单位深化设计成果进行确认，并加盖审核章</w:t>
      </w:r>
      <w:r>
        <w:rPr>
          <w:rFonts w:ascii="宋体" w:hAnsi="宋体"/>
          <w:color w:val="auto"/>
          <w:sz w:val="24"/>
          <w:szCs w:val="24"/>
          <w:highlight w:val="none"/>
        </w:rPr>
        <w:t>。</w:t>
      </w:r>
    </w:p>
    <w:p w14:paraId="71B5EB1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、本项目要求按绿色建筑设计</w:t>
      </w:r>
      <w:r>
        <w:rPr>
          <w:rFonts w:hint="eastAsia" w:ascii="宋体" w:hAnsi="宋体"/>
          <w:color w:val="auto"/>
          <w:sz w:val="24"/>
          <w:szCs w:val="24"/>
          <w:highlight w:val="none"/>
          <w:lang w:eastAsia="zh"/>
        </w:rPr>
        <w:t>二</w:t>
      </w:r>
      <w:r>
        <w:rPr>
          <w:rFonts w:hint="eastAsia" w:ascii="宋体" w:hAnsi="宋体"/>
          <w:color w:val="auto"/>
          <w:sz w:val="24"/>
          <w:szCs w:val="24"/>
          <w:highlight w:val="none"/>
        </w:rPr>
        <w:t>星标准</w:t>
      </w:r>
      <w:r>
        <w:rPr>
          <w:rFonts w:ascii="宋体" w:hAnsi="宋体"/>
          <w:color w:val="auto"/>
          <w:sz w:val="24"/>
          <w:szCs w:val="24"/>
          <w:highlight w:val="none"/>
        </w:rPr>
        <w:t>进行设计。</w:t>
      </w:r>
    </w:p>
    <w:p w14:paraId="072EAEFD">
      <w:pPr>
        <w:spacing w:line="360" w:lineRule="auto"/>
        <w:ind w:firstLine="480" w:firstLineChars="200"/>
        <w:rPr>
          <w:color w:val="auto"/>
          <w:highlight w:val="none"/>
        </w:rPr>
      </w:pPr>
      <w:r>
        <w:rPr>
          <w:rFonts w:hint="eastAsia" w:ascii="宋体" w:hAnsi="宋体"/>
          <w:color w:val="auto"/>
          <w:sz w:val="24"/>
          <w:szCs w:val="24"/>
          <w:highlight w:val="none"/>
        </w:rPr>
        <w:t>7</w:t>
      </w:r>
      <w:r>
        <w:rPr>
          <w:rFonts w:ascii="宋体" w:hAnsi="宋体"/>
          <w:color w:val="auto"/>
          <w:sz w:val="24"/>
          <w:szCs w:val="24"/>
          <w:highlight w:val="none"/>
        </w:rPr>
        <w:t>、海绵城市建设要求：</w:t>
      </w:r>
      <w:r>
        <w:rPr>
          <w:rFonts w:hint="eastAsia" w:ascii="宋体" w:hAnsi="宋体"/>
          <w:color w:val="auto"/>
          <w:sz w:val="24"/>
          <w:szCs w:val="24"/>
          <w:highlight w:val="none"/>
        </w:rPr>
        <w:t>建设项目应采取雨污分流系统，同时按照《广州市建设项目雨水径流控制办法》及《白云区海绵城市建设专项规划》的有关规定采取雨水径流控制措施。</w:t>
      </w:r>
      <w:r>
        <w:rPr>
          <w:rFonts w:ascii="宋体" w:hAnsi="宋体"/>
          <w:color w:val="auto"/>
          <w:sz w:val="24"/>
          <w:szCs w:val="24"/>
          <w:highlight w:val="none"/>
        </w:rPr>
        <w:t>满足规划设计条件</w:t>
      </w:r>
      <w:r>
        <w:rPr>
          <w:rFonts w:hint="eastAsia" w:ascii="宋体" w:hAnsi="宋体"/>
          <w:color w:val="auto"/>
          <w:sz w:val="24"/>
          <w:szCs w:val="24"/>
          <w:highlight w:val="none"/>
        </w:rPr>
        <w:t>和当地水务主管部门</w:t>
      </w:r>
      <w:r>
        <w:rPr>
          <w:rFonts w:ascii="宋体" w:hAnsi="宋体"/>
          <w:color w:val="auto"/>
          <w:sz w:val="24"/>
          <w:szCs w:val="24"/>
          <w:highlight w:val="none"/>
        </w:rPr>
        <w:t>要求。</w:t>
      </w:r>
    </w:p>
    <w:p w14:paraId="70847005">
      <w:pPr>
        <w:pStyle w:val="16"/>
        <w:spacing w:line="360" w:lineRule="auto"/>
        <w:ind w:firstLine="480" w:firstLineChars="200"/>
        <w:rPr>
          <w:rFonts w:cs="Calibri"/>
          <w:color w:val="auto"/>
          <w:sz w:val="24"/>
          <w:szCs w:val="24"/>
          <w:highlight w:val="none"/>
          <w:lang w:val="en-US"/>
        </w:rPr>
      </w:pPr>
      <w:r>
        <w:rPr>
          <w:rFonts w:hint="eastAsia" w:cs="Calibri"/>
          <w:color w:val="auto"/>
          <w:sz w:val="24"/>
          <w:szCs w:val="24"/>
          <w:highlight w:val="none"/>
          <w:lang w:val="en-US" w:eastAsia="zh"/>
        </w:rPr>
        <w:t>8</w:t>
      </w:r>
      <w:r>
        <w:rPr>
          <w:rFonts w:hint="eastAsia" w:cs="Calibri"/>
          <w:color w:val="auto"/>
          <w:sz w:val="24"/>
          <w:szCs w:val="24"/>
          <w:highlight w:val="none"/>
          <w:lang w:val="en-US"/>
        </w:rPr>
        <w:t>、地下室设计须满足科学合理、集约利用、交通及人流流线合理、行车安全的原则。</w:t>
      </w:r>
    </w:p>
    <w:p w14:paraId="4A6CF5E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 w:bidi="ar"/>
        </w:rPr>
        <w:t>9</w:t>
      </w:r>
      <w:r>
        <w:rPr>
          <w:rFonts w:hint="eastAsia" w:ascii="宋体" w:hAnsi="宋体" w:cs="宋体"/>
          <w:color w:val="auto"/>
          <w:sz w:val="24"/>
          <w:highlight w:val="none"/>
          <w:lang w:bidi="ar"/>
        </w:rPr>
        <w:t>、应配合及充分考虑物业管理和经营模式，以能满足日后的使用管理要求。</w:t>
      </w:r>
    </w:p>
    <w:p w14:paraId="5B3CFF1B">
      <w:pPr>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highlight w:val="none"/>
          <w:lang w:bidi="ar"/>
        </w:rPr>
        <w:t>1</w:t>
      </w:r>
      <w:r>
        <w:rPr>
          <w:rFonts w:hint="eastAsia" w:ascii="宋体" w:hAnsi="宋体" w:cs="宋体"/>
          <w:color w:val="auto"/>
          <w:sz w:val="24"/>
          <w:highlight w:val="none"/>
          <w:lang w:eastAsia="zh" w:bidi="ar"/>
        </w:rPr>
        <w:t>0</w:t>
      </w:r>
      <w:r>
        <w:rPr>
          <w:rFonts w:ascii="宋体" w:hAnsi="宋体" w:cs="宋体"/>
          <w:color w:val="auto"/>
          <w:sz w:val="24"/>
          <w:highlight w:val="none"/>
          <w:lang w:bidi="ar"/>
        </w:rPr>
        <w:t>、提供专</w:t>
      </w:r>
      <w:r>
        <w:rPr>
          <w:rFonts w:ascii="宋体" w:hAnsi="宋体"/>
          <w:color w:val="auto"/>
          <w:sz w:val="24"/>
          <w:szCs w:val="24"/>
          <w:highlight w:val="none"/>
        </w:rPr>
        <w:t>业设计计算书、全过程中要求提供的指标及数据的统计；成果文件包括但不限于DWG、PPT、WORD、EXCEL等形式。</w:t>
      </w:r>
    </w:p>
    <w:p w14:paraId="2908FD7D">
      <w:pPr>
        <w:pStyle w:val="4"/>
        <w:spacing w:line="360" w:lineRule="auto"/>
        <w:rPr>
          <w:color w:val="auto"/>
          <w:highlight w:val="none"/>
        </w:rPr>
      </w:pPr>
      <w:r>
        <w:rPr>
          <w:color w:val="auto"/>
          <w:highlight w:val="none"/>
        </w:rPr>
        <w:t>（二）建筑总图设计</w:t>
      </w:r>
    </w:p>
    <w:p w14:paraId="468BA30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在修建性详细规划设计与建筑方案基础上，按业主相关要求，进行深化设计，主要完成总图专业各项内容的初步设计、技术设计和施工图设计，含总平面设计、竖向标高设计、</w:t>
      </w:r>
      <w:r>
        <w:rPr>
          <w:rFonts w:hint="eastAsia" w:ascii="宋体" w:hAnsi="宋体"/>
          <w:color w:val="auto"/>
          <w:sz w:val="24"/>
          <w:szCs w:val="24"/>
          <w:highlight w:val="none"/>
        </w:rPr>
        <w:t>交通道路</w:t>
      </w:r>
      <w:r>
        <w:rPr>
          <w:rFonts w:ascii="宋体" w:hAnsi="宋体"/>
          <w:color w:val="auto"/>
          <w:sz w:val="24"/>
          <w:szCs w:val="24"/>
          <w:highlight w:val="none"/>
        </w:rPr>
        <w:t>广场设计、景观绿化设计、总平面管线综合设计、土方平衡计算与设计</w:t>
      </w:r>
      <w:r>
        <w:rPr>
          <w:rFonts w:hint="eastAsia" w:ascii="宋体" w:hAnsi="宋体"/>
          <w:color w:val="auto"/>
          <w:sz w:val="24"/>
          <w:szCs w:val="24"/>
          <w:highlight w:val="none"/>
        </w:rPr>
        <w:t>等，</w:t>
      </w:r>
      <w:r>
        <w:rPr>
          <w:rFonts w:hint="eastAsia" w:cs="Cambria" w:asciiTheme="minorEastAsia" w:hAnsiTheme="minorEastAsia" w:eastAsiaTheme="minorEastAsia"/>
          <w:color w:val="auto"/>
          <w:sz w:val="24"/>
          <w:highlight w:val="none"/>
        </w:rPr>
        <w:t>在符合规划部门批复意见前提下，可合理优化布局</w:t>
      </w:r>
      <w:r>
        <w:rPr>
          <w:rFonts w:ascii="宋体" w:hAnsi="宋体"/>
          <w:color w:val="auto"/>
          <w:sz w:val="24"/>
          <w:szCs w:val="24"/>
          <w:highlight w:val="none"/>
        </w:rPr>
        <w:t>。</w:t>
      </w:r>
    </w:p>
    <w:p w14:paraId="7BBDED2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交通组织便捷、经济、合理，道路网络层次适当，架构清晰，衔接合理，管线布置经济合理。重点组织好各种交通流线设计：各出入流线应独立设置，尽量避免相互干扰。人流、车流应区分有序，符合日常使用要求</w:t>
      </w:r>
      <w:r>
        <w:rPr>
          <w:rFonts w:ascii="宋体" w:hAnsi="宋体"/>
          <w:color w:val="auto"/>
          <w:sz w:val="24"/>
          <w:szCs w:val="24"/>
          <w:highlight w:val="none"/>
        </w:rPr>
        <w:t>。</w:t>
      </w:r>
    </w:p>
    <w:p w14:paraId="475E86E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cs="Cambria" w:asciiTheme="minorEastAsia" w:hAnsiTheme="minorEastAsia" w:eastAsiaTheme="minorEastAsia"/>
          <w:color w:val="auto"/>
          <w:sz w:val="24"/>
          <w:highlight w:val="none"/>
        </w:rPr>
        <w:t>完成汇总各层总体平面图（包括地下</w:t>
      </w:r>
      <w:r>
        <w:rPr>
          <w:rFonts w:hint="eastAsia" w:cs="Cambria" w:asciiTheme="minorEastAsia" w:hAnsiTheme="minorEastAsia" w:eastAsiaTheme="minorEastAsia"/>
          <w:color w:val="auto"/>
          <w:sz w:val="24"/>
          <w:highlight w:val="none"/>
        </w:rPr>
        <w:t>及地上</w:t>
      </w:r>
      <w:r>
        <w:rPr>
          <w:rFonts w:cs="Cambria" w:asciiTheme="minorEastAsia" w:hAnsiTheme="minorEastAsia" w:eastAsiaTheme="minorEastAsia"/>
          <w:color w:val="auto"/>
          <w:sz w:val="24"/>
          <w:highlight w:val="none"/>
        </w:rPr>
        <w:t>各层、总平面图等），</w:t>
      </w:r>
      <w:r>
        <w:rPr>
          <w:rFonts w:ascii="宋体" w:hAnsi="宋体"/>
          <w:color w:val="auto"/>
          <w:sz w:val="24"/>
          <w:szCs w:val="24"/>
          <w:highlight w:val="none"/>
        </w:rPr>
        <w:t>除总平面图外，还要求绘制</w:t>
      </w:r>
      <w:r>
        <w:rPr>
          <w:rFonts w:hint="eastAsia" w:ascii="宋体" w:hAnsi="宋体"/>
          <w:color w:val="auto"/>
          <w:sz w:val="24"/>
          <w:szCs w:val="24"/>
          <w:highlight w:val="none"/>
        </w:rPr>
        <w:t>首层</w:t>
      </w:r>
      <w:r>
        <w:rPr>
          <w:rFonts w:ascii="宋体" w:hAnsi="宋体"/>
          <w:color w:val="auto"/>
          <w:sz w:val="24"/>
          <w:szCs w:val="24"/>
          <w:highlight w:val="none"/>
        </w:rPr>
        <w:t>组合平面图，将道路关系、各出入口关系、±0.000标高、室内外高差关系等反映在图面上。</w:t>
      </w:r>
    </w:p>
    <w:p w14:paraId="6F212B77">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3、应结合朝向、周围环境合理地组织自然通风和景观，同时处理好区域内外的</w:t>
      </w:r>
      <w:r>
        <w:rPr>
          <w:rFonts w:hint="eastAsia" w:cs="Cambria" w:asciiTheme="minorEastAsia" w:hAnsiTheme="minorEastAsia" w:eastAsiaTheme="minorEastAsia"/>
          <w:color w:val="auto"/>
          <w:sz w:val="24"/>
          <w:highlight w:val="none"/>
        </w:rPr>
        <w:t>水、电、燃气、通信等市政设施的衔接</w:t>
      </w:r>
      <w:r>
        <w:rPr>
          <w:rFonts w:ascii="宋体" w:hAnsi="宋体"/>
          <w:color w:val="auto"/>
          <w:sz w:val="24"/>
          <w:szCs w:val="24"/>
          <w:highlight w:val="none"/>
        </w:rPr>
        <w:t>等市政设施的衔接。需解决好室外管线综合问题，使各种管线均满足设计要求。各建筑出入口处不得设置通风竖井、检查井等设施。</w:t>
      </w:r>
    </w:p>
    <w:p w14:paraId="3C66BFCC">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4、建筑布局应适应气候特点，满足通风、采光、遮阳、防水等功能使用要求。</w:t>
      </w:r>
    </w:p>
    <w:p w14:paraId="4835F593">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5、总平面设计应符合无障碍设计要求，并应符合现行行业标准《无障碍设计规范》（GB50763-2012）的有关规定。</w:t>
      </w:r>
    </w:p>
    <w:p w14:paraId="26B1D8B3">
      <w:pPr>
        <w:spacing w:line="360" w:lineRule="auto"/>
        <w:ind w:firstLine="480" w:firstLineChars="200"/>
        <w:jc w:val="left"/>
        <w:rPr>
          <w:rFonts w:ascii="宋体" w:hAnsi="宋体"/>
          <w:b/>
          <w:bCs/>
          <w:color w:val="auto"/>
          <w:sz w:val="24"/>
          <w:szCs w:val="24"/>
          <w:highlight w:val="none"/>
        </w:rPr>
      </w:pPr>
      <w:r>
        <w:rPr>
          <w:rFonts w:ascii="宋体" w:hAnsi="宋体"/>
          <w:color w:val="auto"/>
          <w:sz w:val="24"/>
          <w:szCs w:val="24"/>
          <w:highlight w:val="none"/>
        </w:rPr>
        <w:t>6、建筑退让间距，建筑间距，退界应按照《广州市城乡规划技术规定》及其他相关要求执行。</w:t>
      </w:r>
    </w:p>
    <w:p w14:paraId="6F63DC01">
      <w:pPr>
        <w:pStyle w:val="4"/>
        <w:spacing w:line="360" w:lineRule="auto"/>
        <w:rPr>
          <w:color w:val="auto"/>
          <w:highlight w:val="none"/>
        </w:rPr>
      </w:pPr>
      <w:r>
        <w:rPr>
          <w:color w:val="auto"/>
          <w:highlight w:val="none"/>
        </w:rPr>
        <w:t>（三）建筑设计</w:t>
      </w:r>
    </w:p>
    <w:p w14:paraId="0D414F5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在修建性详细规划设计与建筑方案基础上，按业主相关要求，进行深化设计，完成建筑各单体的初步设计、技术设计和施工图设计，具体如下：</w:t>
      </w:r>
    </w:p>
    <w:p w14:paraId="2681AF0B">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1、各阶段的设计说明应完整，施工图应有效指导现场施工，不得因图纸表达不清影响现场施工。</w:t>
      </w:r>
    </w:p>
    <w:p w14:paraId="052E1E2E">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2、建筑设计标准：设计使用年限50年，建筑耐火等级按照《建筑设计防火规范》（GB50016-2018）要求执行，建筑公共区域的设计满足无障碍建筑设计要求。</w:t>
      </w:r>
    </w:p>
    <w:p w14:paraId="29CC5B5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cs="Cambria" w:asciiTheme="minorEastAsia" w:hAnsiTheme="minorEastAsia" w:eastAsiaTheme="minorEastAsia"/>
          <w:color w:val="auto"/>
          <w:sz w:val="24"/>
          <w:highlight w:val="none"/>
        </w:rPr>
        <w:t>根据规划设计条件</w:t>
      </w:r>
      <w:r>
        <w:rPr>
          <w:rFonts w:ascii="宋体" w:hAnsi="宋体"/>
          <w:color w:val="auto"/>
          <w:sz w:val="24"/>
          <w:szCs w:val="24"/>
          <w:highlight w:val="none"/>
        </w:rPr>
        <w:t>完善建筑设计方案、建筑功能划分，细化流线设计及竖向设计。</w:t>
      </w:r>
    </w:p>
    <w:p w14:paraId="14B82676">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4、建筑外立面：建筑立面应以现代、大气、融合的风格为主，避免繁复、夸张的建筑风格与大量装饰性构件。</w:t>
      </w:r>
    </w:p>
    <w:p w14:paraId="46FDB9B1">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5、停车配建：按照《广州市城乡规划技术规定》及《建设用地规划许可证》相关要求，满足现行规范停车指标。</w:t>
      </w:r>
    </w:p>
    <w:p w14:paraId="11F2AEA6">
      <w:pPr>
        <w:pStyle w:val="4"/>
        <w:spacing w:line="360" w:lineRule="auto"/>
        <w:rPr>
          <w:color w:val="auto"/>
          <w:highlight w:val="none"/>
        </w:rPr>
      </w:pPr>
      <w:r>
        <w:rPr>
          <w:color w:val="auto"/>
          <w:highlight w:val="none"/>
        </w:rPr>
        <w:t>（四）结构设计</w:t>
      </w:r>
    </w:p>
    <w:p w14:paraId="16D5403F">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包括设计范围内建筑体的结构设计；结构设计一般要求如下：</w:t>
      </w:r>
    </w:p>
    <w:p w14:paraId="0C19DC5A">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1、结构设计基准期为50年，结构设计</w:t>
      </w:r>
      <w:r>
        <w:rPr>
          <w:rFonts w:hint="eastAsia" w:ascii="宋体" w:hAnsi="宋体"/>
          <w:color w:val="auto"/>
          <w:sz w:val="24"/>
          <w:szCs w:val="24"/>
          <w:highlight w:val="none"/>
        </w:rPr>
        <w:t>工作</w:t>
      </w:r>
      <w:r>
        <w:rPr>
          <w:rFonts w:ascii="宋体" w:hAnsi="宋体"/>
          <w:color w:val="auto"/>
          <w:sz w:val="24"/>
          <w:szCs w:val="24"/>
          <w:highlight w:val="none"/>
        </w:rPr>
        <w:t>年限为50年。</w:t>
      </w:r>
    </w:p>
    <w:p w14:paraId="4547F225">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2、具体抗震等级应根据具体部位的设防类别、烈度、结构类型和建筑高度确定。</w:t>
      </w:r>
    </w:p>
    <w:p w14:paraId="17A77356">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3、风荷载按50年一遇的基本风压取值。</w:t>
      </w:r>
      <w:r>
        <w:rPr>
          <w:rFonts w:cs="Cambria" w:asciiTheme="minorEastAsia" w:hAnsiTheme="minorEastAsia" w:eastAsiaTheme="minorEastAsia"/>
          <w:color w:val="auto"/>
          <w:sz w:val="24"/>
          <w:highlight w:val="none"/>
        </w:rPr>
        <w:t>特殊结构的风荷载体型系数应通过风洞试验确定。</w:t>
      </w:r>
    </w:p>
    <w:p w14:paraId="4B2F42F6">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抗震设防类别按现行《建筑工程抗震设防分类标准》GB50223取值；抗震设防烈度、地震加速度、设计地震分组按现行《建筑抗震设计标准》GB/T50011并综合考虑确定；设计特征周期、建筑场地类别按地勘报告确定。</w:t>
      </w:r>
    </w:p>
    <w:p w14:paraId="594C9152">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5、结构设计应充分考虑广州地区建筑物抗震设防的特点，选择对抗震有利的结构体系，力求受力合理、安全可靠、舒适环保、节能、美观、经济耐用。</w:t>
      </w:r>
    </w:p>
    <w:p w14:paraId="3D2D2F97">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6、防空地下室的设防等级与规模应符合</w:t>
      </w:r>
      <w:r>
        <w:rPr>
          <w:rFonts w:hint="eastAsia" w:ascii="宋体" w:hAnsi="宋体"/>
          <w:color w:val="auto"/>
          <w:sz w:val="24"/>
          <w:szCs w:val="24"/>
          <w:highlight w:val="none"/>
        </w:rPr>
        <w:t>相关</w:t>
      </w:r>
      <w:r>
        <w:rPr>
          <w:rFonts w:ascii="宋体" w:hAnsi="宋体"/>
          <w:color w:val="auto"/>
          <w:sz w:val="24"/>
          <w:szCs w:val="24"/>
          <w:highlight w:val="none"/>
        </w:rPr>
        <w:t>主管部门的批复文件。</w:t>
      </w:r>
    </w:p>
    <w:p w14:paraId="04D36409">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7、结构设计应阐述对特殊施工条件及验收标准的要求。</w:t>
      </w:r>
    </w:p>
    <w:p w14:paraId="3D92029C">
      <w:pPr>
        <w:snapToGrid w:val="0"/>
        <w:spacing w:line="360" w:lineRule="auto"/>
        <w:ind w:firstLine="480" w:firstLineChars="200"/>
        <w:jc w:val="left"/>
        <w:rPr>
          <w:rFonts w:ascii="宋体" w:hAnsi="宋体" w:cs="宋体"/>
          <w:color w:val="auto"/>
          <w:sz w:val="24"/>
          <w:highlight w:val="none"/>
          <w:lang w:bidi="ar"/>
        </w:rPr>
      </w:pPr>
      <w:r>
        <w:rPr>
          <w:rFonts w:ascii="宋体" w:hAnsi="宋体"/>
          <w:color w:val="auto"/>
          <w:sz w:val="24"/>
          <w:szCs w:val="24"/>
          <w:highlight w:val="none"/>
        </w:rPr>
        <w:t>8、</w:t>
      </w:r>
      <w:r>
        <w:rPr>
          <w:rFonts w:hint="eastAsia" w:ascii="宋体" w:hAnsi="宋体"/>
          <w:color w:val="auto"/>
          <w:sz w:val="24"/>
          <w:szCs w:val="24"/>
          <w:highlight w:val="none"/>
        </w:rPr>
        <w:t>在确保工程质量与安全，对工期和工程造价影响不大的前提下，结构设计应积极采用和推广成熟的新结构、新技术、新材料和新工艺。应针对本项目特点具体地在设计文件中应注明涉及危大工程的重点部位和环节，提出保障工程周边环境安全和工程施工安全的方案、意见和措施。</w:t>
      </w:r>
    </w:p>
    <w:p w14:paraId="15ED4AD3">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9、进行结构计算时，所使用的软件应通过有关部门的鉴定，计算软件的技术条件应符合现行工程建设标准的规定。</w:t>
      </w:r>
    </w:p>
    <w:p w14:paraId="52100630">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10、对于复杂结构，如转换层、大悬臂等应进行必要的有限元分析。</w:t>
      </w:r>
    </w:p>
    <w:p w14:paraId="6F5068BB">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11、结构上应考虑基础地基，基础设计必须根据审查合格的工程地质详细勘察报告和物探报告进行。基础选型应根据工程地质和水文条件、建筑体型、荷载分布情况、施工条件，选择经济合理的基础形式。</w:t>
      </w:r>
      <w:r>
        <w:rPr>
          <w:rFonts w:hint="eastAsia" w:ascii="宋体" w:hAnsi="宋体" w:cs="宋体"/>
          <w:color w:val="auto"/>
          <w:sz w:val="24"/>
          <w:highlight w:val="none"/>
          <w:lang w:bidi="ar"/>
        </w:rPr>
        <w:t>且需配合业主要求完成不少于2个带成本测算的基础设计方案，并制作汇报PPT，经过论证后确定适合项目的基础方案及结构抗浮方案。</w:t>
      </w:r>
    </w:p>
    <w:p w14:paraId="04ACB262">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12、在设计选材时考虑材料的可循环使用性能。</w:t>
      </w:r>
    </w:p>
    <w:p w14:paraId="05C0B678">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13、新型结构或材料应进行试验或振动台试验进行验证。</w:t>
      </w:r>
    </w:p>
    <w:p w14:paraId="46339355">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14、如有需要，应配合进行超限建筑工程抗震设防专项审查。</w:t>
      </w:r>
    </w:p>
    <w:p w14:paraId="29E766B8">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15、选型设计及施工时尽量减少对周围环境的影响。</w:t>
      </w:r>
    </w:p>
    <w:p w14:paraId="1181996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16、设计中应高度重视与建筑、设备专业以及施工单位的密切配合。专业间修改要知会其余专业，严防设计成果与其余专业发生矛盾和争议。在确定梁柱截面及其布置时，结构专业应与其它专业充分协商，应提供甲方确认。</w:t>
      </w:r>
    </w:p>
    <w:p w14:paraId="3DA36CAA">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17、在设计中选用构、配件标准图集和通用图集时，应按次序采用国家标准图，区标准图和省通用图，并应结合工程的具体情况，对构、配件的设计、计算和构造进行必要的复核和修正补充，以保证结构安全和设计质量。对于如钢梯、钢雨棚等即使应用图集也应画出平立剖，标注构件型号，图集中节点与项目实际不符的需补充大样，不得只引用图集、详厂家深化图。</w:t>
      </w:r>
    </w:p>
    <w:p w14:paraId="58E03122">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18、施工图中应充分说明危大工程和较大危大工程的部位和情况说明。（如高支模、深基坑、大跨度等）。</w:t>
      </w:r>
    </w:p>
    <w:p w14:paraId="7AC39C0F">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19、设计应尽可能采用成熟技术和工艺。建筑物设计及建设必须符合技术先进、安全适用、经济合理、确保质量的基本要求。</w:t>
      </w:r>
    </w:p>
    <w:p w14:paraId="4855A4D1">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20、结构设计应阐述对特殊施工条件及验收标准的要求。</w:t>
      </w:r>
    </w:p>
    <w:p w14:paraId="366AED9F">
      <w:pPr>
        <w:pStyle w:val="4"/>
        <w:spacing w:line="360" w:lineRule="auto"/>
        <w:rPr>
          <w:color w:val="auto"/>
          <w:highlight w:val="none"/>
        </w:rPr>
      </w:pPr>
      <w:r>
        <w:rPr>
          <w:color w:val="auto"/>
          <w:highlight w:val="none"/>
        </w:rPr>
        <w:t>（五）电气设计</w:t>
      </w:r>
    </w:p>
    <w:p w14:paraId="319426F6">
      <w:pPr>
        <w:spacing w:line="360" w:lineRule="auto"/>
        <w:ind w:firstLine="480" w:firstLineChars="200"/>
        <w:jc w:val="left"/>
        <w:rPr>
          <w:rFonts w:ascii="宋体" w:hAnsi="宋体"/>
          <w:color w:val="auto"/>
          <w:sz w:val="24"/>
          <w:szCs w:val="24"/>
          <w:highlight w:val="none"/>
        </w:rPr>
      </w:pPr>
      <w:r>
        <w:rPr>
          <w:rFonts w:hint="eastAsia" w:cs="Cambria" w:asciiTheme="minorEastAsia" w:hAnsiTheme="minorEastAsia" w:eastAsiaTheme="minorEastAsia"/>
          <w:color w:val="auto"/>
          <w:sz w:val="24"/>
          <w:highlight w:val="none"/>
        </w:rPr>
        <w:t>完成本项目高低压变配电的设计，</w:t>
      </w:r>
      <w:r>
        <w:rPr>
          <w:rFonts w:ascii="宋体" w:hAnsi="宋体"/>
          <w:color w:val="auto"/>
          <w:sz w:val="24"/>
          <w:szCs w:val="24"/>
          <w:highlight w:val="none"/>
        </w:rPr>
        <w:t>包括但不限于高低压变配电系统、动力配电系统、照明配电系统、消防应急照明和疏散指示系统、</w:t>
      </w:r>
      <w:r>
        <w:rPr>
          <w:rFonts w:hint="eastAsia" w:cs="Cambria" w:asciiTheme="minorEastAsia" w:hAnsiTheme="minorEastAsia" w:eastAsiaTheme="minorEastAsia"/>
          <w:color w:val="auto"/>
          <w:sz w:val="24"/>
          <w:highlight w:val="none"/>
        </w:rPr>
        <w:t>电气消防（包括火灾自动报警及消防联动系统、消防应急广播系统、电气火灾监控系统、消防电源监控系统、防火门监控系统等）</w:t>
      </w:r>
      <w:r>
        <w:rPr>
          <w:rFonts w:cs="Cambria" w:asciiTheme="minorEastAsia" w:hAnsiTheme="minorEastAsia" w:eastAsiaTheme="minorEastAsia"/>
          <w:color w:val="auto"/>
          <w:sz w:val="24"/>
          <w:highlight w:val="none"/>
        </w:rPr>
        <w:t>、防雷及接地系统、</w:t>
      </w:r>
      <w:r>
        <w:rPr>
          <w:rFonts w:ascii="宋体" w:hAnsi="宋体"/>
          <w:color w:val="auto"/>
          <w:sz w:val="24"/>
          <w:szCs w:val="24"/>
          <w:highlight w:val="none"/>
        </w:rPr>
        <w:t>智能照明系统、</w:t>
      </w:r>
      <w:r>
        <w:rPr>
          <w:rFonts w:cs="Cambria" w:asciiTheme="minorEastAsia" w:hAnsiTheme="minorEastAsia" w:eastAsiaTheme="minorEastAsia"/>
          <w:color w:val="auto"/>
          <w:sz w:val="24"/>
          <w:highlight w:val="none"/>
        </w:rPr>
        <w:t>景观道路照明工程等。</w:t>
      </w:r>
    </w:p>
    <w:p w14:paraId="3EA87C4F">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1、强电系统设计应满足运营基本要求。</w:t>
      </w:r>
    </w:p>
    <w:p w14:paraId="448C451C">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2、以市电网电力为主要能源。由市电网引来双重电源，</w:t>
      </w:r>
      <w:r>
        <w:rPr>
          <w:rFonts w:hint="eastAsia" w:ascii="宋体" w:hAnsi="宋体"/>
          <w:color w:val="auto"/>
          <w:sz w:val="24"/>
          <w:szCs w:val="24"/>
          <w:highlight w:val="none"/>
        </w:rPr>
        <w:t>配备应急电源系统。</w:t>
      </w:r>
      <w:r>
        <w:rPr>
          <w:rFonts w:hint="eastAsia" w:ascii="宋体" w:hAnsi="宋体"/>
          <w:color w:val="auto"/>
          <w:sz w:val="24"/>
          <w:szCs w:val="24"/>
          <w:highlight w:val="none"/>
        </w:rPr>
        <w:t>工程总负荷计算和分路负荷计算：供、配电系统的设计中，须标注出装机容量、平均功率因数、需用系数、计算容量、计算电流，供电负荷计算电流及其供电回路短路容量校验是断路器及电缆的设计依据。乙方应在设计图纸交付审核时，提供负荷计算书及必要短路校验和电压降计算。</w:t>
      </w:r>
    </w:p>
    <w:p w14:paraId="6487C802">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3、低压配电设计应尽量避免全部采用放射式供电，应与其它供电方式综合考虑，以减少低压柜出线回路数量，限额设计。</w:t>
      </w:r>
    </w:p>
    <w:p w14:paraId="7BEEE4D9">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变配电所设备布置在满足供电局要求前提下尽量节约造价（如缩短密集母线长度），不能片面追求机房布置的舒适性。变配电所平面布置，优先考虑节省面积（关系到气体消防造价），对于机房内部的无用空间尽量用墙体分隔到机房以外，由建筑考虑其它用途或列为备用间。</w:t>
      </w:r>
    </w:p>
    <w:p w14:paraId="0F768562">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5、航空障碍灯（如有）设置需咨询当地航空管理局，符合相关要求。</w:t>
      </w:r>
    </w:p>
    <w:p w14:paraId="38A9C55D">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6、电缆沟、电缆桥架内电缆应标注回路编号；主电缆沟、主干电缆桥架应有剖面图，表示线缆在电缆沟、电缆桥架内敷设情况。</w:t>
      </w:r>
    </w:p>
    <w:p w14:paraId="6662692D">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7、末端配电系统应详细注明用途和容量；例如变配电室照明，地下车库排风机等。配电箱、盘（包括预留）符号或代号标注应有文字及图例说明。</w:t>
      </w:r>
    </w:p>
    <w:p w14:paraId="481EDD3A">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8、配电箱、盘应提供外形及安装参考尺寸（mm）。重要设备及主要安装场所如电气竖井应提供安装大样图。嵌墙安装的配电箱应提供安装高度及预留洞口尺寸。</w:t>
      </w:r>
    </w:p>
    <w:p w14:paraId="55598EA5">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应按《建设工程质量管理条例》第二十二条注明设备规格、型号、性能等技术参数与数量，但不得指定制造商和供应商，不得使用淘汰产品，一般情况下，设计中对低压断路器不得标注具体型号。对0.4kV低压断路器的表示为：ACB—框架断路器MCCB—塑壳断路器、MCB—微型断路器、ATS—PC级双电源切换装置、RCB—带剩余电流保护的断路器。</w:t>
      </w:r>
    </w:p>
    <w:p w14:paraId="25CAA572">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0、</w:t>
      </w:r>
      <w:r>
        <w:rPr>
          <w:rFonts w:hint="eastAsia" w:ascii="宋体" w:hAnsi="宋体"/>
          <w:color w:val="auto"/>
          <w:sz w:val="24"/>
          <w:szCs w:val="24"/>
          <w:highlight w:val="none"/>
        </w:rPr>
        <w:t>0.4kV配电系统中，凡电动操作的断路器，设计中需注明“电动操作”（或以带说明的符号来表示）；未加注明者均视为手动操作。</w:t>
      </w:r>
    </w:p>
    <w:p w14:paraId="3EEFF341">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设计中应详细给出断路器等配电柜、箱内主要元器件的主要技术参数及相关整定值，明确变压器、发电机组或其他应急电源设备主要技术参数；明确高、低压配电柜母排等主要技术参数。对在设计中有连锁等方面控制要求的设备，应提供设计要求。</w:t>
      </w:r>
    </w:p>
    <w:p w14:paraId="20B6329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对设计中阻燃及耐火电缆的标示：采用最新实施的规范中推荐的方式。</w:t>
      </w:r>
    </w:p>
    <w:p w14:paraId="5A860B36">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3、</w:t>
      </w:r>
      <w:r>
        <w:rPr>
          <w:rFonts w:hint="eastAsia" w:ascii="宋体" w:hAnsi="宋体"/>
          <w:color w:val="auto"/>
          <w:sz w:val="24"/>
          <w:szCs w:val="24"/>
          <w:highlight w:val="none"/>
        </w:rPr>
        <w:t>建筑物防雷接地设计应提供小比例总体引下线布置图。</w:t>
      </w:r>
    </w:p>
    <w:p w14:paraId="288EF228">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4、</w:t>
      </w:r>
      <w:r>
        <w:rPr>
          <w:rFonts w:hint="eastAsia" w:ascii="宋体" w:hAnsi="宋体"/>
          <w:color w:val="auto"/>
          <w:sz w:val="24"/>
          <w:szCs w:val="24"/>
          <w:highlight w:val="none"/>
        </w:rPr>
        <w:t>应采用适宜的照明设备，高效节能。</w:t>
      </w:r>
    </w:p>
    <w:p w14:paraId="2A4CFA07">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5</w:t>
      </w:r>
      <w:r>
        <w:rPr>
          <w:rFonts w:hint="eastAsia" w:ascii="宋体" w:hAnsi="宋体"/>
          <w:color w:val="auto"/>
          <w:sz w:val="24"/>
          <w:szCs w:val="24"/>
          <w:highlight w:val="none"/>
        </w:rPr>
        <w:t>、应考虑电梯等专项设备使用的需要，做好供电线路衔接设计。</w:t>
      </w:r>
    </w:p>
    <w:p w14:paraId="52E320D6">
      <w:pPr>
        <w:pStyle w:val="4"/>
        <w:spacing w:line="360" w:lineRule="auto"/>
        <w:rPr>
          <w:color w:val="auto"/>
          <w:highlight w:val="none"/>
        </w:rPr>
      </w:pPr>
      <w:r>
        <w:rPr>
          <w:color w:val="auto"/>
          <w:highlight w:val="none"/>
        </w:rPr>
        <w:t>（六）建筑智能化设计</w:t>
      </w:r>
    </w:p>
    <w:p w14:paraId="13576A19">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建筑智能化各子系统的设计应保证为当时先进、成熟的技术。各子系统在设计时，应充分考虑其兼容性、扩展性和先进性。合理安排竖井及中央控制机构位置及结构。本项目所有智能化系统设计内容，包括但不限于以下系统：</w:t>
      </w:r>
    </w:p>
    <w:p w14:paraId="7DA3DD6E">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1、信息网络系统包括：计算机网络系统、语音（电话）网络系统、综合布线系统、有线电视及卫星电视接收系统、公共广播系统、</w:t>
      </w:r>
      <w:r>
        <w:rPr>
          <w:rFonts w:hint="eastAsia" w:ascii="宋体" w:hAnsi="宋体"/>
          <w:color w:val="auto"/>
          <w:sz w:val="24"/>
          <w:szCs w:val="24"/>
          <w:highlight w:val="none"/>
          <w:lang w:eastAsia="zh"/>
        </w:rPr>
        <w:t>多媒体会议系统</w:t>
      </w:r>
      <w:r>
        <w:rPr>
          <w:rFonts w:hint="eastAsia" w:ascii="宋体" w:hAnsi="宋体"/>
          <w:color w:val="auto"/>
          <w:sz w:val="24"/>
          <w:szCs w:val="24"/>
          <w:highlight w:val="none"/>
        </w:rPr>
        <w:t>信息</w:t>
      </w:r>
      <w:r>
        <w:rPr>
          <w:rFonts w:hint="eastAsia" w:ascii="宋体" w:hAnsi="宋体"/>
          <w:color w:val="auto"/>
          <w:sz w:val="24"/>
          <w:szCs w:val="24"/>
          <w:highlight w:val="none"/>
          <w:lang w:eastAsia="zh"/>
        </w:rPr>
        <w:t>、</w:t>
      </w:r>
      <w:r>
        <w:rPr>
          <w:rFonts w:hint="eastAsia" w:ascii="宋体" w:hAnsi="宋体"/>
          <w:color w:val="auto"/>
          <w:sz w:val="24"/>
          <w:szCs w:val="24"/>
          <w:highlight w:val="none"/>
        </w:rPr>
        <w:t>发布（含大屏幕电子公告）及导引系统、5</w:t>
      </w:r>
      <w:r>
        <w:rPr>
          <w:rFonts w:ascii="宋体" w:hAnsi="宋体"/>
          <w:color w:val="auto"/>
          <w:sz w:val="24"/>
          <w:szCs w:val="24"/>
          <w:highlight w:val="none"/>
        </w:rPr>
        <w:t>G</w:t>
      </w:r>
      <w:r>
        <w:rPr>
          <w:rFonts w:hint="eastAsia" w:ascii="宋体" w:hAnsi="宋体"/>
          <w:color w:val="auto"/>
          <w:sz w:val="24"/>
          <w:szCs w:val="24"/>
          <w:highlight w:val="none"/>
        </w:rPr>
        <w:t>通信基础配套设施等。</w:t>
      </w:r>
    </w:p>
    <w:p w14:paraId="273621E0">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建筑设备监控系统：设置设备监控系统，对其内部的动力、电力、空调(冷源群控系统由空调厂家配套提供，并通过通讯接口接入BAS)、照明（空调和照明采用物联网的技术，感知环境状态和人流状态，实现自动控制）、给排水、电梯、停车库等机电设备进行监视、控制、协调、运行管理。</w:t>
      </w:r>
    </w:p>
    <w:p w14:paraId="6EC6978A">
      <w:pPr>
        <w:spacing w:line="360" w:lineRule="auto"/>
        <w:ind w:firstLine="480" w:firstLineChars="200"/>
        <w:jc w:val="left"/>
        <w:rPr>
          <w:color w:val="auto"/>
          <w:highlight w:val="none"/>
        </w:rPr>
      </w:pPr>
      <w:r>
        <w:rPr>
          <w:rFonts w:ascii="宋体" w:hAnsi="宋体"/>
          <w:color w:val="auto"/>
          <w:sz w:val="24"/>
          <w:szCs w:val="24"/>
          <w:highlight w:val="none"/>
        </w:rPr>
        <w:t>3</w:t>
      </w:r>
      <w:r>
        <w:rPr>
          <w:rFonts w:hint="eastAsia" w:ascii="宋体" w:hAnsi="宋体"/>
          <w:color w:val="auto"/>
          <w:sz w:val="24"/>
          <w:szCs w:val="24"/>
          <w:highlight w:val="none"/>
        </w:rPr>
        <w:t>、安全防范系统包括：入侵报警系统、视频监控系统、出入口控制系统、停车场管理系统（含车位引导系统）、智能卡系统、电子巡查系统、安全防范系统集成（设计范围内的所有建筑、公众区域、停车场、出入口通道等区域的安保设计）。</w:t>
      </w:r>
    </w:p>
    <w:p w14:paraId="2B786717">
      <w:pPr>
        <w:spacing w:line="360" w:lineRule="auto"/>
        <w:ind w:firstLine="480" w:firstLineChars="200"/>
        <w:jc w:val="left"/>
        <w:rPr>
          <w:rFonts w:ascii="宋体" w:hAnsi="宋体"/>
          <w:color w:val="auto"/>
          <w:sz w:val="24"/>
          <w:szCs w:val="24"/>
          <w:highlight w:val="none"/>
          <w:lang w:eastAsia="zh"/>
        </w:rPr>
      </w:pPr>
      <w:r>
        <w:rPr>
          <w:rFonts w:hint="eastAsia" w:ascii="宋体" w:hAnsi="宋体"/>
          <w:color w:val="auto"/>
          <w:sz w:val="24"/>
          <w:szCs w:val="24"/>
          <w:highlight w:val="none"/>
        </w:rPr>
        <w:t>4、</w:t>
      </w:r>
      <w:r>
        <w:rPr>
          <w:rFonts w:hint="eastAsia" w:ascii="宋体" w:hAnsi="宋体"/>
          <w:color w:val="auto"/>
          <w:sz w:val="24"/>
          <w:szCs w:val="24"/>
          <w:highlight w:val="none"/>
          <w:lang w:eastAsia="zh"/>
        </w:rPr>
        <w:t>信息化应用系统：分诊及排队叫号系统、</w:t>
      </w:r>
      <w:r>
        <w:rPr>
          <w:rFonts w:hint="eastAsia" w:ascii="宋体" w:hAnsi="宋体"/>
          <w:color w:val="auto"/>
          <w:sz w:val="24"/>
          <w:szCs w:val="24"/>
          <w:highlight w:val="none"/>
        </w:rPr>
        <w:t>手术室可视对讲系统、数字化手术室、ICU 病房探视系统</w:t>
      </w:r>
      <w:r>
        <w:rPr>
          <w:rFonts w:hint="eastAsia" w:ascii="宋体" w:hAnsi="宋体"/>
          <w:color w:val="auto"/>
          <w:sz w:val="24"/>
          <w:szCs w:val="24"/>
          <w:highlight w:val="none"/>
          <w:lang w:eastAsia="zh"/>
        </w:rPr>
        <w:t>、病房护理对讲系统。</w:t>
      </w:r>
    </w:p>
    <w:p w14:paraId="2BCF48D0">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
        </w:rPr>
        <w:t>5</w:t>
      </w:r>
      <w:r>
        <w:rPr>
          <w:rFonts w:hint="eastAsia" w:ascii="宋体" w:hAnsi="宋体"/>
          <w:color w:val="auto"/>
          <w:sz w:val="24"/>
          <w:szCs w:val="24"/>
          <w:highlight w:val="none"/>
        </w:rPr>
        <w:t>、智能化系统集成</w:t>
      </w:r>
    </w:p>
    <w:p w14:paraId="1A0AD2D3">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
        </w:rPr>
        <w:t>6</w:t>
      </w:r>
      <w:r>
        <w:rPr>
          <w:rFonts w:hint="eastAsia" w:ascii="宋体" w:hAnsi="宋体"/>
          <w:color w:val="auto"/>
          <w:sz w:val="24"/>
          <w:szCs w:val="24"/>
          <w:highlight w:val="none"/>
        </w:rPr>
        <w:t>、智能化各子系统的供电、防雷及接地</w:t>
      </w:r>
    </w:p>
    <w:p w14:paraId="79779EA3">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
        </w:rPr>
        <w:t>7</w:t>
      </w:r>
      <w:r>
        <w:rPr>
          <w:rFonts w:hint="eastAsia" w:ascii="宋体" w:hAnsi="宋体"/>
          <w:color w:val="auto"/>
          <w:sz w:val="24"/>
          <w:szCs w:val="24"/>
          <w:highlight w:val="none"/>
        </w:rPr>
        <w:t>、机房工程</w:t>
      </w:r>
    </w:p>
    <w:p w14:paraId="5DAF54B1">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
        </w:rPr>
        <w:t>8</w:t>
      </w:r>
      <w:r>
        <w:rPr>
          <w:rFonts w:hint="eastAsia" w:ascii="宋体" w:hAnsi="宋体"/>
          <w:color w:val="auto"/>
          <w:sz w:val="24"/>
          <w:szCs w:val="24"/>
          <w:highlight w:val="none"/>
        </w:rPr>
        <w:t>、监控中心</w:t>
      </w:r>
    </w:p>
    <w:p w14:paraId="0CB5BA6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
        </w:rPr>
        <w:t>9</w:t>
      </w:r>
      <w:r>
        <w:rPr>
          <w:rFonts w:ascii="宋体" w:hAnsi="宋体"/>
          <w:color w:val="auto"/>
          <w:sz w:val="24"/>
          <w:szCs w:val="24"/>
          <w:highlight w:val="none"/>
        </w:rPr>
        <w:t>、</w:t>
      </w:r>
      <w:r>
        <w:rPr>
          <w:rFonts w:hint="eastAsia" w:ascii="宋体" w:hAnsi="宋体"/>
          <w:color w:val="auto"/>
          <w:sz w:val="24"/>
          <w:szCs w:val="24"/>
          <w:highlight w:val="none"/>
        </w:rPr>
        <w:t>应充分考虑运营维护模式，以利于系统的设计能满足日后的使用管理要求。</w:t>
      </w:r>
    </w:p>
    <w:p w14:paraId="41940F93">
      <w:pPr>
        <w:pStyle w:val="2"/>
        <w:spacing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
        </w:rPr>
        <w:t>10</w:t>
      </w:r>
      <w:r>
        <w:rPr>
          <w:rFonts w:hint="eastAsia" w:ascii="宋体" w:hAnsi="宋体"/>
          <w:color w:val="auto"/>
          <w:kern w:val="0"/>
          <w:sz w:val="24"/>
          <w:szCs w:val="24"/>
          <w:highlight w:val="none"/>
        </w:rPr>
        <w:t>、能源管理系统，对电表水表等进行集中采集。</w:t>
      </w:r>
    </w:p>
    <w:p w14:paraId="0099355E">
      <w:pPr>
        <w:pStyle w:val="2"/>
        <w:spacing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w:t>
      </w:r>
      <w:r>
        <w:rPr>
          <w:rFonts w:hint="eastAsia" w:ascii="宋体" w:hAnsi="宋体"/>
          <w:color w:val="auto"/>
          <w:kern w:val="0"/>
          <w:sz w:val="24"/>
          <w:szCs w:val="24"/>
          <w:highlight w:val="none"/>
          <w:lang w:eastAsia="zh"/>
        </w:rPr>
        <w:t>1</w:t>
      </w:r>
      <w:r>
        <w:rPr>
          <w:rFonts w:hint="eastAsia" w:ascii="宋体" w:hAnsi="宋体"/>
          <w:color w:val="auto"/>
          <w:kern w:val="0"/>
          <w:sz w:val="24"/>
          <w:szCs w:val="24"/>
          <w:highlight w:val="none"/>
        </w:rPr>
        <w:t>、电梯五方通话系统</w:t>
      </w:r>
    </w:p>
    <w:p w14:paraId="462D1E25">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（备注：以上智能化系统设置以最终建设单位确认需求为准）</w:t>
      </w:r>
    </w:p>
    <w:p w14:paraId="590C2EEB">
      <w:pPr>
        <w:pStyle w:val="4"/>
        <w:spacing w:line="360" w:lineRule="auto"/>
        <w:rPr>
          <w:color w:val="auto"/>
          <w:highlight w:val="none"/>
        </w:rPr>
      </w:pPr>
      <w:r>
        <w:rPr>
          <w:color w:val="auto"/>
          <w:highlight w:val="none"/>
        </w:rPr>
        <w:t>（七）建筑给排水设计</w:t>
      </w:r>
    </w:p>
    <w:p w14:paraId="21911E57">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包括但不限于本项目用地范围内室内外给排水系统设计（建筑给水、排水、热水系统等）、用地内与市政管道的接驳、路由等满足通水的所有设计、消防给水系统设计、气体消防设计等。</w:t>
      </w:r>
    </w:p>
    <w:p w14:paraId="20364E02">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1、建筑给水排水设计应设室内外给排水及消防给水系统，以满足生活、</w:t>
      </w:r>
      <w:r>
        <w:rPr>
          <w:rFonts w:hint="eastAsia" w:ascii="宋体" w:hAnsi="宋体"/>
          <w:color w:val="auto"/>
          <w:sz w:val="24"/>
          <w:szCs w:val="24"/>
          <w:highlight w:val="none"/>
          <w:lang w:eastAsia="zh"/>
        </w:rPr>
        <w:t>医疗、</w:t>
      </w:r>
      <w:r>
        <w:rPr>
          <w:rFonts w:ascii="宋体" w:hAnsi="宋体"/>
          <w:color w:val="auto"/>
          <w:sz w:val="24"/>
          <w:szCs w:val="24"/>
          <w:highlight w:val="none"/>
        </w:rPr>
        <w:t>空调、冲洗道路和绿化、及消防用水的要求。</w:t>
      </w:r>
    </w:p>
    <w:p w14:paraId="1FD33CA3">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2、根据城市排水体制，</w:t>
      </w:r>
      <w:r>
        <w:rPr>
          <w:rFonts w:ascii="宋体" w:hAnsi="宋体"/>
          <w:color w:val="auto"/>
          <w:sz w:val="24"/>
          <w:szCs w:val="24"/>
          <w:highlight w:val="none"/>
        </w:rPr>
        <w:t>生活污水与雨水分系统排入市政污水管道与雨水管道，地块内病区污废水经管道收集，感染科门诊设置专用化粪池（水力停留时间36h）及预消毒池，其他病区污废水经化粪池（水力停留时间24-36h）预处理。所有污废水经污水处理站处理达标后排至达到《城市污水排放标准》后排至室外污水管道。</w:t>
      </w:r>
      <w:r>
        <w:rPr>
          <w:rFonts w:ascii="宋体" w:hAnsi="宋体"/>
          <w:color w:val="auto"/>
          <w:sz w:val="24"/>
          <w:szCs w:val="24"/>
          <w:highlight w:val="none"/>
        </w:rPr>
        <w:t xml:space="preserve"> </w:t>
      </w:r>
    </w:p>
    <w:p w14:paraId="51668FD6">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3、采用节水型卫生器具。绿化灌溉宜采用滴灌、微灌、渗灌或管灌等节水浇灌方式，以满足绿色建筑设计要求。</w:t>
      </w:r>
    </w:p>
    <w:p w14:paraId="5C9C4243">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4、建筑设备选型应考虑技术先进、维护方便、经济合理的原则；体现科技、环保、可持续发展的理念。</w:t>
      </w:r>
    </w:p>
    <w:p w14:paraId="194FE037">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5、根据国家有关规范和广东省</w:t>
      </w:r>
      <w:r>
        <w:rPr>
          <w:rFonts w:hint="eastAsia" w:ascii="宋体" w:hAnsi="宋体"/>
          <w:color w:val="auto"/>
          <w:sz w:val="24"/>
          <w:szCs w:val="24"/>
          <w:highlight w:val="none"/>
        </w:rPr>
        <w:t>、广州市</w:t>
      </w:r>
      <w:r>
        <w:rPr>
          <w:rFonts w:ascii="宋体" w:hAnsi="宋体"/>
          <w:color w:val="auto"/>
          <w:sz w:val="24"/>
          <w:szCs w:val="24"/>
          <w:highlight w:val="none"/>
        </w:rPr>
        <w:t>标准及所提供的资料对消防系统进行设计，包括但不限于室外消火栓系统、室内消火栓系统、自动喷水灭火系统、气体灭火系统和建筑灭火器配置等设计。</w:t>
      </w:r>
    </w:p>
    <w:p w14:paraId="0A03490F">
      <w:pPr>
        <w:pStyle w:val="4"/>
        <w:spacing w:line="360" w:lineRule="auto"/>
        <w:rPr>
          <w:color w:val="auto"/>
          <w:highlight w:val="none"/>
        </w:rPr>
      </w:pPr>
      <w:r>
        <w:rPr>
          <w:color w:val="auto"/>
          <w:highlight w:val="none"/>
        </w:rPr>
        <w:t>（八）</w:t>
      </w:r>
      <w:r>
        <w:rPr>
          <w:rFonts w:hint="eastAsia" w:cs="Cambria" w:asciiTheme="minorEastAsia" w:hAnsiTheme="minorEastAsia" w:eastAsiaTheme="minorEastAsia"/>
          <w:color w:val="auto"/>
          <w:highlight w:val="none"/>
        </w:rPr>
        <w:t>空调</w:t>
      </w:r>
      <w:r>
        <w:rPr>
          <w:color w:val="auto"/>
          <w:highlight w:val="none"/>
        </w:rPr>
        <w:t>暖通设计</w:t>
      </w:r>
    </w:p>
    <w:p w14:paraId="34FA74A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包括但不限于建筑物内部空气调节系统、通风系统设计、防排烟系统等。</w:t>
      </w:r>
    </w:p>
    <w:p w14:paraId="706ABB78">
      <w:pPr>
        <w:numPr>
          <w:ilvl w:val="0"/>
          <w:numId w:val="3"/>
        </w:num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采暖通风与空气调节设计应符合现行《民用建筑供暖通风与空气调节设计规范》GB50736的规定。《建筑节能与可再生能源利用通用规范》GB 55015-2021,《消防设施通用规范》GB 55036-2022,《建筑环境通用规范》GB 55016-2021的规定。</w:t>
      </w:r>
    </w:p>
    <w:p w14:paraId="2E3C0964">
      <w:pPr>
        <w:numPr>
          <w:ilvl w:val="0"/>
          <w:numId w:val="3"/>
        </w:num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应结合不同区域的空间大小、使用特点进行设计，确保环保节能、使用灵活、计费方便。宜设置室内空气质量监控系统，保证健康舒适的室内环境。</w:t>
      </w:r>
    </w:p>
    <w:p w14:paraId="054440B1">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3、根据《建筑工程设计文件编制深度》（2016年版）的规定，空调、制冷系统有自动监控时，宜绘制原理图，图中以图例绘出设备、传感器及执行器位置；说明控制要求和必要的控制参数。</w:t>
      </w:r>
    </w:p>
    <w:p w14:paraId="1EE94800">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根据《公共建筑节能设计标准》（GB50189-2015）的规定，在人员密度相对较大且变化较大的房间，宜采用新风需求控制。即根据室内CO2浓度监测值增加或减少新风量，使CO2浓度始终维持在卫生标准规定的限制内。</w:t>
      </w:r>
    </w:p>
    <w:p w14:paraId="111F68A2">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根据《绿色建筑评价标准》（GB/T50378-2019）的规定，新建的公共建筑、冷热源、输配系统和照明等各部分能耗进行独立分项计量。空调系统应对以下设备及系统设置独立的电量计量装置：冷冻机、冷冻水泵、冷却水泵、冷却塔等。</w:t>
      </w:r>
    </w:p>
    <w:p w14:paraId="7D5AED07">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6、所有空调制冷设备、消防设备中的有关冷制剂不得采用对臭氧层破坏的物质，相关选材和型号应符合国家环保要求。</w:t>
      </w:r>
    </w:p>
    <w:p w14:paraId="6B156E2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7、设备选型应考虑技术先进、维护方便、经济合理的原则；体现科技、环保、可持续发展的理念。</w:t>
      </w:r>
    </w:p>
    <w:p w14:paraId="13EC55C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8、空调系统选择应充分考虑运营维护模式，以利于系统的设计能满足日后的计量及使用管理要求。</w:t>
      </w:r>
    </w:p>
    <w:p w14:paraId="387D98A9">
      <w:pPr>
        <w:pStyle w:val="11"/>
        <w:spacing w:line="360" w:lineRule="auto"/>
        <w:rPr>
          <w:rFonts w:ascii="宋体" w:hAnsi="宋体"/>
          <w:color w:val="auto"/>
          <w:sz w:val="24"/>
          <w:highlight w:val="none"/>
          <w:lang w:val="en-US"/>
        </w:rPr>
      </w:pPr>
      <w:r>
        <w:rPr>
          <w:rFonts w:hint="eastAsia"/>
          <w:color w:val="auto"/>
          <w:highlight w:val="none"/>
        </w:rPr>
        <w:t xml:space="preserve"> </w:t>
      </w:r>
      <w:r>
        <w:rPr>
          <w:color w:val="auto"/>
          <w:highlight w:val="none"/>
        </w:rPr>
        <w:t xml:space="preserve">   </w:t>
      </w:r>
      <w:r>
        <w:rPr>
          <w:rFonts w:ascii="宋体" w:hAnsi="宋体"/>
          <w:color w:val="auto"/>
          <w:sz w:val="24"/>
          <w:highlight w:val="none"/>
          <w:lang w:val="en-US"/>
        </w:rPr>
        <w:t>9</w:t>
      </w:r>
      <w:r>
        <w:rPr>
          <w:rFonts w:hint="eastAsia" w:ascii="宋体" w:hAnsi="宋体"/>
          <w:color w:val="auto"/>
          <w:sz w:val="24"/>
          <w:highlight w:val="none"/>
          <w:lang w:val="en-US"/>
        </w:rPr>
        <w:t>、提供空调系统比选方案，并进行技术、造价、使用便利性等方面进行比选论证并向甲方汇报后，最终确定项目空调系统的选用。</w:t>
      </w:r>
    </w:p>
    <w:p w14:paraId="2F747BB3">
      <w:pPr>
        <w:pStyle w:val="4"/>
        <w:spacing w:line="360" w:lineRule="auto"/>
        <w:rPr>
          <w:color w:val="auto"/>
          <w:highlight w:val="none"/>
        </w:rPr>
      </w:pPr>
      <w:r>
        <w:rPr>
          <w:color w:val="auto"/>
          <w:highlight w:val="none"/>
        </w:rPr>
        <w:t>（九）消防设计</w:t>
      </w:r>
    </w:p>
    <w:p w14:paraId="7E2F9DBA">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1、建筑消防水池及消防泵房设在地下室，消防水泵房设甲级防火门并直通安全出口。</w:t>
      </w:r>
    </w:p>
    <w:p w14:paraId="7EB9A84C">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2、建筑物内走道、楼梯、安全出口宽度、安全出口数量及安全疏散距离均按消防有关规范设计。</w:t>
      </w:r>
    </w:p>
    <w:p w14:paraId="7CD5D780">
      <w:pPr>
        <w:spacing w:line="360" w:lineRule="auto"/>
        <w:ind w:firstLine="360" w:firstLineChars="150"/>
        <w:jc w:val="left"/>
        <w:rPr>
          <w:rFonts w:ascii="宋体" w:hAnsi="宋体"/>
          <w:color w:val="auto"/>
          <w:sz w:val="24"/>
          <w:szCs w:val="24"/>
          <w:highlight w:val="none"/>
        </w:rPr>
      </w:pPr>
      <w:r>
        <w:rPr>
          <w:rFonts w:ascii="宋体" w:hAnsi="宋体"/>
          <w:color w:val="auto"/>
          <w:sz w:val="24"/>
          <w:szCs w:val="24"/>
          <w:highlight w:val="none"/>
        </w:rPr>
        <w:t>3、各种构配件其燃烧性能及耐火极限均满足规范要求。防火卷帘、防火门窗等设备设施满足规范及消防部门要求即可，不得随意提高等级。</w:t>
      </w:r>
    </w:p>
    <w:p w14:paraId="3890566B">
      <w:pPr>
        <w:spacing w:line="360" w:lineRule="auto"/>
        <w:ind w:firstLine="360" w:firstLineChars="150"/>
        <w:jc w:val="left"/>
        <w:rPr>
          <w:rFonts w:ascii="宋体" w:hAnsi="宋体"/>
          <w:color w:val="auto"/>
          <w:sz w:val="24"/>
          <w:szCs w:val="24"/>
          <w:highlight w:val="none"/>
        </w:rPr>
      </w:pPr>
      <w:r>
        <w:rPr>
          <w:rFonts w:ascii="宋体" w:hAnsi="宋体"/>
          <w:color w:val="auto"/>
          <w:sz w:val="24"/>
          <w:szCs w:val="24"/>
          <w:highlight w:val="none"/>
        </w:rPr>
        <w:t>4、消防设计应主动配合甲方与当地消防部门沟通，配合甲方进行性能化设计，并根据消防部门意见合理进行消防设计。</w:t>
      </w:r>
    </w:p>
    <w:p w14:paraId="1F7EB694">
      <w:pPr>
        <w:spacing w:line="360" w:lineRule="auto"/>
        <w:ind w:firstLine="360" w:firstLineChars="150"/>
        <w:jc w:val="left"/>
        <w:rPr>
          <w:rFonts w:ascii="宋体" w:hAnsi="宋体"/>
          <w:color w:val="auto"/>
          <w:sz w:val="24"/>
          <w:szCs w:val="24"/>
          <w:highlight w:val="none"/>
        </w:rPr>
      </w:pPr>
      <w:r>
        <w:rPr>
          <w:rFonts w:ascii="宋体" w:hAnsi="宋体"/>
          <w:color w:val="auto"/>
          <w:sz w:val="24"/>
          <w:szCs w:val="24"/>
          <w:highlight w:val="none"/>
        </w:rPr>
        <w:t>5、其余按照《建筑设计防火规范》GB50016-2014（2018版）及国家、地方等相关规范进行设计及施工配合。</w:t>
      </w:r>
    </w:p>
    <w:p w14:paraId="1415407D">
      <w:pPr>
        <w:pStyle w:val="4"/>
        <w:spacing w:line="360" w:lineRule="auto"/>
        <w:rPr>
          <w:color w:val="auto"/>
          <w:highlight w:val="none"/>
        </w:rPr>
      </w:pPr>
      <w:r>
        <w:rPr>
          <w:color w:val="auto"/>
          <w:highlight w:val="none"/>
        </w:rPr>
        <w:t>（十）景观环境空间设计</w:t>
      </w:r>
    </w:p>
    <w:p w14:paraId="4A2C55BA">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景观环境设计应充分考虑周边现状不利因素，在地形地貌的基础上，结合项目的交通设计、场地设计，形成区域环境有特色。并根据绿色建筑建设的要求选择适宜当地气候和土壤条件的乡土植物，且采用包含乔木、灌木的复层绿化</w:t>
      </w:r>
      <w:r>
        <w:rPr>
          <w:rFonts w:hint="eastAsia" w:ascii="宋体" w:hAnsi="宋体"/>
          <w:color w:val="auto"/>
          <w:sz w:val="24"/>
          <w:szCs w:val="24"/>
          <w:highlight w:val="none"/>
        </w:rPr>
        <w:t>，</w:t>
      </w:r>
      <w:r>
        <w:rPr>
          <w:rFonts w:ascii="宋体" w:hAnsi="宋体"/>
          <w:color w:val="auto"/>
          <w:sz w:val="24"/>
          <w:szCs w:val="24"/>
          <w:highlight w:val="none"/>
        </w:rPr>
        <w:t>便于后期管养。</w:t>
      </w:r>
    </w:p>
    <w:p w14:paraId="310793AA">
      <w:pPr>
        <w:pStyle w:val="4"/>
        <w:spacing w:line="360" w:lineRule="auto"/>
        <w:rPr>
          <w:color w:val="auto"/>
          <w:highlight w:val="none"/>
        </w:rPr>
      </w:pPr>
      <w:r>
        <w:rPr>
          <w:rFonts w:hint="eastAsia"/>
          <w:color w:val="auto"/>
          <w:highlight w:val="none"/>
          <w:lang w:bidi="ar"/>
        </w:rPr>
        <w:t>（十一）泛光设计</w:t>
      </w:r>
    </w:p>
    <w:p w14:paraId="3DAD67C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设计应根据业主要求考虑泛光设计。设计应充分考虑地区城市风格定位，并符合广州市光控要求，充分考虑设计时所有的技术性问题，对土建施工图纸进行深化，并保证与幕墙的整体性能要求。泛光需凸显设计主题。</w:t>
      </w:r>
    </w:p>
    <w:p w14:paraId="713207D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1、泛光照明的所有材料必须满足建筑设计图纸上的建筑设计和使用功能要求；</w:t>
      </w:r>
    </w:p>
    <w:p w14:paraId="04043E5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2、综合考虑造价控制，泛光设计有利于节约材料、减低成本；</w:t>
      </w:r>
    </w:p>
    <w:p w14:paraId="75DE2A4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3、明装灯、灯带不得破坏幕墙的外视效果，以满足立面整体的美观要求；</w:t>
      </w:r>
    </w:p>
    <w:p w14:paraId="0AF5572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4、突出照射建筑立面，使得它与周围环境形成明暗对比，充分发挥周围环境的陪衬作用；</w:t>
      </w:r>
    </w:p>
    <w:p w14:paraId="32AF379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5、从几个不同的角度照射，以便产生显著的立体感，特别是产生光色的层次效果。</w:t>
      </w:r>
    </w:p>
    <w:p w14:paraId="5628C0B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6、应包括但不限于进行灯具选型、配电、控制系统等的设计。</w:t>
      </w:r>
    </w:p>
    <w:p w14:paraId="798C79F2">
      <w:pPr>
        <w:pStyle w:val="4"/>
        <w:spacing w:line="360" w:lineRule="auto"/>
        <w:rPr>
          <w:color w:val="auto"/>
          <w:highlight w:val="none"/>
        </w:rPr>
      </w:pPr>
      <w:r>
        <w:rPr>
          <w:color w:val="auto"/>
          <w:highlight w:val="none"/>
        </w:rPr>
        <w:t>（十</w:t>
      </w:r>
      <w:r>
        <w:rPr>
          <w:rFonts w:hint="eastAsia"/>
          <w:color w:val="auto"/>
          <w:highlight w:val="none"/>
        </w:rPr>
        <w:t>二</w:t>
      </w:r>
      <w:r>
        <w:rPr>
          <w:color w:val="auto"/>
          <w:highlight w:val="none"/>
        </w:rPr>
        <w:t>）幕墙工程设计</w:t>
      </w:r>
      <w:r>
        <w:rPr>
          <w:rFonts w:hint="eastAsia"/>
          <w:color w:val="auto"/>
          <w:highlight w:val="none"/>
        </w:rPr>
        <w:t>（如有）</w:t>
      </w:r>
    </w:p>
    <w:p w14:paraId="17FC2410">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幕墙设计应力求把握建筑外立面设计思想，满足建筑使用功能要求，符合国家、广州市有关幕墙设计规范与标准。采用技术成熟、经济、适用、耐久，并能在施工中顺利实现。</w:t>
      </w:r>
    </w:p>
    <w:p w14:paraId="62216D12">
      <w:pPr>
        <w:pStyle w:val="4"/>
        <w:spacing w:line="360" w:lineRule="auto"/>
        <w:rPr>
          <w:color w:val="auto"/>
          <w:highlight w:val="none"/>
        </w:rPr>
      </w:pPr>
      <w:r>
        <w:rPr>
          <w:rFonts w:hint="eastAsia"/>
          <w:color w:val="auto"/>
          <w:highlight w:val="none"/>
          <w:lang w:bidi="ar"/>
        </w:rPr>
        <w:t>（十三）室内装修设计</w:t>
      </w:r>
    </w:p>
    <w:p w14:paraId="3CBA27C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装修设计范围及面积采用预估值，以建设单位最终确定的装修范围为准。具体工作内容包括但不限于以下工作内容：</w:t>
      </w:r>
    </w:p>
    <w:p w14:paraId="4F3F5C59">
      <w:pPr>
        <w:numPr>
          <w:ilvl w:val="0"/>
          <w:numId w:val="4"/>
        </w:numPr>
        <w:snapToGrid w:val="0"/>
        <w:spacing w:line="360" w:lineRule="auto"/>
        <w:ind w:firstLine="480" w:firstLineChars="200"/>
        <w:jc w:val="left"/>
        <w:rPr>
          <w:color w:val="auto"/>
          <w:highlight w:val="none"/>
        </w:rPr>
      </w:pPr>
      <w:r>
        <w:rPr>
          <w:rFonts w:hint="eastAsia" w:ascii="宋体" w:hAnsi="宋体" w:cs="宋体"/>
          <w:color w:val="auto"/>
          <w:sz w:val="24"/>
          <w:highlight w:val="none"/>
          <w:lang w:bidi="ar"/>
        </w:rPr>
        <w:t>室内设计说明，表达设计构想及设计意向；</w:t>
      </w:r>
    </w:p>
    <w:p w14:paraId="01A8CBA8">
      <w:pPr>
        <w:snapToGrid w:val="0"/>
        <w:spacing w:line="360" w:lineRule="auto"/>
        <w:ind w:firstLine="480" w:firstLineChars="200"/>
        <w:jc w:val="left"/>
        <w:rPr>
          <w:color w:val="auto"/>
          <w:highlight w:val="none"/>
        </w:rPr>
      </w:pPr>
      <w:r>
        <w:rPr>
          <w:rFonts w:hint="eastAsia" w:ascii="宋体" w:hAnsi="宋体" w:cs="宋体"/>
          <w:color w:val="auto"/>
          <w:sz w:val="24"/>
          <w:highlight w:val="none"/>
          <w:lang w:bidi="ar"/>
        </w:rPr>
        <w:t>2、装修方案设计；</w:t>
      </w:r>
    </w:p>
    <w:p w14:paraId="538BEE1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3、铺地平面图、天花平面图、重点位置立面图、剖面图以及室内空间效果图等；</w:t>
      </w:r>
    </w:p>
    <w:p w14:paraId="2C96322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4、提供材料样板以及工程预算概算表；</w:t>
      </w:r>
    </w:p>
    <w:p w14:paraId="66D866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5、灯具选型、五金洁具、水电平排表；</w:t>
      </w:r>
    </w:p>
    <w:p w14:paraId="3915AE9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6、二次装饰设计应与初步设计、施工图深化设计同步推进，避免消防机电设计、包括喷淋、烟感、消防栓等与一次消防位置不一致的调整及拆改；</w:t>
      </w:r>
    </w:p>
    <w:p w14:paraId="35EC71C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7、施工期间需对现场进行效果把控，施工前期每周两次到现场进行设计协调会议，施工后期即完工前一个月每周一次到现场进行设计协调会议，材料定板，对设计错漏碰缺补充变更图纸以及图纸更新管理；</w:t>
      </w:r>
    </w:p>
    <w:p w14:paraId="7C54C2A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8、业主进行软装采购及摆置时，设计方需派相关专业人员随同采购、协助摆置工作；</w:t>
      </w:r>
    </w:p>
    <w:p w14:paraId="57C2099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9、施工完成后，协助提供以下资料：最终版全套施工图（含材料清单、样板照片、洁具、五金、工程灯清单）电子版；全套报消防图纸及后期配合消防报建的手续；</w:t>
      </w:r>
    </w:p>
    <w:p w14:paraId="7B54E77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10、应进行配套二次机电设计，包括但不限于电气、暖通、智能化、给排水等专业设计。</w:t>
      </w:r>
    </w:p>
    <w:p w14:paraId="072086CF">
      <w:pPr>
        <w:pStyle w:val="4"/>
        <w:spacing w:line="360" w:lineRule="auto"/>
        <w:rPr>
          <w:color w:val="auto"/>
          <w:highlight w:val="none"/>
        </w:rPr>
      </w:pPr>
      <w:r>
        <w:rPr>
          <w:color w:val="auto"/>
          <w:highlight w:val="none"/>
        </w:rPr>
        <w:t>（十</w:t>
      </w:r>
      <w:r>
        <w:rPr>
          <w:rFonts w:hint="eastAsia"/>
          <w:color w:val="auto"/>
          <w:highlight w:val="none"/>
        </w:rPr>
        <w:t>四</w:t>
      </w:r>
      <w:r>
        <w:rPr>
          <w:color w:val="auto"/>
          <w:highlight w:val="none"/>
        </w:rPr>
        <w:t>）人防工程设计</w:t>
      </w:r>
    </w:p>
    <w:p w14:paraId="0687A210">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配合通过人防设计审查，以及现场技术服务直至人防工程竣工验收。主要内容包括，人防建筑工程、结构设计；通风、给排水、供电、消防等专业设计；平战功能转换设计，并编制相应的工程概算。</w:t>
      </w:r>
    </w:p>
    <w:p w14:paraId="39512227">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1、人防建筑设计应与结构、暖通、水、电专业设计协调统一，避免各专业图纸不一致的地方；</w:t>
      </w:r>
    </w:p>
    <w:p w14:paraId="53EEE737">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2、各管线走向及相应预埋套管位置不能相互干涉、影响、应避开人防门开启范围和封堵框及封堵梁板区域等；</w:t>
      </w:r>
    </w:p>
    <w:p w14:paraId="08635525">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3、人防工程各专业图纸需在设计说明及图纸中明确“施工内容”以利于指导现场施工；</w:t>
      </w:r>
    </w:p>
    <w:p w14:paraId="5D508CBC">
      <w:pPr>
        <w:pStyle w:val="4"/>
        <w:spacing w:line="360" w:lineRule="auto"/>
        <w:rPr>
          <w:color w:val="auto"/>
          <w:highlight w:val="none"/>
        </w:rPr>
      </w:pPr>
      <w:r>
        <w:rPr>
          <w:color w:val="auto"/>
          <w:highlight w:val="none"/>
        </w:rPr>
        <w:t>（十</w:t>
      </w:r>
      <w:r>
        <w:rPr>
          <w:rFonts w:hint="eastAsia"/>
          <w:color w:val="auto"/>
          <w:highlight w:val="none"/>
        </w:rPr>
        <w:t>五</w:t>
      </w:r>
      <w:r>
        <w:rPr>
          <w:color w:val="auto"/>
          <w:highlight w:val="none"/>
        </w:rPr>
        <w:t>）其他专业设计及配合</w:t>
      </w:r>
    </w:p>
    <w:p w14:paraId="436FF8AB">
      <w:pPr>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1、按照相关规范要求执行。</w:t>
      </w:r>
    </w:p>
    <w:p w14:paraId="2B66FFDC">
      <w:pPr>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2、应根据建筑等功能要求对电梯参数、规格及配置、土建尺寸、交通流量分析等配套设计。</w:t>
      </w:r>
    </w:p>
    <w:p w14:paraId="7994F27D">
      <w:pPr>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eastAsia="zh" w:bidi="ar"/>
        </w:rPr>
        <w:t>3</w:t>
      </w:r>
      <w:r>
        <w:rPr>
          <w:rFonts w:hint="eastAsia" w:ascii="宋体" w:hAnsi="宋体" w:cs="宋体"/>
          <w:color w:val="auto"/>
          <w:sz w:val="24"/>
          <w:highlight w:val="none"/>
          <w:lang w:bidi="ar"/>
        </w:rPr>
        <w:t>、出具各专业技术规格书，包括但不限于暖通、给排水、电气、智能化等专业。</w:t>
      </w:r>
    </w:p>
    <w:p w14:paraId="557CD7EC">
      <w:pPr>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eastAsia="zh" w:bidi="ar"/>
        </w:rPr>
        <w:t>4</w:t>
      </w:r>
      <w:r>
        <w:rPr>
          <w:rFonts w:hint="eastAsia" w:ascii="宋体" w:hAnsi="宋体" w:cs="宋体"/>
          <w:color w:val="auto"/>
          <w:sz w:val="24"/>
          <w:highlight w:val="none"/>
          <w:lang w:bidi="ar"/>
        </w:rPr>
        <w:t>、审核各专业、管线综合施工深化图及设备材料；出具专业设计意见指导施工。</w:t>
      </w:r>
    </w:p>
    <w:p w14:paraId="66EFB76F">
      <w:pPr>
        <w:pStyle w:val="2"/>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eastAsia="zh" w:bidi="ar"/>
        </w:rPr>
        <w:t>5</w:t>
      </w:r>
      <w:r>
        <w:rPr>
          <w:rFonts w:hint="eastAsia" w:ascii="宋体" w:hAnsi="宋体" w:cs="宋体"/>
          <w:color w:val="auto"/>
          <w:kern w:val="0"/>
          <w:sz w:val="24"/>
          <w:highlight w:val="none"/>
          <w:lang w:bidi="ar"/>
        </w:rPr>
        <w:t>、铝合金门窗二次深化设计，范围包括铝合金门、铝合金门联窗、铝合金窗、铝合金百叶四个部分。设计内容包括：设计说明、立面图、大样图、节点图、型材截面图等、相应计算书。</w:t>
      </w:r>
    </w:p>
    <w:p w14:paraId="7722C042">
      <w:pPr>
        <w:pStyle w:val="2"/>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 其他如钢结构、电梯、抗震支架、泛光、光伏发电等深化设计，需要提交厂家资质和营业执照、具有开料深度的深化施工图，提交参建单位审查并盖章，深化设计不得超越概算造价。</w:t>
      </w:r>
    </w:p>
    <w:p w14:paraId="0A7CCFFC">
      <w:pPr>
        <w:pStyle w:val="2"/>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eastAsia="zh" w:bidi="ar"/>
        </w:rPr>
        <w:t>6</w:t>
      </w:r>
      <w:r>
        <w:rPr>
          <w:rFonts w:hint="eastAsia" w:ascii="宋体" w:hAnsi="宋体" w:cs="宋体"/>
          <w:color w:val="auto"/>
          <w:kern w:val="0"/>
          <w:sz w:val="24"/>
          <w:highlight w:val="none"/>
          <w:lang w:bidi="ar"/>
        </w:rPr>
        <w:t>、在验收前，如有建设验收部门要求的新增内容，设计单位必须无条件配合出变更图满足验收要求。</w:t>
      </w:r>
    </w:p>
    <w:p w14:paraId="5148718B">
      <w:pPr>
        <w:pStyle w:val="2"/>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eastAsia="zh" w:bidi="ar"/>
        </w:rPr>
        <w:t>7</w:t>
      </w:r>
      <w:r>
        <w:rPr>
          <w:rFonts w:hint="eastAsia" w:ascii="宋体" w:hAnsi="宋体" w:cs="宋体"/>
          <w:color w:val="auto"/>
          <w:kern w:val="0"/>
          <w:sz w:val="24"/>
          <w:highlight w:val="none"/>
          <w:lang w:bidi="ar"/>
        </w:rPr>
        <w:t>、永久用电、永久用水、燃气设计报审必须由相关主管单位承认的设计资质分包设计单位提交报审和施工图设计。</w:t>
      </w:r>
    </w:p>
    <w:p w14:paraId="4355968F">
      <w:pPr>
        <w:pStyle w:val="2"/>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eastAsia="zh" w:bidi="ar"/>
        </w:rPr>
        <w:t>8</w:t>
      </w:r>
      <w:r>
        <w:rPr>
          <w:rFonts w:hint="eastAsia" w:ascii="宋体" w:hAnsi="宋体" w:cs="宋体"/>
          <w:color w:val="auto"/>
          <w:kern w:val="0"/>
          <w:sz w:val="24"/>
          <w:highlight w:val="none"/>
          <w:lang w:bidi="ar"/>
        </w:rPr>
        <w:t>、雨污排放检查口必须按照排水条件咨询等相关文件指定的位置进行设置。</w:t>
      </w:r>
    </w:p>
    <w:p w14:paraId="562123B6">
      <w:pPr>
        <w:pStyle w:val="2"/>
        <w:spacing w:line="360" w:lineRule="auto"/>
        <w:rPr>
          <w:rFonts w:ascii="宋体" w:hAnsi="宋体" w:cs="宋体"/>
          <w:color w:val="auto"/>
          <w:kern w:val="0"/>
          <w:sz w:val="24"/>
          <w:highlight w:val="none"/>
          <w:lang w:bidi="ar"/>
        </w:rPr>
      </w:pPr>
      <w:r>
        <w:rPr>
          <w:rFonts w:hint="eastAsia" w:ascii="宋体" w:hAnsi="宋体" w:cs="宋体"/>
          <w:color w:val="auto"/>
          <w:kern w:val="0"/>
          <w:sz w:val="24"/>
          <w:highlight w:val="none"/>
          <w:lang w:eastAsia="zh" w:bidi="ar"/>
        </w:rPr>
        <w:t>9</w:t>
      </w:r>
      <w:r>
        <w:rPr>
          <w:rFonts w:hint="eastAsia" w:ascii="宋体" w:hAnsi="宋体" w:cs="宋体"/>
          <w:color w:val="auto"/>
          <w:kern w:val="0"/>
          <w:sz w:val="24"/>
          <w:highlight w:val="none"/>
          <w:lang w:bidi="ar"/>
        </w:rPr>
        <w:t>、如涉及管道保护范围，需考虑相应保护设计，满足规范标准的要求。</w:t>
      </w:r>
    </w:p>
    <w:p w14:paraId="100A7497">
      <w:pPr>
        <w:pStyle w:val="4"/>
        <w:spacing w:line="360" w:lineRule="auto"/>
        <w:rPr>
          <w:color w:val="auto"/>
          <w:highlight w:val="none"/>
        </w:rPr>
      </w:pPr>
      <w:r>
        <w:rPr>
          <w:color w:val="auto"/>
          <w:highlight w:val="none"/>
        </w:rPr>
        <w:t>（十</w:t>
      </w:r>
      <w:r>
        <w:rPr>
          <w:rFonts w:hint="eastAsia"/>
          <w:color w:val="auto"/>
          <w:highlight w:val="none"/>
        </w:rPr>
        <w:t>六</w:t>
      </w:r>
      <w:r>
        <w:rPr>
          <w:color w:val="auto"/>
          <w:highlight w:val="none"/>
        </w:rPr>
        <w:t>）基坑支护设计要求</w:t>
      </w:r>
    </w:p>
    <w:p w14:paraId="110BBFE8">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基坑支护设计应在确保基坑支护安全的条件下，做到经济合理、节约工期。中标单位应结合工期因素的考虑，完成不少于2个带成本测算的基坑支护方案比选，尽快形成稳定的方案，完成设计与评审工作，提供建设单位用于基坑支护工程施工</w:t>
      </w:r>
      <w:r>
        <w:rPr>
          <w:rFonts w:ascii="宋体" w:hAnsi="宋体"/>
          <w:color w:val="auto"/>
          <w:sz w:val="24"/>
          <w:szCs w:val="24"/>
          <w:highlight w:val="none"/>
        </w:rPr>
        <w:t>。</w:t>
      </w:r>
    </w:p>
    <w:p w14:paraId="0712C7D5">
      <w:pPr>
        <w:spacing w:line="360" w:lineRule="auto"/>
        <w:ind w:firstLine="480" w:firstLineChars="200"/>
        <w:jc w:val="left"/>
        <w:rPr>
          <w:rFonts w:ascii="宋体" w:hAnsi="宋体" w:cs="宋体"/>
          <w:color w:val="auto"/>
          <w:sz w:val="24"/>
          <w:highlight w:val="none"/>
          <w:lang w:bidi="ar"/>
        </w:rPr>
      </w:pPr>
      <w:r>
        <w:rPr>
          <w:rFonts w:ascii="宋体" w:hAnsi="宋体"/>
          <w:color w:val="auto"/>
          <w:sz w:val="24"/>
          <w:szCs w:val="24"/>
          <w:highlight w:val="none"/>
        </w:rPr>
        <w:t>2、应结合工期因素的考虑，尽快完成稳定的基坑支护方案，完成设计与评审工作，</w:t>
      </w:r>
      <w:r>
        <w:rPr>
          <w:rFonts w:hint="eastAsia" w:ascii="宋体" w:hAnsi="宋体" w:cs="宋体"/>
          <w:color w:val="auto"/>
          <w:sz w:val="24"/>
          <w:highlight w:val="none"/>
          <w:lang w:bidi="ar"/>
        </w:rPr>
        <w:t>提供建设单位用于基坑支护工程施工。</w:t>
      </w:r>
    </w:p>
    <w:p w14:paraId="7C636E6F">
      <w:pPr>
        <w:pStyle w:val="4"/>
        <w:spacing w:line="360" w:lineRule="auto"/>
        <w:rPr>
          <w:color w:val="auto"/>
          <w:highlight w:val="none"/>
        </w:rPr>
      </w:pPr>
      <w:r>
        <w:rPr>
          <w:color w:val="auto"/>
          <w:highlight w:val="none"/>
        </w:rPr>
        <w:t>（十</w:t>
      </w:r>
      <w:r>
        <w:rPr>
          <w:rFonts w:hint="eastAsia"/>
          <w:color w:val="auto"/>
          <w:highlight w:val="none"/>
        </w:rPr>
        <w:t>七</w:t>
      </w:r>
      <w:r>
        <w:rPr>
          <w:color w:val="auto"/>
          <w:highlight w:val="none"/>
        </w:rPr>
        <w:t>）</w:t>
      </w:r>
      <w:r>
        <w:rPr>
          <w:rFonts w:hint="eastAsia"/>
          <w:color w:val="auto"/>
          <w:highlight w:val="none"/>
        </w:rPr>
        <w:t>代征市政道路</w:t>
      </w:r>
      <w:r>
        <w:rPr>
          <w:color w:val="auto"/>
          <w:highlight w:val="none"/>
        </w:rPr>
        <w:t>设计要求</w:t>
      </w:r>
      <w:r>
        <w:rPr>
          <w:rFonts w:hint="eastAsia"/>
          <w:color w:val="auto"/>
          <w:highlight w:val="none"/>
        </w:rPr>
        <w:t>（如有）</w:t>
      </w:r>
    </w:p>
    <w:p w14:paraId="2C6D9C2E">
      <w:pPr>
        <w:pStyle w:val="2"/>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按照城市市政道路设计标准完成市政道路设计与相关评审工作，并编制相应工程概算</w:t>
      </w:r>
      <w:r>
        <w:rPr>
          <w:rFonts w:ascii="宋体" w:hAnsi="宋体"/>
          <w:color w:val="auto"/>
          <w:kern w:val="0"/>
          <w:sz w:val="24"/>
          <w:szCs w:val="24"/>
          <w:highlight w:val="none"/>
        </w:rPr>
        <w:t>。</w:t>
      </w:r>
    </w:p>
    <w:p w14:paraId="56914673">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（1）包括红线内设计以及红线外道路衔接设计方案，须经住建交通相关部门认可。</w:t>
      </w:r>
    </w:p>
    <w:p w14:paraId="114F5A77">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（2）负责临时施工便道与项目的衔接设计。</w:t>
      </w:r>
    </w:p>
    <w:p w14:paraId="7D147D97">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（3）路线线位基本按照规划线位布设，局部路段根据规范优化线性，道路红线不超规划红线宽度。 </w:t>
      </w:r>
    </w:p>
    <w:p w14:paraId="17F1C0D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（4）人行道采用侧石、平石、压条、树穴压条尺寸大样均采用广州市相关规定。</w:t>
      </w:r>
    </w:p>
    <w:p w14:paraId="3DFC8AD0">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（5）根据国家及广州市相关设计规范及标准进行道路工程、交通工程、绿化工程、照明工程、电气工程、给排水工程、燃气工程、通信工程等设计。</w:t>
      </w:r>
    </w:p>
    <w:p w14:paraId="00C972A1">
      <w:pPr>
        <w:pStyle w:val="4"/>
        <w:spacing w:line="360" w:lineRule="auto"/>
        <w:rPr>
          <w:color w:val="auto"/>
          <w:highlight w:val="none"/>
        </w:rPr>
      </w:pPr>
      <w:r>
        <w:rPr>
          <w:color w:val="auto"/>
          <w:highlight w:val="none"/>
        </w:rPr>
        <w:t>（十</w:t>
      </w:r>
      <w:r>
        <w:rPr>
          <w:rFonts w:hint="eastAsia"/>
          <w:color w:val="auto"/>
          <w:highlight w:val="none"/>
        </w:rPr>
        <w:t>八</w:t>
      </w:r>
      <w:r>
        <w:rPr>
          <w:color w:val="auto"/>
          <w:highlight w:val="none"/>
        </w:rPr>
        <w:t>）</w:t>
      </w:r>
      <w:r>
        <w:rPr>
          <w:rFonts w:hint="eastAsia"/>
          <w:color w:val="auto"/>
          <w:highlight w:val="none"/>
        </w:rPr>
        <w:t>代征绿地</w:t>
      </w:r>
      <w:r>
        <w:rPr>
          <w:color w:val="auto"/>
          <w:highlight w:val="none"/>
        </w:rPr>
        <w:t>设计要求</w:t>
      </w:r>
    </w:p>
    <w:p w14:paraId="03AD4241">
      <w:pPr>
        <w:pStyle w:val="2"/>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公园绿地需合理布置广场、草坪等不同类型的景观要素，打造趣味空间，工程方案需满足《公园设计规范》及海绵城市建设的相关要求，通过相关评审工作并编制相应工程概算</w:t>
      </w:r>
      <w:r>
        <w:rPr>
          <w:rFonts w:ascii="宋体" w:hAnsi="宋体"/>
          <w:color w:val="auto"/>
          <w:kern w:val="0"/>
          <w:sz w:val="24"/>
          <w:szCs w:val="24"/>
          <w:highlight w:val="none"/>
        </w:rPr>
        <w:t>。</w:t>
      </w:r>
    </w:p>
    <w:p w14:paraId="077AED37">
      <w:pPr>
        <w:pStyle w:val="4"/>
        <w:spacing w:line="360" w:lineRule="auto"/>
        <w:rPr>
          <w:color w:val="auto"/>
          <w:highlight w:val="none"/>
        </w:rPr>
      </w:pPr>
      <w:r>
        <w:rPr>
          <w:color w:val="auto"/>
          <w:highlight w:val="none"/>
        </w:rPr>
        <w:t>（十</w:t>
      </w:r>
      <w:r>
        <w:rPr>
          <w:rFonts w:hint="eastAsia"/>
          <w:color w:val="auto"/>
          <w:highlight w:val="none"/>
        </w:rPr>
        <w:t>九</w:t>
      </w:r>
      <w:r>
        <w:rPr>
          <w:color w:val="auto"/>
          <w:highlight w:val="none"/>
        </w:rPr>
        <w:t>）限额设计要求</w:t>
      </w:r>
    </w:p>
    <w:p w14:paraId="76EF3FEE">
      <w:pPr>
        <w:pStyle w:val="16"/>
        <w:spacing w:line="360" w:lineRule="auto"/>
        <w:ind w:firstLine="480" w:firstLineChars="200"/>
        <w:rPr>
          <w:rFonts w:cs="Calibri"/>
          <w:color w:val="auto"/>
          <w:sz w:val="24"/>
          <w:szCs w:val="24"/>
          <w:highlight w:val="none"/>
          <w:lang w:val="en-US"/>
        </w:rPr>
      </w:pPr>
      <w:r>
        <w:rPr>
          <w:rFonts w:cs="Calibri"/>
          <w:color w:val="auto"/>
          <w:sz w:val="24"/>
          <w:szCs w:val="24"/>
          <w:highlight w:val="none"/>
          <w:lang w:val="en-US"/>
        </w:rPr>
        <w:t>1</w:t>
      </w:r>
      <w:r>
        <w:rPr>
          <w:rFonts w:hint="eastAsia" w:cs="Calibri"/>
          <w:color w:val="auto"/>
          <w:sz w:val="24"/>
          <w:szCs w:val="24"/>
          <w:highlight w:val="none"/>
          <w:lang w:val="en-US"/>
        </w:rPr>
        <w:t>、本工程项目投资必须按照业主单位及相关行政主管部门要求的投资限额要求严格控制。发包人据此制定投资分解目标，总投资限额设计控制。在保证设计质量的前提下，承包人应按投资限额进行设计，严格控制施工图设计的变更，确保工程概、预算不突破限额目标。</w:t>
      </w:r>
    </w:p>
    <w:p w14:paraId="394BCA2E">
      <w:pPr>
        <w:pStyle w:val="16"/>
        <w:spacing w:line="360" w:lineRule="auto"/>
        <w:ind w:firstLine="480" w:firstLineChars="200"/>
        <w:rPr>
          <w:rFonts w:cs="Calibri"/>
          <w:color w:val="auto"/>
          <w:sz w:val="24"/>
          <w:szCs w:val="24"/>
          <w:highlight w:val="none"/>
          <w:lang w:val="en-US"/>
        </w:rPr>
      </w:pPr>
      <w:r>
        <w:rPr>
          <w:rFonts w:cs="Calibri"/>
          <w:color w:val="auto"/>
          <w:sz w:val="24"/>
          <w:szCs w:val="24"/>
          <w:highlight w:val="none"/>
          <w:lang w:val="en-US"/>
        </w:rPr>
        <w:t>2</w:t>
      </w:r>
      <w:r>
        <w:rPr>
          <w:rFonts w:hint="eastAsia" w:cs="Calibri"/>
          <w:color w:val="auto"/>
          <w:sz w:val="24"/>
          <w:szCs w:val="24"/>
          <w:highlight w:val="none"/>
          <w:lang w:val="en-US"/>
        </w:rPr>
        <w:t>、承包人应遵循功能适用、标准合理、经济合理的原则开展设计，在投 资限额目标的基础上结合项目设计内容进一步分解投资，明确投资控制主要目标，在编制设计概、预算时逐步细化落实。</w:t>
      </w:r>
    </w:p>
    <w:p w14:paraId="00A40802">
      <w:pPr>
        <w:pStyle w:val="16"/>
        <w:spacing w:line="360" w:lineRule="auto"/>
        <w:ind w:firstLine="480" w:firstLineChars="200"/>
        <w:rPr>
          <w:rFonts w:cs="Calibri"/>
          <w:color w:val="auto"/>
          <w:sz w:val="24"/>
          <w:szCs w:val="24"/>
          <w:highlight w:val="none"/>
          <w:lang w:val="en-US"/>
        </w:rPr>
      </w:pPr>
      <w:r>
        <w:rPr>
          <w:rFonts w:cs="Calibri"/>
          <w:color w:val="auto"/>
          <w:sz w:val="24"/>
          <w:szCs w:val="24"/>
          <w:highlight w:val="none"/>
          <w:lang w:val="en-US"/>
        </w:rPr>
        <w:t>3</w:t>
      </w:r>
      <w:r>
        <w:rPr>
          <w:rFonts w:hint="eastAsia" w:cs="Calibri"/>
          <w:color w:val="auto"/>
          <w:sz w:val="24"/>
          <w:szCs w:val="24"/>
          <w:highlight w:val="none"/>
          <w:lang w:val="en-US"/>
        </w:rPr>
        <w:t>、承包人应在设计进展过程中及阶段设计完成时，及时对已经完成的图纸内容进行估价，并与限额设计指标进行比较，使设计满足限额设计指标的要求。</w:t>
      </w:r>
    </w:p>
    <w:p w14:paraId="75E07580">
      <w:pPr>
        <w:pStyle w:val="16"/>
        <w:spacing w:line="360" w:lineRule="auto"/>
        <w:ind w:firstLine="480" w:firstLineChars="200"/>
        <w:rPr>
          <w:rFonts w:cs="Calibri"/>
          <w:color w:val="auto"/>
          <w:sz w:val="24"/>
          <w:szCs w:val="24"/>
          <w:highlight w:val="none"/>
          <w:lang w:val="en-US"/>
        </w:rPr>
      </w:pPr>
      <w:r>
        <w:rPr>
          <w:rFonts w:hint="eastAsia" w:cs="Calibri"/>
          <w:color w:val="auto"/>
          <w:sz w:val="24"/>
          <w:szCs w:val="24"/>
          <w:highlight w:val="none"/>
          <w:lang w:val="en-US"/>
        </w:rPr>
        <w:t>4</w:t>
      </w:r>
      <w:r>
        <w:rPr>
          <w:rFonts w:cs="Calibri"/>
          <w:color w:val="auto"/>
          <w:sz w:val="24"/>
          <w:szCs w:val="24"/>
          <w:highlight w:val="none"/>
          <w:lang w:val="en-US"/>
        </w:rPr>
        <w:t>、设计预算超过限额，应配合业主单位要求无偿重新调整或修改设计直至满足限额要求，并接受建设单位处罚。</w:t>
      </w:r>
    </w:p>
    <w:p w14:paraId="6422F5EF">
      <w:pPr>
        <w:pStyle w:val="4"/>
        <w:spacing w:line="360" w:lineRule="auto"/>
        <w:rPr>
          <w:color w:val="auto"/>
          <w:highlight w:val="none"/>
        </w:rPr>
      </w:pPr>
      <w:r>
        <w:rPr>
          <w:rFonts w:hint="eastAsia"/>
          <w:color w:val="auto"/>
          <w:highlight w:val="none"/>
        </w:rPr>
        <w:t>（二十）新城建设计要求</w:t>
      </w:r>
    </w:p>
    <w:p w14:paraId="21E6C1B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结合白云区新城建“6+1”工作要求，包括CIM《城市信息模型（CIM）基础平台技术导则》、智慧</w:t>
      </w:r>
      <w:r>
        <w:rPr>
          <w:rFonts w:hint="eastAsia" w:ascii="宋体" w:hAnsi="宋体"/>
          <w:color w:val="auto"/>
          <w:sz w:val="24"/>
          <w:szCs w:val="24"/>
          <w:highlight w:val="none"/>
          <w:lang w:eastAsia="zh"/>
        </w:rPr>
        <w:t>工地</w:t>
      </w:r>
      <w:r>
        <w:rPr>
          <w:rFonts w:hint="eastAsia" w:ascii="宋体" w:hAnsi="宋体"/>
          <w:color w:val="auto"/>
          <w:sz w:val="24"/>
          <w:szCs w:val="24"/>
          <w:highlight w:val="none"/>
        </w:rPr>
        <w:t>、智慧</w:t>
      </w:r>
      <w:r>
        <w:rPr>
          <w:rFonts w:hint="eastAsia" w:ascii="宋体" w:hAnsi="宋体"/>
          <w:color w:val="auto"/>
          <w:sz w:val="24"/>
          <w:szCs w:val="24"/>
          <w:highlight w:val="none"/>
          <w:lang w:eastAsia="zh"/>
        </w:rPr>
        <w:t>消防</w:t>
      </w:r>
      <w:r>
        <w:rPr>
          <w:rFonts w:hint="eastAsia" w:ascii="宋体" w:hAnsi="宋体"/>
          <w:color w:val="auto"/>
          <w:sz w:val="24"/>
          <w:szCs w:val="24"/>
          <w:highlight w:val="none"/>
        </w:rPr>
        <w:t>、智能</w:t>
      </w:r>
      <w:r>
        <w:rPr>
          <w:rFonts w:hint="eastAsia" w:ascii="宋体" w:hAnsi="宋体"/>
          <w:color w:val="auto"/>
          <w:sz w:val="24"/>
          <w:szCs w:val="24"/>
          <w:highlight w:val="none"/>
          <w:lang w:eastAsia="zh"/>
        </w:rPr>
        <w:t>卫生管理系统</w:t>
      </w:r>
      <w:r>
        <w:rPr>
          <w:rFonts w:hint="eastAsia" w:ascii="宋体" w:hAnsi="宋体"/>
          <w:color w:val="auto"/>
          <w:sz w:val="24"/>
          <w:szCs w:val="24"/>
          <w:highlight w:val="none"/>
        </w:rPr>
        <w:t>、智慧</w:t>
      </w:r>
      <w:r>
        <w:rPr>
          <w:rFonts w:hint="eastAsia" w:ascii="宋体" w:hAnsi="宋体"/>
          <w:color w:val="auto"/>
          <w:sz w:val="24"/>
          <w:szCs w:val="24"/>
          <w:highlight w:val="none"/>
          <w:lang w:eastAsia="zh"/>
        </w:rPr>
        <w:t>医院</w:t>
      </w:r>
      <w:r>
        <w:rPr>
          <w:rFonts w:hint="eastAsia" w:ascii="宋体" w:hAnsi="宋体"/>
          <w:color w:val="auto"/>
          <w:sz w:val="24"/>
          <w:szCs w:val="24"/>
          <w:highlight w:val="none"/>
        </w:rPr>
        <w:t>、绿色低碳6个维度加建筑工业化与智能建造结合具体实施，核对新城建清单及标准，在设计方案中按实际需求落实新城建内容。</w:t>
      </w:r>
    </w:p>
    <w:p w14:paraId="0F1BE390">
      <w:pPr>
        <w:pStyle w:val="4"/>
        <w:spacing w:line="360" w:lineRule="auto"/>
        <w:rPr>
          <w:color w:val="auto"/>
          <w:highlight w:val="none"/>
        </w:rPr>
      </w:pPr>
      <w:r>
        <w:rPr>
          <w:rFonts w:hint="eastAsia"/>
          <w:color w:val="auto"/>
          <w:highlight w:val="none"/>
        </w:rPr>
        <w:t>（二十</w:t>
      </w:r>
      <w:r>
        <w:rPr>
          <w:rFonts w:hint="eastAsia"/>
          <w:color w:val="auto"/>
          <w:highlight w:val="none"/>
          <w:lang w:eastAsia="zh"/>
        </w:rPr>
        <w:t>一</w:t>
      </w:r>
      <w:r>
        <w:rPr>
          <w:rFonts w:hint="eastAsia"/>
          <w:color w:val="auto"/>
          <w:highlight w:val="none"/>
        </w:rPr>
        <w:t>）</w:t>
      </w:r>
      <w:r>
        <w:rPr>
          <w:color w:val="auto"/>
          <w:highlight w:val="none"/>
        </w:rPr>
        <w:t>医疗专项设计</w:t>
      </w:r>
    </w:p>
    <w:p w14:paraId="5539FF42">
      <w:pPr>
        <w:spacing w:line="360" w:lineRule="auto"/>
        <w:ind w:firstLine="480" w:firstLineChars="200"/>
        <w:jc w:val="left"/>
        <w:rPr>
          <w:rFonts w:ascii="宋体" w:hAnsi="宋体"/>
          <w:color w:val="auto"/>
          <w:sz w:val="24"/>
          <w:szCs w:val="24"/>
          <w:highlight w:val="none"/>
          <w:lang w:eastAsia="zh"/>
        </w:rPr>
      </w:pPr>
      <w:r>
        <w:rPr>
          <w:rFonts w:hint="eastAsia" w:ascii="宋体" w:hAnsi="宋体"/>
          <w:color w:val="auto"/>
          <w:sz w:val="24"/>
          <w:szCs w:val="24"/>
          <w:highlight w:val="none"/>
          <w:lang w:eastAsia="zh"/>
        </w:rPr>
        <w:t>1、医疗工艺设计</w:t>
      </w:r>
    </w:p>
    <w:p w14:paraId="6676031F">
      <w:pPr>
        <w:spacing w:line="360" w:lineRule="auto"/>
        <w:ind w:firstLine="480" w:firstLineChars="200"/>
        <w:jc w:val="left"/>
        <w:rPr>
          <w:color w:val="auto"/>
          <w:highlight w:val="none"/>
          <w:lang w:eastAsia="zh"/>
        </w:rPr>
      </w:pPr>
      <w:r>
        <w:rPr>
          <w:rFonts w:hint="eastAsia" w:ascii="宋体" w:hAnsi="宋体"/>
          <w:color w:val="auto"/>
          <w:sz w:val="24"/>
          <w:szCs w:val="24"/>
          <w:highlight w:val="none"/>
          <w:lang w:eastAsia="zh"/>
        </w:rPr>
        <w:t>2、</w:t>
      </w:r>
      <w:r>
        <w:rPr>
          <w:rFonts w:hint="eastAsia" w:ascii="宋体" w:hAnsi="宋体"/>
          <w:color w:val="auto"/>
          <w:sz w:val="24"/>
          <w:szCs w:val="24"/>
          <w:highlight w:val="none"/>
        </w:rPr>
        <w:t>净化工程设计</w:t>
      </w:r>
      <w:r>
        <w:rPr>
          <w:rFonts w:hint="eastAsia" w:ascii="宋体" w:hAnsi="宋体"/>
          <w:color w:val="auto"/>
          <w:sz w:val="24"/>
          <w:szCs w:val="24"/>
          <w:highlight w:val="none"/>
          <w:lang w:eastAsia="zh"/>
        </w:rPr>
        <w:t>：</w:t>
      </w:r>
      <w:r>
        <w:rPr>
          <w:rFonts w:ascii="宋体" w:hAnsi="宋体"/>
          <w:color w:val="auto"/>
          <w:sz w:val="24"/>
          <w:szCs w:val="24"/>
          <w:highlight w:val="none"/>
        </w:rPr>
        <w:t>净化装修</w:t>
      </w:r>
      <w:r>
        <w:rPr>
          <w:rFonts w:hint="eastAsia" w:ascii="宋体" w:hAnsi="宋体"/>
          <w:color w:val="auto"/>
          <w:sz w:val="24"/>
          <w:szCs w:val="24"/>
          <w:highlight w:val="none"/>
          <w:lang w:eastAsia="zh"/>
        </w:rPr>
        <w:t>设计、</w:t>
      </w:r>
      <w:r>
        <w:rPr>
          <w:rFonts w:ascii="宋体" w:hAnsi="宋体"/>
          <w:color w:val="auto"/>
          <w:sz w:val="24"/>
          <w:szCs w:val="24"/>
          <w:highlight w:val="none"/>
        </w:rPr>
        <w:t>净化</w:t>
      </w:r>
      <w:r>
        <w:rPr>
          <w:rFonts w:hint="eastAsia" w:ascii="宋体" w:hAnsi="宋体"/>
          <w:color w:val="auto"/>
          <w:sz w:val="24"/>
          <w:szCs w:val="24"/>
          <w:highlight w:val="none"/>
          <w:lang w:eastAsia="zh"/>
        </w:rPr>
        <w:t>通风</w:t>
      </w:r>
      <w:r>
        <w:rPr>
          <w:rFonts w:ascii="宋体" w:hAnsi="宋体"/>
          <w:color w:val="auto"/>
          <w:sz w:val="24"/>
          <w:szCs w:val="24"/>
          <w:highlight w:val="none"/>
        </w:rPr>
        <w:t>空调</w:t>
      </w:r>
      <w:r>
        <w:rPr>
          <w:rFonts w:hint="eastAsia" w:ascii="宋体" w:hAnsi="宋体"/>
          <w:color w:val="auto"/>
          <w:sz w:val="24"/>
          <w:szCs w:val="24"/>
          <w:highlight w:val="none"/>
          <w:lang w:eastAsia="zh"/>
        </w:rPr>
        <w:t>设计。</w:t>
      </w:r>
    </w:p>
    <w:p w14:paraId="37DB6217">
      <w:pPr>
        <w:spacing w:line="360" w:lineRule="auto"/>
        <w:ind w:firstLine="480" w:firstLineChars="200"/>
        <w:jc w:val="left"/>
        <w:rPr>
          <w:rFonts w:ascii="宋体" w:hAnsi="宋体"/>
          <w:color w:val="auto"/>
          <w:sz w:val="24"/>
          <w:szCs w:val="24"/>
          <w:highlight w:val="none"/>
          <w:lang w:eastAsia="zh"/>
        </w:rPr>
      </w:pPr>
      <w:r>
        <w:rPr>
          <w:rFonts w:hint="eastAsia" w:ascii="宋体" w:hAnsi="宋体"/>
          <w:color w:val="auto"/>
          <w:sz w:val="24"/>
          <w:szCs w:val="24"/>
          <w:highlight w:val="none"/>
          <w:lang w:eastAsia="zh"/>
        </w:rPr>
        <w:t>3、</w:t>
      </w:r>
      <w:r>
        <w:rPr>
          <w:rFonts w:hint="eastAsia" w:ascii="宋体" w:hAnsi="宋体"/>
          <w:color w:val="auto"/>
          <w:sz w:val="24"/>
          <w:szCs w:val="24"/>
          <w:highlight w:val="none"/>
        </w:rPr>
        <w:t>医用气体系统</w:t>
      </w:r>
      <w:r>
        <w:rPr>
          <w:rFonts w:hint="eastAsia" w:ascii="宋体" w:hAnsi="宋体"/>
          <w:color w:val="auto"/>
          <w:sz w:val="24"/>
          <w:szCs w:val="24"/>
          <w:highlight w:val="none"/>
          <w:lang w:eastAsia="zh"/>
        </w:rPr>
        <w:t>：</w:t>
      </w:r>
      <w:r>
        <w:rPr>
          <w:rFonts w:ascii="宋体" w:hAnsi="宋体"/>
          <w:color w:val="auto"/>
          <w:sz w:val="24"/>
          <w:szCs w:val="24"/>
          <w:highlight w:val="none"/>
        </w:rPr>
        <w:t>医用中心氧气供应系统</w:t>
      </w:r>
      <w:r>
        <w:rPr>
          <w:rFonts w:hint="eastAsia" w:ascii="宋体" w:hAnsi="宋体"/>
          <w:color w:val="auto"/>
          <w:sz w:val="24"/>
          <w:szCs w:val="24"/>
          <w:highlight w:val="none"/>
          <w:lang w:eastAsia="zh"/>
        </w:rPr>
        <w:t>、</w:t>
      </w:r>
      <w:r>
        <w:rPr>
          <w:rFonts w:ascii="宋体" w:hAnsi="宋体"/>
          <w:color w:val="auto"/>
          <w:sz w:val="24"/>
          <w:szCs w:val="24"/>
          <w:highlight w:val="none"/>
        </w:rPr>
        <w:t>医用负压吸引系统</w:t>
      </w:r>
      <w:r>
        <w:rPr>
          <w:rFonts w:hint="eastAsia" w:ascii="宋体" w:hAnsi="宋体"/>
          <w:color w:val="auto"/>
          <w:sz w:val="24"/>
          <w:szCs w:val="24"/>
          <w:highlight w:val="none"/>
          <w:lang w:eastAsia="zh"/>
        </w:rPr>
        <w:t>、</w:t>
      </w:r>
      <w:r>
        <w:rPr>
          <w:rFonts w:ascii="宋体" w:hAnsi="宋体"/>
          <w:color w:val="auto"/>
          <w:sz w:val="24"/>
          <w:szCs w:val="24"/>
          <w:highlight w:val="none"/>
        </w:rPr>
        <w:t>医用空气供应系统</w:t>
      </w:r>
      <w:r>
        <w:rPr>
          <w:rFonts w:hint="eastAsia" w:ascii="宋体" w:hAnsi="宋体"/>
          <w:color w:val="auto"/>
          <w:sz w:val="24"/>
          <w:szCs w:val="24"/>
          <w:highlight w:val="none"/>
          <w:lang w:eastAsia="zh"/>
        </w:rPr>
        <w:t>、</w:t>
      </w:r>
      <w:r>
        <w:rPr>
          <w:rFonts w:hint="eastAsia" w:ascii="宋体" w:hAnsi="宋体"/>
          <w:color w:val="auto"/>
          <w:sz w:val="24"/>
          <w:szCs w:val="24"/>
          <w:highlight w:val="none"/>
        </w:rPr>
        <w:t>医用氮气、医用氧化亚氮、医用二氧化碳等</w:t>
      </w:r>
      <w:r>
        <w:rPr>
          <w:rFonts w:hint="eastAsia" w:ascii="宋体" w:hAnsi="宋体"/>
          <w:color w:val="auto"/>
          <w:sz w:val="24"/>
          <w:szCs w:val="24"/>
          <w:highlight w:val="none"/>
          <w:lang w:eastAsia="zh"/>
        </w:rPr>
        <w:t>系统、</w:t>
      </w:r>
      <w:r>
        <w:rPr>
          <w:rFonts w:hint="eastAsia" w:ascii="宋体" w:hAnsi="宋体"/>
          <w:color w:val="auto"/>
          <w:sz w:val="24"/>
          <w:szCs w:val="24"/>
          <w:highlight w:val="none"/>
        </w:rPr>
        <w:t>气体监控管理系统</w:t>
      </w:r>
      <w:r>
        <w:rPr>
          <w:rFonts w:hint="eastAsia" w:ascii="宋体" w:hAnsi="宋体"/>
          <w:color w:val="auto"/>
          <w:sz w:val="24"/>
          <w:szCs w:val="24"/>
          <w:highlight w:val="none"/>
          <w:lang w:eastAsia="zh"/>
        </w:rPr>
        <w:t>。</w:t>
      </w:r>
    </w:p>
    <w:p w14:paraId="71ED43FC">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
        </w:rPr>
        <w:t>4、</w:t>
      </w:r>
      <w:r>
        <w:rPr>
          <w:rFonts w:ascii="宋体" w:hAnsi="宋体"/>
          <w:color w:val="auto"/>
          <w:sz w:val="24"/>
          <w:szCs w:val="24"/>
          <w:highlight w:val="none"/>
        </w:rPr>
        <w:t>物流传输系统</w:t>
      </w:r>
    </w:p>
    <w:p w14:paraId="04A2DF03">
      <w:pPr>
        <w:spacing w:line="360" w:lineRule="auto"/>
        <w:ind w:firstLine="480" w:firstLineChars="200"/>
        <w:jc w:val="left"/>
        <w:rPr>
          <w:rFonts w:ascii="宋体" w:hAnsi="宋体"/>
          <w:color w:val="auto"/>
          <w:sz w:val="24"/>
          <w:szCs w:val="24"/>
          <w:highlight w:val="none"/>
          <w:lang w:eastAsia="zh"/>
        </w:rPr>
      </w:pPr>
      <w:r>
        <w:rPr>
          <w:rFonts w:hint="eastAsia" w:ascii="宋体" w:hAnsi="宋体"/>
          <w:color w:val="auto"/>
          <w:sz w:val="24"/>
          <w:szCs w:val="24"/>
          <w:highlight w:val="none"/>
          <w:lang w:eastAsia="zh"/>
        </w:rPr>
        <w:t>5、</w:t>
      </w:r>
      <w:r>
        <w:rPr>
          <w:rFonts w:ascii="宋体" w:hAnsi="宋体"/>
          <w:color w:val="auto"/>
          <w:sz w:val="24"/>
          <w:szCs w:val="24"/>
          <w:highlight w:val="none"/>
        </w:rPr>
        <w:t>医用纯水系统</w:t>
      </w:r>
    </w:p>
    <w:p w14:paraId="270BA503">
      <w:pPr>
        <w:spacing w:line="360" w:lineRule="auto"/>
        <w:ind w:firstLine="480" w:firstLineChars="200"/>
        <w:jc w:val="left"/>
        <w:rPr>
          <w:rFonts w:ascii="宋体" w:hAnsi="宋体"/>
          <w:color w:val="auto"/>
          <w:sz w:val="24"/>
          <w:szCs w:val="24"/>
          <w:highlight w:val="none"/>
          <w:lang w:eastAsia="zh"/>
        </w:rPr>
      </w:pPr>
      <w:r>
        <w:rPr>
          <w:rFonts w:hint="eastAsia" w:ascii="宋体" w:hAnsi="宋体"/>
          <w:color w:val="auto"/>
          <w:sz w:val="24"/>
          <w:szCs w:val="24"/>
          <w:highlight w:val="none"/>
        </w:rPr>
        <w:t>拟</w:t>
      </w:r>
      <w:r>
        <w:rPr>
          <w:rFonts w:hint="eastAsia" w:ascii="宋体" w:hAnsi="宋体"/>
          <w:color w:val="auto"/>
          <w:sz w:val="24"/>
          <w:szCs w:val="24"/>
          <w:highlight w:val="none"/>
          <w:lang w:eastAsia="zh"/>
        </w:rPr>
        <w:t>为以下科室设计</w:t>
      </w:r>
      <w:r>
        <w:rPr>
          <w:rFonts w:hint="eastAsia" w:ascii="宋体" w:hAnsi="宋体"/>
          <w:color w:val="auto"/>
          <w:sz w:val="24"/>
          <w:szCs w:val="24"/>
          <w:highlight w:val="none"/>
        </w:rPr>
        <w:t>医用</w:t>
      </w:r>
      <w:r>
        <w:rPr>
          <w:rFonts w:hint="eastAsia" w:ascii="宋体" w:hAnsi="宋体"/>
          <w:color w:val="auto"/>
          <w:sz w:val="24"/>
          <w:szCs w:val="24"/>
          <w:highlight w:val="none"/>
          <w:lang w:eastAsia="zh"/>
        </w:rPr>
        <w:t>纯水</w:t>
      </w:r>
      <w:r>
        <w:rPr>
          <w:rFonts w:hint="eastAsia" w:ascii="宋体" w:hAnsi="宋体"/>
          <w:color w:val="auto"/>
          <w:sz w:val="24"/>
          <w:szCs w:val="24"/>
          <w:highlight w:val="none"/>
        </w:rPr>
        <w:t>用</w:t>
      </w:r>
      <w:r>
        <w:rPr>
          <w:rFonts w:hint="eastAsia" w:ascii="宋体" w:hAnsi="宋体"/>
          <w:color w:val="auto"/>
          <w:sz w:val="24"/>
          <w:szCs w:val="24"/>
          <w:highlight w:val="none"/>
          <w:lang w:eastAsia="zh"/>
        </w:rPr>
        <w:t>水系统，具体以实际建设为准。</w:t>
      </w:r>
    </w:p>
    <w:tbl>
      <w:tblPr>
        <w:tblStyle w:val="31"/>
        <w:tblW w:w="5000" w:type="pct"/>
        <w:jc w:val="center"/>
        <w:tblLayout w:type="autofit"/>
        <w:tblCellMar>
          <w:top w:w="0" w:type="dxa"/>
          <w:left w:w="0" w:type="dxa"/>
          <w:bottom w:w="0" w:type="dxa"/>
          <w:right w:w="0" w:type="dxa"/>
        </w:tblCellMar>
      </w:tblPr>
      <w:tblGrid>
        <w:gridCol w:w="1588"/>
        <w:gridCol w:w="3125"/>
        <w:gridCol w:w="4735"/>
      </w:tblGrid>
      <w:tr w14:paraId="334592B0">
        <w:tblPrEx>
          <w:tblCellMar>
            <w:top w:w="0" w:type="dxa"/>
            <w:left w:w="0" w:type="dxa"/>
            <w:bottom w:w="0" w:type="dxa"/>
            <w:right w:w="0" w:type="dxa"/>
          </w:tblCellMar>
        </w:tblPrEx>
        <w:trPr>
          <w:trHeight w:val="446" w:hRule="atLeast"/>
          <w:jc w:val="center"/>
        </w:trPr>
        <w:tc>
          <w:tcPr>
            <w:tcW w:w="840" w:type="pct"/>
            <w:tcBorders>
              <w:top w:val="single" w:color="000000" w:sz="8" w:space="0"/>
              <w:left w:val="single" w:color="000000" w:sz="8" w:space="0"/>
              <w:bottom w:val="single" w:color="000000" w:sz="8" w:space="0"/>
              <w:right w:val="single" w:color="000000" w:sz="8" w:space="0"/>
            </w:tcBorders>
            <w:shd w:val="clear" w:color="auto" w:fill="auto"/>
            <w:tcMar>
              <w:top w:w="15" w:type="dxa"/>
              <w:left w:w="75" w:type="dxa"/>
              <w:right w:w="75" w:type="dxa"/>
            </w:tcMar>
            <w:vAlign w:val="center"/>
          </w:tcPr>
          <w:p w14:paraId="5915C032">
            <w:pPr>
              <w:spacing w:line="360" w:lineRule="auto"/>
              <w:jc w:val="left"/>
              <w:rPr>
                <w:rFonts w:ascii="宋体" w:hAnsi="宋体"/>
                <w:color w:val="auto"/>
                <w:sz w:val="24"/>
                <w:szCs w:val="24"/>
                <w:highlight w:val="none"/>
                <w:lang w:eastAsia="zh"/>
              </w:rPr>
            </w:pPr>
            <w:r>
              <w:rPr>
                <w:rFonts w:ascii="宋体" w:hAnsi="宋体"/>
                <w:color w:val="auto"/>
                <w:sz w:val="24"/>
                <w:szCs w:val="24"/>
                <w:highlight w:val="none"/>
              </w:rPr>
              <w:t>用水类型</w:t>
            </w:r>
          </w:p>
        </w:tc>
        <w:tc>
          <w:tcPr>
            <w:tcW w:w="1653"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313BE4B9">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用水科室</w:t>
            </w:r>
          </w:p>
        </w:tc>
        <w:tc>
          <w:tcPr>
            <w:tcW w:w="2505"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22A2FD5B">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用水点设置说明</w:t>
            </w:r>
          </w:p>
        </w:tc>
      </w:tr>
      <w:tr w14:paraId="40429AAC">
        <w:tblPrEx>
          <w:tblCellMar>
            <w:top w:w="0" w:type="dxa"/>
            <w:left w:w="0" w:type="dxa"/>
            <w:bottom w:w="0" w:type="dxa"/>
            <w:right w:w="0" w:type="dxa"/>
          </w:tblCellMar>
        </w:tblPrEx>
        <w:trPr>
          <w:trHeight w:val="446" w:hRule="atLeast"/>
          <w:jc w:val="center"/>
        </w:trPr>
        <w:tc>
          <w:tcPr>
            <w:tcW w:w="840" w:type="pct"/>
            <w:tcBorders>
              <w:top w:val="single" w:color="000000" w:sz="8" w:space="0"/>
              <w:left w:val="single" w:color="000000" w:sz="8" w:space="0"/>
              <w:bottom w:val="single" w:color="000000" w:sz="8" w:space="0"/>
              <w:right w:val="single" w:color="000000" w:sz="8" w:space="0"/>
            </w:tcBorders>
            <w:shd w:val="clear" w:color="auto" w:fill="auto"/>
            <w:tcMar>
              <w:top w:w="15" w:type="dxa"/>
              <w:left w:w="75" w:type="dxa"/>
              <w:right w:w="75" w:type="dxa"/>
            </w:tcMar>
            <w:vAlign w:val="center"/>
          </w:tcPr>
          <w:p w14:paraId="4C0168E0">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血透用水</w:t>
            </w:r>
          </w:p>
        </w:tc>
        <w:tc>
          <w:tcPr>
            <w:tcW w:w="1653"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2EA38785">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血透中心</w:t>
            </w:r>
          </w:p>
        </w:tc>
        <w:tc>
          <w:tcPr>
            <w:tcW w:w="2505"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18CD15C1">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阴性血透、阳性血透、配液间</w:t>
            </w:r>
          </w:p>
        </w:tc>
      </w:tr>
      <w:tr w14:paraId="11F932ED">
        <w:tblPrEx>
          <w:tblCellMar>
            <w:top w:w="0" w:type="dxa"/>
            <w:left w:w="0" w:type="dxa"/>
            <w:bottom w:w="0" w:type="dxa"/>
            <w:right w:w="0" w:type="dxa"/>
          </w:tblCellMar>
        </w:tblPrEx>
        <w:trPr>
          <w:trHeight w:val="647" w:hRule="atLeast"/>
          <w:jc w:val="center"/>
        </w:trPr>
        <w:tc>
          <w:tcPr>
            <w:tcW w:w="840" w:type="pct"/>
            <w:vMerge w:val="restart"/>
            <w:tcBorders>
              <w:top w:val="nil"/>
              <w:left w:val="single" w:color="000000" w:sz="8" w:space="0"/>
              <w:bottom w:val="single" w:color="000000" w:sz="8" w:space="0"/>
              <w:right w:val="single" w:color="000000" w:sz="8" w:space="0"/>
            </w:tcBorders>
            <w:shd w:val="clear" w:color="auto" w:fill="auto"/>
            <w:tcMar>
              <w:top w:w="15" w:type="dxa"/>
              <w:left w:w="75" w:type="dxa"/>
              <w:right w:w="75" w:type="dxa"/>
            </w:tcMar>
            <w:vAlign w:val="center"/>
          </w:tcPr>
          <w:p w14:paraId="102CF552">
            <w:pPr>
              <w:spacing w:line="360" w:lineRule="auto"/>
              <w:jc w:val="left"/>
              <w:rPr>
                <w:rFonts w:ascii="宋体" w:hAnsi="宋体"/>
                <w:color w:val="auto"/>
                <w:sz w:val="24"/>
                <w:szCs w:val="24"/>
                <w:highlight w:val="none"/>
                <w:lang w:eastAsia="zh"/>
              </w:rPr>
            </w:pPr>
            <w:r>
              <w:rPr>
                <w:rFonts w:ascii="宋体" w:hAnsi="宋体"/>
                <w:color w:val="auto"/>
                <w:sz w:val="24"/>
                <w:szCs w:val="24"/>
                <w:highlight w:val="none"/>
              </w:rPr>
              <w:t>检验用水</w:t>
            </w:r>
          </w:p>
        </w:tc>
        <w:tc>
          <w:tcPr>
            <w:tcW w:w="1653"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56D38E0A">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检验科</w:t>
            </w:r>
          </w:p>
        </w:tc>
        <w:tc>
          <w:tcPr>
            <w:tcW w:w="2505"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57E7DB8D">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实验室、微生物、</w:t>
            </w:r>
          </w:p>
          <w:p w14:paraId="52AE8250">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大实验室、试剂制备等</w:t>
            </w:r>
          </w:p>
        </w:tc>
      </w:tr>
      <w:tr w14:paraId="3EE24AF0">
        <w:tblPrEx>
          <w:tblCellMar>
            <w:top w:w="0" w:type="dxa"/>
            <w:left w:w="0" w:type="dxa"/>
            <w:bottom w:w="0" w:type="dxa"/>
            <w:right w:w="0" w:type="dxa"/>
          </w:tblCellMar>
        </w:tblPrEx>
        <w:trPr>
          <w:trHeight w:val="90" w:hRule="atLeast"/>
          <w:jc w:val="center"/>
        </w:trPr>
        <w:tc>
          <w:tcPr>
            <w:tcW w:w="840" w:type="pct"/>
            <w:vMerge w:val="continue"/>
            <w:tcBorders>
              <w:top w:val="nil"/>
              <w:left w:val="single" w:color="000000" w:sz="8" w:space="0"/>
              <w:bottom w:val="single" w:color="000000" w:sz="8" w:space="0"/>
              <w:right w:val="single" w:color="000000" w:sz="8" w:space="0"/>
            </w:tcBorders>
            <w:shd w:val="clear" w:color="auto" w:fill="auto"/>
            <w:tcMar>
              <w:top w:w="15" w:type="dxa"/>
              <w:left w:w="75" w:type="dxa"/>
              <w:right w:w="75" w:type="dxa"/>
            </w:tcMar>
            <w:vAlign w:val="center"/>
          </w:tcPr>
          <w:p w14:paraId="470EC089">
            <w:pPr>
              <w:spacing w:line="360" w:lineRule="auto"/>
              <w:ind w:firstLine="480" w:firstLineChars="200"/>
              <w:jc w:val="left"/>
              <w:rPr>
                <w:rFonts w:ascii="宋体" w:hAnsi="宋体"/>
                <w:color w:val="auto"/>
                <w:sz w:val="24"/>
                <w:szCs w:val="24"/>
                <w:highlight w:val="none"/>
                <w:lang w:eastAsia="zh"/>
              </w:rPr>
            </w:pPr>
          </w:p>
        </w:tc>
        <w:tc>
          <w:tcPr>
            <w:tcW w:w="1653"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177155D2">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病理科</w:t>
            </w:r>
          </w:p>
        </w:tc>
        <w:tc>
          <w:tcPr>
            <w:tcW w:w="2505"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21A5353B">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穿刺、冰冻、常规技术室、</w:t>
            </w:r>
          </w:p>
          <w:p w14:paraId="27E2720A">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细胞学技术室等</w:t>
            </w:r>
          </w:p>
        </w:tc>
      </w:tr>
      <w:tr w14:paraId="47FDB2FC">
        <w:tblPrEx>
          <w:tblCellMar>
            <w:top w:w="0" w:type="dxa"/>
            <w:left w:w="0" w:type="dxa"/>
            <w:bottom w:w="0" w:type="dxa"/>
            <w:right w:w="0" w:type="dxa"/>
          </w:tblCellMar>
        </w:tblPrEx>
        <w:trPr>
          <w:trHeight w:val="670" w:hRule="atLeast"/>
          <w:jc w:val="center"/>
        </w:trPr>
        <w:tc>
          <w:tcPr>
            <w:tcW w:w="840" w:type="pct"/>
            <w:vMerge w:val="restart"/>
            <w:tcBorders>
              <w:top w:val="nil"/>
              <w:left w:val="single" w:color="000000" w:sz="8" w:space="0"/>
              <w:bottom w:val="single" w:color="000000" w:sz="8" w:space="0"/>
              <w:right w:val="single" w:color="000000" w:sz="8" w:space="0"/>
            </w:tcBorders>
            <w:shd w:val="clear" w:color="auto" w:fill="auto"/>
            <w:tcMar>
              <w:top w:w="15" w:type="dxa"/>
              <w:left w:w="75" w:type="dxa"/>
              <w:right w:w="75" w:type="dxa"/>
            </w:tcMar>
            <w:vAlign w:val="center"/>
          </w:tcPr>
          <w:p w14:paraId="07ECDD45">
            <w:pPr>
              <w:spacing w:line="360" w:lineRule="auto"/>
              <w:jc w:val="left"/>
              <w:rPr>
                <w:rFonts w:ascii="宋体" w:hAnsi="宋体"/>
                <w:color w:val="auto"/>
                <w:sz w:val="24"/>
                <w:szCs w:val="24"/>
                <w:highlight w:val="none"/>
                <w:lang w:eastAsia="zh"/>
              </w:rPr>
            </w:pPr>
            <w:r>
              <w:rPr>
                <w:rFonts w:ascii="宋体" w:hAnsi="宋体"/>
                <w:color w:val="auto"/>
                <w:sz w:val="24"/>
                <w:szCs w:val="24"/>
                <w:highlight w:val="none"/>
              </w:rPr>
              <w:t>清洗用水</w:t>
            </w:r>
          </w:p>
        </w:tc>
        <w:tc>
          <w:tcPr>
            <w:tcW w:w="1653"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3A5BD505">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中心供应</w:t>
            </w:r>
          </w:p>
        </w:tc>
        <w:tc>
          <w:tcPr>
            <w:tcW w:w="2505"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7FD72043">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腔镜清洗、终末漂洗、清洗机、</w:t>
            </w:r>
          </w:p>
          <w:p w14:paraId="4D9BD39E">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灭菌器等</w:t>
            </w:r>
          </w:p>
        </w:tc>
      </w:tr>
      <w:tr w14:paraId="6A6A63AE">
        <w:tblPrEx>
          <w:tblCellMar>
            <w:top w:w="0" w:type="dxa"/>
            <w:left w:w="0" w:type="dxa"/>
            <w:bottom w:w="0" w:type="dxa"/>
            <w:right w:w="0" w:type="dxa"/>
          </w:tblCellMar>
        </w:tblPrEx>
        <w:trPr>
          <w:trHeight w:val="244" w:hRule="atLeast"/>
          <w:jc w:val="center"/>
        </w:trPr>
        <w:tc>
          <w:tcPr>
            <w:tcW w:w="840" w:type="pct"/>
            <w:vMerge w:val="continue"/>
            <w:tcBorders>
              <w:top w:val="nil"/>
              <w:left w:val="single" w:color="000000" w:sz="8" w:space="0"/>
              <w:bottom w:val="single" w:color="000000" w:sz="8" w:space="0"/>
              <w:right w:val="single" w:color="000000" w:sz="8" w:space="0"/>
            </w:tcBorders>
            <w:shd w:val="clear" w:color="auto" w:fill="auto"/>
            <w:tcMar>
              <w:top w:w="15" w:type="dxa"/>
              <w:left w:w="75" w:type="dxa"/>
              <w:right w:w="75" w:type="dxa"/>
            </w:tcMar>
            <w:vAlign w:val="center"/>
          </w:tcPr>
          <w:p w14:paraId="2662C5D1">
            <w:pPr>
              <w:spacing w:line="360" w:lineRule="auto"/>
              <w:ind w:firstLine="480" w:firstLineChars="200"/>
              <w:jc w:val="left"/>
              <w:rPr>
                <w:rFonts w:ascii="宋体" w:hAnsi="宋体"/>
                <w:color w:val="auto"/>
                <w:sz w:val="24"/>
                <w:szCs w:val="24"/>
                <w:highlight w:val="none"/>
                <w:lang w:eastAsia="zh"/>
              </w:rPr>
            </w:pPr>
          </w:p>
        </w:tc>
        <w:tc>
          <w:tcPr>
            <w:tcW w:w="1653"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6D2B615C">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内镜中心</w:t>
            </w:r>
          </w:p>
        </w:tc>
        <w:tc>
          <w:tcPr>
            <w:tcW w:w="2505"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568E009E">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洗消间</w:t>
            </w:r>
          </w:p>
        </w:tc>
      </w:tr>
      <w:tr w14:paraId="073BB70C">
        <w:tblPrEx>
          <w:tblCellMar>
            <w:top w:w="0" w:type="dxa"/>
            <w:left w:w="0" w:type="dxa"/>
            <w:bottom w:w="0" w:type="dxa"/>
            <w:right w:w="0" w:type="dxa"/>
          </w:tblCellMar>
        </w:tblPrEx>
        <w:trPr>
          <w:trHeight w:val="244" w:hRule="atLeast"/>
          <w:jc w:val="center"/>
        </w:trPr>
        <w:tc>
          <w:tcPr>
            <w:tcW w:w="840" w:type="pct"/>
            <w:vMerge w:val="continue"/>
            <w:tcBorders>
              <w:top w:val="nil"/>
              <w:left w:val="single" w:color="000000" w:sz="8" w:space="0"/>
              <w:bottom w:val="single" w:color="000000" w:sz="8" w:space="0"/>
              <w:right w:val="single" w:color="000000" w:sz="8" w:space="0"/>
            </w:tcBorders>
            <w:shd w:val="clear" w:color="auto" w:fill="auto"/>
            <w:tcMar>
              <w:top w:w="15" w:type="dxa"/>
              <w:left w:w="75" w:type="dxa"/>
              <w:right w:w="75" w:type="dxa"/>
            </w:tcMar>
            <w:vAlign w:val="center"/>
          </w:tcPr>
          <w:p w14:paraId="6E749E4D">
            <w:pPr>
              <w:spacing w:line="360" w:lineRule="auto"/>
              <w:ind w:firstLine="480" w:firstLineChars="200"/>
              <w:jc w:val="left"/>
              <w:rPr>
                <w:rFonts w:ascii="宋体" w:hAnsi="宋体"/>
                <w:color w:val="auto"/>
                <w:sz w:val="24"/>
                <w:szCs w:val="24"/>
                <w:highlight w:val="none"/>
                <w:lang w:eastAsia="zh"/>
              </w:rPr>
            </w:pPr>
          </w:p>
        </w:tc>
        <w:tc>
          <w:tcPr>
            <w:tcW w:w="1653"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77668D94">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妇科</w:t>
            </w:r>
          </w:p>
        </w:tc>
        <w:tc>
          <w:tcPr>
            <w:tcW w:w="2505"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11756EC4">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清洗间</w:t>
            </w:r>
          </w:p>
        </w:tc>
      </w:tr>
      <w:tr w14:paraId="6E5FE7F8">
        <w:tblPrEx>
          <w:tblCellMar>
            <w:top w:w="0" w:type="dxa"/>
            <w:left w:w="0" w:type="dxa"/>
            <w:bottom w:w="0" w:type="dxa"/>
            <w:right w:w="0" w:type="dxa"/>
          </w:tblCellMar>
        </w:tblPrEx>
        <w:trPr>
          <w:trHeight w:val="248" w:hRule="atLeast"/>
          <w:jc w:val="center"/>
        </w:trPr>
        <w:tc>
          <w:tcPr>
            <w:tcW w:w="840" w:type="pct"/>
            <w:vMerge w:val="continue"/>
            <w:tcBorders>
              <w:top w:val="nil"/>
              <w:left w:val="single" w:color="000000" w:sz="8" w:space="0"/>
              <w:bottom w:val="single" w:color="000000" w:sz="8" w:space="0"/>
              <w:right w:val="single" w:color="000000" w:sz="8" w:space="0"/>
            </w:tcBorders>
            <w:shd w:val="clear" w:color="auto" w:fill="auto"/>
            <w:tcMar>
              <w:top w:w="15" w:type="dxa"/>
              <w:left w:w="75" w:type="dxa"/>
              <w:right w:w="75" w:type="dxa"/>
            </w:tcMar>
            <w:vAlign w:val="center"/>
          </w:tcPr>
          <w:p w14:paraId="67DD52FF">
            <w:pPr>
              <w:spacing w:line="360" w:lineRule="auto"/>
              <w:ind w:firstLine="480" w:firstLineChars="200"/>
              <w:jc w:val="left"/>
              <w:rPr>
                <w:rFonts w:ascii="宋体" w:hAnsi="宋体"/>
                <w:color w:val="auto"/>
                <w:sz w:val="24"/>
                <w:szCs w:val="24"/>
                <w:highlight w:val="none"/>
                <w:lang w:eastAsia="zh"/>
              </w:rPr>
            </w:pPr>
          </w:p>
        </w:tc>
        <w:tc>
          <w:tcPr>
            <w:tcW w:w="1653"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2C8AE2B0">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口腔科</w:t>
            </w:r>
          </w:p>
        </w:tc>
        <w:tc>
          <w:tcPr>
            <w:tcW w:w="2505" w:type="pct"/>
            <w:tcBorders>
              <w:top w:val="single" w:color="000000" w:sz="8" w:space="0"/>
              <w:left w:val="nil"/>
              <w:bottom w:val="single" w:color="000000" w:sz="8" w:space="0"/>
              <w:right w:val="single" w:color="000000" w:sz="8" w:space="0"/>
            </w:tcBorders>
            <w:shd w:val="clear" w:color="auto" w:fill="auto"/>
            <w:tcMar>
              <w:top w:w="15" w:type="dxa"/>
              <w:left w:w="75" w:type="dxa"/>
              <w:right w:w="75" w:type="dxa"/>
            </w:tcMar>
            <w:vAlign w:val="center"/>
          </w:tcPr>
          <w:p w14:paraId="1F718546">
            <w:pPr>
              <w:spacing w:line="360" w:lineRule="auto"/>
              <w:ind w:firstLine="480" w:firstLineChars="200"/>
              <w:jc w:val="left"/>
              <w:rPr>
                <w:rFonts w:ascii="宋体" w:hAnsi="宋体"/>
                <w:color w:val="auto"/>
                <w:sz w:val="24"/>
                <w:szCs w:val="24"/>
                <w:highlight w:val="none"/>
                <w:lang w:eastAsia="zh"/>
              </w:rPr>
            </w:pPr>
            <w:r>
              <w:rPr>
                <w:rFonts w:ascii="宋体" w:hAnsi="宋体"/>
                <w:color w:val="auto"/>
                <w:sz w:val="24"/>
                <w:szCs w:val="24"/>
                <w:highlight w:val="none"/>
              </w:rPr>
              <w:t>牙椅</w:t>
            </w:r>
          </w:p>
        </w:tc>
      </w:tr>
    </w:tbl>
    <w:p w14:paraId="49B3D17A">
      <w:pPr>
        <w:pStyle w:val="2"/>
        <w:ind w:firstLine="372"/>
        <w:rPr>
          <w:color w:val="auto"/>
          <w:highlight w:val="none"/>
          <w:lang w:eastAsia="zh"/>
        </w:rPr>
      </w:pPr>
    </w:p>
    <w:p w14:paraId="45323F3E">
      <w:pPr>
        <w:spacing w:line="360" w:lineRule="auto"/>
        <w:jc w:val="left"/>
        <w:rPr>
          <w:rFonts w:ascii="宋体" w:hAnsi="宋体"/>
          <w:color w:val="auto"/>
          <w:sz w:val="24"/>
          <w:szCs w:val="24"/>
          <w:highlight w:val="none"/>
          <w:lang w:eastAsia="zh"/>
        </w:rPr>
      </w:pPr>
      <w:r>
        <w:rPr>
          <w:rFonts w:hint="eastAsia" w:ascii="宋体" w:hAnsi="宋体"/>
          <w:color w:val="auto"/>
          <w:sz w:val="24"/>
          <w:szCs w:val="24"/>
          <w:highlight w:val="none"/>
          <w:lang w:eastAsia="zh"/>
        </w:rPr>
        <w:t>6、</w:t>
      </w:r>
      <w:r>
        <w:rPr>
          <w:rFonts w:ascii="宋体" w:hAnsi="宋体"/>
          <w:color w:val="auto"/>
          <w:sz w:val="24"/>
          <w:szCs w:val="24"/>
          <w:highlight w:val="none"/>
        </w:rPr>
        <w:t>污水处理</w:t>
      </w:r>
      <w:r>
        <w:rPr>
          <w:rFonts w:hint="eastAsia" w:ascii="宋体" w:hAnsi="宋体"/>
          <w:color w:val="auto"/>
          <w:sz w:val="24"/>
          <w:szCs w:val="24"/>
          <w:highlight w:val="none"/>
          <w:lang w:eastAsia="zh"/>
        </w:rPr>
        <w:t>系统</w:t>
      </w:r>
    </w:p>
    <w:p w14:paraId="493654F8">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拟</w:t>
      </w:r>
      <w:r>
        <w:rPr>
          <w:rFonts w:hint="eastAsia" w:ascii="宋体" w:hAnsi="宋体"/>
          <w:color w:val="auto"/>
          <w:sz w:val="24"/>
          <w:szCs w:val="24"/>
          <w:highlight w:val="none"/>
          <w:lang w:eastAsia="zh"/>
        </w:rPr>
        <w:t>为医院</w:t>
      </w:r>
      <w:r>
        <w:rPr>
          <w:rFonts w:hint="eastAsia" w:ascii="宋体" w:hAnsi="宋体"/>
          <w:color w:val="auto"/>
          <w:sz w:val="24"/>
          <w:szCs w:val="24"/>
          <w:highlight w:val="none"/>
        </w:rPr>
        <w:t>新建一座日处理污水量为</w:t>
      </w:r>
      <w:r>
        <w:rPr>
          <w:rFonts w:ascii="宋体" w:hAnsi="宋体"/>
          <w:color w:val="auto"/>
          <w:sz w:val="24"/>
          <w:szCs w:val="24"/>
          <w:highlight w:val="none"/>
        </w:rPr>
        <w:t>360m³</w:t>
      </w:r>
      <w:r>
        <w:rPr>
          <w:rFonts w:hint="eastAsia" w:ascii="宋体" w:hAnsi="宋体"/>
          <w:color w:val="auto"/>
          <w:sz w:val="24"/>
          <w:szCs w:val="24"/>
          <w:highlight w:val="none"/>
        </w:rPr>
        <w:t>污水处理站</w:t>
      </w:r>
      <w:r>
        <w:rPr>
          <w:rFonts w:hint="eastAsia" w:ascii="宋体" w:hAnsi="宋体"/>
          <w:color w:val="auto"/>
          <w:sz w:val="24"/>
          <w:szCs w:val="24"/>
          <w:highlight w:val="none"/>
          <w:lang w:eastAsia="zh"/>
        </w:rPr>
        <w:t>设计</w:t>
      </w:r>
      <w:r>
        <w:rPr>
          <w:rFonts w:hint="eastAsia" w:ascii="宋体" w:hAnsi="宋体"/>
          <w:color w:val="auto"/>
          <w:sz w:val="24"/>
          <w:szCs w:val="24"/>
          <w:highlight w:val="none"/>
        </w:rPr>
        <w:t>，污水站采用混凝土结构，污水处理工艺如下图所示（具体处理工艺以批复的环评报告为准）</w:t>
      </w:r>
    </w:p>
    <w:p w14:paraId="3F2ABB15">
      <w:pPr>
        <w:pStyle w:val="2"/>
        <w:ind w:firstLine="0" w:firstLineChars="0"/>
        <w:rPr>
          <w:color w:val="auto"/>
          <w:highlight w:val="none"/>
          <w:lang w:eastAsia="zh"/>
        </w:rPr>
      </w:pPr>
      <w:r>
        <w:rPr>
          <w:rFonts w:hint="eastAsia"/>
          <w:color w:val="auto"/>
          <w:highlight w:val="none"/>
        </w:rPr>
        <w:drawing>
          <wp:inline distT="0" distB="0" distL="114300" distR="114300">
            <wp:extent cx="5829300" cy="2381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829300" cy="2381250"/>
                    </a:xfrm>
                    <a:prstGeom prst="rect">
                      <a:avLst/>
                    </a:prstGeom>
                  </pic:spPr>
                </pic:pic>
              </a:graphicData>
            </a:graphic>
          </wp:inline>
        </w:drawing>
      </w:r>
    </w:p>
    <w:p w14:paraId="3DF0B837">
      <w:pPr>
        <w:spacing w:line="360" w:lineRule="auto"/>
        <w:ind w:firstLine="480" w:firstLineChars="200"/>
        <w:jc w:val="left"/>
        <w:rPr>
          <w:rFonts w:ascii="宋体" w:hAnsi="宋体"/>
          <w:color w:val="auto"/>
          <w:sz w:val="24"/>
          <w:szCs w:val="24"/>
          <w:highlight w:val="none"/>
          <w:lang w:eastAsia="zh"/>
        </w:rPr>
      </w:pPr>
      <w:r>
        <w:rPr>
          <w:rFonts w:hint="eastAsia" w:ascii="宋体" w:hAnsi="宋体"/>
          <w:color w:val="auto"/>
          <w:sz w:val="24"/>
          <w:szCs w:val="24"/>
          <w:highlight w:val="none"/>
          <w:lang w:eastAsia="zh"/>
        </w:rPr>
        <w:t>7、</w:t>
      </w:r>
      <w:r>
        <w:rPr>
          <w:rFonts w:ascii="宋体" w:hAnsi="宋体"/>
          <w:color w:val="auto"/>
          <w:sz w:val="24"/>
          <w:szCs w:val="24"/>
          <w:highlight w:val="none"/>
        </w:rPr>
        <w:t>阴凉库和冻库专项</w:t>
      </w:r>
      <w:r>
        <w:rPr>
          <w:rFonts w:hint="eastAsia" w:ascii="宋体" w:hAnsi="宋体"/>
          <w:color w:val="auto"/>
          <w:sz w:val="24"/>
          <w:szCs w:val="24"/>
          <w:highlight w:val="none"/>
          <w:lang w:eastAsia="zh"/>
        </w:rPr>
        <w:t>设计</w:t>
      </w:r>
    </w:p>
    <w:p w14:paraId="68EAE995">
      <w:pPr>
        <w:spacing w:line="360" w:lineRule="auto"/>
        <w:ind w:firstLine="480" w:firstLineChars="200"/>
        <w:jc w:val="left"/>
        <w:rPr>
          <w:color w:val="auto"/>
          <w:highlight w:val="none"/>
        </w:rPr>
      </w:pPr>
      <w:r>
        <w:rPr>
          <w:rFonts w:hint="eastAsia" w:ascii="宋体" w:hAnsi="宋体"/>
          <w:color w:val="auto"/>
          <w:sz w:val="24"/>
          <w:szCs w:val="24"/>
          <w:highlight w:val="none"/>
          <w:lang w:eastAsia="zh"/>
        </w:rPr>
        <w:t>8、防护屏蔽工程</w:t>
      </w:r>
    </w:p>
    <w:p w14:paraId="76BD6B85">
      <w:pPr>
        <w:pStyle w:val="3"/>
        <w:spacing w:line="360" w:lineRule="auto"/>
        <w:rPr>
          <w:color w:val="auto"/>
          <w:highlight w:val="none"/>
        </w:rPr>
      </w:pPr>
      <w:r>
        <w:rPr>
          <w:color w:val="auto"/>
          <w:highlight w:val="none"/>
        </w:rPr>
        <w:t>七、设计文件要求</w:t>
      </w:r>
    </w:p>
    <w:p w14:paraId="31B39652">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1、设计成果应达到建设部颁发的《建筑工程设计文件编制深度规定》</w:t>
      </w:r>
      <w:r>
        <w:rPr>
          <w:rFonts w:hint="eastAsia" w:ascii="宋体" w:hAnsi="宋体"/>
          <w:color w:val="auto"/>
          <w:sz w:val="24"/>
          <w:szCs w:val="24"/>
          <w:highlight w:val="none"/>
        </w:rPr>
        <w:t>（2016年版）</w:t>
      </w:r>
      <w:r>
        <w:rPr>
          <w:rFonts w:ascii="宋体" w:hAnsi="宋体"/>
          <w:color w:val="auto"/>
          <w:sz w:val="24"/>
          <w:szCs w:val="24"/>
          <w:highlight w:val="none"/>
        </w:rPr>
        <w:t>。</w:t>
      </w:r>
    </w:p>
    <w:p w14:paraId="01C526DF">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2、设计文件应满足广州市、白云区各专业部门的要求，如规划、国土、消防、民防、环保、卫生、交委、交警</w:t>
      </w:r>
      <w:r>
        <w:rPr>
          <w:rFonts w:hint="eastAsia" w:ascii="宋体" w:hAnsi="宋体"/>
          <w:color w:val="auto"/>
          <w:sz w:val="24"/>
          <w:szCs w:val="24"/>
          <w:highlight w:val="none"/>
        </w:rPr>
        <w:t>、地铁</w:t>
      </w:r>
      <w:r>
        <w:rPr>
          <w:rFonts w:ascii="宋体" w:hAnsi="宋体"/>
          <w:color w:val="auto"/>
          <w:sz w:val="24"/>
          <w:szCs w:val="24"/>
          <w:highlight w:val="none"/>
        </w:rPr>
        <w:t>等部门的报建报审报批要求。在项目报建阶段应满足建设单位报批各种手续的要求，分阶段提供所需的设计文件。</w:t>
      </w:r>
    </w:p>
    <w:p w14:paraId="7373F4FA">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3、各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14:paraId="6A97A98F">
      <w:pPr>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4、设计成果要求：总平面布置图、市政设施总体规划、景观绿化总体规划、竖向关系规划、总体功能布局、效果图、鸟瞰图，以及</w:t>
      </w:r>
      <w:r>
        <w:rPr>
          <w:rFonts w:hint="eastAsia" w:ascii="宋体" w:hAnsi="宋体" w:cs="宋体"/>
          <w:color w:val="auto"/>
          <w:sz w:val="24"/>
          <w:highlight w:val="none"/>
          <w:lang w:eastAsia="zh" w:bidi="ar"/>
        </w:rPr>
        <w:t>医院综合楼</w:t>
      </w:r>
      <w:r>
        <w:rPr>
          <w:rFonts w:hint="eastAsia" w:ascii="宋体" w:hAnsi="宋体" w:cs="宋体"/>
          <w:color w:val="auto"/>
          <w:sz w:val="24"/>
          <w:highlight w:val="none"/>
          <w:lang w:bidi="ar"/>
        </w:rPr>
        <w:t>和景观绿化广场等各类型建筑单体的平面图（标准层、首层、二层、地下室等）和立面图及其他相关图纸等。</w:t>
      </w:r>
    </w:p>
    <w:p w14:paraId="48068C9A">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5、设计费包含设计过程需要设计技术和设计变更论证的设计技术专家评审费。</w:t>
      </w:r>
    </w:p>
    <w:p w14:paraId="2D35B177">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6、设计文件含盖施工图审查章蓝图16份，CAD和PDF电子版文件光盘一个。满足广州市工程建设项目联合审批平台——联合审图备案条件，以及报审各部门所需要的图纸份数。</w:t>
      </w:r>
    </w:p>
    <w:p w14:paraId="54110E6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7、配合申办《施工许可证》和验收备案提交的设计单位及人员的资质和其他文件。</w:t>
      </w:r>
    </w:p>
    <w:p w14:paraId="6102C391">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8、实际设计团队人员架构必须是参与投标文件中核定人员；如需更换设计人员，必须向甲方提出书面申请，并征得甲方书面同意后方可进行设计人员的变动。</w:t>
      </w:r>
    </w:p>
    <w:p w14:paraId="0BF266FF">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其他工作要求：完成本项目范围内工程投资概算造价文件的编制工作及相关配合报审工作，概算和初步设计以预算及施工图深度要求编制。还包括各阶段方案比选、技术选型比选的投资分析、施工阶段的设计变更造价变化分析等。本项目设计不得有暂定或详见深化设计字样，全部设计文件是以能编制预算和现场施工为标准。保证就算有深化设计也能限额设计变更。如有施工单位深化设计，设计单位需对其成果进行审查确认，并加盖审核章或出具情况说明。</w:t>
      </w:r>
    </w:p>
    <w:p w14:paraId="0EDA2333">
      <w:pPr>
        <w:pStyle w:val="3"/>
        <w:spacing w:line="360" w:lineRule="auto"/>
        <w:rPr>
          <w:color w:val="auto"/>
          <w:highlight w:val="none"/>
        </w:rPr>
      </w:pPr>
      <w:r>
        <w:rPr>
          <w:rFonts w:hint="eastAsia"/>
          <w:color w:val="auto"/>
          <w:highlight w:val="none"/>
        </w:rPr>
        <w:t>八</w:t>
      </w:r>
      <w:r>
        <w:rPr>
          <w:color w:val="auto"/>
          <w:highlight w:val="none"/>
        </w:rPr>
        <w:t>、</w:t>
      </w:r>
      <w:r>
        <w:rPr>
          <w:rFonts w:hint="eastAsia"/>
          <w:color w:val="auto"/>
          <w:highlight w:val="none"/>
        </w:rPr>
        <w:t>勘察</w:t>
      </w:r>
      <w:r>
        <w:rPr>
          <w:color w:val="auto"/>
          <w:highlight w:val="none"/>
        </w:rPr>
        <w:t>要求</w:t>
      </w:r>
    </w:p>
    <w:p w14:paraId="30A6BAB6">
      <w:pPr>
        <w:spacing w:line="360" w:lineRule="auto"/>
        <w:ind w:firstLine="482" w:firstLineChars="200"/>
        <w:jc w:val="left"/>
        <w:rPr>
          <w:rFonts w:cs="Cambria" w:asciiTheme="minorEastAsia" w:hAnsiTheme="minorEastAsia"/>
          <w:b/>
          <w:color w:val="auto"/>
          <w:sz w:val="24"/>
          <w:highlight w:val="none"/>
        </w:rPr>
      </w:pPr>
      <w:r>
        <w:rPr>
          <w:rFonts w:hint="eastAsia" w:cs="Cambria" w:asciiTheme="minorEastAsia" w:hAnsiTheme="minorEastAsia"/>
          <w:b/>
          <w:color w:val="auto"/>
          <w:sz w:val="24"/>
          <w:highlight w:val="none"/>
        </w:rPr>
        <w:t>（一）勘察内容</w:t>
      </w:r>
    </w:p>
    <w:p w14:paraId="62FB84A5">
      <w:pPr>
        <w:spacing w:line="360" w:lineRule="auto"/>
        <w:ind w:firstLine="480" w:firstLineChars="200"/>
        <w:jc w:val="left"/>
        <w:rPr>
          <w:rFonts w:cs="Cambria" w:asciiTheme="minorEastAsia" w:hAnsiTheme="minorEastAsia"/>
          <w:color w:val="auto"/>
          <w:sz w:val="24"/>
          <w:highlight w:val="none"/>
        </w:rPr>
      </w:pPr>
      <w:r>
        <w:rPr>
          <w:rFonts w:hint="eastAsia" w:cs="Cambria" w:asciiTheme="minorEastAsia" w:hAnsiTheme="minorEastAsia"/>
          <w:color w:val="auto"/>
          <w:sz w:val="24"/>
          <w:highlight w:val="none"/>
        </w:rPr>
        <w:t>本项目岩土工程勘察等级暂定为甲级，基坑安全等级为一级，水准测量等级</w:t>
      </w:r>
      <w:r>
        <w:rPr>
          <w:rFonts w:hint="eastAsia" w:cs="Cambria" w:asciiTheme="minorEastAsia" w:hAnsiTheme="minorEastAsia"/>
          <w:color w:val="auto"/>
          <w:sz w:val="24"/>
          <w:highlight w:val="none"/>
          <w:lang w:eastAsia="zh"/>
        </w:rPr>
        <w:t>为</w:t>
      </w:r>
      <w:r>
        <w:rPr>
          <w:rFonts w:hint="eastAsia" w:cs="Cambria" w:asciiTheme="minorEastAsia" w:hAnsiTheme="minorEastAsia"/>
          <w:color w:val="auto"/>
          <w:sz w:val="24"/>
          <w:highlight w:val="none"/>
        </w:rPr>
        <w:t>三等；勘察工作包括但不限于以下内容（具体以签订的合同为准）：</w:t>
      </w:r>
    </w:p>
    <w:p w14:paraId="6FC94CBB">
      <w:pPr>
        <w:spacing w:line="360" w:lineRule="auto"/>
        <w:ind w:firstLine="480" w:firstLineChars="200"/>
        <w:jc w:val="left"/>
        <w:rPr>
          <w:rFonts w:cs="Cambria" w:asciiTheme="minorEastAsia" w:hAnsiTheme="minorEastAsia"/>
          <w:color w:val="auto"/>
          <w:sz w:val="24"/>
          <w:highlight w:val="none"/>
        </w:rPr>
      </w:pPr>
      <w:r>
        <w:rPr>
          <w:rFonts w:hint="eastAsia" w:cs="Cambria" w:asciiTheme="minorEastAsia" w:hAnsiTheme="minorEastAsia"/>
          <w:color w:val="auto"/>
          <w:sz w:val="24"/>
          <w:highlight w:val="none"/>
        </w:rPr>
        <w:t>（</w:t>
      </w:r>
      <w:r>
        <w:rPr>
          <w:rFonts w:cs="Cambria" w:asciiTheme="minorEastAsia" w:hAnsiTheme="minorEastAsia"/>
          <w:color w:val="auto"/>
          <w:sz w:val="24"/>
          <w:highlight w:val="none"/>
        </w:rPr>
        <w:t>1</w:t>
      </w:r>
      <w:r>
        <w:rPr>
          <w:rFonts w:hint="eastAsia" w:cs="Cambria" w:asciiTheme="minorEastAsia" w:hAnsiTheme="minorEastAsia"/>
          <w:color w:val="auto"/>
          <w:sz w:val="24"/>
          <w:highlight w:val="none"/>
        </w:rPr>
        <w:t>）</w:t>
      </w:r>
      <w:r>
        <w:rPr>
          <w:rFonts w:cs="Cambria" w:asciiTheme="minorEastAsia" w:hAnsiTheme="minorEastAsia"/>
          <w:color w:val="auto"/>
          <w:sz w:val="24"/>
          <w:highlight w:val="none"/>
        </w:rPr>
        <w:t>岩土工程勘察，包括初步勘察、详细勘察及施工阶段勘察（超前钻）；</w:t>
      </w:r>
    </w:p>
    <w:p w14:paraId="2D78B5E9">
      <w:pPr>
        <w:spacing w:line="360" w:lineRule="auto"/>
        <w:ind w:firstLine="480" w:firstLineChars="200"/>
        <w:jc w:val="left"/>
        <w:rPr>
          <w:rFonts w:cs="Cambria" w:asciiTheme="minorEastAsia" w:hAnsiTheme="minorEastAsia"/>
          <w:color w:val="auto"/>
          <w:sz w:val="24"/>
          <w:highlight w:val="none"/>
        </w:rPr>
      </w:pPr>
      <w:r>
        <w:rPr>
          <w:rFonts w:hint="eastAsia" w:cs="Cambria" w:asciiTheme="minorEastAsia" w:hAnsiTheme="minorEastAsia"/>
          <w:color w:val="auto"/>
          <w:sz w:val="24"/>
          <w:highlight w:val="none"/>
        </w:rPr>
        <w:t>（</w:t>
      </w:r>
      <w:r>
        <w:rPr>
          <w:rFonts w:cs="Cambria" w:asciiTheme="minorEastAsia" w:hAnsiTheme="minorEastAsia"/>
          <w:color w:val="auto"/>
          <w:sz w:val="24"/>
          <w:highlight w:val="none"/>
        </w:rPr>
        <w:t xml:space="preserve">2）地下物探测； </w:t>
      </w:r>
    </w:p>
    <w:p w14:paraId="5B01D75F">
      <w:pPr>
        <w:spacing w:line="360" w:lineRule="auto"/>
        <w:ind w:firstLine="480" w:firstLineChars="200"/>
        <w:jc w:val="left"/>
        <w:rPr>
          <w:rFonts w:cs="Cambria" w:asciiTheme="minorEastAsia" w:hAnsiTheme="minorEastAsia"/>
          <w:color w:val="auto"/>
          <w:sz w:val="24"/>
          <w:highlight w:val="none"/>
        </w:rPr>
      </w:pPr>
      <w:r>
        <w:rPr>
          <w:rFonts w:hint="eastAsia" w:cs="Cambria" w:asciiTheme="minorEastAsia" w:hAnsiTheme="minorEastAsia"/>
          <w:color w:val="auto"/>
          <w:sz w:val="24"/>
          <w:highlight w:val="none"/>
        </w:rPr>
        <w:t>（</w:t>
      </w:r>
      <w:r>
        <w:rPr>
          <w:rFonts w:cs="Cambria" w:asciiTheme="minorEastAsia" w:hAnsiTheme="minorEastAsia"/>
          <w:color w:val="auto"/>
          <w:sz w:val="24"/>
          <w:highlight w:val="none"/>
        </w:rPr>
        <w:t>3）土壤氡浓度测试；</w:t>
      </w:r>
    </w:p>
    <w:p w14:paraId="6B48D664">
      <w:pPr>
        <w:spacing w:line="360" w:lineRule="auto"/>
        <w:ind w:firstLine="480" w:firstLineChars="200"/>
        <w:jc w:val="left"/>
        <w:rPr>
          <w:rFonts w:cs="Cambria" w:asciiTheme="minorEastAsia" w:hAnsiTheme="minorEastAsia"/>
          <w:color w:val="auto"/>
          <w:sz w:val="24"/>
          <w:highlight w:val="none"/>
        </w:rPr>
      </w:pPr>
      <w:r>
        <w:rPr>
          <w:rFonts w:hint="eastAsia" w:cs="Cambria" w:asciiTheme="minorEastAsia" w:hAnsiTheme="minorEastAsia"/>
          <w:color w:val="auto"/>
          <w:sz w:val="24"/>
          <w:highlight w:val="none"/>
        </w:rPr>
        <w:t>（</w:t>
      </w:r>
      <w:r>
        <w:rPr>
          <w:rFonts w:cs="Cambria" w:asciiTheme="minorEastAsia" w:hAnsiTheme="minorEastAsia"/>
          <w:color w:val="auto"/>
          <w:sz w:val="24"/>
          <w:highlight w:val="none"/>
        </w:rPr>
        <w:t>4）噪声测试；</w:t>
      </w:r>
    </w:p>
    <w:p w14:paraId="375DCE0B">
      <w:pPr>
        <w:spacing w:line="360" w:lineRule="auto"/>
        <w:ind w:firstLine="480" w:firstLineChars="200"/>
        <w:jc w:val="left"/>
        <w:rPr>
          <w:rFonts w:cs="Cambria" w:asciiTheme="minorEastAsia" w:hAnsiTheme="minorEastAsia"/>
          <w:color w:val="auto"/>
          <w:sz w:val="24"/>
          <w:highlight w:val="none"/>
        </w:rPr>
      </w:pPr>
      <w:r>
        <w:rPr>
          <w:rFonts w:hint="eastAsia" w:cs="Cambria" w:asciiTheme="minorEastAsia" w:hAnsiTheme="minorEastAsia"/>
          <w:color w:val="auto"/>
          <w:sz w:val="24"/>
          <w:highlight w:val="none"/>
        </w:rPr>
        <w:t>（</w:t>
      </w:r>
      <w:r>
        <w:rPr>
          <w:rFonts w:cs="Cambria" w:asciiTheme="minorEastAsia" w:hAnsiTheme="minorEastAsia"/>
          <w:color w:val="auto"/>
          <w:sz w:val="24"/>
          <w:highlight w:val="none"/>
        </w:rPr>
        <w:t>5）剪切波速；</w:t>
      </w:r>
    </w:p>
    <w:p w14:paraId="68DD2BF5">
      <w:pPr>
        <w:spacing w:line="360" w:lineRule="auto"/>
        <w:ind w:firstLine="480" w:firstLineChars="200"/>
        <w:jc w:val="left"/>
        <w:rPr>
          <w:rFonts w:cs="Cambria" w:asciiTheme="minorEastAsia" w:hAnsiTheme="minorEastAsia"/>
          <w:color w:val="auto"/>
          <w:sz w:val="24"/>
          <w:highlight w:val="none"/>
        </w:rPr>
      </w:pPr>
      <w:r>
        <w:rPr>
          <w:rFonts w:hint="eastAsia" w:cs="Cambria" w:asciiTheme="minorEastAsia" w:hAnsiTheme="minorEastAsia"/>
          <w:color w:val="auto"/>
          <w:sz w:val="24"/>
          <w:highlight w:val="none"/>
        </w:rPr>
        <w:t>（</w:t>
      </w:r>
      <w:r>
        <w:rPr>
          <w:rFonts w:cs="Cambria" w:asciiTheme="minorEastAsia" w:hAnsiTheme="minorEastAsia"/>
          <w:color w:val="auto"/>
          <w:sz w:val="24"/>
          <w:highlight w:val="none"/>
        </w:rPr>
        <w:t>6）抽水试验；</w:t>
      </w:r>
    </w:p>
    <w:p w14:paraId="2BF64817">
      <w:pPr>
        <w:spacing w:line="360" w:lineRule="auto"/>
        <w:ind w:firstLine="482" w:firstLineChars="200"/>
        <w:jc w:val="left"/>
        <w:rPr>
          <w:rFonts w:cs="Cambria" w:asciiTheme="minorEastAsia" w:hAnsiTheme="minorEastAsia"/>
          <w:b/>
          <w:color w:val="auto"/>
          <w:sz w:val="24"/>
          <w:highlight w:val="none"/>
        </w:rPr>
      </w:pPr>
      <w:r>
        <w:rPr>
          <w:rFonts w:hint="eastAsia" w:cs="Cambria" w:asciiTheme="minorEastAsia" w:hAnsiTheme="minorEastAsia"/>
          <w:b/>
          <w:color w:val="auto"/>
          <w:sz w:val="24"/>
          <w:highlight w:val="none"/>
        </w:rPr>
        <w:t>（二）勘察依据</w:t>
      </w:r>
    </w:p>
    <w:p w14:paraId="6F6891BB">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所有勘察工作，应按《岩土工程勘察规范》（GB50021—2001）（2009版）规定的有关技术要求执行。如勘察结果表明场地存在特殊问题，则在钻探过程中或施工前另行增补技术措施。：</w:t>
      </w:r>
    </w:p>
    <w:p w14:paraId="1AF17E7F">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1、国家标准《岩土工程勘察规范》(GB 50021-2001)(2009年版)；</w:t>
      </w:r>
    </w:p>
    <w:p w14:paraId="696FAB8D">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2、国家标准《工程勘察通用规范》（GB55017-2021）；</w:t>
      </w:r>
    </w:p>
    <w:p w14:paraId="6E90EBE8">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 xml:space="preserve">3、国家标准《建筑与市政工程抗震通用规范》(GB55002-2021)； </w:t>
      </w:r>
    </w:p>
    <w:p w14:paraId="294C30EC">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4、国家标准《建筑与市政地基基础通用规范》(GB 55003-2021)；</w:t>
      </w:r>
    </w:p>
    <w:p w14:paraId="034E1EDF">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5、国家标准《民用建筑工程室内环境污染控制规范》（GB 50325-2020）；</w:t>
      </w:r>
    </w:p>
    <w:p w14:paraId="79261676">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6、国家标准《建筑抗震设计标准》（GB/T50011-2010）（2024年版）；</w:t>
      </w:r>
    </w:p>
    <w:p w14:paraId="282F6478">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7、国家标准《中国地震动参数区划图》（GB18306-2015）；</w:t>
      </w:r>
    </w:p>
    <w:p w14:paraId="55255575">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8、国家标准《建筑工程抗震设防分类标准》（GB50223-2008）；</w:t>
      </w:r>
    </w:p>
    <w:p w14:paraId="002B535E">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9、国家标准《建筑地基基础设计规范》(GB 50007-2011)；</w:t>
      </w:r>
    </w:p>
    <w:p w14:paraId="49C213B4">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10、国家标准《土的工程分类标准》(GB/T 50145-2007)；</w:t>
      </w:r>
    </w:p>
    <w:p w14:paraId="33637D40">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11、国家标准《土工试验方法标准》(GB/T 50123-2019)；</w:t>
      </w:r>
    </w:p>
    <w:p w14:paraId="202CE7E3">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12、国家标准《工程岩体试验方法标准》(GB/T 50266-2013)；</w:t>
      </w:r>
    </w:p>
    <w:p w14:paraId="437E2A0C">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13、国家标准《岩土工程勘察安全标准》(GB 50585-2019)；</w:t>
      </w:r>
    </w:p>
    <w:p w14:paraId="3A05D05A">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14、行业标准《建筑桩基技术规范》(JGJ 94-2008)；</w:t>
      </w:r>
    </w:p>
    <w:p w14:paraId="1C16313E">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15、行业标准《建筑基坑支护技术规程》(JGJ 120-2012)；</w:t>
      </w:r>
    </w:p>
    <w:p w14:paraId="0FAE6167">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16、行业标准《建筑地基处理技术规范》(JGJ 79-2012)；</w:t>
      </w:r>
    </w:p>
    <w:p w14:paraId="12333E47">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17、行业标准《建筑工程地质勘探与取样技术规程》(JGJ/T 87-2012)；</w:t>
      </w:r>
    </w:p>
    <w:p w14:paraId="5019DA45">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18、行业标准《高层建筑岩土工程勘察标准》(JGJ/T 72-2017)；</w:t>
      </w:r>
    </w:p>
    <w:p w14:paraId="637973A3">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19、行业标准《软土地区岩土工程勘察规程》(JGJ 83-2011)；</w:t>
      </w:r>
    </w:p>
    <w:p w14:paraId="5E545EFD">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20、行业标准《建筑工程抗浮技术标准》JGJ476-2019；</w:t>
      </w:r>
    </w:p>
    <w:p w14:paraId="059656AD">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21、广东省标准《建筑地基基础设计规范》(DBJ 15-31-2016)；</w:t>
      </w:r>
    </w:p>
    <w:p w14:paraId="698DB5BA">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22、广东省标准《建筑基坑工程技术规程》(DBJ/T</w:t>
      </w:r>
      <w:r>
        <w:rPr>
          <w:rFonts w:ascii="宋体"/>
          <w:color w:val="auto"/>
          <w:sz w:val="24"/>
          <w:highlight w:val="none"/>
        </w:rPr>
        <w:t xml:space="preserve"> </w:t>
      </w:r>
      <w:r>
        <w:rPr>
          <w:rFonts w:hint="eastAsia" w:ascii="宋体"/>
          <w:color w:val="auto"/>
          <w:sz w:val="24"/>
          <w:highlight w:val="none"/>
        </w:rPr>
        <w:t>15-20-2016)；</w:t>
      </w:r>
    </w:p>
    <w:p w14:paraId="568405D5">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23、广东省标准《锤击式预应力混凝土管桩基础技术规程》(DBJ/T</w:t>
      </w:r>
      <w:r>
        <w:rPr>
          <w:rFonts w:ascii="宋体"/>
          <w:color w:val="auto"/>
          <w:sz w:val="24"/>
          <w:highlight w:val="none"/>
        </w:rPr>
        <w:t xml:space="preserve"> </w:t>
      </w:r>
      <w:r>
        <w:rPr>
          <w:rFonts w:hint="eastAsia" w:ascii="宋体"/>
          <w:color w:val="auto"/>
          <w:sz w:val="24"/>
          <w:highlight w:val="none"/>
        </w:rPr>
        <w:t>15-22-2008)；</w:t>
      </w:r>
    </w:p>
    <w:p w14:paraId="7F62352B">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24、广东省标准《静压预制混凝土桩基础技术规程》（DBJ/T15-94-2013）；</w:t>
      </w:r>
    </w:p>
    <w:p w14:paraId="3BE28753">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25、广东省标准《建筑工程抗浮设计规程》（DBJ/T</w:t>
      </w:r>
      <w:r>
        <w:rPr>
          <w:rFonts w:ascii="宋体"/>
          <w:color w:val="auto"/>
          <w:sz w:val="24"/>
          <w:highlight w:val="none"/>
        </w:rPr>
        <w:t xml:space="preserve"> </w:t>
      </w:r>
      <w:r>
        <w:rPr>
          <w:rFonts w:hint="eastAsia" w:ascii="宋体"/>
          <w:color w:val="auto"/>
          <w:sz w:val="24"/>
          <w:highlight w:val="none"/>
        </w:rPr>
        <w:t>15-125-2017）；</w:t>
      </w:r>
    </w:p>
    <w:p w14:paraId="6AC93EF5">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26、广东省标准《岩溶地区建筑地基基础技术规范》（DBJ/T</w:t>
      </w:r>
      <w:r>
        <w:rPr>
          <w:rFonts w:ascii="宋体"/>
          <w:color w:val="auto"/>
          <w:sz w:val="24"/>
          <w:highlight w:val="none"/>
        </w:rPr>
        <w:t xml:space="preserve"> </w:t>
      </w:r>
      <w:r>
        <w:rPr>
          <w:rFonts w:hint="eastAsia" w:ascii="宋体"/>
          <w:color w:val="auto"/>
          <w:sz w:val="24"/>
          <w:highlight w:val="none"/>
        </w:rPr>
        <w:t>15-136-2018）；</w:t>
      </w:r>
    </w:p>
    <w:p w14:paraId="375F1E81">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27、广东省标准《建筑地基处理技术规范》（DBJ/T15-38-2019）；</w:t>
      </w:r>
    </w:p>
    <w:p w14:paraId="79336B7A">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28、中国工程建设标准化协会《岩土工程勘察报告编制标准》(CECS</w:t>
      </w:r>
      <w:r>
        <w:rPr>
          <w:rFonts w:ascii="宋体"/>
          <w:color w:val="auto"/>
          <w:sz w:val="24"/>
          <w:highlight w:val="none"/>
        </w:rPr>
        <w:t xml:space="preserve"> </w:t>
      </w:r>
      <w:r>
        <w:rPr>
          <w:rFonts w:hint="eastAsia" w:ascii="宋体"/>
          <w:color w:val="auto"/>
          <w:sz w:val="24"/>
          <w:highlight w:val="none"/>
        </w:rPr>
        <w:t>99：98)；</w:t>
      </w:r>
    </w:p>
    <w:p w14:paraId="63068C60">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29、《房屋建筑和市政基础设施工程勘察文件编制深度要求》（2020年版）；</w:t>
      </w:r>
    </w:p>
    <w:p w14:paraId="56B6ACCB">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30、《危险性较大的分部分项工程安全管理规定》（住建部【2018】37号令）；</w:t>
      </w:r>
    </w:p>
    <w:p w14:paraId="7392E59D">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31、《住房城乡建设部关于印发大型工程技术风险控制要点的通知》（建质函[2018]28号）；</w:t>
      </w:r>
    </w:p>
    <w:p w14:paraId="57584E14">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32、《广东省住房和城乡建设厅关于房屋市政工程危险性较大的分部分项工程安全管理的实施细则》（粤建规范〔2019〕2号）；</w:t>
      </w:r>
    </w:p>
    <w:p w14:paraId="49F8E364">
      <w:pPr>
        <w:adjustRightInd w:val="0"/>
        <w:snapToGrid w:val="0"/>
        <w:spacing w:before="120" w:beforeLines="50" w:line="360" w:lineRule="auto"/>
        <w:ind w:firstLine="480" w:firstLineChars="200"/>
        <w:rPr>
          <w:rFonts w:ascii="宋体"/>
          <w:color w:val="auto"/>
          <w:sz w:val="24"/>
          <w:highlight w:val="none"/>
        </w:rPr>
      </w:pPr>
      <w:r>
        <w:rPr>
          <w:rFonts w:hint="eastAsia" w:ascii="宋体"/>
          <w:color w:val="auto"/>
          <w:sz w:val="24"/>
          <w:highlight w:val="none"/>
        </w:rPr>
        <w:t>33、现行国家或行业其它规范、规程和规定。</w:t>
      </w:r>
    </w:p>
    <w:p w14:paraId="3F8147A1">
      <w:pPr>
        <w:spacing w:line="360" w:lineRule="auto"/>
        <w:ind w:firstLine="482" w:firstLineChars="200"/>
        <w:jc w:val="left"/>
        <w:rPr>
          <w:rFonts w:cs="Cambria" w:asciiTheme="minorEastAsia" w:hAnsiTheme="minorEastAsia"/>
          <w:b/>
          <w:bCs/>
          <w:color w:val="auto"/>
          <w:sz w:val="24"/>
          <w:highlight w:val="none"/>
        </w:rPr>
      </w:pPr>
      <w:r>
        <w:rPr>
          <w:rFonts w:hint="eastAsia" w:cs="Cambria" w:asciiTheme="minorEastAsia" w:hAnsiTheme="minorEastAsia"/>
          <w:b/>
          <w:bCs/>
          <w:color w:val="auto"/>
          <w:sz w:val="24"/>
          <w:highlight w:val="none"/>
        </w:rPr>
        <w:t>（三）岩土工程勘察要求：</w:t>
      </w:r>
    </w:p>
    <w:p w14:paraId="7EE604C6">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lang w:bidi="ar"/>
        </w:rPr>
        <w:t>1、勘探点布置：</w:t>
      </w:r>
    </w:p>
    <w:p w14:paraId="08A2B11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初勘、详勘：初步勘察可结合详细勘察同步进行，如若布置钻孔时，建筑方案已定，则有针对性地布置，主要依据地块范围、场地情况、建筑方案、建筑轮廓、柱网及基坑等布孔，按现有情况估计本项目采用的基础形式，钻孔深度要求等；如若方案暂未确定则依据现有资料、规范规定孔距及附近地质资料等布孔，孔距可考虑15～25m（最终以勘察布孔图为准）。布孔及终孔条件将在满足条件的基础上，尽量节约成本，最终钻孔平面布置图及勘察技术要求将提交业主、设计进行确认，钻进深度以满足设计要求为准。暂定工程量为</w:t>
      </w:r>
      <w:r>
        <w:rPr>
          <w:rFonts w:ascii="宋体" w:hAnsi="宋体" w:cs="宋体"/>
          <w:color w:val="auto"/>
          <w:sz w:val="24"/>
          <w:highlight w:val="none"/>
          <w:lang w:bidi="ar"/>
        </w:rPr>
        <w:t>3000</w:t>
      </w:r>
      <w:r>
        <w:rPr>
          <w:rFonts w:hint="eastAsia" w:ascii="宋体" w:hAnsi="宋体" w:cs="宋体"/>
          <w:color w:val="auto"/>
          <w:sz w:val="24"/>
          <w:highlight w:val="none"/>
          <w:lang w:bidi="ar"/>
        </w:rPr>
        <w:t>m，具体结算工程量以实际发生工程量为准。。</w:t>
      </w:r>
    </w:p>
    <w:p w14:paraId="48AF7C4C">
      <w:pPr>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超前钻：工程桩超前钻（建筑物区域，根据桩基础方案确定）预计按照一桩一钻孔的布孔原则，在建筑物区域桩位布置钻孔，根据暂定建筑、结构方案，暂按建筑物区域超前钻在基坑开挖5米后进行，（若建筑物区域超前钻在基坑开挖后进行，或者不采用桩基础的基础形式，预估总工作量作相应减少）。暂定超前钻工程量</w:t>
      </w:r>
      <w:r>
        <w:rPr>
          <w:rFonts w:ascii="宋体" w:hAnsi="宋体" w:cs="宋体"/>
          <w:color w:val="auto"/>
          <w:sz w:val="24"/>
          <w:highlight w:val="none"/>
          <w:lang w:bidi="ar"/>
        </w:rPr>
        <w:t>7000</w:t>
      </w:r>
      <w:r>
        <w:rPr>
          <w:rFonts w:hint="eastAsia" w:ascii="宋体" w:hAnsi="宋体" w:cs="宋体"/>
          <w:color w:val="auto"/>
          <w:sz w:val="24"/>
          <w:highlight w:val="none"/>
          <w:lang w:bidi="ar"/>
        </w:rPr>
        <w:t>m。具体结算工程量以实际发生工程量为准。</w:t>
      </w:r>
    </w:p>
    <w:p w14:paraId="3493E7A3">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lang w:bidi="ar"/>
        </w:rPr>
        <w:t>2、钻孔要求：</w:t>
      </w:r>
    </w:p>
    <w:p w14:paraId="5C58F39C">
      <w:pPr>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eastAsia="zh" w:bidi="ar"/>
        </w:rPr>
        <w:t>（1）</w:t>
      </w:r>
      <w:r>
        <w:rPr>
          <w:rFonts w:hint="eastAsia" w:ascii="宋体" w:hAnsi="宋体" w:cs="宋体"/>
          <w:color w:val="auto"/>
          <w:sz w:val="24"/>
          <w:highlight w:val="none"/>
          <w:lang w:bidi="ar"/>
        </w:rPr>
        <w:t>初、详勘：一般性勘探点钻进连续强风化不小于8m或较完整中（微）风化岩层不少于4m；控制性勘探点深度需进入连续强风化不小于10m或较完整中（微）风化岩层不少于6m；</w:t>
      </w:r>
    </w:p>
    <w:p w14:paraId="7A59D92A">
      <w:pPr>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eastAsia="zh" w:bidi="ar"/>
        </w:rPr>
        <w:t>（2）</w:t>
      </w:r>
      <w:r>
        <w:rPr>
          <w:rFonts w:hint="eastAsia" w:ascii="宋体" w:hAnsi="宋体" w:cs="宋体"/>
          <w:color w:val="auto"/>
          <w:sz w:val="24"/>
          <w:highlight w:val="none"/>
          <w:lang w:bidi="ar"/>
        </w:rPr>
        <w:t>如钻孔深度超过40m仍未至岩层，应通知设计人员另做调整；</w:t>
      </w:r>
    </w:p>
    <w:p w14:paraId="38DCC9E9">
      <w:pPr>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eastAsia="zh" w:bidi="ar"/>
        </w:rPr>
        <w:t>（3）</w:t>
      </w:r>
      <w:r>
        <w:rPr>
          <w:rFonts w:hint="eastAsia" w:ascii="宋体" w:hAnsi="宋体" w:cs="宋体"/>
          <w:color w:val="auto"/>
          <w:sz w:val="24"/>
          <w:highlight w:val="none"/>
          <w:lang w:bidi="ar"/>
        </w:rPr>
        <w:t>控制孔应取土、岩样作常规的物理力学实验，所有钻孔应作原位测试（标贯N）实验。</w:t>
      </w:r>
    </w:p>
    <w:p w14:paraId="1CD089FB">
      <w:pPr>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eastAsia="zh" w:bidi="ar"/>
        </w:rPr>
        <w:t>（4）</w:t>
      </w:r>
      <w:r>
        <w:rPr>
          <w:rFonts w:hint="eastAsia" w:ascii="宋体" w:hAnsi="宋体" w:cs="宋体"/>
          <w:color w:val="auto"/>
          <w:sz w:val="24"/>
          <w:highlight w:val="none"/>
          <w:lang w:bidi="ar"/>
        </w:rPr>
        <w:t>土岩式样和原位测试的钻探点，每一主要土层的原状土式样或原位测试不应少于6件。对厚度大于0.5m的夹层或透镜体，应采取土试样或进行原位测试；</w:t>
      </w:r>
    </w:p>
    <w:p w14:paraId="6F075B59">
      <w:pPr>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eastAsia="zh" w:bidi="ar"/>
        </w:rPr>
        <w:t>（5）</w:t>
      </w:r>
      <w:r>
        <w:rPr>
          <w:rFonts w:hint="eastAsia" w:ascii="宋体" w:hAnsi="宋体" w:cs="宋体"/>
          <w:color w:val="auto"/>
          <w:sz w:val="24"/>
          <w:highlight w:val="none"/>
          <w:lang w:bidi="ar"/>
        </w:rPr>
        <w:t>岩样均分别取样进行天然湿度状态或饱和状态下的单轴抗压强度试验，并提供极限抗压强度，软化系数等参数；</w:t>
      </w:r>
    </w:p>
    <w:p w14:paraId="28AAD1C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 w:bidi="ar"/>
        </w:rPr>
        <w:t>（6）</w:t>
      </w:r>
      <w:r>
        <w:rPr>
          <w:rFonts w:hint="eastAsia" w:ascii="宋体" w:hAnsi="宋体" w:cs="宋体"/>
          <w:color w:val="auto"/>
          <w:sz w:val="24"/>
          <w:highlight w:val="none"/>
          <w:lang w:bidi="ar"/>
        </w:rPr>
        <w:t>超前钻：对采用桩基础，一般要求查明桩端以下3d且不小于5m范围持力层情况，具体以满足设计、施工要求为准，依照相关技术要求和图纸钻探施工。</w:t>
      </w:r>
    </w:p>
    <w:p w14:paraId="356988A8">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lang w:bidi="ar"/>
        </w:rPr>
        <w:t>3、岩土工程勘察，包括但不限于以下工作：</w:t>
      </w:r>
    </w:p>
    <w:p w14:paraId="53AB4C9A">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1）查明建筑范围内岩土的类型、深度、分布、工程特性和变化规律，分析和评价地基的稳定性、均匀性和承载力。岩石地基除提出各岩层的承载力特征值，尚需提出不同岩层的饱和或天然单轴抗压强度标准值；</w:t>
      </w:r>
    </w:p>
    <w:p w14:paraId="3F534BD5">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（2）实测地层剪切波速，划分场地土类型和场地类别，分析预测地震效应，判定饱和砂土或饱和粉土的地震液化，并应确定液化指数和液化等级。</w:t>
      </w:r>
    </w:p>
    <w:p w14:paraId="7FBAD182">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3）查明不良地质（如溶洞）作用的类型、成因、分布范围、发展趋势，可液化土层和特殊性岩土的分布及其对桩基的危害程度，并提出防治措施的建议；勘探过程中如发现特殊的地质现象，如软弱土层、暗沟或溶洞等，应及时知会设计单位，并商讨勘探点的增减。</w:t>
      </w:r>
    </w:p>
    <w:p w14:paraId="53C098AE">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（4）查明埋藏的河道、沟滨、墓穴、防空洞、孤石等对基础不利的埋藏物；</w:t>
      </w:r>
    </w:p>
    <w:p w14:paraId="00A51118">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5）查明地下水的性质、补给条件、各土层的渗透性及水流量，提供降水设计所需的计算参数和方案提议。提供地下水位及其变化幅度，明确抗浮设计设防水位。评价地下水对桩基设计和施工的影响，判定环境水和土对混凝土的金属材料的腐蚀性。</w:t>
      </w:r>
    </w:p>
    <w:p w14:paraId="31C64869">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（6）查明建筑范围内岩土层的类型、深度、分布、工程特性和变化规律，分析和评价地基的稳定性、均匀性和承载力。</w:t>
      </w:r>
    </w:p>
    <w:p w14:paraId="10FE71DB">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（7）土壤中氡浓度检测及噪声检测</w:t>
      </w:r>
    </w:p>
    <w:p w14:paraId="4595E811">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（8）当有软弱下卧层时，需勘察提供参数，供设计验算软弱下卧层强度</w:t>
      </w:r>
    </w:p>
    <w:p w14:paraId="3ACAC5C3">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（9）持力层为倾斜地层，基岩面凹凸不平或岩土中有溶洞时，应评价基础的稳定性，并提出处理措施的建议。</w:t>
      </w:r>
    </w:p>
    <w:p w14:paraId="2060B378">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（10）对可能采用的基础形式提出建议：</w:t>
      </w:r>
    </w:p>
    <w:p w14:paraId="150D06ED">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①　评价成桩可能性，论证桩的施工条件及其对环境的影响。提供桩基设计所需的岩土技术参数，提出桩的类型、长度、和施工方法等建议。</w:t>
      </w:r>
    </w:p>
    <w:p w14:paraId="5AB9DDB0">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②　提出估算的有关岩土的基桩侧阻力和端阻力，。</w:t>
      </w:r>
    </w:p>
    <w:p w14:paraId="5F837927">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③　应提供计算所需的各层岩土的变形参数，，并预测建筑物的变形特征。</w:t>
      </w:r>
    </w:p>
    <w:p w14:paraId="1490B49F">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④　查明不良地质作用，可液化土层和特殊性岩土以及溶洞的分布及对桩基的危害程度，并提出防治措施的建议。</w:t>
      </w:r>
    </w:p>
    <w:p w14:paraId="480492C5">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⑤　当桩基持力层为基岩时，应查明基岩的岩性、构造、岩面变化、风化程度，确定基坚硬程度、完整程度和基本质量等级，判定有无洞穴、临空面、破碎岩体或软弱岩层。</w:t>
      </w:r>
    </w:p>
    <w:p w14:paraId="6BF439E6">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⑥　桩基岩土工程勘察宜采用钻探和触探以及基他原位测试相结合的方式进行，对软土宜采用静力触探试验，对粘性土、粉土和砂土宜采用标准贯入试验，对碎石土宜采用重型或超重型圆锥动力触探。</w:t>
      </w:r>
    </w:p>
    <w:p w14:paraId="6F8240E6">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（11）基坑工程勘察部分应对应一下内容进行分析，并提供有关技术参数和建议：</w:t>
      </w:r>
    </w:p>
    <w:p w14:paraId="16AD341E">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①　边坡的局部稳定性、整体稳定性和坑底抗隆起稳定性；</w:t>
      </w:r>
    </w:p>
    <w:p w14:paraId="3D30707A">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②　坑底和侧壁的渗透稳定性；</w:t>
      </w:r>
    </w:p>
    <w:p w14:paraId="4197052F">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③　挡土结构和边坡可能发生的变形；</w:t>
      </w:r>
    </w:p>
    <w:p w14:paraId="29275493">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④　降水效果和降水对环境的影响；</w:t>
      </w:r>
    </w:p>
    <w:p w14:paraId="37083A22">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⑤　开挖和降水对邻边建筑和地下设施的影响。</w:t>
      </w:r>
    </w:p>
    <w:p w14:paraId="3FC7B090">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（12）除说明外，均按照《岩土工程勘察规范》（GB50021-2001）（2009年版）规定的有关技术要求执行。如本次勘察结果表明场地存在特殊问题，则在钻探过程中或基础工程施工前另行增补技术措施。</w:t>
      </w:r>
    </w:p>
    <w:p w14:paraId="1AC80EA1">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（13）视现场钻孔揭露地层情况，选取具有代表性的钻孔位置（砂层深厚、分布连续地段）进行抽水试验。</w:t>
      </w:r>
    </w:p>
    <w:p w14:paraId="7E5105B4">
      <w:pPr>
        <w:spacing w:line="360" w:lineRule="auto"/>
        <w:ind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（14）根据要求在建筑周边布设噪声测量点主要执行以下依据：</w:t>
      </w:r>
    </w:p>
    <w:p w14:paraId="281CE722">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①　《建筑节能工程施工质量验收标准》GB50411-2019</w:t>
      </w:r>
    </w:p>
    <w:p w14:paraId="1F7DCAA5">
      <w:pPr>
        <w:spacing w:line="360" w:lineRule="auto"/>
        <w:ind w:left="420" w:leftChars="200" w:firstLine="480" w:firstLineChars="200"/>
        <w:jc w:val="left"/>
        <w:rPr>
          <w:rFonts w:ascii="宋体" w:hAnsi="宋体" w:cs="宋体"/>
          <w:color w:val="auto"/>
          <w:sz w:val="24"/>
          <w:highlight w:val="none"/>
          <w:lang w:eastAsia="zh" w:bidi="ar"/>
        </w:rPr>
      </w:pPr>
      <w:r>
        <w:rPr>
          <w:rFonts w:hint="eastAsia" w:ascii="宋体" w:hAnsi="宋体" w:cs="宋体"/>
          <w:color w:val="auto"/>
          <w:sz w:val="24"/>
          <w:highlight w:val="none"/>
          <w:lang w:eastAsia="zh" w:bidi="ar"/>
        </w:rPr>
        <w:t>②　《绿色建筑评价标准》GB50378-2019（2024年版）</w:t>
      </w:r>
    </w:p>
    <w:p w14:paraId="4F8F5F7D">
      <w:pPr>
        <w:spacing w:line="360" w:lineRule="auto"/>
        <w:ind w:left="420" w:leftChars="200"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eastAsia="zh" w:bidi="ar"/>
        </w:rPr>
        <w:t>③　《广东省绿色建筑评价标准》DJB15-201-2020</w:t>
      </w:r>
      <w:r>
        <w:rPr>
          <w:rFonts w:hint="eastAsia" w:ascii="宋体" w:hAnsi="宋体" w:cs="宋体"/>
          <w:color w:val="auto"/>
          <w:sz w:val="24"/>
          <w:highlight w:val="none"/>
          <w:lang w:bidi="ar"/>
        </w:rPr>
        <w:t>。</w:t>
      </w:r>
    </w:p>
    <w:p w14:paraId="333D5C4D">
      <w:pPr>
        <w:numPr>
          <w:ilvl w:val="0"/>
          <w:numId w:val="5"/>
        </w:numPr>
        <w:spacing w:line="360" w:lineRule="auto"/>
        <w:ind w:firstLine="482" w:firstLineChars="200"/>
        <w:jc w:val="left"/>
        <w:rPr>
          <w:rFonts w:cs="Cambria" w:asciiTheme="minorEastAsia" w:hAnsiTheme="minorEastAsia"/>
          <w:b/>
          <w:bCs/>
          <w:color w:val="auto"/>
          <w:sz w:val="24"/>
          <w:highlight w:val="none"/>
        </w:rPr>
      </w:pPr>
      <w:r>
        <w:rPr>
          <w:rFonts w:hint="eastAsia" w:cs="Cambria" w:asciiTheme="minorEastAsia" w:hAnsiTheme="minorEastAsia"/>
          <w:b/>
          <w:bCs/>
          <w:color w:val="auto"/>
          <w:sz w:val="24"/>
          <w:highlight w:val="none"/>
        </w:rPr>
        <w:t>地下物探测要求</w:t>
      </w:r>
    </w:p>
    <w:p w14:paraId="5F0CE62F">
      <w:pPr>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根据广州市城乡建设委员会《关于加强地下工程施工前地下管线探测工作的通知》（穗建质[2013]845号），对本项目用地红线范围进行物探，探测工作包括查明探测范围内地下各专业管线走向、位置和标高等，作为设计和施工的基础数据。探测单位应当根据《城市地下管线探测技术规程》(CJJ61-2017)和探测合同开展工作，确保工作质量，出具的探测报告需加盖CMA章。暂定工程量为</w:t>
      </w:r>
      <w:r>
        <w:rPr>
          <w:rFonts w:ascii="宋体" w:hAnsi="宋体" w:cs="宋体"/>
          <w:color w:val="auto"/>
          <w:sz w:val="24"/>
          <w:highlight w:val="none"/>
          <w:lang w:bidi="ar"/>
        </w:rPr>
        <w:t>30000</w:t>
      </w:r>
      <w:r>
        <w:rPr>
          <w:rFonts w:hint="eastAsia" w:ascii="宋体" w:hAnsi="宋体" w:cs="宋体"/>
          <w:color w:val="auto"/>
          <w:sz w:val="24"/>
          <w:highlight w:val="none"/>
          <w:lang w:bidi="ar"/>
        </w:rPr>
        <w:t>㎡，具体结算工程量以实际发生工程量为准。</w:t>
      </w:r>
    </w:p>
    <w:p w14:paraId="7111BE56">
      <w:pPr>
        <w:pStyle w:val="16"/>
        <w:spacing w:line="360" w:lineRule="auto"/>
        <w:ind w:firstLine="482" w:firstLineChars="200"/>
        <w:rPr>
          <w:rFonts w:cs="Cambria" w:asciiTheme="minorEastAsia" w:hAnsiTheme="minorEastAsia" w:eastAsiaTheme="minorEastAsia"/>
          <w:b/>
          <w:bCs/>
          <w:color w:val="auto"/>
          <w:sz w:val="24"/>
          <w:highlight w:val="none"/>
        </w:rPr>
      </w:pPr>
      <w:r>
        <w:rPr>
          <w:rFonts w:hint="eastAsia" w:cs="Cambria" w:asciiTheme="minorEastAsia" w:hAnsiTheme="minorEastAsia" w:eastAsiaTheme="minorEastAsia"/>
          <w:b/>
          <w:bCs/>
          <w:color w:val="auto"/>
          <w:sz w:val="24"/>
          <w:highlight w:val="none"/>
        </w:rPr>
        <w:t>（</w:t>
      </w:r>
      <w:r>
        <w:rPr>
          <w:rFonts w:hint="eastAsia" w:cs="Cambria" w:asciiTheme="minorEastAsia" w:hAnsiTheme="minorEastAsia" w:eastAsiaTheme="minorEastAsia"/>
          <w:b/>
          <w:bCs/>
          <w:color w:val="auto"/>
          <w:sz w:val="24"/>
          <w:highlight w:val="none"/>
          <w:lang w:val="en-US"/>
        </w:rPr>
        <w:t>五</w:t>
      </w:r>
      <w:r>
        <w:rPr>
          <w:rFonts w:hint="eastAsia" w:cs="Cambria" w:asciiTheme="minorEastAsia" w:hAnsiTheme="minorEastAsia" w:eastAsiaTheme="minorEastAsia"/>
          <w:b/>
          <w:bCs/>
          <w:color w:val="auto"/>
          <w:sz w:val="24"/>
          <w:highlight w:val="none"/>
        </w:rPr>
        <w:t>）勘察报告内容</w:t>
      </w:r>
    </w:p>
    <w:p w14:paraId="348092C6">
      <w:pPr>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勘察报告应满足现行相关规范、规程、标准等的要求，满足项目设计及施工的要求。满足施工图审查要求，盖注册岩土工程师章和施工图审查章，管线物探报告盖质量认证的CMA章。</w:t>
      </w:r>
    </w:p>
    <w:p w14:paraId="04A62C7C">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lang w:bidi="ar"/>
        </w:rPr>
        <w:t>1</w:t>
      </w:r>
      <w:r>
        <w:rPr>
          <w:rFonts w:ascii="宋体" w:hAnsi="宋体" w:cs="宋体"/>
          <w:b/>
          <w:color w:val="auto"/>
          <w:sz w:val="24"/>
          <w:highlight w:val="none"/>
          <w:lang w:bidi="ar"/>
        </w:rPr>
        <w:t>.</w:t>
      </w:r>
      <w:r>
        <w:rPr>
          <w:rFonts w:hint="eastAsia" w:ascii="宋体" w:hAnsi="宋体" w:cs="宋体"/>
          <w:b/>
          <w:color w:val="auto"/>
          <w:sz w:val="24"/>
          <w:highlight w:val="none"/>
          <w:lang w:bidi="ar"/>
        </w:rPr>
        <w:t>岩土勘察报告</w:t>
      </w:r>
    </w:p>
    <w:p w14:paraId="3EF409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 w:bidi="ar"/>
        </w:rPr>
        <w:t>(</w:t>
      </w:r>
      <w:r>
        <w:rPr>
          <w:rFonts w:hint="eastAsia" w:ascii="宋体" w:hAnsi="宋体" w:cs="宋体"/>
          <w:color w:val="auto"/>
          <w:sz w:val="24"/>
          <w:highlight w:val="none"/>
          <w:lang w:bidi="ar"/>
        </w:rPr>
        <w:t>1</w:t>
      </w:r>
      <w:r>
        <w:rPr>
          <w:rFonts w:hint="eastAsia" w:ascii="宋体" w:hAnsi="宋体" w:cs="宋体"/>
          <w:color w:val="auto"/>
          <w:sz w:val="24"/>
          <w:highlight w:val="none"/>
          <w:lang w:eastAsia="zh" w:bidi="ar"/>
        </w:rPr>
        <w:t>)</w:t>
      </w:r>
      <w:r>
        <w:rPr>
          <w:rFonts w:hint="eastAsia" w:ascii="宋体" w:hAnsi="宋体" w:cs="宋体"/>
          <w:color w:val="auto"/>
          <w:sz w:val="24"/>
          <w:highlight w:val="none"/>
          <w:lang w:bidi="ar"/>
        </w:rPr>
        <w:t>、文字部分：</w:t>
      </w:r>
    </w:p>
    <w:p w14:paraId="494A5C55">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1)</w:t>
      </w:r>
      <w:r>
        <w:rPr>
          <w:rFonts w:hint="eastAsia" w:ascii="宋体" w:hAnsi="宋体" w:cs="宋体"/>
          <w:color w:val="auto"/>
          <w:sz w:val="24"/>
          <w:highlight w:val="none"/>
          <w:lang w:bidi="ar"/>
        </w:rPr>
        <w:t xml:space="preserve"> 工程地质勘察目的、任务要求和依据的技术标准；</w:t>
      </w:r>
    </w:p>
    <w:p w14:paraId="5B22ECE8">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2)</w:t>
      </w:r>
      <w:r>
        <w:rPr>
          <w:rFonts w:hint="eastAsia" w:ascii="宋体" w:hAnsi="宋体" w:cs="宋体"/>
          <w:color w:val="auto"/>
          <w:sz w:val="24"/>
          <w:highlight w:val="none"/>
          <w:lang w:bidi="ar"/>
        </w:rPr>
        <w:t xml:space="preserve"> 拟建工程概况；</w:t>
      </w:r>
    </w:p>
    <w:p w14:paraId="0E72CBE9">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3)</w:t>
      </w:r>
      <w:r>
        <w:rPr>
          <w:rFonts w:hint="eastAsia" w:ascii="宋体" w:hAnsi="宋体" w:cs="宋体"/>
          <w:color w:val="auto"/>
          <w:sz w:val="24"/>
          <w:highlight w:val="none"/>
          <w:lang w:bidi="ar"/>
        </w:rPr>
        <w:t xml:space="preserve"> 勘察方法和勘察工作布置；</w:t>
      </w:r>
    </w:p>
    <w:p w14:paraId="632C7AED">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4)</w:t>
      </w:r>
      <w:r>
        <w:rPr>
          <w:rFonts w:hint="eastAsia" w:ascii="宋体" w:hAnsi="宋体" w:cs="宋体"/>
          <w:color w:val="auto"/>
          <w:sz w:val="24"/>
          <w:highlight w:val="none"/>
          <w:lang w:bidi="ar"/>
        </w:rPr>
        <w:t xml:space="preserve"> 场地地形、地貌、地质、地质构造、岩石性质及其均匀性；</w:t>
      </w:r>
    </w:p>
    <w:p w14:paraId="4E222DED">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 xml:space="preserve">5) </w:t>
      </w:r>
      <w:r>
        <w:rPr>
          <w:rFonts w:hint="eastAsia" w:ascii="宋体" w:hAnsi="宋体" w:cs="宋体"/>
          <w:color w:val="auto"/>
          <w:sz w:val="24"/>
          <w:highlight w:val="none"/>
          <w:lang w:bidi="ar"/>
        </w:rPr>
        <w:t>各项岩土性质指标，岩土的强度参数、变形参数、地基承载力的建议值；</w:t>
      </w:r>
    </w:p>
    <w:p w14:paraId="40AD383B">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 xml:space="preserve">6) </w:t>
      </w:r>
      <w:r>
        <w:rPr>
          <w:rFonts w:hint="eastAsia" w:ascii="宋体" w:hAnsi="宋体" w:cs="宋体"/>
          <w:color w:val="auto"/>
          <w:sz w:val="24"/>
          <w:highlight w:val="none"/>
          <w:lang w:bidi="ar"/>
        </w:rPr>
        <w:t>地上水埋藏情况、类型、水位及其变化；</w:t>
      </w:r>
    </w:p>
    <w:p w14:paraId="37494593">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 xml:space="preserve">7) </w:t>
      </w:r>
      <w:r>
        <w:rPr>
          <w:rFonts w:hint="eastAsia" w:ascii="宋体" w:hAnsi="宋体" w:cs="宋体"/>
          <w:color w:val="auto"/>
          <w:sz w:val="24"/>
          <w:highlight w:val="none"/>
          <w:lang w:bidi="ar"/>
        </w:rPr>
        <w:t>土和水对建筑材料的腐蚀性；</w:t>
      </w:r>
    </w:p>
    <w:p w14:paraId="35171F0E">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 xml:space="preserve">8) </w:t>
      </w:r>
      <w:r>
        <w:rPr>
          <w:rFonts w:hint="eastAsia" w:ascii="宋体" w:hAnsi="宋体" w:cs="宋体"/>
          <w:color w:val="auto"/>
          <w:sz w:val="24"/>
          <w:highlight w:val="none"/>
          <w:lang w:bidi="ar"/>
        </w:rPr>
        <w:t>可能影响工程稳定的不良地质作用的描述和对工程危害的程度的评价，及提供防治措施的建议；</w:t>
      </w:r>
    </w:p>
    <w:p w14:paraId="18134595">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9)</w:t>
      </w:r>
      <w:r>
        <w:rPr>
          <w:rFonts w:hint="eastAsia" w:ascii="宋体" w:hAnsi="宋体" w:cs="宋体"/>
          <w:color w:val="auto"/>
          <w:sz w:val="24"/>
          <w:highlight w:val="none"/>
          <w:lang w:bidi="ar"/>
        </w:rPr>
        <w:t xml:space="preserve"> 场地的稳定性和适宜性、地下水的影响、地震基本烈度、场地类别以及由于工程建筑可能引起的工程地质问题等的结论和建议；</w:t>
      </w:r>
    </w:p>
    <w:p w14:paraId="1A3F35C2">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10)</w:t>
      </w:r>
      <w:r>
        <w:rPr>
          <w:rFonts w:hint="eastAsia" w:ascii="宋体" w:hAnsi="宋体" w:cs="宋体"/>
          <w:color w:val="auto"/>
          <w:sz w:val="24"/>
          <w:highlight w:val="none"/>
          <w:lang w:bidi="ar"/>
        </w:rPr>
        <w:t xml:space="preserve"> 基坑开挖所需的岩土技术参数；</w:t>
      </w:r>
    </w:p>
    <w:p w14:paraId="7981ED65">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 xml:space="preserve">11) </w:t>
      </w:r>
      <w:r>
        <w:rPr>
          <w:rFonts w:hint="eastAsia" w:ascii="宋体" w:hAnsi="宋体" w:cs="宋体"/>
          <w:color w:val="auto"/>
          <w:sz w:val="24"/>
          <w:highlight w:val="none"/>
          <w:lang w:bidi="ar"/>
        </w:rPr>
        <w:t>基坑施工降水的有关技术参数及施工降水方法的建议；</w:t>
      </w:r>
    </w:p>
    <w:p w14:paraId="1F67878D">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 xml:space="preserve">12) </w:t>
      </w:r>
      <w:r>
        <w:rPr>
          <w:rFonts w:hint="eastAsia" w:ascii="宋体" w:hAnsi="宋体" w:cs="宋体"/>
          <w:color w:val="auto"/>
          <w:sz w:val="24"/>
          <w:highlight w:val="none"/>
          <w:lang w:bidi="ar"/>
        </w:rPr>
        <w:t>提供抗剪强度指标、变形参数指标和触探资料；</w:t>
      </w:r>
    </w:p>
    <w:p w14:paraId="2C4F1CDD">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 xml:space="preserve">13) </w:t>
      </w:r>
      <w:r>
        <w:rPr>
          <w:rFonts w:hint="eastAsia" w:ascii="宋体" w:hAnsi="宋体" w:cs="宋体"/>
          <w:color w:val="auto"/>
          <w:sz w:val="24"/>
          <w:highlight w:val="none"/>
          <w:lang w:bidi="ar"/>
        </w:rPr>
        <w:t>满足工程地质勘察任务书提出的其它各项要求；</w:t>
      </w:r>
    </w:p>
    <w:p w14:paraId="325F70F4">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 xml:space="preserve">14) </w:t>
      </w:r>
      <w:r>
        <w:rPr>
          <w:rFonts w:hint="eastAsia" w:ascii="宋体" w:hAnsi="宋体" w:cs="宋体"/>
          <w:color w:val="auto"/>
          <w:sz w:val="24"/>
          <w:highlight w:val="none"/>
          <w:lang w:bidi="ar"/>
        </w:rPr>
        <w:t>提供抗浮验算的各项计算参数；</w:t>
      </w:r>
    </w:p>
    <w:p w14:paraId="146E877D">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 xml:space="preserve">15) </w:t>
      </w:r>
      <w:r>
        <w:rPr>
          <w:rFonts w:hint="eastAsia" w:ascii="宋体" w:hAnsi="宋体" w:cs="宋体"/>
          <w:color w:val="auto"/>
          <w:sz w:val="24"/>
          <w:highlight w:val="none"/>
          <w:lang w:bidi="ar"/>
        </w:rPr>
        <w:t>提供基础选型、持力层选择的建议。</w:t>
      </w:r>
    </w:p>
    <w:p w14:paraId="2C8DFCDB">
      <w:pPr>
        <w:spacing w:before="93" w:after="93"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 w:bidi="ar"/>
        </w:rPr>
        <w:t>(</w:t>
      </w:r>
      <w:r>
        <w:rPr>
          <w:rFonts w:hint="eastAsia" w:ascii="宋体" w:hAnsi="宋体" w:cs="宋体"/>
          <w:color w:val="auto"/>
          <w:sz w:val="24"/>
          <w:highlight w:val="none"/>
          <w:lang w:bidi="ar"/>
        </w:rPr>
        <w:t>2</w:t>
      </w:r>
      <w:r>
        <w:rPr>
          <w:rFonts w:hint="eastAsia" w:ascii="宋体" w:hAnsi="宋体" w:cs="宋体"/>
          <w:color w:val="auto"/>
          <w:sz w:val="24"/>
          <w:highlight w:val="none"/>
          <w:lang w:eastAsia="zh" w:bidi="ar"/>
        </w:rPr>
        <w:t>)</w:t>
      </w:r>
      <w:r>
        <w:rPr>
          <w:rFonts w:hint="eastAsia" w:ascii="宋体" w:hAnsi="宋体" w:cs="宋体"/>
          <w:color w:val="auto"/>
          <w:sz w:val="24"/>
          <w:highlight w:val="none"/>
          <w:lang w:bidi="ar"/>
        </w:rPr>
        <w:t>、图表部分：</w:t>
      </w:r>
    </w:p>
    <w:p w14:paraId="1EBD5D32">
      <w:pPr>
        <w:spacing w:line="360" w:lineRule="auto"/>
        <w:ind w:left="1110" w:leftChars="300" w:hanging="480" w:hangingChars="200"/>
        <w:rPr>
          <w:rFonts w:ascii="宋体" w:hAnsi="宋体" w:cs="宋体"/>
          <w:color w:val="auto"/>
          <w:sz w:val="24"/>
          <w:highlight w:val="none"/>
          <w:lang w:eastAsia="zh" w:bidi="ar"/>
        </w:rPr>
      </w:pPr>
      <w:r>
        <w:rPr>
          <w:rFonts w:hint="eastAsia" w:ascii="宋体" w:hAnsi="宋体" w:cs="宋体"/>
          <w:color w:val="auto"/>
          <w:sz w:val="24"/>
          <w:highlight w:val="none"/>
          <w:lang w:eastAsia="zh" w:bidi="ar"/>
        </w:rPr>
        <w:t>1) 勘探点平面布置图；</w:t>
      </w:r>
    </w:p>
    <w:p w14:paraId="3A996ADF">
      <w:pPr>
        <w:spacing w:line="360" w:lineRule="auto"/>
        <w:ind w:left="1110" w:leftChars="300" w:hanging="480" w:hangingChars="200"/>
        <w:rPr>
          <w:rFonts w:ascii="宋体" w:hAnsi="宋体" w:cs="宋体"/>
          <w:color w:val="auto"/>
          <w:sz w:val="24"/>
          <w:highlight w:val="none"/>
          <w:lang w:eastAsia="zh" w:bidi="ar"/>
        </w:rPr>
      </w:pPr>
      <w:r>
        <w:rPr>
          <w:rFonts w:hint="eastAsia" w:ascii="宋体" w:hAnsi="宋体" w:cs="宋体"/>
          <w:color w:val="auto"/>
          <w:sz w:val="24"/>
          <w:highlight w:val="none"/>
          <w:lang w:eastAsia="zh" w:bidi="ar"/>
        </w:rPr>
        <w:t>2) 综合工程地质图；</w:t>
      </w:r>
    </w:p>
    <w:p w14:paraId="46CEC05D">
      <w:pPr>
        <w:spacing w:line="360" w:lineRule="auto"/>
        <w:ind w:left="1110" w:leftChars="300" w:hanging="480" w:hangingChars="200"/>
        <w:rPr>
          <w:rFonts w:ascii="宋体" w:hAnsi="宋体" w:cs="宋体"/>
          <w:color w:val="auto"/>
          <w:sz w:val="24"/>
          <w:highlight w:val="none"/>
          <w:lang w:eastAsia="zh" w:bidi="ar"/>
        </w:rPr>
      </w:pPr>
      <w:r>
        <w:rPr>
          <w:rFonts w:hint="eastAsia" w:ascii="宋体" w:hAnsi="宋体" w:cs="宋体"/>
          <w:color w:val="auto"/>
          <w:sz w:val="24"/>
          <w:highlight w:val="none"/>
          <w:lang w:eastAsia="zh" w:bidi="ar"/>
        </w:rPr>
        <w:t>3) 工程地质剖面图；</w:t>
      </w:r>
    </w:p>
    <w:p w14:paraId="4FF3A9B4">
      <w:pPr>
        <w:spacing w:line="360" w:lineRule="auto"/>
        <w:ind w:left="1110" w:leftChars="300" w:hanging="480" w:hangingChars="200"/>
        <w:rPr>
          <w:rFonts w:ascii="宋体" w:hAnsi="宋体" w:cs="宋体"/>
          <w:color w:val="auto"/>
          <w:sz w:val="24"/>
          <w:highlight w:val="none"/>
          <w:lang w:eastAsia="zh" w:bidi="ar"/>
        </w:rPr>
      </w:pPr>
      <w:r>
        <w:rPr>
          <w:rFonts w:hint="eastAsia" w:ascii="宋体" w:hAnsi="宋体" w:cs="宋体"/>
          <w:color w:val="auto"/>
          <w:sz w:val="24"/>
          <w:highlight w:val="none"/>
          <w:lang w:eastAsia="zh" w:bidi="ar"/>
        </w:rPr>
        <w:t>4) 工程地质柱状图或综合地质柱状图；</w:t>
      </w:r>
    </w:p>
    <w:p w14:paraId="437C6746">
      <w:pPr>
        <w:spacing w:line="360" w:lineRule="auto"/>
        <w:ind w:left="1110" w:leftChars="300" w:hanging="480" w:hangingChars="200"/>
        <w:rPr>
          <w:rFonts w:ascii="宋体" w:hAnsi="宋体" w:cs="宋体"/>
          <w:color w:val="auto"/>
          <w:sz w:val="24"/>
          <w:highlight w:val="none"/>
          <w:lang w:eastAsia="zh" w:bidi="ar"/>
        </w:rPr>
      </w:pPr>
      <w:r>
        <w:rPr>
          <w:rFonts w:hint="eastAsia" w:ascii="宋体" w:hAnsi="宋体" w:cs="宋体"/>
          <w:color w:val="auto"/>
          <w:sz w:val="24"/>
          <w:highlight w:val="none"/>
          <w:lang w:eastAsia="zh" w:bidi="ar"/>
        </w:rPr>
        <w:t>5) 室内实验成果图表；</w:t>
      </w:r>
    </w:p>
    <w:p w14:paraId="487503D9">
      <w:pPr>
        <w:spacing w:line="360" w:lineRule="auto"/>
        <w:ind w:left="1110" w:leftChars="300" w:hanging="480" w:hangingChars="200"/>
        <w:rPr>
          <w:rFonts w:ascii="宋体" w:hAnsi="宋体" w:cs="宋体"/>
          <w:color w:val="auto"/>
          <w:sz w:val="24"/>
          <w:highlight w:val="none"/>
          <w:lang w:eastAsia="zh" w:bidi="ar"/>
        </w:rPr>
      </w:pPr>
      <w:r>
        <w:rPr>
          <w:rFonts w:hint="eastAsia" w:ascii="宋体" w:hAnsi="宋体" w:cs="宋体"/>
          <w:color w:val="auto"/>
          <w:sz w:val="24"/>
          <w:highlight w:val="none"/>
          <w:lang w:eastAsia="zh" w:bidi="ar"/>
        </w:rPr>
        <w:t>6) 原位测试成果图表；</w:t>
      </w:r>
    </w:p>
    <w:p w14:paraId="16D3AEA0">
      <w:pPr>
        <w:spacing w:line="360" w:lineRule="auto"/>
        <w:ind w:left="1110" w:leftChars="300" w:hanging="480" w:hangingChars="200"/>
        <w:rPr>
          <w:rFonts w:ascii="宋体" w:hAnsi="宋体" w:cs="宋体"/>
          <w:color w:val="auto"/>
          <w:sz w:val="24"/>
          <w:highlight w:val="none"/>
          <w:lang w:eastAsia="zh" w:bidi="ar"/>
        </w:rPr>
      </w:pPr>
      <w:r>
        <w:rPr>
          <w:rFonts w:hint="eastAsia" w:ascii="宋体" w:hAnsi="宋体" w:cs="宋体"/>
          <w:color w:val="auto"/>
          <w:sz w:val="24"/>
          <w:highlight w:val="none"/>
          <w:lang w:eastAsia="zh" w:bidi="ar"/>
        </w:rPr>
        <w:t>7) 有关测试图表等；</w:t>
      </w:r>
    </w:p>
    <w:p w14:paraId="02697051">
      <w:pPr>
        <w:spacing w:line="360" w:lineRule="auto"/>
        <w:ind w:left="1110" w:leftChars="300" w:hanging="480" w:hangingChars="200"/>
        <w:rPr>
          <w:rFonts w:ascii="宋体" w:hAnsi="宋体" w:cs="宋体"/>
          <w:color w:val="auto"/>
          <w:sz w:val="24"/>
          <w:highlight w:val="none"/>
          <w:lang w:eastAsia="zh" w:bidi="ar"/>
        </w:rPr>
      </w:pPr>
      <w:r>
        <w:rPr>
          <w:rFonts w:hint="eastAsia" w:ascii="宋体" w:hAnsi="宋体" w:cs="宋体"/>
          <w:color w:val="auto"/>
          <w:sz w:val="24"/>
          <w:highlight w:val="none"/>
          <w:lang w:eastAsia="zh" w:bidi="ar"/>
        </w:rPr>
        <w:t>8) 岩面等高线图；</w:t>
      </w:r>
    </w:p>
    <w:p w14:paraId="284BFC7A">
      <w:pPr>
        <w:spacing w:line="360" w:lineRule="auto"/>
        <w:ind w:left="1110" w:leftChars="300" w:hanging="480" w:hangingChars="200"/>
        <w:rPr>
          <w:rFonts w:ascii="宋体" w:hAnsi="宋体" w:cs="宋体"/>
          <w:color w:val="auto"/>
          <w:sz w:val="24"/>
          <w:highlight w:val="none"/>
          <w:lang w:eastAsia="zh" w:bidi="ar"/>
        </w:rPr>
      </w:pPr>
      <w:r>
        <w:rPr>
          <w:rFonts w:hint="eastAsia" w:ascii="宋体" w:hAnsi="宋体" w:cs="宋体"/>
          <w:color w:val="auto"/>
          <w:sz w:val="24"/>
          <w:highlight w:val="none"/>
          <w:lang w:eastAsia="zh" w:bidi="ar"/>
        </w:rPr>
        <w:t>9) 岩样照片；</w:t>
      </w:r>
    </w:p>
    <w:p w14:paraId="197F6A8D">
      <w:pPr>
        <w:spacing w:line="360" w:lineRule="auto"/>
        <w:ind w:left="1110" w:leftChars="300" w:hanging="480" w:hangingChars="200"/>
        <w:rPr>
          <w:rFonts w:ascii="宋体" w:hAnsi="宋体" w:cs="宋体"/>
          <w:color w:val="auto"/>
          <w:sz w:val="24"/>
          <w:highlight w:val="none"/>
        </w:rPr>
      </w:pPr>
      <w:r>
        <w:rPr>
          <w:rFonts w:hint="eastAsia" w:ascii="宋体" w:hAnsi="宋体" w:cs="宋体"/>
          <w:color w:val="auto"/>
          <w:sz w:val="24"/>
          <w:highlight w:val="none"/>
          <w:lang w:eastAsia="zh" w:bidi="ar"/>
        </w:rPr>
        <w:t>10) 不良地质（如有，如孤石、岩溶等）情况分布图及相关列表。</w:t>
      </w:r>
    </w:p>
    <w:p w14:paraId="7D694C44">
      <w:pPr>
        <w:spacing w:line="360" w:lineRule="auto"/>
        <w:ind w:firstLine="482" w:firstLineChars="200"/>
        <w:jc w:val="left"/>
        <w:rPr>
          <w:rFonts w:ascii="宋体" w:hAnsi="宋体" w:cs="宋体"/>
          <w:b/>
          <w:color w:val="auto"/>
          <w:sz w:val="24"/>
          <w:highlight w:val="none"/>
        </w:rPr>
      </w:pPr>
      <w:r>
        <w:rPr>
          <w:rFonts w:ascii="宋体" w:hAnsi="宋体" w:cs="宋体"/>
          <w:b/>
          <w:color w:val="auto"/>
          <w:sz w:val="24"/>
          <w:highlight w:val="none"/>
          <w:lang w:bidi="ar"/>
        </w:rPr>
        <w:t>2.</w:t>
      </w:r>
      <w:r>
        <w:rPr>
          <w:rFonts w:hint="eastAsia" w:ascii="宋体" w:hAnsi="宋体" w:cs="宋体"/>
          <w:b/>
          <w:color w:val="auto"/>
          <w:sz w:val="24"/>
          <w:highlight w:val="none"/>
          <w:lang w:bidi="ar"/>
        </w:rPr>
        <w:t>地下物探测（含管线探测）</w:t>
      </w:r>
    </w:p>
    <w:p w14:paraId="4982A023">
      <w:pPr>
        <w:spacing w:before="93" w:after="93"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 w:bidi="ar"/>
        </w:rPr>
        <w:t>（</w:t>
      </w:r>
      <w:r>
        <w:rPr>
          <w:rFonts w:hint="eastAsia" w:ascii="宋体" w:hAnsi="宋体" w:cs="宋体"/>
          <w:color w:val="auto"/>
          <w:sz w:val="24"/>
          <w:highlight w:val="none"/>
          <w:lang w:bidi="ar"/>
        </w:rPr>
        <w:t>1</w:t>
      </w:r>
      <w:r>
        <w:rPr>
          <w:rFonts w:hint="eastAsia" w:ascii="宋体" w:hAnsi="宋体" w:cs="宋体"/>
          <w:color w:val="auto"/>
          <w:sz w:val="24"/>
          <w:highlight w:val="none"/>
          <w:lang w:eastAsia="zh" w:bidi="ar"/>
        </w:rPr>
        <w:t>）</w:t>
      </w:r>
      <w:r>
        <w:rPr>
          <w:rFonts w:hint="eastAsia" w:ascii="宋体" w:hAnsi="宋体" w:cs="宋体"/>
          <w:color w:val="auto"/>
          <w:sz w:val="24"/>
          <w:highlight w:val="none"/>
          <w:lang w:bidi="ar"/>
        </w:rPr>
        <w:t>、管线探测报告；</w:t>
      </w:r>
    </w:p>
    <w:p w14:paraId="6C548C2D">
      <w:pPr>
        <w:spacing w:line="360" w:lineRule="auto"/>
        <w:ind w:left="480"/>
        <w:rPr>
          <w:rFonts w:ascii="宋体" w:hAnsi="宋体" w:cs="宋体"/>
          <w:color w:val="auto"/>
          <w:sz w:val="24"/>
          <w:highlight w:val="none"/>
        </w:rPr>
      </w:pPr>
      <w:r>
        <w:rPr>
          <w:rFonts w:hint="eastAsia" w:ascii="宋体" w:hAnsi="宋体" w:cs="宋体"/>
          <w:color w:val="auto"/>
          <w:sz w:val="24"/>
          <w:highlight w:val="none"/>
          <w:lang w:eastAsia="zh" w:bidi="ar"/>
        </w:rPr>
        <w:t>（2）</w:t>
      </w:r>
      <w:r>
        <w:rPr>
          <w:rFonts w:hint="eastAsia" w:ascii="宋体" w:hAnsi="宋体" w:cs="宋体"/>
          <w:color w:val="auto"/>
          <w:sz w:val="24"/>
          <w:highlight w:val="none"/>
          <w:lang w:bidi="ar"/>
        </w:rPr>
        <w:t>、附表管线成果表；</w:t>
      </w:r>
    </w:p>
    <w:p w14:paraId="716207B0">
      <w:pPr>
        <w:spacing w:line="360" w:lineRule="auto"/>
        <w:ind w:left="480"/>
        <w:rPr>
          <w:rFonts w:ascii="宋体" w:hAnsi="宋体" w:cs="宋体"/>
          <w:color w:val="auto"/>
          <w:sz w:val="24"/>
          <w:highlight w:val="none"/>
        </w:rPr>
      </w:pPr>
      <w:r>
        <w:rPr>
          <w:rFonts w:hint="eastAsia" w:ascii="宋体" w:hAnsi="宋体" w:cs="宋体"/>
          <w:color w:val="auto"/>
          <w:sz w:val="24"/>
          <w:highlight w:val="none"/>
          <w:lang w:eastAsia="zh" w:bidi="ar"/>
        </w:rPr>
        <w:t>（</w:t>
      </w:r>
      <w:r>
        <w:rPr>
          <w:rFonts w:hint="eastAsia" w:ascii="宋体" w:hAnsi="宋体" w:cs="宋体"/>
          <w:color w:val="auto"/>
          <w:sz w:val="24"/>
          <w:highlight w:val="none"/>
          <w:lang w:bidi="ar"/>
        </w:rPr>
        <w:t>3</w:t>
      </w:r>
      <w:r>
        <w:rPr>
          <w:rFonts w:hint="eastAsia" w:ascii="宋体" w:hAnsi="宋体" w:cs="宋体"/>
          <w:color w:val="auto"/>
          <w:sz w:val="24"/>
          <w:highlight w:val="none"/>
          <w:lang w:eastAsia="zh" w:bidi="ar"/>
        </w:rPr>
        <w:t>）</w:t>
      </w:r>
      <w:r>
        <w:rPr>
          <w:rFonts w:hint="eastAsia" w:ascii="宋体" w:hAnsi="宋体" w:cs="宋体"/>
          <w:color w:val="auto"/>
          <w:sz w:val="24"/>
          <w:highlight w:val="none"/>
          <w:lang w:bidi="ar"/>
        </w:rPr>
        <w:t>、附图综合管线图；</w:t>
      </w:r>
    </w:p>
    <w:p w14:paraId="1912B08E">
      <w:pPr>
        <w:spacing w:line="360" w:lineRule="auto"/>
        <w:ind w:left="480"/>
        <w:rPr>
          <w:rFonts w:ascii="宋体" w:hAnsi="宋体" w:cs="宋体"/>
          <w:color w:val="auto"/>
          <w:sz w:val="24"/>
          <w:highlight w:val="none"/>
        </w:rPr>
      </w:pPr>
      <w:r>
        <w:rPr>
          <w:rFonts w:hint="eastAsia" w:ascii="宋体" w:hAnsi="宋体" w:cs="宋体"/>
          <w:color w:val="auto"/>
          <w:sz w:val="24"/>
          <w:highlight w:val="none"/>
          <w:lang w:eastAsia="zh" w:bidi="ar"/>
        </w:rPr>
        <w:t>（</w:t>
      </w:r>
      <w:r>
        <w:rPr>
          <w:rFonts w:hint="eastAsia" w:ascii="宋体" w:hAnsi="宋体" w:cs="宋体"/>
          <w:color w:val="auto"/>
          <w:sz w:val="24"/>
          <w:highlight w:val="none"/>
          <w:lang w:bidi="ar"/>
        </w:rPr>
        <w:t>4</w:t>
      </w:r>
      <w:r>
        <w:rPr>
          <w:rFonts w:hint="eastAsia" w:ascii="宋体" w:hAnsi="宋体" w:cs="宋体"/>
          <w:color w:val="auto"/>
          <w:sz w:val="24"/>
          <w:highlight w:val="none"/>
          <w:lang w:eastAsia="zh" w:bidi="ar"/>
        </w:rPr>
        <w:t>）</w:t>
      </w:r>
      <w:r>
        <w:rPr>
          <w:rFonts w:hint="eastAsia" w:ascii="宋体" w:hAnsi="宋体" w:cs="宋体"/>
          <w:color w:val="auto"/>
          <w:sz w:val="24"/>
          <w:highlight w:val="none"/>
          <w:lang w:bidi="ar"/>
        </w:rPr>
        <w:t>、以上资料的数据光盘。</w:t>
      </w:r>
    </w:p>
    <w:p w14:paraId="38AD329B">
      <w:pPr>
        <w:spacing w:line="360" w:lineRule="auto"/>
        <w:ind w:firstLine="480" w:firstLineChars="200"/>
        <w:jc w:val="left"/>
        <w:rPr>
          <w:rFonts w:cs="Cambria" w:asciiTheme="minorEastAsia" w:hAnsiTheme="minorEastAsia"/>
          <w:color w:val="auto"/>
          <w:sz w:val="24"/>
          <w:highlight w:val="none"/>
        </w:rPr>
      </w:pPr>
      <w:r>
        <w:rPr>
          <w:rFonts w:hint="eastAsia" w:cs="Cambria" w:asciiTheme="minorEastAsia" w:hAnsiTheme="minorEastAsia"/>
          <w:color w:val="auto"/>
          <w:sz w:val="24"/>
          <w:highlight w:val="none"/>
        </w:rPr>
        <w:t>备注：工作量以实际作业工作量为准。</w:t>
      </w:r>
    </w:p>
    <w:p w14:paraId="49C02C2F">
      <w:pPr>
        <w:pStyle w:val="16"/>
        <w:spacing w:line="360" w:lineRule="auto"/>
        <w:ind w:firstLine="482" w:firstLineChars="200"/>
        <w:rPr>
          <w:rFonts w:cs="Cambria" w:asciiTheme="minorEastAsia" w:hAnsiTheme="minorEastAsia" w:eastAsiaTheme="minorEastAsia"/>
          <w:b/>
          <w:bCs/>
          <w:color w:val="auto"/>
          <w:sz w:val="24"/>
          <w:highlight w:val="none"/>
          <w:lang w:eastAsia="zh"/>
        </w:rPr>
      </w:pPr>
      <w:r>
        <w:rPr>
          <w:rFonts w:hint="eastAsia" w:cs="Cambria" w:asciiTheme="minorEastAsia" w:hAnsiTheme="minorEastAsia" w:eastAsiaTheme="minorEastAsia"/>
          <w:b/>
          <w:bCs/>
          <w:color w:val="auto"/>
          <w:sz w:val="24"/>
          <w:highlight w:val="none"/>
        </w:rPr>
        <w:t>（</w:t>
      </w:r>
      <w:r>
        <w:rPr>
          <w:rFonts w:hint="eastAsia" w:cs="Cambria" w:asciiTheme="minorEastAsia" w:hAnsiTheme="minorEastAsia" w:eastAsiaTheme="minorEastAsia"/>
          <w:b/>
          <w:bCs/>
          <w:color w:val="auto"/>
          <w:sz w:val="24"/>
          <w:highlight w:val="none"/>
          <w:lang w:eastAsia="zh"/>
        </w:rPr>
        <w:t>六</w:t>
      </w:r>
      <w:r>
        <w:rPr>
          <w:rFonts w:hint="eastAsia" w:cs="Cambria" w:asciiTheme="minorEastAsia" w:hAnsiTheme="minorEastAsia" w:eastAsiaTheme="minorEastAsia"/>
          <w:b/>
          <w:bCs/>
          <w:color w:val="auto"/>
          <w:sz w:val="24"/>
          <w:highlight w:val="none"/>
        </w:rPr>
        <w:t>）</w:t>
      </w:r>
      <w:r>
        <w:rPr>
          <w:rFonts w:hint="eastAsia" w:cs="Cambria" w:asciiTheme="minorEastAsia" w:hAnsiTheme="minorEastAsia" w:eastAsiaTheme="minorEastAsia"/>
          <w:b/>
          <w:bCs/>
          <w:color w:val="auto"/>
          <w:sz w:val="24"/>
          <w:highlight w:val="none"/>
          <w:lang w:eastAsia="zh"/>
        </w:rPr>
        <w:t>工期要求</w:t>
      </w:r>
    </w:p>
    <w:p w14:paraId="5434D252">
      <w:pPr>
        <w:tabs>
          <w:tab w:val="left" w:pos="900"/>
        </w:tabs>
        <w:spacing w:line="360" w:lineRule="auto"/>
        <w:ind w:firstLine="480" w:firstLineChars="200"/>
        <w:rPr>
          <w:rFonts w:cs="Cambria" w:asciiTheme="minorEastAsia" w:hAnsiTheme="minorEastAsia"/>
          <w:color w:val="auto"/>
          <w:sz w:val="24"/>
          <w:highlight w:val="none"/>
        </w:rPr>
      </w:pPr>
      <w:r>
        <w:rPr>
          <w:rFonts w:hint="eastAsia" w:cs="Cambria" w:asciiTheme="minorEastAsia" w:hAnsiTheme="minorEastAsia"/>
          <w:color w:val="auto"/>
          <w:sz w:val="24"/>
          <w:highlight w:val="none"/>
        </w:rPr>
        <w:t>1、岩土工程勘察：承包人应在发包人通知进场后15日内提交中间成果资料，30日内提交正式成果文件；</w:t>
      </w:r>
    </w:p>
    <w:p w14:paraId="6DAAF22B">
      <w:pPr>
        <w:tabs>
          <w:tab w:val="left" w:pos="900"/>
        </w:tabs>
        <w:spacing w:line="360" w:lineRule="auto"/>
        <w:ind w:firstLine="480" w:firstLineChars="200"/>
        <w:rPr>
          <w:rFonts w:cs="Cambria" w:asciiTheme="minorEastAsia" w:hAnsiTheme="minorEastAsia"/>
          <w:color w:val="auto"/>
          <w:sz w:val="24"/>
          <w:highlight w:val="none"/>
        </w:rPr>
      </w:pPr>
      <w:r>
        <w:rPr>
          <w:rFonts w:hint="eastAsia" w:cs="Cambria" w:asciiTheme="minorEastAsia" w:hAnsiTheme="minorEastAsia"/>
          <w:color w:val="auto"/>
          <w:sz w:val="24"/>
          <w:highlight w:val="none"/>
        </w:rPr>
        <w:t>2、地下物探测：承包人应在发包人通知进场后15日内提交中间成果资料，30日内提交正式成果文件；</w:t>
      </w:r>
    </w:p>
    <w:p w14:paraId="25AC0E95">
      <w:pPr>
        <w:tabs>
          <w:tab w:val="left" w:pos="900"/>
        </w:tabs>
        <w:spacing w:line="360" w:lineRule="auto"/>
        <w:ind w:firstLine="480" w:firstLineChars="200"/>
        <w:rPr>
          <w:rFonts w:cs="Cambria" w:asciiTheme="minorEastAsia" w:hAnsiTheme="minorEastAsia"/>
          <w:color w:val="auto"/>
          <w:sz w:val="24"/>
          <w:highlight w:val="none"/>
        </w:rPr>
      </w:pPr>
      <w:r>
        <w:rPr>
          <w:rFonts w:hint="eastAsia" w:cs="Cambria" w:asciiTheme="minorEastAsia" w:hAnsiTheme="minorEastAsia"/>
          <w:color w:val="auto"/>
          <w:sz w:val="24"/>
          <w:highlight w:val="none"/>
        </w:rPr>
        <w:t>3、其它勘察成果：按本工程进度要求提供，不得耽误项目推进工期。</w:t>
      </w:r>
    </w:p>
    <w:p w14:paraId="23D703BD">
      <w:pPr>
        <w:tabs>
          <w:tab w:val="left" w:pos="900"/>
        </w:tabs>
        <w:spacing w:line="360" w:lineRule="auto"/>
        <w:ind w:firstLine="480" w:firstLineChars="200"/>
        <w:rPr>
          <w:rFonts w:cs="Cambria" w:asciiTheme="minorEastAsia" w:hAnsiTheme="minorEastAsia"/>
          <w:color w:val="auto"/>
          <w:sz w:val="24"/>
          <w:highlight w:val="none"/>
        </w:rPr>
      </w:pPr>
      <w:r>
        <w:rPr>
          <w:rFonts w:hint="eastAsia" w:cs="Cambria" w:asciiTheme="minorEastAsia" w:hAnsiTheme="minorEastAsia"/>
          <w:color w:val="auto"/>
          <w:sz w:val="24"/>
          <w:highlight w:val="none"/>
        </w:rPr>
        <w:t>4、参加基础封底或终孔验收，对基础持力层地质情况负责；</w:t>
      </w:r>
    </w:p>
    <w:p w14:paraId="5D6D4EE1">
      <w:pPr>
        <w:tabs>
          <w:tab w:val="left" w:pos="900"/>
        </w:tabs>
        <w:spacing w:line="360" w:lineRule="auto"/>
        <w:ind w:firstLine="480" w:firstLineChars="200"/>
        <w:rPr>
          <w:color w:val="auto"/>
          <w:kern w:val="1"/>
          <w:highlight w:val="none"/>
        </w:rPr>
      </w:pPr>
      <w:r>
        <w:rPr>
          <w:rFonts w:hint="eastAsia" w:cs="Cambria" w:asciiTheme="minorEastAsia" w:hAnsiTheme="minorEastAsia"/>
          <w:color w:val="auto"/>
          <w:sz w:val="24"/>
          <w:highlight w:val="none"/>
        </w:rPr>
        <w:t>5、现场参与试桩。</w:t>
      </w:r>
    </w:p>
    <w:p w14:paraId="04B6E7E9">
      <w:pPr>
        <w:spacing w:line="360" w:lineRule="auto"/>
        <w:jc w:val="center"/>
        <w:outlineLvl w:val="0"/>
        <w:rPr>
          <w:rFonts w:ascii="宋体" w:hAnsi="宋体" w:eastAsia="仿宋_GB2312" w:cs="宋体"/>
          <w:b/>
          <w:color w:val="auto"/>
          <w:kern w:val="2"/>
          <w:sz w:val="36"/>
          <w:szCs w:val="36"/>
          <w:highlight w:val="none"/>
        </w:rPr>
      </w:pPr>
    </w:p>
    <w:p w14:paraId="64A13788">
      <w:pPr>
        <w:pStyle w:val="2"/>
        <w:ind w:firstLine="372"/>
        <w:rPr>
          <w:rFonts w:ascii="宋体" w:hAnsi="宋体" w:eastAsia="仿宋_GB2312" w:cs="宋体"/>
          <w:b/>
          <w:color w:val="auto"/>
          <w:sz w:val="36"/>
          <w:szCs w:val="36"/>
          <w:highlight w:val="none"/>
        </w:rPr>
      </w:pPr>
      <w:r>
        <w:rPr>
          <w:color w:val="auto"/>
          <w:highlight w:val="none"/>
        </w:rPr>
        <w:br w:type="page"/>
      </w:r>
      <w:r>
        <w:rPr>
          <w:rFonts w:hint="eastAsia" w:ascii="宋体" w:hAnsi="宋体" w:eastAsia="仿宋_GB2312" w:cs="宋体"/>
          <w:b/>
          <w:color w:val="auto"/>
          <w:kern w:val="2"/>
          <w:sz w:val="36"/>
          <w:szCs w:val="36"/>
          <w:highlight w:val="none"/>
        </w:rPr>
        <w:t>附件：</w:t>
      </w:r>
      <w:r>
        <w:rPr>
          <w:rFonts w:ascii="宋体" w:hAnsi="宋体" w:eastAsia="仿宋_GB2312" w:cs="宋体"/>
          <w:b/>
          <w:color w:val="auto"/>
          <w:kern w:val="2"/>
          <w:sz w:val="36"/>
          <w:szCs w:val="36"/>
          <w:highlight w:val="none"/>
        </w:rPr>
        <w:t>勘察设计单位履约考核</w:t>
      </w:r>
      <w:r>
        <w:rPr>
          <w:rFonts w:hint="eastAsia" w:ascii="宋体" w:hAnsi="宋体" w:eastAsia="仿宋_GB2312" w:cs="宋体"/>
          <w:b/>
          <w:color w:val="auto"/>
          <w:kern w:val="2"/>
          <w:sz w:val="36"/>
          <w:szCs w:val="36"/>
          <w:highlight w:val="none"/>
        </w:rPr>
        <w:t>办法</w:t>
      </w:r>
    </w:p>
    <w:p w14:paraId="16886C47">
      <w:pPr>
        <w:spacing w:line="360" w:lineRule="auto"/>
        <w:ind w:firstLine="562" w:firstLineChars="200"/>
        <w:jc w:val="left"/>
        <w:rPr>
          <w:rFonts w:ascii="宋体" w:hAnsi="宋体" w:cs="Times New Roman"/>
          <w:b/>
          <w:color w:val="auto"/>
          <w:spacing w:val="20"/>
          <w:sz w:val="24"/>
          <w:szCs w:val="20"/>
          <w:highlight w:val="none"/>
        </w:rPr>
      </w:pPr>
    </w:p>
    <w:p w14:paraId="4D5A7723">
      <w:pPr>
        <w:spacing w:line="360" w:lineRule="auto"/>
        <w:ind w:firstLine="480"/>
        <w:jc w:val="left"/>
        <w:rPr>
          <w:rFonts w:ascii="宋体" w:hAnsi="宋体" w:cs="Times New Roman"/>
          <w:color w:val="auto"/>
          <w:sz w:val="24"/>
          <w:szCs w:val="20"/>
          <w:highlight w:val="none"/>
        </w:rPr>
      </w:pPr>
      <w:r>
        <w:rPr>
          <w:rFonts w:hint="eastAsia" w:cs="Times New Roman"/>
          <w:color w:val="auto"/>
          <w:kern w:val="2"/>
          <w:sz w:val="24"/>
          <w:szCs w:val="20"/>
          <w:highlight w:val="none"/>
        </w:rPr>
        <w:t>为加强对勘察设计单位的管控，确保勘察设计各阶段成果质量、设计进度能满足总体计划要求，增加勘察设计单位的服务水平，从勘察设计团队、勘察设计要求、勘察设计进度管理、勘察设计质量管理、勘察设计成本管理、勘察设计服务等方面对勘察设计单位进行考核，</w:t>
      </w:r>
      <w:r>
        <w:rPr>
          <w:rFonts w:hint="eastAsia" w:ascii="宋体" w:hAnsi="宋体" w:cs="Times New Roman"/>
          <w:color w:val="auto"/>
          <w:kern w:val="2"/>
          <w:sz w:val="24"/>
          <w:szCs w:val="20"/>
          <w:highlight w:val="none"/>
        </w:rPr>
        <w:t>制定本办法。</w:t>
      </w:r>
    </w:p>
    <w:p w14:paraId="69EA034E">
      <w:pPr>
        <w:spacing w:line="360" w:lineRule="auto"/>
        <w:ind w:firstLine="480"/>
        <w:jc w:val="left"/>
        <w:rPr>
          <w:rFonts w:cs="Times New Roman"/>
          <w:color w:val="auto"/>
          <w:sz w:val="24"/>
          <w:szCs w:val="20"/>
          <w:highlight w:val="none"/>
        </w:rPr>
      </w:pPr>
      <w:r>
        <w:rPr>
          <w:rFonts w:hint="eastAsia" w:cs="Times New Roman"/>
          <w:color w:val="auto"/>
          <w:kern w:val="2"/>
          <w:sz w:val="24"/>
          <w:szCs w:val="20"/>
          <w:highlight w:val="none"/>
        </w:rPr>
        <w:t>勘察设计单位应重视《勘察设计单位履约考核表》所列条款内容并予以配合。《勘察设计单位履约考核表》仅对勘察设计单位考核评分，所列条款内容与本项目合同条款内容表述不一致，以本项目合同为准，考核项目涉及违约金及扣款的以本项目合同为准。</w:t>
      </w:r>
    </w:p>
    <w:p w14:paraId="7DD830F9">
      <w:pPr>
        <w:spacing w:line="360" w:lineRule="auto"/>
        <w:ind w:firstLine="480"/>
        <w:jc w:val="left"/>
        <w:rPr>
          <w:rFonts w:cs="Times New Roman"/>
          <w:color w:val="auto"/>
          <w:sz w:val="24"/>
          <w:szCs w:val="20"/>
          <w:highlight w:val="none"/>
        </w:rPr>
      </w:pPr>
      <w:r>
        <w:rPr>
          <w:rFonts w:hint="eastAsia" w:cs="Times New Roman"/>
          <w:color w:val="auto"/>
          <w:kern w:val="2"/>
          <w:sz w:val="24"/>
          <w:szCs w:val="20"/>
          <w:highlight w:val="none"/>
        </w:rPr>
        <w:t>一、考核办法</w:t>
      </w:r>
    </w:p>
    <w:p w14:paraId="0129E969">
      <w:pPr>
        <w:spacing w:line="360" w:lineRule="auto"/>
        <w:ind w:firstLine="480"/>
        <w:jc w:val="left"/>
        <w:rPr>
          <w:rFonts w:cs="Times New Roman"/>
          <w:color w:val="auto"/>
          <w:sz w:val="24"/>
          <w:szCs w:val="20"/>
          <w:highlight w:val="none"/>
        </w:rPr>
      </w:pPr>
      <w:r>
        <w:rPr>
          <w:rFonts w:hint="eastAsia" w:cs="Times New Roman"/>
          <w:color w:val="auto"/>
          <w:kern w:val="2"/>
          <w:sz w:val="24"/>
          <w:szCs w:val="20"/>
          <w:highlight w:val="none"/>
        </w:rPr>
        <w:t>1、考核人员：建设单位代表1人，代建单位代表4人（设计管理代表2人、合同代表1人、现场代表1人）。</w:t>
      </w:r>
    </w:p>
    <w:p w14:paraId="20315CDD">
      <w:pPr>
        <w:spacing w:line="360" w:lineRule="auto"/>
        <w:ind w:firstLine="480"/>
        <w:jc w:val="left"/>
        <w:rPr>
          <w:rFonts w:cs="Times New Roman"/>
          <w:color w:val="auto"/>
          <w:sz w:val="24"/>
          <w:szCs w:val="20"/>
          <w:highlight w:val="none"/>
        </w:rPr>
      </w:pPr>
      <w:r>
        <w:rPr>
          <w:rFonts w:hint="eastAsia" w:cs="Times New Roman"/>
          <w:color w:val="auto"/>
          <w:kern w:val="2"/>
          <w:sz w:val="24"/>
          <w:szCs w:val="20"/>
          <w:highlight w:val="none"/>
        </w:rPr>
        <w:t>2、考核期限：分为过程考核和项目考核，过程考核每半年组织一次，项目考核在完成项目竣工验收后实施，其中设计周期不足6个月的采用项目考核。</w:t>
      </w:r>
    </w:p>
    <w:p w14:paraId="1CAD0E2F">
      <w:pPr>
        <w:spacing w:line="360" w:lineRule="auto"/>
        <w:ind w:firstLine="480"/>
        <w:jc w:val="left"/>
        <w:rPr>
          <w:rFonts w:cs="Times New Roman"/>
          <w:color w:val="auto"/>
          <w:sz w:val="24"/>
          <w:szCs w:val="20"/>
          <w:highlight w:val="none"/>
        </w:rPr>
      </w:pPr>
      <w:r>
        <w:rPr>
          <w:rFonts w:hint="eastAsia" w:cs="Times New Roman"/>
          <w:color w:val="auto"/>
          <w:kern w:val="2"/>
          <w:sz w:val="24"/>
          <w:szCs w:val="20"/>
          <w:highlight w:val="none"/>
        </w:rPr>
        <w:t>3、考核方式：考核采用勘察设计单位履约考核表，采用百分扣分制（总分100分），根据检查内容及扣分标准进行评分，考核结果分“优”</w:t>
      </w:r>
      <w:r>
        <w:rPr>
          <w:rFonts w:hint="eastAsia" w:cs="Times New Roman"/>
          <w:color w:val="auto"/>
          <w:kern w:val="2"/>
          <w:szCs w:val="21"/>
          <w:highlight w:val="none"/>
        </w:rPr>
        <w:t>（</w:t>
      </w:r>
      <w:r>
        <w:rPr>
          <w:rFonts w:cs="Times New Roman"/>
          <w:color w:val="auto"/>
          <w:kern w:val="2"/>
          <w:szCs w:val="21"/>
          <w:highlight w:val="none"/>
        </w:rPr>
        <w:t>得分</w:t>
      </w:r>
      <w:r>
        <w:rPr>
          <w:rFonts w:hint="eastAsia" w:cs="Times New Roman"/>
          <w:color w:val="auto"/>
          <w:kern w:val="2"/>
          <w:szCs w:val="21"/>
          <w:highlight w:val="none"/>
        </w:rPr>
        <w:t>≥</w:t>
      </w:r>
      <w:r>
        <w:rPr>
          <w:rFonts w:cs="Times New Roman"/>
          <w:color w:val="auto"/>
          <w:kern w:val="2"/>
          <w:szCs w:val="21"/>
          <w:highlight w:val="none"/>
        </w:rPr>
        <w:t>9</w:t>
      </w:r>
      <w:r>
        <w:rPr>
          <w:rFonts w:hint="eastAsia" w:cs="Times New Roman"/>
          <w:color w:val="auto"/>
          <w:kern w:val="2"/>
          <w:szCs w:val="21"/>
          <w:highlight w:val="none"/>
        </w:rPr>
        <w:t>0</w:t>
      </w:r>
      <w:r>
        <w:rPr>
          <w:rFonts w:cs="Times New Roman"/>
          <w:color w:val="auto"/>
          <w:kern w:val="2"/>
          <w:szCs w:val="21"/>
          <w:highlight w:val="none"/>
        </w:rPr>
        <w:t>分</w:t>
      </w:r>
      <w:r>
        <w:rPr>
          <w:rFonts w:hint="eastAsia" w:cs="Times New Roman"/>
          <w:color w:val="auto"/>
          <w:kern w:val="2"/>
          <w:szCs w:val="21"/>
          <w:highlight w:val="none"/>
        </w:rPr>
        <w:t>）</w:t>
      </w:r>
      <w:r>
        <w:rPr>
          <w:rFonts w:hint="eastAsia" w:cs="Times New Roman"/>
          <w:color w:val="auto"/>
          <w:kern w:val="2"/>
          <w:sz w:val="24"/>
          <w:szCs w:val="20"/>
          <w:highlight w:val="none"/>
        </w:rPr>
        <w:t>、 “良”</w:t>
      </w:r>
      <w:r>
        <w:rPr>
          <w:rFonts w:hint="eastAsia" w:cs="Times New Roman"/>
          <w:color w:val="auto"/>
          <w:kern w:val="2"/>
          <w:szCs w:val="21"/>
          <w:highlight w:val="none"/>
        </w:rPr>
        <w:t>（80</w:t>
      </w:r>
      <w:r>
        <w:rPr>
          <w:rFonts w:cs="Times New Roman"/>
          <w:color w:val="auto"/>
          <w:kern w:val="2"/>
          <w:szCs w:val="21"/>
          <w:highlight w:val="none"/>
        </w:rPr>
        <w:t>分≤得分＜9</w:t>
      </w:r>
      <w:r>
        <w:rPr>
          <w:rFonts w:hint="eastAsia" w:cs="Times New Roman"/>
          <w:color w:val="auto"/>
          <w:kern w:val="2"/>
          <w:szCs w:val="21"/>
          <w:highlight w:val="none"/>
        </w:rPr>
        <w:t>0</w:t>
      </w:r>
      <w:r>
        <w:rPr>
          <w:rFonts w:cs="Times New Roman"/>
          <w:color w:val="auto"/>
          <w:kern w:val="2"/>
          <w:szCs w:val="21"/>
          <w:highlight w:val="none"/>
        </w:rPr>
        <w:t>分</w:t>
      </w:r>
      <w:r>
        <w:rPr>
          <w:rFonts w:hint="eastAsia" w:cs="Times New Roman"/>
          <w:color w:val="auto"/>
          <w:kern w:val="2"/>
          <w:szCs w:val="21"/>
          <w:highlight w:val="none"/>
        </w:rPr>
        <w:t>）</w:t>
      </w:r>
      <w:r>
        <w:rPr>
          <w:rFonts w:hint="eastAsia" w:cs="Times New Roman"/>
          <w:color w:val="auto"/>
          <w:kern w:val="2"/>
          <w:sz w:val="24"/>
          <w:szCs w:val="20"/>
          <w:highlight w:val="none"/>
        </w:rPr>
        <w:t>、“中”</w:t>
      </w:r>
      <w:r>
        <w:rPr>
          <w:rFonts w:hint="eastAsia" w:cs="Times New Roman"/>
          <w:color w:val="auto"/>
          <w:kern w:val="2"/>
          <w:szCs w:val="21"/>
          <w:highlight w:val="none"/>
        </w:rPr>
        <w:t>（60</w:t>
      </w:r>
      <w:r>
        <w:rPr>
          <w:rFonts w:cs="Times New Roman"/>
          <w:color w:val="auto"/>
          <w:kern w:val="2"/>
          <w:szCs w:val="21"/>
          <w:highlight w:val="none"/>
        </w:rPr>
        <w:t>分≤得分＜80分</w:t>
      </w:r>
      <w:r>
        <w:rPr>
          <w:rFonts w:hint="eastAsia" w:cs="Times New Roman"/>
          <w:color w:val="auto"/>
          <w:kern w:val="2"/>
          <w:szCs w:val="21"/>
          <w:highlight w:val="none"/>
        </w:rPr>
        <w:t>）</w:t>
      </w:r>
      <w:r>
        <w:rPr>
          <w:rFonts w:hint="eastAsia" w:cs="Times New Roman"/>
          <w:color w:val="auto"/>
          <w:kern w:val="2"/>
          <w:sz w:val="24"/>
          <w:szCs w:val="20"/>
          <w:highlight w:val="none"/>
        </w:rPr>
        <w:t>、“差”</w:t>
      </w:r>
      <w:r>
        <w:rPr>
          <w:rFonts w:hint="eastAsia" w:cs="Times New Roman"/>
          <w:color w:val="auto"/>
          <w:kern w:val="2"/>
          <w:szCs w:val="21"/>
          <w:highlight w:val="none"/>
        </w:rPr>
        <w:t>（</w:t>
      </w:r>
      <w:r>
        <w:rPr>
          <w:rFonts w:cs="Times New Roman"/>
          <w:color w:val="auto"/>
          <w:kern w:val="2"/>
          <w:szCs w:val="21"/>
          <w:highlight w:val="none"/>
        </w:rPr>
        <w:t>得分＜</w:t>
      </w:r>
      <w:r>
        <w:rPr>
          <w:rFonts w:hint="eastAsia" w:cs="Times New Roman"/>
          <w:color w:val="auto"/>
          <w:kern w:val="2"/>
          <w:szCs w:val="21"/>
          <w:highlight w:val="none"/>
        </w:rPr>
        <w:t>60</w:t>
      </w:r>
      <w:r>
        <w:rPr>
          <w:rFonts w:cs="Times New Roman"/>
          <w:color w:val="auto"/>
          <w:kern w:val="2"/>
          <w:szCs w:val="21"/>
          <w:highlight w:val="none"/>
        </w:rPr>
        <w:t>分</w:t>
      </w:r>
      <w:r>
        <w:rPr>
          <w:rFonts w:hint="eastAsia" w:cs="Times New Roman"/>
          <w:color w:val="auto"/>
          <w:kern w:val="2"/>
          <w:szCs w:val="21"/>
          <w:highlight w:val="none"/>
        </w:rPr>
        <w:t>）</w:t>
      </w:r>
      <w:r>
        <w:rPr>
          <w:rFonts w:hint="eastAsia" w:cs="Times New Roman"/>
          <w:color w:val="auto"/>
          <w:kern w:val="2"/>
          <w:sz w:val="24"/>
          <w:szCs w:val="20"/>
          <w:highlight w:val="none"/>
        </w:rPr>
        <w:t>四个等次，结果通报勘察设计单位项目负责人签字确认。根据考核结果，结合勘察设计合同以及勘察设计单位考核奖惩办法进行相应的奖惩。</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6858"/>
        <w:gridCol w:w="866"/>
      </w:tblGrid>
      <w:tr w14:paraId="146E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blHeader/>
          <w:jc w:val="center"/>
        </w:trPr>
        <w:tc>
          <w:tcPr>
            <w:tcW w:w="8523" w:type="dxa"/>
            <w:gridSpan w:val="3"/>
            <w:tcBorders>
              <w:top w:val="single" w:color="auto" w:sz="4" w:space="0"/>
              <w:left w:val="single" w:color="auto" w:sz="4" w:space="0"/>
              <w:bottom w:val="single" w:color="auto" w:sz="4" w:space="0"/>
              <w:right w:val="single" w:color="auto" w:sz="4" w:space="0"/>
            </w:tcBorders>
            <w:vAlign w:val="center"/>
          </w:tcPr>
          <w:p w14:paraId="4574B341">
            <w:pPr>
              <w:spacing w:line="320" w:lineRule="exact"/>
              <w:jc w:val="center"/>
              <w:rPr>
                <w:rFonts w:cs="Times New Roman"/>
                <w:color w:val="auto"/>
                <w:sz w:val="24"/>
                <w:szCs w:val="20"/>
                <w:highlight w:val="none"/>
              </w:rPr>
            </w:pPr>
            <w:r>
              <w:rPr>
                <w:rFonts w:hint="eastAsia" w:cs="Times New Roman"/>
                <w:color w:val="auto"/>
                <w:kern w:val="2"/>
                <w:sz w:val="24"/>
                <w:szCs w:val="20"/>
                <w:highlight w:val="none"/>
              </w:rPr>
              <w:t>勘察设计单位履约考核表</w:t>
            </w:r>
          </w:p>
          <w:p w14:paraId="5FC76FB4">
            <w:pPr>
              <w:spacing w:line="320" w:lineRule="exact"/>
              <w:jc w:val="right"/>
              <w:rPr>
                <w:rFonts w:cs="Times New Roman"/>
                <w:color w:val="auto"/>
                <w:sz w:val="24"/>
                <w:szCs w:val="20"/>
                <w:highlight w:val="none"/>
              </w:rPr>
            </w:pPr>
            <w:r>
              <w:rPr>
                <w:rFonts w:hint="eastAsia" w:ascii="宋体" w:hAnsi="宋体" w:cs="Times New Roman"/>
                <w:color w:val="auto"/>
                <w:kern w:val="2"/>
                <w:szCs w:val="21"/>
                <w:highlight w:val="none"/>
              </w:rPr>
              <w:t xml:space="preserve">□过程考核 </w:t>
            </w:r>
            <w:r>
              <w:rPr>
                <w:rFonts w:ascii="宋体" w:hAnsi="宋体" w:cs="Times New Roman"/>
                <w:color w:val="auto"/>
                <w:kern w:val="2"/>
                <w:szCs w:val="21"/>
                <w:highlight w:val="none"/>
              </w:rPr>
              <w:t xml:space="preserve"> </w:t>
            </w:r>
            <w:r>
              <w:rPr>
                <w:rFonts w:hint="eastAsia" w:ascii="宋体" w:hAnsi="宋体" w:cs="Times New Roman"/>
                <w:color w:val="auto"/>
                <w:kern w:val="2"/>
                <w:szCs w:val="21"/>
                <w:highlight w:val="none"/>
              </w:rPr>
              <w:t>□项目考核</w:t>
            </w:r>
          </w:p>
        </w:tc>
      </w:tr>
      <w:tr w14:paraId="2BFC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14:paraId="04CA4E8C">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考核项目</w:t>
            </w:r>
          </w:p>
        </w:tc>
        <w:tc>
          <w:tcPr>
            <w:tcW w:w="866" w:type="dxa"/>
            <w:vMerge w:val="restart"/>
            <w:tcBorders>
              <w:top w:val="single" w:color="auto" w:sz="4" w:space="0"/>
              <w:left w:val="single" w:color="auto" w:sz="4" w:space="0"/>
              <w:right w:val="single" w:color="auto" w:sz="4" w:space="0"/>
            </w:tcBorders>
            <w:vAlign w:val="center"/>
          </w:tcPr>
          <w:p w14:paraId="59995CAE">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扣分</w:t>
            </w:r>
          </w:p>
          <w:p w14:paraId="65C37818">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分数</w:t>
            </w:r>
          </w:p>
        </w:tc>
      </w:tr>
      <w:tr w14:paraId="0A4F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blHeader/>
          <w:jc w:val="center"/>
        </w:trPr>
        <w:tc>
          <w:tcPr>
            <w:tcW w:w="799" w:type="dxa"/>
            <w:tcBorders>
              <w:top w:val="single" w:color="auto" w:sz="4" w:space="0"/>
              <w:left w:val="single" w:color="auto" w:sz="4" w:space="0"/>
              <w:bottom w:val="single" w:color="auto" w:sz="4" w:space="0"/>
              <w:right w:val="single" w:color="auto" w:sz="4" w:space="0"/>
            </w:tcBorders>
            <w:vAlign w:val="center"/>
          </w:tcPr>
          <w:p w14:paraId="4DA36762">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序号</w:t>
            </w:r>
          </w:p>
        </w:tc>
        <w:tc>
          <w:tcPr>
            <w:tcW w:w="6858" w:type="dxa"/>
            <w:tcBorders>
              <w:top w:val="single" w:color="auto" w:sz="4" w:space="0"/>
              <w:left w:val="single" w:color="auto" w:sz="4" w:space="0"/>
              <w:bottom w:val="single" w:color="auto" w:sz="4" w:space="0"/>
              <w:right w:val="single" w:color="auto" w:sz="4" w:space="0"/>
            </w:tcBorders>
            <w:vAlign w:val="center"/>
          </w:tcPr>
          <w:p w14:paraId="684A7904">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检查内容及扣分标准</w:t>
            </w:r>
          </w:p>
        </w:tc>
        <w:tc>
          <w:tcPr>
            <w:tcW w:w="866" w:type="dxa"/>
            <w:vMerge w:val="continue"/>
            <w:tcBorders>
              <w:left w:val="single" w:color="auto" w:sz="4" w:space="0"/>
              <w:bottom w:val="single" w:color="auto" w:sz="4" w:space="0"/>
              <w:right w:val="single" w:color="auto" w:sz="4" w:space="0"/>
            </w:tcBorders>
            <w:vAlign w:val="center"/>
          </w:tcPr>
          <w:p w14:paraId="11E4E684">
            <w:pPr>
              <w:spacing w:line="360" w:lineRule="exact"/>
              <w:jc w:val="center"/>
              <w:rPr>
                <w:rFonts w:ascii="宋体" w:hAnsi="宋体" w:cs="Times New Roman"/>
                <w:color w:val="auto"/>
                <w:szCs w:val="21"/>
                <w:highlight w:val="none"/>
              </w:rPr>
            </w:pPr>
          </w:p>
        </w:tc>
      </w:tr>
      <w:tr w14:paraId="2867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2369A1B0">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1</w:t>
            </w:r>
          </w:p>
        </w:tc>
        <w:tc>
          <w:tcPr>
            <w:tcW w:w="6858" w:type="dxa"/>
            <w:tcBorders>
              <w:top w:val="single" w:color="auto" w:sz="4" w:space="0"/>
              <w:left w:val="single" w:color="auto" w:sz="4" w:space="0"/>
              <w:bottom w:val="single" w:color="auto" w:sz="4" w:space="0"/>
              <w:right w:val="single" w:color="auto" w:sz="4" w:space="0"/>
            </w:tcBorders>
            <w:vAlign w:val="center"/>
          </w:tcPr>
          <w:p w14:paraId="23C6295F">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设计人员设置未达到合同约定的质量和数量要求。如实际人员与投标文件中设计团队人员以及职称不符或过程中随便安排不熟悉本项目或实习生的设计人员驻场等情况，扣20分；</w:t>
            </w:r>
          </w:p>
        </w:tc>
        <w:tc>
          <w:tcPr>
            <w:tcW w:w="866" w:type="dxa"/>
            <w:tcBorders>
              <w:top w:val="single" w:color="auto" w:sz="4" w:space="0"/>
              <w:left w:val="single" w:color="auto" w:sz="4" w:space="0"/>
              <w:bottom w:val="single" w:color="auto" w:sz="4" w:space="0"/>
              <w:right w:val="single" w:color="auto" w:sz="4" w:space="0"/>
            </w:tcBorders>
            <w:vAlign w:val="center"/>
          </w:tcPr>
          <w:p w14:paraId="5AFE112C">
            <w:pPr>
              <w:spacing w:line="360" w:lineRule="exact"/>
              <w:jc w:val="center"/>
              <w:rPr>
                <w:rFonts w:ascii="宋体" w:hAnsi="宋体" w:cs="Times New Roman"/>
                <w:color w:val="auto"/>
                <w:szCs w:val="21"/>
                <w:highlight w:val="none"/>
              </w:rPr>
            </w:pPr>
          </w:p>
        </w:tc>
      </w:tr>
      <w:tr w14:paraId="0C91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2710AE2">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2</w:t>
            </w:r>
          </w:p>
        </w:tc>
        <w:tc>
          <w:tcPr>
            <w:tcW w:w="6858" w:type="dxa"/>
            <w:tcBorders>
              <w:top w:val="single" w:color="auto" w:sz="4" w:space="0"/>
              <w:left w:val="single" w:color="auto" w:sz="4" w:space="0"/>
              <w:bottom w:val="single" w:color="auto" w:sz="4" w:space="0"/>
              <w:right w:val="single" w:color="auto" w:sz="4" w:space="0"/>
            </w:tcBorders>
            <w:vAlign w:val="center"/>
          </w:tcPr>
          <w:p w14:paraId="7D82873F">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在未征得发包人同意的情况下对设计人员随意更换，每发生1人次扣10分；</w:t>
            </w:r>
          </w:p>
        </w:tc>
        <w:tc>
          <w:tcPr>
            <w:tcW w:w="866" w:type="dxa"/>
            <w:tcBorders>
              <w:top w:val="single" w:color="auto" w:sz="4" w:space="0"/>
              <w:left w:val="single" w:color="auto" w:sz="4" w:space="0"/>
              <w:bottom w:val="single" w:color="auto" w:sz="4" w:space="0"/>
              <w:right w:val="single" w:color="auto" w:sz="4" w:space="0"/>
            </w:tcBorders>
            <w:vAlign w:val="center"/>
          </w:tcPr>
          <w:p w14:paraId="6EAB300D">
            <w:pPr>
              <w:spacing w:line="360" w:lineRule="exact"/>
              <w:jc w:val="center"/>
              <w:rPr>
                <w:rFonts w:ascii="宋体" w:hAnsi="宋体" w:cs="Times New Roman"/>
                <w:color w:val="auto"/>
                <w:szCs w:val="21"/>
                <w:highlight w:val="none"/>
              </w:rPr>
            </w:pPr>
          </w:p>
        </w:tc>
      </w:tr>
      <w:tr w14:paraId="3B3C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22A12CE">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3</w:t>
            </w:r>
          </w:p>
        </w:tc>
        <w:tc>
          <w:tcPr>
            <w:tcW w:w="6858" w:type="dxa"/>
            <w:tcBorders>
              <w:top w:val="single" w:color="auto" w:sz="4" w:space="0"/>
              <w:left w:val="single" w:color="auto" w:sz="4" w:space="0"/>
              <w:bottom w:val="single" w:color="auto" w:sz="4" w:space="0"/>
              <w:right w:val="single" w:color="auto" w:sz="4" w:space="0"/>
            </w:tcBorders>
            <w:vAlign w:val="center"/>
          </w:tcPr>
          <w:p w14:paraId="56B591C5">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未按要求提交详细可行设计计划，扣10分；</w:t>
            </w:r>
          </w:p>
        </w:tc>
        <w:tc>
          <w:tcPr>
            <w:tcW w:w="866" w:type="dxa"/>
            <w:tcBorders>
              <w:top w:val="single" w:color="auto" w:sz="4" w:space="0"/>
              <w:left w:val="single" w:color="auto" w:sz="4" w:space="0"/>
              <w:bottom w:val="single" w:color="auto" w:sz="4" w:space="0"/>
              <w:right w:val="single" w:color="auto" w:sz="4" w:space="0"/>
            </w:tcBorders>
            <w:vAlign w:val="center"/>
          </w:tcPr>
          <w:p w14:paraId="5E86A260">
            <w:pPr>
              <w:spacing w:line="360" w:lineRule="exact"/>
              <w:jc w:val="center"/>
              <w:rPr>
                <w:rFonts w:ascii="宋体" w:hAnsi="宋体" w:cs="Times New Roman"/>
                <w:color w:val="auto"/>
                <w:szCs w:val="21"/>
                <w:highlight w:val="none"/>
              </w:rPr>
            </w:pPr>
          </w:p>
        </w:tc>
      </w:tr>
      <w:tr w14:paraId="0783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158BAE82">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4</w:t>
            </w:r>
          </w:p>
        </w:tc>
        <w:tc>
          <w:tcPr>
            <w:tcW w:w="6858" w:type="dxa"/>
            <w:tcBorders>
              <w:top w:val="single" w:color="auto" w:sz="4" w:space="0"/>
              <w:left w:val="single" w:color="auto" w:sz="4" w:space="0"/>
              <w:bottom w:val="single" w:color="auto" w:sz="4" w:space="0"/>
              <w:right w:val="single" w:color="auto" w:sz="4" w:space="0"/>
            </w:tcBorders>
            <w:vAlign w:val="center"/>
          </w:tcPr>
          <w:p w14:paraId="7EB227E0">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方案设计、初步设计、施工图设计、设计变更未按设计计划或开会商定好的时间节点提交成果，每发生1次扣10分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3425F59D">
            <w:pPr>
              <w:spacing w:line="360" w:lineRule="exact"/>
              <w:jc w:val="center"/>
              <w:rPr>
                <w:rFonts w:ascii="宋体" w:hAnsi="宋体" w:cs="Times New Roman"/>
                <w:color w:val="auto"/>
                <w:szCs w:val="21"/>
                <w:highlight w:val="none"/>
              </w:rPr>
            </w:pPr>
          </w:p>
        </w:tc>
      </w:tr>
      <w:tr w14:paraId="2B19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177D74E6">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5</w:t>
            </w:r>
          </w:p>
        </w:tc>
        <w:tc>
          <w:tcPr>
            <w:tcW w:w="6858" w:type="dxa"/>
            <w:tcBorders>
              <w:top w:val="single" w:color="auto" w:sz="4" w:space="0"/>
              <w:left w:val="single" w:color="auto" w:sz="4" w:space="0"/>
              <w:bottom w:val="single" w:color="auto" w:sz="4" w:space="0"/>
              <w:right w:val="single" w:color="auto" w:sz="4" w:space="0"/>
            </w:tcBorders>
            <w:vAlign w:val="center"/>
          </w:tcPr>
          <w:p w14:paraId="67BD4E8E">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没有统筹协调分包设计单位，对分包设计单位（外电外水燃气及专业设计）衔接跟不上设计进度计划的，造成总进度延误的，每延误1天扣10分。</w:t>
            </w:r>
          </w:p>
        </w:tc>
        <w:tc>
          <w:tcPr>
            <w:tcW w:w="866" w:type="dxa"/>
            <w:tcBorders>
              <w:top w:val="single" w:color="auto" w:sz="4" w:space="0"/>
              <w:left w:val="single" w:color="auto" w:sz="4" w:space="0"/>
              <w:bottom w:val="single" w:color="auto" w:sz="4" w:space="0"/>
              <w:right w:val="single" w:color="auto" w:sz="4" w:space="0"/>
            </w:tcBorders>
            <w:vAlign w:val="center"/>
          </w:tcPr>
          <w:p w14:paraId="2FBECFFA">
            <w:pPr>
              <w:spacing w:line="360" w:lineRule="exact"/>
              <w:jc w:val="center"/>
              <w:rPr>
                <w:rFonts w:ascii="宋体" w:hAnsi="宋体" w:cs="Times New Roman"/>
                <w:color w:val="auto"/>
                <w:szCs w:val="21"/>
                <w:highlight w:val="none"/>
              </w:rPr>
            </w:pPr>
          </w:p>
        </w:tc>
      </w:tr>
      <w:tr w14:paraId="18CB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AEC6CF4">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6</w:t>
            </w:r>
          </w:p>
        </w:tc>
        <w:tc>
          <w:tcPr>
            <w:tcW w:w="6858" w:type="dxa"/>
            <w:tcBorders>
              <w:top w:val="single" w:color="auto" w:sz="4" w:space="0"/>
              <w:left w:val="single" w:color="auto" w:sz="4" w:space="0"/>
              <w:bottom w:val="single" w:color="auto" w:sz="4" w:space="0"/>
              <w:right w:val="single" w:color="auto" w:sz="4" w:space="0"/>
            </w:tcBorders>
            <w:vAlign w:val="center"/>
          </w:tcPr>
          <w:p w14:paraId="62F2759F">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未按建设单位、项目管理单位、审图单位、造价咨询单位等各参建单位提供的修改意见进行完善图纸和回复说明，每发生1次扣10分；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5835C801">
            <w:pPr>
              <w:spacing w:line="360" w:lineRule="exact"/>
              <w:jc w:val="center"/>
              <w:rPr>
                <w:rFonts w:ascii="宋体" w:hAnsi="宋体" w:cs="Times New Roman"/>
                <w:color w:val="auto"/>
                <w:szCs w:val="21"/>
                <w:highlight w:val="none"/>
              </w:rPr>
            </w:pPr>
          </w:p>
        </w:tc>
      </w:tr>
      <w:tr w14:paraId="138E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117B9085">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7</w:t>
            </w:r>
          </w:p>
        </w:tc>
        <w:tc>
          <w:tcPr>
            <w:tcW w:w="6858" w:type="dxa"/>
            <w:tcBorders>
              <w:top w:val="single" w:color="auto" w:sz="4" w:space="0"/>
              <w:left w:val="single" w:color="auto" w:sz="4" w:space="0"/>
              <w:bottom w:val="single" w:color="auto" w:sz="4" w:space="0"/>
              <w:right w:val="single" w:color="auto" w:sz="4" w:space="0"/>
            </w:tcBorders>
            <w:vAlign w:val="center"/>
          </w:tcPr>
          <w:p w14:paraId="36AC2AD0">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每次修改图纸后，图纸未标注修改的位置或标注不全，每发生1次扣10分；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1797D753">
            <w:pPr>
              <w:spacing w:line="360" w:lineRule="exact"/>
              <w:jc w:val="center"/>
              <w:rPr>
                <w:rFonts w:ascii="宋体" w:hAnsi="宋体" w:cs="Times New Roman"/>
                <w:color w:val="auto"/>
                <w:szCs w:val="21"/>
                <w:highlight w:val="none"/>
              </w:rPr>
            </w:pPr>
          </w:p>
        </w:tc>
      </w:tr>
      <w:tr w14:paraId="75C0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24BE66EE">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8</w:t>
            </w:r>
          </w:p>
        </w:tc>
        <w:tc>
          <w:tcPr>
            <w:tcW w:w="6858" w:type="dxa"/>
            <w:tcBorders>
              <w:top w:val="single" w:color="auto" w:sz="4" w:space="0"/>
              <w:left w:val="single" w:color="auto" w:sz="4" w:space="0"/>
              <w:bottom w:val="single" w:color="auto" w:sz="4" w:space="0"/>
              <w:right w:val="single" w:color="auto" w:sz="4" w:space="0"/>
            </w:tcBorders>
            <w:vAlign w:val="center"/>
          </w:tcPr>
          <w:p w14:paraId="375EBC70">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设计单位不按流程私自向施工单位发放图纸（纸质或电子版）及工程资料，每发生1次扣10分；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334D3F9B">
            <w:pPr>
              <w:spacing w:line="360" w:lineRule="exact"/>
              <w:jc w:val="center"/>
              <w:rPr>
                <w:rFonts w:ascii="宋体" w:hAnsi="宋体" w:cs="Times New Roman"/>
                <w:color w:val="auto"/>
                <w:szCs w:val="21"/>
                <w:highlight w:val="none"/>
              </w:rPr>
            </w:pPr>
          </w:p>
        </w:tc>
      </w:tr>
      <w:tr w14:paraId="1A25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71C599AE">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9</w:t>
            </w:r>
          </w:p>
        </w:tc>
        <w:tc>
          <w:tcPr>
            <w:tcW w:w="6858" w:type="dxa"/>
            <w:tcBorders>
              <w:top w:val="single" w:color="auto" w:sz="4" w:space="0"/>
              <w:left w:val="single" w:color="auto" w:sz="4" w:space="0"/>
              <w:bottom w:val="single" w:color="auto" w:sz="4" w:space="0"/>
              <w:right w:val="single" w:color="auto" w:sz="4" w:space="0"/>
            </w:tcBorders>
            <w:vAlign w:val="center"/>
          </w:tcPr>
          <w:p w14:paraId="3F93244F">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设计单位没有经过代建和业主的同意，私自与施工单位沟通变更图纸，每发生1次扣20分；</w:t>
            </w:r>
          </w:p>
        </w:tc>
        <w:tc>
          <w:tcPr>
            <w:tcW w:w="866" w:type="dxa"/>
            <w:tcBorders>
              <w:top w:val="single" w:color="auto" w:sz="4" w:space="0"/>
              <w:left w:val="single" w:color="auto" w:sz="4" w:space="0"/>
              <w:bottom w:val="single" w:color="auto" w:sz="4" w:space="0"/>
              <w:right w:val="single" w:color="auto" w:sz="4" w:space="0"/>
            </w:tcBorders>
            <w:vAlign w:val="center"/>
          </w:tcPr>
          <w:p w14:paraId="51E65428">
            <w:pPr>
              <w:spacing w:line="360" w:lineRule="exact"/>
              <w:jc w:val="center"/>
              <w:rPr>
                <w:rFonts w:ascii="宋体" w:hAnsi="宋体" w:cs="Times New Roman"/>
                <w:color w:val="auto"/>
                <w:szCs w:val="21"/>
                <w:highlight w:val="none"/>
              </w:rPr>
            </w:pPr>
          </w:p>
        </w:tc>
      </w:tr>
      <w:tr w14:paraId="209F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6FA2D46">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10</w:t>
            </w:r>
          </w:p>
        </w:tc>
        <w:tc>
          <w:tcPr>
            <w:tcW w:w="6858" w:type="dxa"/>
            <w:tcBorders>
              <w:top w:val="single" w:color="auto" w:sz="4" w:space="0"/>
              <w:left w:val="single" w:color="auto" w:sz="4" w:space="0"/>
              <w:bottom w:val="single" w:color="auto" w:sz="4" w:space="0"/>
              <w:right w:val="single" w:color="auto" w:sz="4" w:space="0"/>
            </w:tcBorders>
            <w:vAlign w:val="center"/>
          </w:tcPr>
          <w:p w14:paraId="7012C85B">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设计单位内部各专业之间对接失误，造成施工返工的或影响业主使用的，如管线产生冲突而导致施工返工的，或因管线布置不合理等情况，每发生1次扣10分；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727334DA">
            <w:pPr>
              <w:spacing w:line="360" w:lineRule="exact"/>
              <w:jc w:val="center"/>
              <w:rPr>
                <w:rFonts w:ascii="宋体" w:hAnsi="宋体" w:cs="Times New Roman"/>
                <w:color w:val="auto"/>
                <w:szCs w:val="21"/>
                <w:highlight w:val="none"/>
              </w:rPr>
            </w:pPr>
          </w:p>
        </w:tc>
      </w:tr>
      <w:tr w14:paraId="56AE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7C175927">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11</w:t>
            </w:r>
          </w:p>
        </w:tc>
        <w:tc>
          <w:tcPr>
            <w:tcW w:w="6858" w:type="dxa"/>
            <w:tcBorders>
              <w:top w:val="single" w:color="auto" w:sz="4" w:space="0"/>
              <w:left w:val="single" w:color="auto" w:sz="4" w:space="0"/>
              <w:bottom w:val="single" w:color="auto" w:sz="4" w:space="0"/>
              <w:right w:val="single" w:color="auto" w:sz="4" w:space="0"/>
            </w:tcBorders>
            <w:vAlign w:val="center"/>
          </w:tcPr>
          <w:p w14:paraId="3E9EA7AC">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设计单位对现场地形和实际情况了解不到位或自身原因失误或对没按业主使用意图进行设计，造成返工的、错漏、耽误工期、预算漏项漏量，每发生1次扣10分；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766A326B">
            <w:pPr>
              <w:spacing w:line="360" w:lineRule="exact"/>
              <w:jc w:val="center"/>
              <w:rPr>
                <w:rFonts w:ascii="宋体" w:hAnsi="宋体" w:cs="Times New Roman"/>
                <w:color w:val="auto"/>
                <w:szCs w:val="21"/>
                <w:highlight w:val="none"/>
              </w:rPr>
            </w:pPr>
          </w:p>
        </w:tc>
      </w:tr>
      <w:tr w14:paraId="4028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D5927E4">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12</w:t>
            </w:r>
          </w:p>
        </w:tc>
        <w:tc>
          <w:tcPr>
            <w:tcW w:w="6858" w:type="dxa"/>
            <w:tcBorders>
              <w:top w:val="single" w:color="auto" w:sz="4" w:space="0"/>
              <w:left w:val="single" w:color="auto" w:sz="4" w:space="0"/>
              <w:bottom w:val="single" w:color="auto" w:sz="4" w:space="0"/>
              <w:right w:val="single" w:color="auto" w:sz="4" w:space="0"/>
            </w:tcBorders>
            <w:vAlign w:val="center"/>
          </w:tcPr>
          <w:p w14:paraId="4F609D24">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未达到限额设计，初步设计总概算超过可行性研究报告批复投资，扣20分；</w:t>
            </w:r>
          </w:p>
        </w:tc>
        <w:tc>
          <w:tcPr>
            <w:tcW w:w="866" w:type="dxa"/>
            <w:tcBorders>
              <w:top w:val="single" w:color="auto" w:sz="4" w:space="0"/>
              <w:left w:val="single" w:color="auto" w:sz="4" w:space="0"/>
              <w:bottom w:val="single" w:color="auto" w:sz="4" w:space="0"/>
              <w:right w:val="single" w:color="auto" w:sz="4" w:space="0"/>
            </w:tcBorders>
            <w:vAlign w:val="center"/>
          </w:tcPr>
          <w:p w14:paraId="4217F887">
            <w:pPr>
              <w:spacing w:line="360" w:lineRule="exact"/>
              <w:jc w:val="center"/>
              <w:rPr>
                <w:rFonts w:ascii="宋体" w:hAnsi="宋体" w:cs="Times New Roman"/>
                <w:color w:val="auto"/>
                <w:szCs w:val="21"/>
                <w:highlight w:val="none"/>
              </w:rPr>
            </w:pPr>
          </w:p>
        </w:tc>
      </w:tr>
      <w:tr w14:paraId="3288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6B1AF57B">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13</w:t>
            </w:r>
          </w:p>
        </w:tc>
        <w:tc>
          <w:tcPr>
            <w:tcW w:w="6858" w:type="dxa"/>
            <w:tcBorders>
              <w:top w:val="single" w:color="auto" w:sz="4" w:space="0"/>
              <w:left w:val="single" w:color="auto" w:sz="4" w:space="0"/>
              <w:bottom w:val="single" w:color="auto" w:sz="4" w:space="0"/>
              <w:right w:val="single" w:color="auto" w:sz="4" w:space="0"/>
            </w:tcBorders>
            <w:vAlign w:val="center"/>
          </w:tcPr>
          <w:p w14:paraId="4CBA5723">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因设计原因引起的变更超过概算批复投资3%的，扣10分；</w:t>
            </w:r>
          </w:p>
        </w:tc>
        <w:tc>
          <w:tcPr>
            <w:tcW w:w="866" w:type="dxa"/>
            <w:tcBorders>
              <w:top w:val="single" w:color="auto" w:sz="4" w:space="0"/>
              <w:left w:val="single" w:color="auto" w:sz="4" w:space="0"/>
              <w:bottom w:val="single" w:color="auto" w:sz="4" w:space="0"/>
              <w:right w:val="single" w:color="auto" w:sz="4" w:space="0"/>
            </w:tcBorders>
            <w:vAlign w:val="center"/>
          </w:tcPr>
          <w:p w14:paraId="233E4DF5">
            <w:pPr>
              <w:spacing w:line="360" w:lineRule="exact"/>
              <w:jc w:val="center"/>
              <w:rPr>
                <w:rFonts w:ascii="宋体" w:hAnsi="宋体" w:cs="Times New Roman"/>
                <w:color w:val="auto"/>
                <w:szCs w:val="21"/>
                <w:highlight w:val="none"/>
              </w:rPr>
            </w:pPr>
          </w:p>
        </w:tc>
      </w:tr>
      <w:tr w14:paraId="3E20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73206CB">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14</w:t>
            </w:r>
          </w:p>
        </w:tc>
        <w:tc>
          <w:tcPr>
            <w:tcW w:w="6858" w:type="dxa"/>
            <w:tcBorders>
              <w:top w:val="single" w:color="auto" w:sz="4" w:space="0"/>
              <w:left w:val="single" w:color="auto" w:sz="4" w:space="0"/>
              <w:bottom w:val="single" w:color="auto" w:sz="4" w:space="0"/>
              <w:right w:val="single" w:color="auto" w:sz="4" w:space="0"/>
            </w:tcBorders>
            <w:vAlign w:val="center"/>
          </w:tcPr>
          <w:p w14:paraId="4658A180">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未提供概算总投资与可研批复总投资对比表，每发生1次扣5分；</w:t>
            </w:r>
          </w:p>
        </w:tc>
        <w:tc>
          <w:tcPr>
            <w:tcW w:w="866" w:type="dxa"/>
            <w:tcBorders>
              <w:top w:val="single" w:color="auto" w:sz="4" w:space="0"/>
              <w:left w:val="single" w:color="auto" w:sz="4" w:space="0"/>
              <w:bottom w:val="single" w:color="auto" w:sz="4" w:space="0"/>
              <w:right w:val="single" w:color="auto" w:sz="4" w:space="0"/>
            </w:tcBorders>
            <w:vAlign w:val="center"/>
          </w:tcPr>
          <w:p w14:paraId="256A1852">
            <w:pPr>
              <w:spacing w:line="360" w:lineRule="exact"/>
              <w:jc w:val="center"/>
              <w:rPr>
                <w:rFonts w:ascii="宋体" w:hAnsi="宋体" w:cs="Times New Roman"/>
                <w:color w:val="auto"/>
                <w:szCs w:val="21"/>
                <w:highlight w:val="none"/>
              </w:rPr>
            </w:pPr>
          </w:p>
        </w:tc>
      </w:tr>
      <w:tr w14:paraId="4CF1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734D117C">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15</w:t>
            </w:r>
          </w:p>
        </w:tc>
        <w:tc>
          <w:tcPr>
            <w:tcW w:w="6858" w:type="dxa"/>
            <w:tcBorders>
              <w:top w:val="single" w:color="auto" w:sz="4" w:space="0"/>
              <w:left w:val="single" w:color="auto" w:sz="4" w:space="0"/>
              <w:bottom w:val="single" w:color="auto" w:sz="4" w:space="0"/>
              <w:right w:val="single" w:color="auto" w:sz="4" w:space="0"/>
            </w:tcBorders>
            <w:vAlign w:val="center"/>
          </w:tcPr>
          <w:p w14:paraId="14185667">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未配合发包人提供比选方案，每发生1次扣10分；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4E42BA14">
            <w:pPr>
              <w:spacing w:line="360" w:lineRule="exact"/>
              <w:jc w:val="center"/>
              <w:rPr>
                <w:rFonts w:ascii="宋体" w:hAnsi="宋体" w:cs="Times New Roman"/>
                <w:color w:val="auto"/>
                <w:szCs w:val="21"/>
                <w:highlight w:val="none"/>
              </w:rPr>
            </w:pPr>
          </w:p>
        </w:tc>
      </w:tr>
      <w:tr w14:paraId="11C0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636D64E1">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16</w:t>
            </w:r>
          </w:p>
        </w:tc>
        <w:tc>
          <w:tcPr>
            <w:tcW w:w="6858" w:type="dxa"/>
            <w:tcBorders>
              <w:top w:val="single" w:color="auto" w:sz="4" w:space="0"/>
              <w:left w:val="single" w:color="auto" w:sz="4" w:space="0"/>
              <w:bottom w:val="single" w:color="auto" w:sz="4" w:space="0"/>
              <w:right w:val="single" w:color="auto" w:sz="4" w:space="0"/>
            </w:tcBorders>
            <w:vAlign w:val="center"/>
          </w:tcPr>
          <w:p w14:paraId="780F9E37">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未积极主动配合发包人进行设计交底，每发生1次扣10分；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34E6B13F">
            <w:pPr>
              <w:spacing w:line="360" w:lineRule="exact"/>
              <w:jc w:val="center"/>
              <w:rPr>
                <w:rFonts w:ascii="宋体" w:hAnsi="宋体" w:cs="Times New Roman"/>
                <w:color w:val="auto"/>
                <w:szCs w:val="21"/>
                <w:highlight w:val="none"/>
              </w:rPr>
            </w:pPr>
          </w:p>
        </w:tc>
      </w:tr>
      <w:tr w14:paraId="5B6F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9E7AC26">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17</w:t>
            </w:r>
          </w:p>
        </w:tc>
        <w:tc>
          <w:tcPr>
            <w:tcW w:w="6858" w:type="dxa"/>
            <w:tcBorders>
              <w:top w:val="single" w:color="auto" w:sz="4" w:space="0"/>
              <w:left w:val="single" w:color="auto" w:sz="4" w:space="0"/>
              <w:bottom w:val="single" w:color="auto" w:sz="4" w:space="0"/>
              <w:right w:val="single" w:color="auto" w:sz="4" w:space="0"/>
            </w:tcBorders>
            <w:vAlign w:val="center"/>
          </w:tcPr>
          <w:p w14:paraId="094FA2CB">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参加设计交底会人员不齐或设计交底不清晰，每发生1次扣10分；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2BD3840A">
            <w:pPr>
              <w:spacing w:line="360" w:lineRule="exact"/>
              <w:jc w:val="center"/>
              <w:rPr>
                <w:rFonts w:ascii="宋体" w:hAnsi="宋体" w:cs="Times New Roman"/>
                <w:color w:val="auto"/>
                <w:szCs w:val="21"/>
                <w:highlight w:val="none"/>
              </w:rPr>
            </w:pPr>
          </w:p>
        </w:tc>
      </w:tr>
      <w:tr w14:paraId="7BA0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7B4AE68A">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18</w:t>
            </w:r>
          </w:p>
        </w:tc>
        <w:tc>
          <w:tcPr>
            <w:tcW w:w="6858" w:type="dxa"/>
            <w:tcBorders>
              <w:top w:val="single" w:color="auto" w:sz="4" w:space="0"/>
              <w:left w:val="single" w:color="auto" w:sz="4" w:space="0"/>
              <w:bottom w:val="single" w:color="auto" w:sz="4" w:space="0"/>
              <w:right w:val="single" w:color="auto" w:sz="4" w:space="0"/>
            </w:tcBorders>
            <w:vAlign w:val="center"/>
          </w:tcPr>
          <w:p w14:paraId="65C93FD3">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对施工现场配合、地基验槽、中间验收、竣工验收等接到发包人电话未在规定的时间内赶到现场服务，每发生1次扣10分；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26E41B7F">
            <w:pPr>
              <w:spacing w:line="360" w:lineRule="exact"/>
              <w:jc w:val="center"/>
              <w:rPr>
                <w:rFonts w:ascii="宋体" w:hAnsi="宋体" w:cs="Times New Roman"/>
                <w:color w:val="auto"/>
                <w:szCs w:val="21"/>
                <w:highlight w:val="none"/>
              </w:rPr>
            </w:pPr>
          </w:p>
        </w:tc>
      </w:tr>
      <w:tr w14:paraId="640D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64882FAB">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19</w:t>
            </w:r>
          </w:p>
        </w:tc>
        <w:tc>
          <w:tcPr>
            <w:tcW w:w="6858" w:type="dxa"/>
            <w:tcBorders>
              <w:top w:val="single" w:color="auto" w:sz="4" w:space="0"/>
              <w:left w:val="single" w:color="auto" w:sz="4" w:space="0"/>
              <w:bottom w:val="single" w:color="auto" w:sz="4" w:space="0"/>
              <w:right w:val="single" w:color="auto" w:sz="4" w:space="0"/>
            </w:tcBorders>
            <w:vAlign w:val="center"/>
          </w:tcPr>
          <w:p w14:paraId="760380DC">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未积极配合发包人对政府审批部门提出的问题进行详细阐述和说明，每推诿1次扣10分；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21B9B7C2">
            <w:pPr>
              <w:spacing w:line="360" w:lineRule="exact"/>
              <w:jc w:val="center"/>
              <w:rPr>
                <w:rFonts w:ascii="宋体" w:hAnsi="宋体" w:cs="Times New Roman"/>
                <w:color w:val="auto"/>
                <w:szCs w:val="21"/>
                <w:highlight w:val="none"/>
              </w:rPr>
            </w:pPr>
          </w:p>
        </w:tc>
      </w:tr>
      <w:tr w14:paraId="2306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1BD9074D">
            <w:pPr>
              <w:spacing w:line="360" w:lineRule="exact"/>
              <w:jc w:val="center"/>
              <w:rPr>
                <w:rFonts w:ascii="宋体" w:hAnsi="宋体" w:cs="Times New Roman"/>
                <w:color w:val="auto"/>
                <w:szCs w:val="21"/>
                <w:highlight w:val="none"/>
              </w:rPr>
            </w:pPr>
            <w:r>
              <w:rPr>
                <w:rFonts w:ascii="宋体" w:hAnsi="宋体" w:cs="Times New Roman"/>
                <w:color w:val="auto"/>
                <w:kern w:val="2"/>
                <w:szCs w:val="21"/>
                <w:highlight w:val="none"/>
              </w:rPr>
              <w:t>2</w:t>
            </w:r>
            <w:r>
              <w:rPr>
                <w:rFonts w:hint="eastAsia" w:ascii="宋体" w:hAnsi="宋体" w:cs="Times New Roman"/>
                <w:color w:val="auto"/>
                <w:kern w:val="2"/>
                <w:szCs w:val="21"/>
                <w:highlight w:val="none"/>
              </w:rPr>
              <w:t>0</w:t>
            </w:r>
          </w:p>
        </w:tc>
        <w:tc>
          <w:tcPr>
            <w:tcW w:w="6858" w:type="dxa"/>
            <w:tcBorders>
              <w:top w:val="single" w:color="auto" w:sz="4" w:space="0"/>
              <w:left w:val="single" w:color="auto" w:sz="4" w:space="0"/>
              <w:bottom w:val="single" w:color="auto" w:sz="4" w:space="0"/>
              <w:right w:val="single" w:color="auto" w:sz="4" w:space="0"/>
            </w:tcBorders>
            <w:vAlign w:val="center"/>
          </w:tcPr>
          <w:p w14:paraId="1888992A">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提交方案设计、初步设计、施工图设计、各专项方案时，未提交内部三级校审表，每发生1次扣10分；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2D2B371D">
            <w:pPr>
              <w:spacing w:line="360" w:lineRule="exact"/>
              <w:jc w:val="center"/>
              <w:rPr>
                <w:rFonts w:ascii="宋体" w:hAnsi="宋体" w:cs="Times New Roman"/>
                <w:color w:val="auto"/>
                <w:szCs w:val="21"/>
                <w:highlight w:val="none"/>
              </w:rPr>
            </w:pPr>
          </w:p>
        </w:tc>
      </w:tr>
      <w:tr w14:paraId="136A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39663C5A">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2</w:t>
            </w:r>
            <w:r>
              <w:rPr>
                <w:rFonts w:ascii="宋体" w:hAnsi="宋体" w:cs="Times New Roman"/>
                <w:color w:val="auto"/>
                <w:kern w:val="2"/>
                <w:szCs w:val="21"/>
                <w:highlight w:val="none"/>
              </w:rPr>
              <w:t>1</w:t>
            </w:r>
          </w:p>
        </w:tc>
        <w:tc>
          <w:tcPr>
            <w:tcW w:w="6858" w:type="dxa"/>
            <w:tcBorders>
              <w:top w:val="single" w:color="auto" w:sz="4" w:space="0"/>
              <w:left w:val="single" w:color="auto" w:sz="4" w:space="0"/>
              <w:bottom w:val="single" w:color="auto" w:sz="4" w:space="0"/>
              <w:right w:val="single" w:color="auto" w:sz="4" w:space="0"/>
            </w:tcBorders>
            <w:vAlign w:val="center"/>
          </w:tcPr>
          <w:p w14:paraId="0C0BB1CD">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设计成果、设计变更成果是否按计划或相关会议要求的时间节点提交。每发生1次扣1</w:t>
            </w:r>
            <w:r>
              <w:rPr>
                <w:rFonts w:ascii="宋体" w:hAnsi="宋体" w:cs="Times New Roman"/>
                <w:color w:val="auto"/>
                <w:kern w:val="2"/>
                <w:szCs w:val="21"/>
                <w:highlight w:val="none"/>
              </w:rPr>
              <w:t>0</w:t>
            </w:r>
            <w:r>
              <w:rPr>
                <w:rFonts w:hint="eastAsia" w:ascii="宋体" w:hAnsi="宋体" w:cs="Times New Roman"/>
                <w:color w:val="auto"/>
                <w:kern w:val="2"/>
                <w:szCs w:val="21"/>
                <w:highlight w:val="none"/>
              </w:rPr>
              <w:t>分</w:t>
            </w:r>
          </w:p>
        </w:tc>
        <w:tc>
          <w:tcPr>
            <w:tcW w:w="866" w:type="dxa"/>
            <w:tcBorders>
              <w:top w:val="single" w:color="auto" w:sz="4" w:space="0"/>
              <w:left w:val="single" w:color="auto" w:sz="4" w:space="0"/>
              <w:bottom w:val="single" w:color="auto" w:sz="4" w:space="0"/>
              <w:right w:val="single" w:color="auto" w:sz="4" w:space="0"/>
            </w:tcBorders>
            <w:vAlign w:val="center"/>
          </w:tcPr>
          <w:p w14:paraId="00C8CE08">
            <w:pPr>
              <w:spacing w:line="360" w:lineRule="exact"/>
              <w:jc w:val="center"/>
              <w:rPr>
                <w:rFonts w:ascii="宋体" w:hAnsi="宋体" w:cs="Times New Roman"/>
                <w:color w:val="auto"/>
                <w:szCs w:val="21"/>
                <w:highlight w:val="none"/>
              </w:rPr>
            </w:pPr>
          </w:p>
        </w:tc>
      </w:tr>
      <w:tr w14:paraId="0778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367BF32">
            <w:pPr>
              <w:spacing w:line="360" w:lineRule="exact"/>
              <w:jc w:val="center"/>
              <w:rPr>
                <w:rFonts w:ascii="宋体" w:hAnsi="宋体" w:cs="Times New Roman"/>
                <w:color w:val="auto"/>
                <w:szCs w:val="21"/>
                <w:highlight w:val="none"/>
              </w:rPr>
            </w:pPr>
            <w:r>
              <w:rPr>
                <w:rFonts w:ascii="宋体" w:hAnsi="宋体" w:cs="Times New Roman"/>
                <w:color w:val="auto"/>
                <w:kern w:val="2"/>
                <w:szCs w:val="21"/>
                <w:highlight w:val="none"/>
              </w:rPr>
              <w:t>22</w:t>
            </w:r>
          </w:p>
        </w:tc>
        <w:tc>
          <w:tcPr>
            <w:tcW w:w="6858" w:type="dxa"/>
            <w:tcBorders>
              <w:top w:val="single" w:color="auto" w:sz="4" w:space="0"/>
              <w:left w:val="single" w:color="auto" w:sz="4" w:space="0"/>
              <w:bottom w:val="single" w:color="auto" w:sz="4" w:space="0"/>
              <w:right w:val="single" w:color="auto" w:sz="4" w:space="0"/>
            </w:tcBorders>
            <w:vAlign w:val="center"/>
          </w:tcPr>
          <w:p w14:paraId="2A480637">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物探成果与实际不符的，实际施工发现与物探报告有其他管线没有表示出来的。每发生1次扣20分；</w:t>
            </w:r>
          </w:p>
        </w:tc>
        <w:tc>
          <w:tcPr>
            <w:tcW w:w="866" w:type="dxa"/>
            <w:tcBorders>
              <w:top w:val="single" w:color="auto" w:sz="4" w:space="0"/>
              <w:left w:val="single" w:color="auto" w:sz="4" w:space="0"/>
              <w:bottom w:val="single" w:color="auto" w:sz="4" w:space="0"/>
              <w:right w:val="single" w:color="auto" w:sz="4" w:space="0"/>
            </w:tcBorders>
            <w:vAlign w:val="center"/>
          </w:tcPr>
          <w:p w14:paraId="6E86D634">
            <w:pPr>
              <w:spacing w:line="360" w:lineRule="exact"/>
              <w:jc w:val="center"/>
              <w:rPr>
                <w:rFonts w:ascii="宋体" w:hAnsi="宋体" w:cs="Times New Roman"/>
                <w:color w:val="auto"/>
                <w:szCs w:val="21"/>
                <w:highlight w:val="none"/>
              </w:rPr>
            </w:pPr>
          </w:p>
        </w:tc>
      </w:tr>
      <w:tr w14:paraId="3FBF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6720CF8B">
            <w:pPr>
              <w:spacing w:line="360" w:lineRule="exact"/>
              <w:jc w:val="center"/>
              <w:rPr>
                <w:rFonts w:ascii="宋体" w:hAnsi="宋体" w:cs="Times New Roman"/>
                <w:color w:val="auto"/>
                <w:szCs w:val="21"/>
                <w:highlight w:val="none"/>
              </w:rPr>
            </w:pPr>
            <w:r>
              <w:rPr>
                <w:rFonts w:ascii="宋体" w:hAnsi="宋体" w:cs="Times New Roman"/>
                <w:color w:val="auto"/>
                <w:kern w:val="2"/>
                <w:szCs w:val="21"/>
                <w:highlight w:val="none"/>
              </w:rPr>
              <w:t>23</w:t>
            </w:r>
          </w:p>
        </w:tc>
        <w:tc>
          <w:tcPr>
            <w:tcW w:w="6858" w:type="dxa"/>
            <w:tcBorders>
              <w:top w:val="single" w:color="auto" w:sz="4" w:space="0"/>
              <w:left w:val="single" w:color="auto" w:sz="4" w:space="0"/>
              <w:bottom w:val="single" w:color="auto" w:sz="4" w:space="0"/>
              <w:right w:val="single" w:color="auto" w:sz="4" w:space="0"/>
            </w:tcBorders>
            <w:vAlign w:val="center"/>
          </w:tcPr>
          <w:p w14:paraId="0DA72393">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勘察进度不能满足约定要求，每延误1天扣10分；</w:t>
            </w:r>
          </w:p>
        </w:tc>
        <w:tc>
          <w:tcPr>
            <w:tcW w:w="866" w:type="dxa"/>
            <w:tcBorders>
              <w:top w:val="single" w:color="auto" w:sz="4" w:space="0"/>
              <w:left w:val="single" w:color="auto" w:sz="4" w:space="0"/>
              <w:bottom w:val="single" w:color="auto" w:sz="4" w:space="0"/>
              <w:right w:val="single" w:color="auto" w:sz="4" w:space="0"/>
            </w:tcBorders>
            <w:vAlign w:val="center"/>
          </w:tcPr>
          <w:p w14:paraId="3EEC2E03">
            <w:pPr>
              <w:spacing w:line="360" w:lineRule="exact"/>
              <w:jc w:val="center"/>
              <w:rPr>
                <w:rFonts w:ascii="宋体" w:hAnsi="宋体" w:cs="Times New Roman"/>
                <w:color w:val="auto"/>
                <w:szCs w:val="21"/>
                <w:highlight w:val="none"/>
              </w:rPr>
            </w:pPr>
          </w:p>
        </w:tc>
      </w:tr>
      <w:tr w14:paraId="0EA9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76F8E51C">
            <w:pPr>
              <w:spacing w:line="360" w:lineRule="exact"/>
              <w:jc w:val="center"/>
              <w:rPr>
                <w:rFonts w:ascii="宋体" w:hAnsi="宋体" w:cs="Times New Roman"/>
                <w:color w:val="auto"/>
                <w:szCs w:val="21"/>
                <w:highlight w:val="none"/>
              </w:rPr>
            </w:pPr>
            <w:r>
              <w:rPr>
                <w:rFonts w:ascii="宋体" w:hAnsi="宋体" w:cs="Times New Roman"/>
                <w:color w:val="auto"/>
                <w:kern w:val="2"/>
                <w:szCs w:val="21"/>
                <w:highlight w:val="none"/>
              </w:rPr>
              <w:t>24</w:t>
            </w:r>
          </w:p>
        </w:tc>
        <w:tc>
          <w:tcPr>
            <w:tcW w:w="6858" w:type="dxa"/>
            <w:tcBorders>
              <w:top w:val="single" w:color="auto" w:sz="4" w:space="0"/>
              <w:left w:val="single" w:color="auto" w:sz="4" w:space="0"/>
              <w:bottom w:val="single" w:color="auto" w:sz="4" w:space="0"/>
              <w:right w:val="single" w:color="auto" w:sz="4" w:space="0"/>
            </w:tcBorders>
            <w:vAlign w:val="center"/>
          </w:tcPr>
          <w:p w14:paraId="694EA3F5">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勘察单位造假，钻孔岩芯土样与真实不符，每发生1次扣30分；</w:t>
            </w:r>
          </w:p>
        </w:tc>
        <w:tc>
          <w:tcPr>
            <w:tcW w:w="866" w:type="dxa"/>
            <w:tcBorders>
              <w:top w:val="single" w:color="auto" w:sz="4" w:space="0"/>
              <w:left w:val="single" w:color="auto" w:sz="4" w:space="0"/>
              <w:bottom w:val="single" w:color="auto" w:sz="4" w:space="0"/>
              <w:right w:val="single" w:color="auto" w:sz="4" w:space="0"/>
            </w:tcBorders>
            <w:vAlign w:val="center"/>
          </w:tcPr>
          <w:p w14:paraId="6C370EFE">
            <w:pPr>
              <w:spacing w:line="360" w:lineRule="exact"/>
              <w:jc w:val="center"/>
              <w:rPr>
                <w:rFonts w:ascii="宋体" w:hAnsi="宋体" w:cs="Times New Roman"/>
                <w:color w:val="auto"/>
                <w:szCs w:val="21"/>
                <w:highlight w:val="none"/>
              </w:rPr>
            </w:pPr>
          </w:p>
        </w:tc>
      </w:tr>
      <w:tr w14:paraId="2EA0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243EFE52">
            <w:pPr>
              <w:spacing w:line="360" w:lineRule="exact"/>
              <w:jc w:val="center"/>
              <w:rPr>
                <w:rFonts w:ascii="宋体" w:hAnsi="宋体" w:cs="Times New Roman"/>
                <w:color w:val="auto"/>
                <w:szCs w:val="21"/>
                <w:highlight w:val="none"/>
              </w:rPr>
            </w:pPr>
            <w:r>
              <w:rPr>
                <w:rFonts w:ascii="宋体" w:hAnsi="宋体" w:cs="Times New Roman"/>
                <w:color w:val="auto"/>
                <w:kern w:val="2"/>
                <w:szCs w:val="21"/>
                <w:highlight w:val="none"/>
              </w:rPr>
              <w:t>25</w:t>
            </w:r>
          </w:p>
        </w:tc>
        <w:tc>
          <w:tcPr>
            <w:tcW w:w="6858" w:type="dxa"/>
            <w:tcBorders>
              <w:top w:val="single" w:color="auto" w:sz="4" w:space="0"/>
              <w:left w:val="single" w:color="auto" w:sz="4" w:space="0"/>
              <w:bottom w:val="single" w:color="auto" w:sz="4" w:space="0"/>
              <w:right w:val="single" w:color="auto" w:sz="4" w:space="0"/>
            </w:tcBorders>
            <w:vAlign w:val="center"/>
          </w:tcPr>
          <w:p w14:paraId="6E1C82C6">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超前钻与实际桩基础的桩位和深度相差超过1米以上，经核实为勘察单位责任的，每发生1次扣10分；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772989A3">
            <w:pPr>
              <w:spacing w:line="360" w:lineRule="exact"/>
              <w:jc w:val="center"/>
              <w:rPr>
                <w:rFonts w:ascii="宋体" w:hAnsi="宋体" w:cs="Times New Roman"/>
                <w:color w:val="auto"/>
                <w:szCs w:val="21"/>
                <w:highlight w:val="none"/>
              </w:rPr>
            </w:pPr>
          </w:p>
        </w:tc>
      </w:tr>
      <w:tr w14:paraId="74B1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2719D5B">
            <w:pPr>
              <w:spacing w:line="360" w:lineRule="exact"/>
              <w:jc w:val="center"/>
              <w:rPr>
                <w:rFonts w:ascii="宋体" w:hAnsi="宋体" w:cs="Times New Roman"/>
                <w:color w:val="auto"/>
                <w:szCs w:val="21"/>
                <w:highlight w:val="none"/>
              </w:rPr>
            </w:pPr>
            <w:r>
              <w:rPr>
                <w:rFonts w:ascii="宋体" w:hAnsi="宋体" w:cs="Times New Roman"/>
                <w:color w:val="auto"/>
                <w:kern w:val="2"/>
                <w:szCs w:val="21"/>
                <w:highlight w:val="none"/>
              </w:rPr>
              <w:t>26</w:t>
            </w:r>
          </w:p>
        </w:tc>
        <w:tc>
          <w:tcPr>
            <w:tcW w:w="6858" w:type="dxa"/>
            <w:tcBorders>
              <w:top w:val="single" w:color="auto" w:sz="4" w:space="0"/>
              <w:left w:val="single" w:color="auto" w:sz="4" w:space="0"/>
              <w:bottom w:val="single" w:color="auto" w:sz="4" w:space="0"/>
              <w:right w:val="single" w:color="auto" w:sz="4" w:space="0"/>
            </w:tcBorders>
            <w:vAlign w:val="center"/>
          </w:tcPr>
          <w:p w14:paraId="17CBCEAD">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勘察报告中岩芯抗压强度与实际桩基础抽芯持力层强度和描述差别较大的，每发生1次扣10分；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0953DFE2">
            <w:pPr>
              <w:spacing w:line="360" w:lineRule="exact"/>
              <w:jc w:val="center"/>
              <w:rPr>
                <w:rFonts w:ascii="宋体" w:hAnsi="宋体" w:cs="Times New Roman"/>
                <w:color w:val="auto"/>
                <w:szCs w:val="21"/>
                <w:highlight w:val="none"/>
              </w:rPr>
            </w:pPr>
          </w:p>
        </w:tc>
      </w:tr>
      <w:tr w14:paraId="4370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BD90B7C">
            <w:pPr>
              <w:spacing w:line="360" w:lineRule="exact"/>
              <w:jc w:val="center"/>
              <w:rPr>
                <w:rFonts w:ascii="宋体" w:hAnsi="宋体" w:cs="Times New Roman"/>
                <w:color w:val="auto"/>
                <w:szCs w:val="21"/>
                <w:highlight w:val="none"/>
              </w:rPr>
            </w:pPr>
            <w:r>
              <w:rPr>
                <w:rFonts w:ascii="宋体" w:hAnsi="宋体" w:cs="Times New Roman"/>
                <w:color w:val="auto"/>
                <w:kern w:val="2"/>
                <w:szCs w:val="21"/>
                <w:highlight w:val="none"/>
              </w:rPr>
              <w:t>27</w:t>
            </w:r>
          </w:p>
        </w:tc>
        <w:tc>
          <w:tcPr>
            <w:tcW w:w="6858" w:type="dxa"/>
            <w:tcBorders>
              <w:top w:val="single" w:color="auto" w:sz="4" w:space="0"/>
              <w:left w:val="single" w:color="auto" w:sz="4" w:space="0"/>
              <w:bottom w:val="single" w:color="auto" w:sz="4" w:space="0"/>
              <w:right w:val="single" w:color="auto" w:sz="4" w:space="0"/>
            </w:tcBorders>
            <w:vAlign w:val="center"/>
          </w:tcPr>
          <w:p w14:paraId="75F6931F">
            <w:pPr>
              <w:spacing w:line="360" w:lineRule="exact"/>
              <w:jc w:val="left"/>
              <w:rPr>
                <w:rFonts w:ascii="宋体" w:hAnsi="宋体" w:cs="Times New Roman"/>
                <w:color w:val="auto"/>
                <w:szCs w:val="21"/>
                <w:highlight w:val="none"/>
              </w:rPr>
            </w:pPr>
            <w:r>
              <w:rPr>
                <w:rFonts w:hint="eastAsia" w:ascii="宋体" w:hAnsi="宋体" w:cs="Times New Roman"/>
                <w:color w:val="auto"/>
                <w:kern w:val="2"/>
                <w:szCs w:val="21"/>
                <w:highlight w:val="none"/>
              </w:rPr>
              <w:t>对于外地的勘察设计单位，提交成果（报建资料、图纸、变更手续等文件）时间超过约定时间，每发生1次扣5分。</w:t>
            </w:r>
          </w:p>
        </w:tc>
        <w:tc>
          <w:tcPr>
            <w:tcW w:w="866" w:type="dxa"/>
            <w:tcBorders>
              <w:top w:val="single" w:color="auto" w:sz="4" w:space="0"/>
              <w:left w:val="single" w:color="auto" w:sz="4" w:space="0"/>
              <w:bottom w:val="single" w:color="auto" w:sz="4" w:space="0"/>
              <w:right w:val="single" w:color="auto" w:sz="4" w:space="0"/>
            </w:tcBorders>
            <w:vAlign w:val="center"/>
          </w:tcPr>
          <w:p w14:paraId="7FEFE02A">
            <w:pPr>
              <w:spacing w:line="360" w:lineRule="exact"/>
              <w:jc w:val="center"/>
              <w:rPr>
                <w:rFonts w:ascii="宋体" w:hAnsi="宋体" w:cs="Times New Roman"/>
                <w:color w:val="auto"/>
                <w:szCs w:val="21"/>
                <w:highlight w:val="none"/>
              </w:rPr>
            </w:pPr>
          </w:p>
        </w:tc>
      </w:tr>
      <w:tr w14:paraId="73F8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14:paraId="561E84BC">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扣分总数</w:t>
            </w:r>
          </w:p>
        </w:tc>
        <w:tc>
          <w:tcPr>
            <w:tcW w:w="866" w:type="dxa"/>
            <w:tcBorders>
              <w:top w:val="single" w:color="auto" w:sz="4" w:space="0"/>
              <w:left w:val="single" w:color="auto" w:sz="4" w:space="0"/>
              <w:bottom w:val="single" w:color="auto" w:sz="4" w:space="0"/>
              <w:right w:val="single" w:color="auto" w:sz="4" w:space="0"/>
            </w:tcBorders>
            <w:vAlign w:val="center"/>
          </w:tcPr>
          <w:p w14:paraId="4C0ABDF9">
            <w:pPr>
              <w:spacing w:line="360" w:lineRule="exact"/>
              <w:jc w:val="center"/>
              <w:rPr>
                <w:rFonts w:ascii="宋体" w:hAnsi="宋体" w:cs="Times New Roman"/>
                <w:color w:val="auto"/>
                <w:szCs w:val="21"/>
                <w:highlight w:val="none"/>
              </w:rPr>
            </w:pPr>
          </w:p>
        </w:tc>
      </w:tr>
      <w:tr w14:paraId="4BD8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14:paraId="073C168D">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得分总数（100-扣分总数）</w:t>
            </w:r>
          </w:p>
        </w:tc>
        <w:tc>
          <w:tcPr>
            <w:tcW w:w="866" w:type="dxa"/>
            <w:tcBorders>
              <w:top w:val="single" w:color="auto" w:sz="4" w:space="0"/>
              <w:left w:val="single" w:color="auto" w:sz="4" w:space="0"/>
              <w:bottom w:val="single" w:color="auto" w:sz="4" w:space="0"/>
              <w:right w:val="single" w:color="auto" w:sz="4" w:space="0"/>
            </w:tcBorders>
            <w:vAlign w:val="center"/>
          </w:tcPr>
          <w:p w14:paraId="6D8CF78F">
            <w:pPr>
              <w:spacing w:line="360" w:lineRule="exact"/>
              <w:jc w:val="center"/>
              <w:rPr>
                <w:rFonts w:ascii="宋体" w:hAnsi="宋体" w:cs="Times New Roman"/>
                <w:color w:val="auto"/>
                <w:szCs w:val="21"/>
                <w:highlight w:val="none"/>
              </w:rPr>
            </w:pPr>
          </w:p>
        </w:tc>
      </w:tr>
      <w:tr w14:paraId="289B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14:paraId="542CEADB">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考核结果等次</w:t>
            </w:r>
          </w:p>
        </w:tc>
        <w:tc>
          <w:tcPr>
            <w:tcW w:w="866" w:type="dxa"/>
            <w:tcBorders>
              <w:top w:val="single" w:color="auto" w:sz="4" w:space="0"/>
              <w:left w:val="single" w:color="auto" w:sz="4" w:space="0"/>
              <w:bottom w:val="single" w:color="auto" w:sz="4" w:space="0"/>
              <w:right w:val="single" w:color="auto" w:sz="4" w:space="0"/>
            </w:tcBorders>
            <w:vAlign w:val="center"/>
          </w:tcPr>
          <w:p w14:paraId="57CF8C16">
            <w:pPr>
              <w:spacing w:line="360" w:lineRule="exact"/>
              <w:jc w:val="center"/>
              <w:rPr>
                <w:rFonts w:ascii="宋体" w:hAnsi="宋体" w:cs="Times New Roman"/>
                <w:color w:val="auto"/>
                <w:szCs w:val="21"/>
                <w:highlight w:val="none"/>
              </w:rPr>
            </w:pPr>
          </w:p>
        </w:tc>
      </w:tr>
      <w:tr w14:paraId="13C7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523" w:type="dxa"/>
            <w:gridSpan w:val="3"/>
            <w:tcBorders>
              <w:top w:val="single" w:color="auto" w:sz="4" w:space="0"/>
              <w:left w:val="single" w:color="auto" w:sz="4" w:space="0"/>
              <w:bottom w:val="single" w:color="auto" w:sz="4" w:space="0"/>
              <w:right w:val="single" w:color="auto" w:sz="4" w:space="0"/>
            </w:tcBorders>
            <w:vAlign w:val="center"/>
          </w:tcPr>
          <w:p w14:paraId="34C89CBB">
            <w:pPr>
              <w:spacing w:line="360" w:lineRule="exact"/>
              <w:jc w:val="center"/>
              <w:rPr>
                <w:rFonts w:ascii="宋体" w:hAnsi="宋体" w:cs="Times New Roman"/>
                <w:color w:val="auto"/>
                <w:szCs w:val="21"/>
                <w:highlight w:val="none"/>
              </w:rPr>
            </w:pPr>
            <w:r>
              <w:rPr>
                <w:rFonts w:hint="eastAsia" w:ascii="宋体" w:hAnsi="宋体" w:cs="Times New Roman"/>
                <w:color w:val="auto"/>
                <w:kern w:val="2"/>
                <w:szCs w:val="21"/>
                <w:highlight w:val="none"/>
              </w:rPr>
              <w:t>勘察设计单位项目负责人（签字）：</w:t>
            </w:r>
          </w:p>
        </w:tc>
      </w:tr>
    </w:tbl>
    <w:p w14:paraId="2984EA32">
      <w:pPr>
        <w:spacing w:line="360" w:lineRule="auto"/>
        <w:rPr>
          <w:rFonts w:ascii="宋体" w:hAnsi="Courier New" w:eastAsia="仿宋_GB2312" w:cs="Times New Roman"/>
          <w:color w:val="auto"/>
          <w:sz w:val="19"/>
          <w:szCs w:val="20"/>
          <w:highlight w:val="none"/>
        </w:rPr>
      </w:pPr>
    </w:p>
    <w:p w14:paraId="38EA8D61">
      <w:pPr>
        <w:jc w:val="right"/>
        <w:rPr>
          <w:rFonts w:cs="Times New Roman"/>
          <w:color w:val="auto"/>
          <w:szCs w:val="21"/>
          <w:highlight w:val="none"/>
        </w:rPr>
      </w:pPr>
    </w:p>
    <w:p w14:paraId="6001ACAA">
      <w:pPr>
        <w:spacing w:line="360" w:lineRule="auto"/>
        <w:ind w:firstLine="480"/>
        <w:jc w:val="left"/>
        <w:rPr>
          <w:rFonts w:cs="Times New Roman"/>
          <w:color w:val="auto"/>
          <w:sz w:val="24"/>
          <w:szCs w:val="20"/>
          <w:highlight w:val="none"/>
        </w:rPr>
      </w:pPr>
      <w:bookmarkStart w:id="0" w:name="_Toc58255902"/>
      <w:r>
        <w:rPr>
          <w:rFonts w:hint="eastAsia" w:cs="Times New Roman"/>
          <w:color w:val="auto"/>
          <w:kern w:val="2"/>
          <w:sz w:val="24"/>
          <w:szCs w:val="20"/>
          <w:highlight w:val="none"/>
        </w:rPr>
        <w:t>二、设计单位考核处罚办法</w:t>
      </w:r>
      <w:bookmarkEnd w:id="0"/>
    </w:p>
    <w:p w14:paraId="05FF6043">
      <w:pPr>
        <w:spacing w:line="360" w:lineRule="auto"/>
        <w:ind w:firstLine="480"/>
        <w:jc w:val="left"/>
        <w:rPr>
          <w:rFonts w:cs="Times New Roman"/>
          <w:color w:val="auto"/>
          <w:sz w:val="24"/>
          <w:szCs w:val="20"/>
          <w:highlight w:val="none"/>
        </w:rPr>
      </w:pPr>
      <w:r>
        <w:rPr>
          <w:rFonts w:hint="eastAsia" w:cs="Times New Roman"/>
          <w:color w:val="auto"/>
          <w:kern w:val="2"/>
          <w:sz w:val="24"/>
          <w:szCs w:val="20"/>
          <w:highlight w:val="none"/>
        </w:rPr>
        <w:t xml:space="preserve">（1）当考核结果为“优”和“良”等次者。不做奖惩。  </w:t>
      </w:r>
    </w:p>
    <w:p w14:paraId="7328175A">
      <w:pPr>
        <w:spacing w:line="360" w:lineRule="auto"/>
        <w:ind w:firstLine="480"/>
        <w:jc w:val="left"/>
        <w:rPr>
          <w:rFonts w:cs="Times New Roman"/>
          <w:color w:val="auto"/>
          <w:sz w:val="24"/>
          <w:szCs w:val="20"/>
          <w:highlight w:val="none"/>
        </w:rPr>
      </w:pPr>
      <w:r>
        <w:rPr>
          <w:rFonts w:hint="eastAsia" w:cs="Times New Roman"/>
          <w:color w:val="auto"/>
          <w:kern w:val="2"/>
          <w:sz w:val="24"/>
          <w:szCs w:val="20"/>
          <w:highlight w:val="none"/>
        </w:rPr>
        <w:t>（2）当考核结果为“中”等次者，建设单位或项目管理单位将针对其存在的问题下达《项目监管函》促其整改，如无法完成限期整改，将下达《约谈法定代表人通知书》直至完成整改。</w:t>
      </w:r>
    </w:p>
    <w:p w14:paraId="02EAD8F5">
      <w:pPr>
        <w:spacing w:line="360" w:lineRule="auto"/>
        <w:ind w:firstLine="480"/>
        <w:jc w:val="left"/>
        <w:rPr>
          <w:rFonts w:cs="Times New Roman"/>
          <w:color w:val="auto"/>
          <w:sz w:val="24"/>
          <w:szCs w:val="20"/>
          <w:highlight w:val="none"/>
        </w:rPr>
      </w:pPr>
      <w:r>
        <w:rPr>
          <w:rFonts w:hint="eastAsia" w:cs="Times New Roman"/>
          <w:color w:val="auto"/>
          <w:kern w:val="2"/>
          <w:sz w:val="24"/>
          <w:szCs w:val="20"/>
          <w:highlight w:val="none"/>
        </w:rPr>
        <w:t>（3）当考核结果为“差”等次者，建设单位或项目管理单位将针对其存在的问题下达《约谈法定代表人通知书》促其整改，并根据整改情况和相关合同的约定采取扣罚履约保证金，如无法完成限期整改，建设单位或项目管理单位有权解除该项目勘察设计合同。</w:t>
      </w:r>
    </w:p>
    <w:p w14:paraId="12598804">
      <w:pPr>
        <w:spacing w:line="360" w:lineRule="auto"/>
        <w:ind w:firstLine="480"/>
        <w:jc w:val="left"/>
        <w:rPr>
          <w:rFonts w:cs="Times New Roman"/>
          <w:color w:val="auto"/>
          <w:sz w:val="24"/>
          <w:szCs w:val="20"/>
          <w:highlight w:val="none"/>
        </w:rPr>
      </w:pPr>
      <w:r>
        <w:rPr>
          <w:rFonts w:hint="eastAsia" w:cs="Times New Roman"/>
          <w:color w:val="auto"/>
          <w:kern w:val="2"/>
          <w:sz w:val="24"/>
          <w:szCs w:val="20"/>
          <w:highlight w:val="none"/>
        </w:rPr>
        <w:t>（4）对于连续两次考核结果为“差”等次者，建设单位或项目管理单位有权解除该项目勘察设计合同，将勘察设计单位列入黑名单，并按照有关规定处理。</w:t>
      </w:r>
    </w:p>
    <w:p w14:paraId="0617EE44">
      <w:pPr>
        <w:spacing w:line="360" w:lineRule="auto"/>
        <w:ind w:firstLine="480"/>
        <w:jc w:val="left"/>
        <w:rPr>
          <w:rFonts w:cs="Times New Roman"/>
          <w:color w:val="auto"/>
          <w:sz w:val="24"/>
          <w:szCs w:val="20"/>
          <w:highlight w:val="none"/>
        </w:rPr>
      </w:pPr>
      <w:r>
        <w:rPr>
          <w:rFonts w:cs="Times New Roman"/>
          <w:color w:val="auto"/>
          <w:kern w:val="2"/>
          <w:sz w:val="24"/>
          <w:szCs w:val="20"/>
          <w:highlight w:val="none"/>
        </w:rPr>
        <w:t>（5）</w:t>
      </w:r>
      <w:r>
        <w:rPr>
          <w:rFonts w:hint="eastAsia" w:cs="Times New Roman"/>
          <w:color w:val="auto"/>
          <w:kern w:val="2"/>
          <w:sz w:val="24"/>
          <w:szCs w:val="20"/>
          <w:highlight w:val="none"/>
        </w:rPr>
        <w:t>考核结果在项目管理单位所有合作设计单位考核排名末位的，列入黑名单，并按照有关规定处理。</w:t>
      </w:r>
    </w:p>
    <w:p w14:paraId="201064CF">
      <w:pPr>
        <w:spacing w:line="360" w:lineRule="auto"/>
        <w:ind w:firstLine="480"/>
        <w:jc w:val="left"/>
        <w:rPr>
          <w:rFonts w:cs="Times New Roman"/>
          <w:color w:val="auto"/>
          <w:sz w:val="24"/>
          <w:szCs w:val="20"/>
          <w:highlight w:val="none"/>
        </w:rPr>
      </w:pPr>
      <w:r>
        <w:rPr>
          <w:rFonts w:cs="Times New Roman"/>
          <w:color w:val="auto"/>
          <w:kern w:val="2"/>
          <w:sz w:val="24"/>
          <w:szCs w:val="20"/>
          <w:highlight w:val="none"/>
        </w:rPr>
        <w:t>（6）</w:t>
      </w:r>
      <w:r>
        <w:rPr>
          <w:rFonts w:hint="eastAsia" w:cs="Times New Roman"/>
          <w:color w:val="auto"/>
          <w:kern w:val="2"/>
          <w:sz w:val="24"/>
          <w:szCs w:val="20"/>
          <w:highlight w:val="none"/>
        </w:rPr>
        <w:t>项目全过程，建设单位或项目管理单位的项目管理人员发现勘察设计单位存在《勘察设计单位履约考核表》中不配合的情况，扣分超过20（含20分），有权下达《项目监管函》促其整改，如无法完成限期整改，有权下达《约谈法定代表人通知书》。</w:t>
      </w:r>
    </w:p>
    <w:p w14:paraId="6FD91666">
      <w:pPr>
        <w:spacing w:line="360" w:lineRule="auto"/>
        <w:ind w:firstLine="480"/>
        <w:jc w:val="left"/>
        <w:rPr>
          <w:rFonts w:cs="Times New Roman"/>
          <w:color w:val="auto"/>
          <w:sz w:val="24"/>
          <w:szCs w:val="20"/>
          <w:highlight w:val="none"/>
        </w:rPr>
      </w:pPr>
      <w:r>
        <w:rPr>
          <w:rFonts w:hint="eastAsia" w:cs="Times New Roman"/>
          <w:color w:val="auto"/>
          <w:kern w:val="2"/>
          <w:sz w:val="24"/>
          <w:szCs w:val="20"/>
          <w:highlight w:val="none"/>
        </w:rPr>
        <w:t>（7）乙方每下发一份项目监管函扣罚合同价款5000元，乙方每下发一份约谈法人通知书扣罚合同价款10000元；违法合同约定的执行违约条款。</w:t>
      </w:r>
    </w:p>
    <w:p w14:paraId="17243237">
      <w:pPr>
        <w:pStyle w:val="2"/>
        <w:spacing w:line="360" w:lineRule="auto"/>
        <w:ind w:firstLine="0" w:firstLineChars="0"/>
        <w:rPr>
          <w:color w:val="auto"/>
          <w:highlight w:val="none"/>
        </w:rPr>
      </w:pPr>
    </w:p>
    <w:p w14:paraId="43305D3D">
      <w:pPr>
        <w:pStyle w:val="2"/>
        <w:ind w:firstLine="372"/>
        <w:rPr>
          <w:color w:val="auto"/>
          <w:highlight w:val="none"/>
        </w:rPr>
      </w:pPr>
    </w:p>
    <w:p w14:paraId="5BA3C449">
      <w:pPr>
        <w:pStyle w:val="2"/>
        <w:ind w:firstLine="372"/>
        <w:rPr>
          <w:color w:val="auto"/>
          <w:highlight w:val="none"/>
        </w:rPr>
      </w:pPr>
      <w:r>
        <w:rPr>
          <w:rFonts w:hint="eastAsia"/>
          <w:color w:val="auto"/>
          <w:highlight w:val="none"/>
        </w:rPr>
        <w:t>附件：建造标准</w:t>
      </w:r>
    </w:p>
    <w:tbl>
      <w:tblPr>
        <w:tblStyle w:val="31"/>
        <w:tblpPr w:leftFromText="180" w:rightFromText="180" w:vertAnchor="text" w:horzAnchor="page" w:tblpX="1584" w:tblpY="109"/>
        <w:tblW w:w="4994"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96"/>
        <w:gridCol w:w="84"/>
        <w:gridCol w:w="816"/>
        <w:gridCol w:w="280"/>
        <w:gridCol w:w="5"/>
        <w:gridCol w:w="775"/>
        <w:gridCol w:w="47"/>
        <w:gridCol w:w="678"/>
        <w:gridCol w:w="678"/>
        <w:gridCol w:w="221"/>
        <w:gridCol w:w="210"/>
        <w:gridCol w:w="22"/>
        <w:gridCol w:w="252"/>
        <w:gridCol w:w="43"/>
        <w:gridCol w:w="1410"/>
        <w:gridCol w:w="3286"/>
      </w:tblGrid>
      <w:tr w14:paraId="760450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18" w:type="pct"/>
            <w:gridSpan w:val="7"/>
            <w:vMerge w:val="restart"/>
            <w:shd w:val="clear" w:color="000000" w:fill="FFFFFF"/>
            <w:vAlign w:val="center"/>
          </w:tcPr>
          <w:p w14:paraId="023A2969">
            <w:pPr>
              <w:widowControl/>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科目名称</w:t>
            </w:r>
          </w:p>
        </w:tc>
        <w:tc>
          <w:tcPr>
            <w:tcW w:w="3581" w:type="pct"/>
            <w:gridSpan w:val="9"/>
            <w:shd w:val="clear" w:color="000000" w:fill="FFFFFF"/>
            <w:vAlign w:val="center"/>
          </w:tcPr>
          <w:p w14:paraId="0C5362DC">
            <w:pPr>
              <w:widowControl/>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建造标准</w:t>
            </w:r>
          </w:p>
        </w:tc>
      </w:tr>
      <w:tr w14:paraId="6EEAC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18" w:type="pct"/>
            <w:gridSpan w:val="7"/>
            <w:vMerge w:val="continue"/>
            <w:shd w:val="clear" w:color="auto" w:fill="auto"/>
            <w:vAlign w:val="center"/>
          </w:tcPr>
          <w:p w14:paraId="1E9F0EF0">
            <w:pPr>
              <w:widowControl/>
              <w:jc w:val="left"/>
              <w:rPr>
                <w:rFonts w:ascii="仿宋" w:hAnsi="仿宋" w:eastAsia="仿宋" w:cs="宋体"/>
                <w:b/>
                <w:bCs/>
                <w:color w:val="auto"/>
                <w:sz w:val="24"/>
                <w:szCs w:val="24"/>
                <w:highlight w:val="none"/>
              </w:rPr>
            </w:pPr>
          </w:p>
        </w:tc>
        <w:tc>
          <w:tcPr>
            <w:tcW w:w="1852" w:type="pct"/>
            <w:gridSpan w:val="8"/>
            <w:shd w:val="clear" w:color="000000" w:fill="FFFFFF"/>
            <w:vAlign w:val="center"/>
          </w:tcPr>
          <w:p w14:paraId="570CBDAA">
            <w:pPr>
              <w:widowControl/>
              <w:jc w:val="left"/>
              <w:rPr>
                <w:rFonts w:ascii="仿宋" w:hAnsi="仿宋" w:eastAsia="仿宋" w:cs="宋体"/>
                <w:b/>
                <w:bCs/>
                <w:color w:val="auto"/>
                <w:sz w:val="24"/>
                <w:szCs w:val="24"/>
                <w:highlight w:val="none"/>
                <w:lang w:eastAsia="zh"/>
              </w:rPr>
            </w:pPr>
            <w:r>
              <w:rPr>
                <w:rFonts w:hint="eastAsia" w:ascii="仿宋" w:hAnsi="仿宋" w:eastAsia="仿宋" w:cs="宋体"/>
                <w:b/>
                <w:bCs/>
                <w:color w:val="auto"/>
                <w:sz w:val="24"/>
                <w:szCs w:val="24"/>
                <w:highlight w:val="none"/>
                <w:lang w:eastAsia="zh"/>
              </w:rPr>
              <w:t>门诊医技住院综合楼</w:t>
            </w:r>
          </w:p>
        </w:tc>
        <w:tc>
          <w:tcPr>
            <w:tcW w:w="1728" w:type="pct"/>
            <w:shd w:val="clear" w:color="000000" w:fill="FFFFFF"/>
            <w:vAlign w:val="center"/>
          </w:tcPr>
          <w:p w14:paraId="1ED5109B">
            <w:pPr>
              <w:widowControl/>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地下车库、机房</w:t>
            </w:r>
          </w:p>
        </w:tc>
      </w:tr>
      <w:tr w14:paraId="5DAFF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93" w:type="pct"/>
            <w:gridSpan w:val="6"/>
            <w:shd w:val="clear" w:color="000000" w:fill="FFFFFF"/>
            <w:vAlign w:val="center"/>
          </w:tcPr>
          <w:p w14:paraId="402346CF">
            <w:pPr>
              <w:widowControl/>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面积指标</w:t>
            </w:r>
            <w:r>
              <w:rPr>
                <w:rFonts w:ascii="仿宋" w:hAnsi="仿宋" w:eastAsia="仿宋" w:cs="宋体"/>
                <w:color w:val="auto"/>
                <w:sz w:val="24"/>
                <w:szCs w:val="24"/>
                <w:highlight w:val="none"/>
              </w:rPr>
              <w:t>(㎡）</w:t>
            </w:r>
          </w:p>
        </w:tc>
        <w:tc>
          <w:tcPr>
            <w:tcW w:w="1877" w:type="pct"/>
            <w:gridSpan w:val="9"/>
            <w:vAlign w:val="center"/>
          </w:tcPr>
          <w:p w14:paraId="246058B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总建筑面积约</w:t>
            </w:r>
            <w:r>
              <w:rPr>
                <w:rFonts w:hint="eastAsia" w:ascii="仿宋" w:hAnsi="仿宋" w:eastAsia="仿宋" w:cs="宋体"/>
                <w:color w:val="auto"/>
                <w:sz w:val="24"/>
                <w:szCs w:val="24"/>
                <w:highlight w:val="none"/>
                <w:lang w:eastAsia="zh"/>
              </w:rPr>
              <w:t>28488.96</w:t>
            </w:r>
            <w:r>
              <w:rPr>
                <w:rFonts w:hint="eastAsia" w:ascii="仿宋" w:hAnsi="仿宋" w:eastAsia="仿宋" w:cs="宋体"/>
                <w:color w:val="auto"/>
                <w:sz w:val="24"/>
                <w:szCs w:val="24"/>
                <w:highlight w:val="none"/>
              </w:rPr>
              <w:t>㎡（以上建筑面积以最终国土规划部门批复为准）</w:t>
            </w:r>
          </w:p>
        </w:tc>
        <w:tc>
          <w:tcPr>
            <w:tcW w:w="1728" w:type="pct"/>
            <w:vAlign w:val="center"/>
          </w:tcPr>
          <w:p w14:paraId="1F38B622">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约</w:t>
            </w:r>
            <w:r>
              <w:rPr>
                <w:rFonts w:hint="eastAsia" w:ascii="仿宋" w:hAnsi="仿宋" w:eastAsia="仿宋" w:cs="宋体"/>
                <w:color w:val="auto"/>
                <w:sz w:val="24"/>
                <w:szCs w:val="24"/>
                <w:highlight w:val="none"/>
                <w:lang w:eastAsia="zh"/>
              </w:rPr>
              <w:t>13500</w:t>
            </w:r>
            <w:r>
              <w:rPr>
                <w:rFonts w:ascii="仿宋" w:hAnsi="仿宋" w:eastAsia="仿宋" w:cs="宋体"/>
                <w:color w:val="auto"/>
                <w:sz w:val="24"/>
                <w:szCs w:val="24"/>
                <w:highlight w:val="none"/>
              </w:rPr>
              <w:t>㎡</w:t>
            </w:r>
          </w:p>
        </w:tc>
      </w:tr>
      <w:tr w14:paraId="76A9C6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93" w:type="pct"/>
            <w:gridSpan w:val="6"/>
            <w:vAlign w:val="center"/>
          </w:tcPr>
          <w:p w14:paraId="41FD6C6D">
            <w:pPr>
              <w:widowControl/>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建筑楼层（</w:t>
            </w:r>
            <w:r>
              <w:rPr>
                <w:rFonts w:ascii="仿宋" w:hAnsi="仿宋" w:eastAsia="仿宋" w:cs="宋体"/>
                <w:color w:val="auto"/>
                <w:sz w:val="24"/>
                <w:szCs w:val="24"/>
                <w:highlight w:val="none"/>
              </w:rPr>
              <w:t>F)</w:t>
            </w:r>
          </w:p>
        </w:tc>
        <w:tc>
          <w:tcPr>
            <w:tcW w:w="1877" w:type="pct"/>
            <w:gridSpan w:val="9"/>
            <w:vAlign w:val="center"/>
          </w:tcPr>
          <w:p w14:paraId="3235776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地上</w:t>
            </w:r>
            <w:r>
              <w:rPr>
                <w:rFonts w:hint="eastAsia" w:ascii="仿宋" w:hAnsi="仿宋" w:eastAsia="仿宋" w:cs="宋体"/>
                <w:color w:val="auto"/>
                <w:sz w:val="24"/>
                <w:szCs w:val="24"/>
                <w:highlight w:val="none"/>
                <w:lang w:eastAsia="zh"/>
              </w:rPr>
              <w:t>17</w:t>
            </w:r>
            <w:r>
              <w:rPr>
                <w:rFonts w:hint="eastAsia" w:ascii="仿宋" w:hAnsi="仿宋" w:eastAsia="仿宋" w:cs="宋体"/>
                <w:color w:val="auto"/>
                <w:sz w:val="24"/>
                <w:szCs w:val="24"/>
                <w:highlight w:val="none"/>
              </w:rPr>
              <w:t>层</w:t>
            </w:r>
          </w:p>
        </w:tc>
        <w:tc>
          <w:tcPr>
            <w:tcW w:w="1728" w:type="pct"/>
            <w:vAlign w:val="center"/>
          </w:tcPr>
          <w:p w14:paraId="483364A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负一至负二层</w:t>
            </w:r>
          </w:p>
        </w:tc>
      </w:tr>
      <w:tr w14:paraId="49C07C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93" w:type="pct"/>
            <w:gridSpan w:val="6"/>
            <w:shd w:val="clear" w:color="000000" w:fill="FFFFFF"/>
            <w:vAlign w:val="center"/>
          </w:tcPr>
          <w:p w14:paraId="6A29F53A">
            <w:pPr>
              <w:widowControl/>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总建筑面积</w:t>
            </w:r>
            <w:r>
              <w:rPr>
                <w:rFonts w:ascii="仿宋" w:hAnsi="仿宋" w:eastAsia="仿宋" w:cs="宋体"/>
                <w:color w:val="auto"/>
                <w:sz w:val="24"/>
                <w:szCs w:val="24"/>
                <w:highlight w:val="none"/>
              </w:rPr>
              <w:t>(㎡）</w:t>
            </w:r>
          </w:p>
        </w:tc>
        <w:tc>
          <w:tcPr>
            <w:tcW w:w="3606" w:type="pct"/>
            <w:gridSpan w:val="10"/>
            <w:vAlign w:val="center"/>
          </w:tcPr>
          <w:p w14:paraId="66B1B02C">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总建筑面积约</w:t>
            </w:r>
            <w:r>
              <w:rPr>
                <w:rFonts w:hint="eastAsia" w:ascii="仿宋" w:hAnsi="仿宋" w:eastAsia="仿宋" w:cs="宋体"/>
                <w:color w:val="auto"/>
                <w:sz w:val="24"/>
                <w:szCs w:val="24"/>
                <w:highlight w:val="none"/>
                <w:lang w:eastAsia="zh"/>
              </w:rPr>
              <w:t>42592.25</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rPr>
              <w:t>以上建筑面积以最终国土规划部门批复为准</w:t>
            </w:r>
            <w:r>
              <w:rPr>
                <w:rFonts w:ascii="仿宋" w:hAnsi="仿宋" w:eastAsia="仿宋" w:cs="宋体"/>
                <w:color w:val="auto"/>
                <w:sz w:val="24"/>
                <w:szCs w:val="24"/>
                <w:highlight w:val="none"/>
              </w:rPr>
              <w:t>）</w:t>
            </w:r>
          </w:p>
        </w:tc>
      </w:tr>
      <w:tr w14:paraId="041F4C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restart"/>
            <w:vAlign w:val="center"/>
          </w:tcPr>
          <w:p w14:paraId="787D9EE5">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1.1基础工程</w:t>
            </w:r>
          </w:p>
        </w:tc>
        <w:tc>
          <w:tcPr>
            <w:tcW w:w="426" w:type="pct"/>
            <w:vAlign w:val="center"/>
          </w:tcPr>
          <w:p w14:paraId="0645A14B">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1.1.1</w:t>
            </w:r>
          </w:p>
        </w:tc>
        <w:tc>
          <w:tcPr>
            <w:tcW w:w="558" w:type="pct"/>
            <w:gridSpan w:val="3"/>
            <w:vAlign w:val="center"/>
          </w:tcPr>
          <w:p w14:paraId="38497584">
            <w:pPr>
              <w:widowControl/>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大型土石方</w:t>
            </w:r>
          </w:p>
        </w:tc>
        <w:tc>
          <w:tcPr>
            <w:tcW w:w="3606" w:type="pct"/>
            <w:gridSpan w:val="10"/>
            <w:vAlign w:val="center"/>
          </w:tcPr>
          <w:p w14:paraId="752E166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地下室两层</w:t>
            </w:r>
          </w:p>
        </w:tc>
      </w:tr>
      <w:tr w14:paraId="23515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3FD07D60">
            <w:pPr>
              <w:widowControl/>
              <w:jc w:val="left"/>
              <w:rPr>
                <w:rFonts w:ascii="仿宋" w:hAnsi="仿宋" w:eastAsia="仿宋" w:cs="宋体"/>
                <w:color w:val="auto"/>
                <w:sz w:val="24"/>
                <w:szCs w:val="24"/>
                <w:highlight w:val="none"/>
              </w:rPr>
            </w:pPr>
          </w:p>
        </w:tc>
        <w:tc>
          <w:tcPr>
            <w:tcW w:w="426" w:type="pct"/>
            <w:shd w:val="clear" w:color="auto" w:fill="auto"/>
            <w:vAlign w:val="center"/>
          </w:tcPr>
          <w:p w14:paraId="3C66AFFB">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1.1.2</w:t>
            </w:r>
          </w:p>
        </w:tc>
        <w:tc>
          <w:tcPr>
            <w:tcW w:w="558" w:type="pct"/>
            <w:gridSpan w:val="3"/>
            <w:shd w:val="clear" w:color="auto" w:fill="auto"/>
            <w:vAlign w:val="center"/>
          </w:tcPr>
          <w:p w14:paraId="4A79FD6F">
            <w:pPr>
              <w:widowControl/>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基础方案</w:t>
            </w:r>
          </w:p>
        </w:tc>
        <w:tc>
          <w:tcPr>
            <w:tcW w:w="3606" w:type="pct"/>
            <w:gridSpan w:val="10"/>
            <w:shd w:val="clear" w:color="000000" w:fill="FFFFFF"/>
            <w:vAlign w:val="center"/>
          </w:tcPr>
          <w:p w14:paraId="44FC6F94">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由设计单位根据地勘报告及结构形式确定合理的基础方案</w:t>
            </w:r>
          </w:p>
        </w:tc>
      </w:tr>
      <w:tr w14:paraId="5933A9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03417BA8">
            <w:pPr>
              <w:widowControl/>
              <w:jc w:val="left"/>
              <w:rPr>
                <w:rFonts w:ascii="仿宋" w:hAnsi="仿宋" w:eastAsia="仿宋" w:cs="宋体"/>
                <w:color w:val="auto"/>
                <w:sz w:val="24"/>
                <w:szCs w:val="24"/>
                <w:highlight w:val="none"/>
              </w:rPr>
            </w:pPr>
          </w:p>
        </w:tc>
        <w:tc>
          <w:tcPr>
            <w:tcW w:w="426" w:type="pct"/>
            <w:shd w:val="clear" w:color="auto" w:fill="auto"/>
            <w:vAlign w:val="center"/>
          </w:tcPr>
          <w:p w14:paraId="0231919C">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1.1.3</w:t>
            </w:r>
          </w:p>
        </w:tc>
        <w:tc>
          <w:tcPr>
            <w:tcW w:w="558" w:type="pct"/>
            <w:gridSpan w:val="3"/>
            <w:shd w:val="clear" w:color="auto" w:fill="auto"/>
            <w:vAlign w:val="center"/>
          </w:tcPr>
          <w:p w14:paraId="42ABBC48">
            <w:pPr>
              <w:widowControl/>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基坑支护</w:t>
            </w:r>
          </w:p>
        </w:tc>
        <w:tc>
          <w:tcPr>
            <w:tcW w:w="3606" w:type="pct"/>
            <w:gridSpan w:val="10"/>
            <w:shd w:val="clear" w:color="000000" w:fill="FFFFFF"/>
            <w:vAlign w:val="center"/>
          </w:tcPr>
          <w:p w14:paraId="5162DFE1">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基坑开挖时采用合理的支护措施，同时还必须采取施工现场的降水、疏水及排水措施。</w:t>
            </w:r>
          </w:p>
        </w:tc>
      </w:tr>
      <w:tr w14:paraId="6144CE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restart"/>
            <w:shd w:val="clear" w:color="000000" w:fill="FFFFFF"/>
            <w:vAlign w:val="center"/>
          </w:tcPr>
          <w:p w14:paraId="2DEB6001">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1.2主体土建</w:t>
            </w:r>
          </w:p>
        </w:tc>
        <w:tc>
          <w:tcPr>
            <w:tcW w:w="426" w:type="pct"/>
            <w:vMerge w:val="restart"/>
            <w:shd w:val="clear" w:color="000000" w:fill="FFFFFF"/>
            <w:vAlign w:val="center"/>
          </w:tcPr>
          <w:p w14:paraId="39CECF1F">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1.2.1 </w:t>
            </w:r>
            <w:r>
              <w:rPr>
                <w:rFonts w:hint="eastAsia" w:ascii="仿宋" w:hAnsi="仿宋" w:eastAsia="仿宋" w:cs="宋体"/>
                <w:color w:val="auto"/>
                <w:sz w:val="24"/>
                <w:szCs w:val="24"/>
                <w:highlight w:val="none"/>
              </w:rPr>
              <w:t>土建结构</w:t>
            </w:r>
          </w:p>
        </w:tc>
        <w:tc>
          <w:tcPr>
            <w:tcW w:w="558" w:type="pct"/>
            <w:gridSpan w:val="3"/>
            <w:vMerge w:val="restart"/>
            <w:shd w:val="clear" w:color="auto" w:fill="auto"/>
            <w:vAlign w:val="center"/>
          </w:tcPr>
          <w:p w14:paraId="4DEC9A0C">
            <w:pPr>
              <w:widowControl/>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结构形式</w:t>
            </w:r>
          </w:p>
        </w:tc>
        <w:tc>
          <w:tcPr>
            <w:tcW w:w="3606" w:type="pct"/>
            <w:gridSpan w:val="10"/>
            <w:shd w:val="clear" w:color="000000" w:fill="FFFFFF"/>
            <w:vAlign w:val="center"/>
          </w:tcPr>
          <w:p w14:paraId="08DEAAA2">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采用钢筋混凝土框架-剪力墙或框架-核心筒结构体系，裙楼采用框架结构。</w:t>
            </w:r>
          </w:p>
        </w:tc>
      </w:tr>
      <w:tr w14:paraId="61ABDB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27AE7506">
            <w:pPr>
              <w:widowControl/>
              <w:jc w:val="left"/>
              <w:rPr>
                <w:rFonts w:ascii="仿宋" w:hAnsi="仿宋" w:eastAsia="仿宋" w:cs="宋体"/>
                <w:color w:val="auto"/>
                <w:sz w:val="24"/>
                <w:szCs w:val="24"/>
                <w:highlight w:val="none"/>
              </w:rPr>
            </w:pPr>
          </w:p>
        </w:tc>
        <w:tc>
          <w:tcPr>
            <w:tcW w:w="426" w:type="pct"/>
            <w:vMerge w:val="continue"/>
            <w:shd w:val="clear" w:color="auto" w:fill="auto"/>
            <w:vAlign w:val="center"/>
          </w:tcPr>
          <w:p w14:paraId="6ACC1E79">
            <w:pPr>
              <w:widowControl/>
              <w:jc w:val="left"/>
              <w:rPr>
                <w:rFonts w:ascii="仿宋" w:hAnsi="仿宋" w:eastAsia="仿宋" w:cs="宋体"/>
                <w:color w:val="auto"/>
                <w:sz w:val="24"/>
                <w:szCs w:val="24"/>
                <w:highlight w:val="none"/>
              </w:rPr>
            </w:pPr>
          </w:p>
        </w:tc>
        <w:tc>
          <w:tcPr>
            <w:tcW w:w="558" w:type="pct"/>
            <w:gridSpan w:val="3"/>
            <w:vMerge w:val="continue"/>
            <w:shd w:val="clear" w:color="auto" w:fill="auto"/>
            <w:vAlign w:val="center"/>
          </w:tcPr>
          <w:p w14:paraId="33BA0A1C">
            <w:pPr>
              <w:widowControl/>
              <w:jc w:val="left"/>
              <w:rPr>
                <w:rFonts w:ascii="仿宋" w:hAnsi="仿宋" w:eastAsia="仿宋" w:cs="宋体"/>
                <w:color w:val="auto"/>
                <w:sz w:val="24"/>
                <w:szCs w:val="24"/>
                <w:highlight w:val="none"/>
              </w:rPr>
            </w:pPr>
          </w:p>
        </w:tc>
        <w:tc>
          <w:tcPr>
            <w:tcW w:w="3606" w:type="pct"/>
            <w:gridSpan w:val="10"/>
            <w:shd w:val="clear" w:color="000000" w:fill="FFFFFF"/>
            <w:vAlign w:val="center"/>
          </w:tcPr>
          <w:p w14:paraId="03229B48">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地下室宜采用经济合理、实用可靠的结构体系</w:t>
            </w:r>
          </w:p>
        </w:tc>
      </w:tr>
      <w:tr w14:paraId="3567FE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1900FB92">
            <w:pPr>
              <w:widowControl/>
              <w:jc w:val="left"/>
              <w:rPr>
                <w:rFonts w:ascii="仿宋" w:hAnsi="仿宋" w:eastAsia="仿宋" w:cs="宋体"/>
                <w:color w:val="auto"/>
                <w:sz w:val="24"/>
                <w:szCs w:val="24"/>
                <w:highlight w:val="none"/>
              </w:rPr>
            </w:pPr>
          </w:p>
        </w:tc>
        <w:tc>
          <w:tcPr>
            <w:tcW w:w="426" w:type="pct"/>
            <w:vMerge w:val="continue"/>
            <w:shd w:val="clear" w:color="auto" w:fill="auto"/>
            <w:vAlign w:val="center"/>
          </w:tcPr>
          <w:p w14:paraId="55BFBDF8">
            <w:pPr>
              <w:widowControl/>
              <w:jc w:val="left"/>
              <w:rPr>
                <w:rFonts w:ascii="仿宋" w:hAnsi="仿宋" w:eastAsia="仿宋" w:cs="宋体"/>
                <w:color w:val="auto"/>
                <w:sz w:val="24"/>
                <w:szCs w:val="24"/>
                <w:highlight w:val="none"/>
              </w:rPr>
            </w:pPr>
          </w:p>
        </w:tc>
        <w:tc>
          <w:tcPr>
            <w:tcW w:w="558" w:type="pct"/>
            <w:gridSpan w:val="3"/>
            <w:shd w:val="clear" w:color="000000" w:fill="FFFFFF"/>
            <w:vAlign w:val="center"/>
          </w:tcPr>
          <w:p w14:paraId="37E7BA32">
            <w:pPr>
              <w:widowControl/>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砌体</w:t>
            </w:r>
          </w:p>
        </w:tc>
        <w:tc>
          <w:tcPr>
            <w:tcW w:w="3606" w:type="pct"/>
            <w:gridSpan w:val="10"/>
            <w:shd w:val="clear" w:color="000000" w:fill="FFFFFF"/>
            <w:vAlign w:val="center"/>
          </w:tcPr>
          <w:p w14:paraId="4FDEE79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地下室：蒸压加气混凝土砌块为主，局部灰砂砖砌筑</w:t>
            </w:r>
            <w:r>
              <w:rPr>
                <w:rFonts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塔楼及裙楼：轻质隔墙</w:t>
            </w:r>
            <w:r>
              <w:rPr>
                <w:rFonts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塔楼核心筒：加气混凝土砌块</w:t>
            </w:r>
          </w:p>
        </w:tc>
      </w:tr>
      <w:tr w14:paraId="12A5AD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718EC828">
            <w:pPr>
              <w:widowControl/>
              <w:jc w:val="left"/>
              <w:rPr>
                <w:rFonts w:ascii="仿宋" w:hAnsi="仿宋" w:eastAsia="仿宋" w:cs="宋体"/>
                <w:color w:val="auto"/>
                <w:sz w:val="24"/>
                <w:szCs w:val="24"/>
                <w:highlight w:val="none"/>
              </w:rPr>
            </w:pPr>
          </w:p>
        </w:tc>
        <w:tc>
          <w:tcPr>
            <w:tcW w:w="426" w:type="pct"/>
            <w:vMerge w:val="continue"/>
            <w:shd w:val="clear" w:color="auto" w:fill="auto"/>
            <w:vAlign w:val="center"/>
          </w:tcPr>
          <w:p w14:paraId="0DA18F22">
            <w:pPr>
              <w:widowControl/>
              <w:jc w:val="left"/>
              <w:rPr>
                <w:rFonts w:ascii="仿宋" w:hAnsi="仿宋" w:eastAsia="仿宋" w:cs="宋体"/>
                <w:color w:val="auto"/>
                <w:sz w:val="24"/>
                <w:szCs w:val="24"/>
                <w:highlight w:val="none"/>
              </w:rPr>
            </w:pPr>
          </w:p>
        </w:tc>
        <w:tc>
          <w:tcPr>
            <w:tcW w:w="558" w:type="pct"/>
            <w:gridSpan w:val="3"/>
            <w:shd w:val="clear" w:color="auto" w:fill="auto"/>
            <w:vAlign w:val="center"/>
          </w:tcPr>
          <w:p w14:paraId="09FCD4B6">
            <w:pPr>
              <w:widowControl/>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屋面保温隔热</w:t>
            </w:r>
          </w:p>
        </w:tc>
        <w:tc>
          <w:tcPr>
            <w:tcW w:w="3606" w:type="pct"/>
            <w:gridSpan w:val="10"/>
            <w:shd w:val="clear" w:color="000000" w:fill="FFFFFF"/>
            <w:vAlign w:val="center"/>
          </w:tcPr>
          <w:p w14:paraId="4378F6E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挤塑聚苯板</w:t>
            </w:r>
          </w:p>
        </w:tc>
      </w:tr>
      <w:tr w14:paraId="14B6E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78FA10F2">
            <w:pPr>
              <w:widowControl/>
              <w:jc w:val="left"/>
              <w:rPr>
                <w:rFonts w:ascii="仿宋" w:hAnsi="仿宋" w:eastAsia="仿宋" w:cs="宋体"/>
                <w:color w:val="auto"/>
                <w:sz w:val="24"/>
                <w:szCs w:val="24"/>
                <w:highlight w:val="none"/>
              </w:rPr>
            </w:pPr>
          </w:p>
        </w:tc>
        <w:tc>
          <w:tcPr>
            <w:tcW w:w="426" w:type="pct"/>
            <w:vMerge w:val="continue"/>
            <w:shd w:val="clear" w:color="auto" w:fill="auto"/>
            <w:vAlign w:val="center"/>
          </w:tcPr>
          <w:p w14:paraId="2C690D86">
            <w:pPr>
              <w:widowControl/>
              <w:jc w:val="left"/>
              <w:rPr>
                <w:rFonts w:ascii="仿宋" w:hAnsi="仿宋" w:eastAsia="仿宋" w:cs="宋体"/>
                <w:color w:val="auto"/>
                <w:sz w:val="24"/>
                <w:szCs w:val="24"/>
                <w:highlight w:val="none"/>
              </w:rPr>
            </w:pPr>
          </w:p>
        </w:tc>
        <w:tc>
          <w:tcPr>
            <w:tcW w:w="558" w:type="pct"/>
            <w:gridSpan w:val="3"/>
            <w:shd w:val="clear" w:color="auto" w:fill="auto"/>
            <w:vAlign w:val="center"/>
          </w:tcPr>
          <w:p w14:paraId="5538A006">
            <w:pPr>
              <w:widowControl/>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防水</w:t>
            </w:r>
          </w:p>
        </w:tc>
        <w:tc>
          <w:tcPr>
            <w:tcW w:w="3606" w:type="pct"/>
            <w:gridSpan w:val="10"/>
            <w:shd w:val="clear" w:color="000000" w:fill="FFFFFF"/>
            <w:vAlign w:val="center"/>
          </w:tcPr>
          <w:p w14:paraId="785FF7E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
              </w:rPr>
              <w:t>耐根穿刺防水卷材/</w:t>
            </w:r>
            <w:r>
              <w:rPr>
                <w:rFonts w:hint="eastAsia" w:ascii="仿宋" w:hAnsi="仿宋" w:eastAsia="仿宋" w:cs="宋体"/>
                <w:color w:val="auto"/>
                <w:sz w:val="24"/>
                <w:szCs w:val="24"/>
                <w:highlight w:val="none"/>
              </w:rPr>
              <w:t>改性沥青防水卷材/防水涂料/水泥基防水材料，满足《建筑与市政工程防水通用规范(GB55030-2022)》要求。</w:t>
            </w:r>
          </w:p>
        </w:tc>
      </w:tr>
      <w:tr w14:paraId="174941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47F814FF">
            <w:pPr>
              <w:widowControl/>
              <w:jc w:val="left"/>
              <w:rPr>
                <w:rFonts w:ascii="仿宋" w:hAnsi="仿宋" w:eastAsia="仿宋" w:cs="宋体"/>
                <w:color w:val="auto"/>
                <w:sz w:val="24"/>
                <w:szCs w:val="24"/>
                <w:highlight w:val="none"/>
              </w:rPr>
            </w:pPr>
          </w:p>
        </w:tc>
        <w:tc>
          <w:tcPr>
            <w:tcW w:w="426" w:type="pct"/>
            <w:vMerge w:val="continue"/>
            <w:shd w:val="clear" w:color="auto" w:fill="auto"/>
            <w:vAlign w:val="center"/>
          </w:tcPr>
          <w:p w14:paraId="134A5441">
            <w:pPr>
              <w:widowControl/>
              <w:jc w:val="left"/>
              <w:rPr>
                <w:rFonts w:ascii="仿宋" w:hAnsi="仿宋" w:eastAsia="仿宋" w:cs="宋体"/>
                <w:color w:val="auto"/>
                <w:sz w:val="24"/>
                <w:szCs w:val="24"/>
                <w:highlight w:val="none"/>
              </w:rPr>
            </w:pPr>
          </w:p>
        </w:tc>
        <w:tc>
          <w:tcPr>
            <w:tcW w:w="558" w:type="pct"/>
            <w:gridSpan w:val="3"/>
            <w:shd w:val="clear" w:color="auto" w:fill="auto"/>
            <w:vAlign w:val="center"/>
          </w:tcPr>
          <w:p w14:paraId="258EFE62">
            <w:pPr>
              <w:widowControl/>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降板</w:t>
            </w:r>
          </w:p>
        </w:tc>
        <w:tc>
          <w:tcPr>
            <w:tcW w:w="3606" w:type="pct"/>
            <w:gridSpan w:val="10"/>
            <w:shd w:val="clear" w:color="000000" w:fill="FFFFFF"/>
            <w:vAlign w:val="center"/>
          </w:tcPr>
          <w:p w14:paraId="79C1B4FD">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各层均预留卫生间及厨房降板区域，及相应给排水主管道。</w:t>
            </w:r>
          </w:p>
        </w:tc>
      </w:tr>
      <w:tr w14:paraId="48380A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705DD644">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5AF1D91A">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1.2.2 外墙　</w:t>
            </w:r>
          </w:p>
        </w:tc>
        <w:tc>
          <w:tcPr>
            <w:tcW w:w="2627" w:type="pct"/>
            <w:gridSpan w:val="4"/>
            <w:shd w:val="clear" w:color="000000" w:fill="FFFFFF"/>
            <w:vAlign w:val="center"/>
          </w:tcPr>
          <w:p w14:paraId="0B229197">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详</w:t>
            </w:r>
            <w:r>
              <w:rPr>
                <w:rFonts w:ascii="仿宋" w:hAnsi="仿宋" w:eastAsia="仿宋" w:cs="宋体"/>
                <w:color w:val="auto"/>
                <w:sz w:val="24"/>
                <w:szCs w:val="24"/>
                <w:highlight w:val="none"/>
              </w:rPr>
              <w:t>1.3项</w:t>
            </w:r>
          </w:p>
        </w:tc>
      </w:tr>
      <w:tr w14:paraId="35816F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2904FB21">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3F22E1BA">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1.2.3 外门窗　</w:t>
            </w:r>
          </w:p>
        </w:tc>
        <w:tc>
          <w:tcPr>
            <w:tcW w:w="2627" w:type="pct"/>
            <w:gridSpan w:val="4"/>
            <w:shd w:val="clear" w:color="000000" w:fill="FFFFFF"/>
            <w:vAlign w:val="center"/>
          </w:tcPr>
          <w:p w14:paraId="383A7403">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窗墙系统</w:t>
            </w:r>
            <w:r>
              <w:rPr>
                <w:rFonts w:ascii="仿宋" w:hAnsi="仿宋" w:eastAsia="仿宋" w:cs="宋体"/>
                <w:bCs/>
                <w:color w:val="auto"/>
                <w:sz w:val="24"/>
                <w:szCs w:val="24"/>
                <w:highlight w:val="none"/>
              </w:rPr>
              <w:t>+幕墙系统</w:t>
            </w:r>
          </w:p>
        </w:tc>
      </w:tr>
      <w:tr w14:paraId="77B2E3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41B0CDD0">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36D48D2A">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1.2.4 栏杆　</w:t>
            </w:r>
          </w:p>
        </w:tc>
        <w:tc>
          <w:tcPr>
            <w:tcW w:w="2627" w:type="pct"/>
            <w:gridSpan w:val="4"/>
            <w:shd w:val="clear" w:color="000000" w:fill="FFFFFF"/>
            <w:vAlign w:val="center"/>
          </w:tcPr>
          <w:p w14:paraId="4D6EA2E1">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护窗栏杆：铝合金栏杆</w:t>
            </w:r>
            <w:r>
              <w:rPr>
                <w:rFonts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疏散楼梯栏杆：镀锌钢管</w:t>
            </w:r>
            <w:r>
              <w:rPr>
                <w:rFonts w:hint="eastAsia" w:ascii="仿宋" w:hAnsi="仿宋" w:eastAsia="仿宋" w:cs="宋体"/>
                <w:color w:val="auto"/>
                <w:sz w:val="24"/>
                <w:szCs w:val="24"/>
                <w:highlight w:val="none"/>
                <w:lang w:eastAsia="zh"/>
              </w:rPr>
              <w:t>/不锈钢</w:t>
            </w:r>
            <w:r>
              <w:rPr>
                <w:rFonts w:hint="eastAsia" w:ascii="仿宋" w:hAnsi="仿宋" w:eastAsia="仿宋" w:cs="宋体"/>
                <w:color w:val="auto"/>
                <w:sz w:val="24"/>
                <w:szCs w:val="24"/>
                <w:highlight w:val="none"/>
              </w:rPr>
              <w:t>栏杆</w:t>
            </w:r>
          </w:p>
          <w:p w14:paraId="13384D9E">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天面栏杆：不锈钢栏杆</w:t>
            </w:r>
          </w:p>
          <w:p w14:paraId="72065334">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阳台栏杆：不锈钢栏杆+玻璃栏板</w:t>
            </w:r>
          </w:p>
        </w:tc>
      </w:tr>
      <w:tr w14:paraId="538320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24D0AD8F">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749EFADF">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1.2.5 防火门　</w:t>
            </w:r>
          </w:p>
        </w:tc>
        <w:tc>
          <w:tcPr>
            <w:tcW w:w="2627" w:type="pct"/>
            <w:gridSpan w:val="4"/>
            <w:shd w:val="clear" w:color="000000" w:fill="FFFFFF"/>
            <w:vAlign w:val="center"/>
          </w:tcPr>
          <w:p w14:paraId="120B387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地下室：钢制钢框防火门</w:t>
            </w:r>
            <w:r>
              <w:rPr>
                <w:rFonts w:hint="eastAsia" w:ascii="仿宋" w:hAnsi="仿宋" w:eastAsia="仿宋" w:cs="宋体"/>
                <w:color w:val="auto"/>
                <w:sz w:val="24"/>
                <w:szCs w:val="24"/>
                <w:highlight w:val="none"/>
                <w:lang w:eastAsia="zh"/>
              </w:rPr>
              <w:t>/玻璃防火门</w:t>
            </w:r>
            <w:r>
              <w:rPr>
                <w:rFonts w:hint="eastAsia" w:ascii="仿宋" w:hAnsi="仿宋" w:eastAsia="仿宋" w:cs="宋体"/>
                <w:color w:val="auto"/>
                <w:sz w:val="24"/>
                <w:szCs w:val="24"/>
                <w:highlight w:val="none"/>
              </w:rPr>
              <w:t xml:space="preserve"> -颜色根据设计确定</w:t>
            </w:r>
            <w:r>
              <w:rPr>
                <w:rFonts w:hint="eastAsia"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首层外露防火门：发纹不锈钢防火门、石材面防火门-颜色根据设计确定</w:t>
            </w:r>
            <w:r>
              <w:rPr>
                <w:rFonts w:hint="eastAsia"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标准层部分与室内结合部分：实木贴面木制防火门（带观察窗）或者不锈钢防火门--具体根据室内设计；</w:t>
            </w:r>
            <w:r>
              <w:rPr>
                <w:rFonts w:hint="eastAsia"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地上其它部分防火门（消防楼梯、前室等较为隐蔽区域）：木制/钢制防火门（带观察窗）-颜色根据设计确定</w:t>
            </w:r>
            <w:r>
              <w:rPr>
                <w:rFonts w:hint="eastAsia"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顶层：钢制钢框防火门</w:t>
            </w:r>
          </w:p>
        </w:tc>
      </w:tr>
      <w:tr w14:paraId="3E649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restart"/>
            <w:shd w:val="clear" w:color="000000" w:fill="FFFFFF"/>
            <w:vAlign w:val="center"/>
          </w:tcPr>
          <w:p w14:paraId="688E28F2">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1.3</w:t>
            </w:r>
            <w:r>
              <w:rPr>
                <w:rFonts w:hint="eastAsia" w:ascii="仿宋" w:hAnsi="仿宋" w:eastAsia="仿宋" w:cs="宋体"/>
                <w:color w:val="auto"/>
                <w:sz w:val="24"/>
                <w:szCs w:val="24"/>
                <w:highlight w:val="none"/>
              </w:rPr>
              <w:t>立面</w:t>
            </w:r>
            <w:r>
              <w:rPr>
                <w:rFonts w:ascii="仿宋" w:hAnsi="仿宋" w:eastAsia="仿宋" w:cs="宋体"/>
                <w:color w:val="auto"/>
                <w:sz w:val="24"/>
                <w:szCs w:val="24"/>
                <w:highlight w:val="none"/>
              </w:rPr>
              <w:t>工程</w:t>
            </w:r>
          </w:p>
          <w:p w14:paraId="30C5A8E7">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w:t>
            </w:r>
          </w:p>
        </w:tc>
        <w:tc>
          <w:tcPr>
            <w:tcW w:w="1964" w:type="pct"/>
            <w:gridSpan w:val="10"/>
            <w:shd w:val="clear" w:color="auto" w:fill="auto"/>
            <w:vAlign w:val="center"/>
          </w:tcPr>
          <w:p w14:paraId="29ED695B">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1.3.1 </w:t>
            </w:r>
            <w:r>
              <w:rPr>
                <w:rFonts w:hint="eastAsia" w:ascii="仿宋" w:hAnsi="仿宋" w:eastAsia="仿宋" w:cs="宋体"/>
                <w:color w:val="auto"/>
                <w:sz w:val="24"/>
                <w:szCs w:val="24"/>
                <w:highlight w:val="none"/>
              </w:rPr>
              <w:t>塔楼立面　</w:t>
            </w:r>
          </w:p>
        </w:tc>
        <w:tc>
          <w:tcPr>
            <w:tcW w:w="2627" w:type="pct"/>
            <w:gridSpan w:val="4"/>
            <w:shd w:val="clear" w:color="000000" w:fill="FFFFFF"/>
            <w:vAlign w:val="center"/>
          </w:tcPr>
          <w:p w14:paraId="13EF8DD2">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幕墙</w:t>
            </w:r>
            <w:r>
              <w:rPr>
                <w:rFonts w:hint="eastAsia" w:ascii="仿宋" w:hAnsi="仿宋" w:eastAsia="仿宋" w:cs="宋体"/>
                <w:color w:val="auto"/>
                <w:sz w:val="24"/>
                <w:szCs w:val="24"/>
                <w:highlight w:val="none"/>
              </w:rPr>
              <w:t>体系</w:t>
            </w:r>
            <w:r>
              <w:rPr>
                <w:rFonts w:hint="eastAsia" w:ascii="仿宋" w:hAnsi="仿宋" w:eastAsia="仿宋" w:cs="宋体"/>
                <w:color w:val="auto"/>
                <w:sz w:val="24"/>
                <w:szCs w:val="24"/>
                <w:highlight w:val="none"/>
                <w:lang w:eastAsia="zh"/>
              </w:rPr>
              <w:t>：</w:t>
            </w:r>
            <w:r>
              <w:rPr>
                <w:rFonts w:hint="eastAsia" w:ascii="仿宋" w:hAnsi="仿宋" w:eastAsia="仿宋" w:cs="宋体"/>
                <w:color w:val="auto"/>
                <w:sz w:val="24"/>
                <w:szCs w:val="24"/>
                <w:highlight w:val="none"/>
              </w:rPr>
              <w:t>采用断桥铝合金窗，</w:t>
            </w:r>
            <w:r>
              <w:rPr>
                <w:rFonts w:ascii="仿宋" w:hAnsi="仿宋" w:eastAsia="仿宋" w:cs="宋体"/>
                <w:color w:val="auto"/>
                <w:sz w:val="24"/>
                <w:szCs w:val="24"/>
                <w:highlight w:val="none"/>
              </w:rPr>
              <w:t>Low-E</w:t>
            </w:r>
            <w:r>
              <w:rPr>
                <w:rFonts w:hint="eastAsia" w:ascii="仿宋" w:hAnsi="仿宋" w:eastAsia="仿宋" w:cs="宋体"/>
                <w:color w:val="auto"/>
                <w:sz w:val="24"/>
                <w:szCs w:val="24"/>
                <w:highlight w:val="none"/>
              </w:rPr>
              <w:t>中空玻璃</w:t>
            </w:r>
          </w:p>
          <w:p w14:paraId="682068E2">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土建结构外刷水包砂仿石涂料/真石漆/金属漆，根据设计效果选定</w:t>
            </w:r>
          </w:p>
        </w:tc>
      </w:tr>
      <w:tr w14:paraId="4A11F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000000" w:fill="FFFFFF"/>
            <w:vAlign w:val="center"/>
          </w:tcPr>
          <w:p w14:paraId="35051EC0">
            <w:pPr>
              <w:jc w:val="center"/>
              <w:rPr>
                <w:rFonts w:ascii="仿宋" w:hAnsi="仿宋" w:eastAsia="仿宋" w:cs="宋体"/>
                <w:color w:val="auto"/>
                <w:sz w:val="24"/>
                <w:szCs w:val="24"/>
                <w:highlight w:val="none"/>
              </w:rPr>
            </w:pPr>
          </w:p>
        </w:tc>
        <w:tc>
          <w:tcPr>
            <w:tcW w:w="1964" w:type="pct"/>
            <w:gridSpan w:val="10"/>
            <w:shd w:val="clear" w:color="auto" w:fill="auto"/>
            <w:vAlign w:val="center"/>
          </w:tcPr>
          <w:p w14:paraId="20798E95">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1.3.2 大堂/</w:t>
            </w:r>
            <w:r>
              <w:rPr>
                <w:rFonts w:hint="eastAsia" w:ascii="仿宋" w:hAnsi="仿宋" w:eastAsia="仿宋" w:cs="宋体"/>
                <w:color w:val="auto"/>
                <w:sz w:val="24"/>
                <w:szCs w:val="24"/>
                <w:highlight w:val="none"/>
                <w:lang w:eastAsia="zh"/>
              </w:rPr>
              <w:t>地下</w:t>
            </w:r>
            <w:r>
              <w:rPr>
                <w:rFonts w:hint="eastAsia" w:ascii="仿宋" w:hAnsi="仿宋" w:eastAsia="仿宋" w:cs="宋体"/>
                <w:color w:val="auto"/>
                <w:sz w:val="24"/>
                <w:szCs w:val="24"/>
                <w:highlight w:val="none"/>
              </w:rPr>
              <w:t>落地玻璃幕墙</w:t>
            </w:r>
          </w:p>
        </w:tc>
        <w:tc>
          <w:tcPr>
            <w:tcW w:w="2627" w:type="pct"/>
            <w:gridSpan w:val="4"/>
            <w:shd w:val="clear" w:color="000000" w:fill="FFFFFF"/>
            <w:vAlign w:val="center"/>
          </w:tcPr>
          <w:p w14:paraId="725FB401">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大堂： 10 +12A+10超白中空钢化双银LOW-E玻璃</w:t>
            </w:r>
          </w:p>
          <w:p w14:paraId="5C898E50">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-1F电梯</w:t>
            </w:r>
            <w:r>
              <w:rPr>
                <w:rFonts w:hint="eastAsia" w:ascii="仿宋" w:hAnsi="仿宋" w:eastAsia="仿宋" w:cs="宋体"/>
                <w:color w:val="auto"/>
                <w:sz w:val="24"/>
                <w:szCs w:val="24"/>
                <w:highlight w:val="none"/>
                <w:lang w:eastAsia="zh"/>
              </w:rPr>
              <w:t>厅</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eastAsia="zh"/>
              </w:rPr>
              <w:t>乳胶漆/涂料</w:t>
            </w:r>
          </w:p>
          <w:p w14:paraId="242567F5">
            <w:pPr>
              <w:pStyle w:val="2"/>
              <w:ind w:firstLine="0" w:firstLineChars="0"/>
              <w:rPr>
                <w:color w:val="auto"/>
                <w:highlight w:val="none"/>
              </w:rPr>
            </w:pPr>
            <w:r>
              <w:rPr>
                <w:rFonts w:hint="eastAsia" w:ascii="仿宋" w:hAnsi="仿宋" w:eastAsia="仿宋" w:cs="宋体"/>
                <w:color w:val="auto"/>
                <w:highlight w:val="none"/>
              </w:rPr>
              <w:t>-</w:t>
            </w:r>
            <w:r>
              <w:rPr>
                <w:rFonts w:hint="eastAsia" w:ascii="仿宋" w:hAnsi="仿宋" w:eastAsia="仿宋" w:cs="宋体"/>
                <w:color w:val="auto"/>
                <w:highlight w:val="none"/>
                <w:lang w:eastAsia="zh"/>
              </w:rPr>
              <w:t>2</w:t>
            </w:r>
            <w:r>
              <w:rPr>
                <w:rFonts w:hint="eastAsia" w:ascii="仿宋" w:hAnsi="仿宋" w:eastAsia="仿宋" w:cs="宋体"/>
                <w:color w:val="auto"/>
                <w:highlight w:val="none"/>
              </w:rPr>
              <w:t>F电梯大堂：铝合金框架式，钢化玻璃</w:t>
            </w:r>
            <w:r>
              <w:rPr>
                <w:rFonts w:hint="eastAsia" w:ascii="仿宋" w:hAnsi="仿宋" w:eastAsia="仿宋" w:cs="宋体"/>
                <w:color w:val="auto"/>
                <w:highlight w:val="none"/>
                <w:lang w:eastAsia="zh"/>
              </w:rPr>
              <w:t>（3h防火）</w:t>
            </w:r>
          </w:p>
        </w:tc>
      </w:tr>
      <w:tr w14:paraId="51A02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000000" w:fill="FFFFFF"/>
            <w:vAlign w:val="center"/>
          </w:tcPr>
          <w:p w14:paraId="2DCF4C76">
            <w:pPr>
              <w:jc w:val="center"/>
              <w:rPr>
                <w:rFonts w:ascii="仿宋" w:hAnsi="仿宋" w:eastAsia="仿宋" w:cs="宋体"/>
                <w:color w:val="auto"/>
                <w:sz w:val="24"/>
                <w:szCs w:val="24"/>
                <w:highlight w:val="none"/>
              </w:rPr>
            </w:pPr>
          </w:p>
        </w:tc>
        <w:tc>
          <w:tcPr>
            <w:tcW w:w="1964" w:type="pct"/>
            <w:gridSpan w:val="10"/>
            <w:shd w:val="clear" w:color="auto" w:fill="auto"/>
            <w:vAlign w:val="center"/>
          </w:tcPr>
          <w:p w14:paraId="04B526BC">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1.3.3 裙楼部分幕墙</w:t>
            </w:r>
          </w:p>
        </w:tc>
        <w:tc>
          <w:tcPr>
            <w:tcW w:w="2627" w:type="pct"/>
            <w:gridSpan w:val="4"/>
            <w:shd w:val="clear" w:color="000000" w:fill="FFFFFF"/>
            <w:vAlign w:val="center"/>
          </w:tcPr>
          <w:p w14:paraId="349BA1E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裙楼：玻璃、铝板幕墙、金属遮阳百叶</w:t>
            </w:r>
            <w:r>
              <w:rPr>
                <w:rFonts w:hint="eastAsia"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格栅：镀锌钢通龙骨外包铝板/环保木（铝套芯）格栅</w:t>
            </w:r>
          </w:p>
        </w:tc>
      </w:tr>
      <w:tr w14:paraId="188FF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000000" w:fill="FFFFFF"/>
            <w:vAlign w:val="center"/>
          </w:tcPr>
          <w:p w14:paraId="089FD09D">
            <w:pPr>
              <w:jc w:val="center"/>
              <w:rPr>
                <w:rFonts w:ascii="仿宋" w:hAnsi="仿宋" w:eastAsia="仿宋" w:cs="宋体"/>
                <w:color w:val="auto"/>
                <w:sz w:val="24"/>
                <w:szCs w:val="24"/>
                <w:highlight w:val="none"/>
              </w:rPr>
            </w:pPr>
          </w:p>
        </w:tc>
        <w:tc>
          <w:tcPr>
            <w:tcW w:w="1964" w:type="pct"/>
            <w:gridSpan w:val="10"/>
            <w:shd w:val="clear" w:color="auto" w:fill="auto"/>
            <w:vAlign w:val="center"/>
          </w:tcPr>
          <w:p w14:paraId="7612D06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1.3.4 大堂雨棚　</w:t>
            </w:r>
          </w:p>
        </w:tc>
        <w:tc>
          <w:tcPr>
            <w:tcW w:w="2627" w:type="pct"/>
            <w:gridSpan w:val="4"/>
            <w:shd w:val="clear" w:color="000000" w:fill="FFFFFF"/>
            <w:vAlign w:val="center"/>
          </w:tcPr>
          <w:p w14:paraId="4AD2EB0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镀锌钢型材龙骨，铝板氟碳喷涂</w:t>
            </w:r>
            <w:r>
              <w:rPr>
                <w:rFonts w:hint="eastAsia"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金属格栅吊顶</w:t>
            </w:r>
          </w:p>
        </w:tc>
      </w:tr>
      <w:tr w14:paraId="144A6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000000" w:fill="FFFFFF"/>
            <w:vAlign w:val="center"/>
          </w:tcPr>
          <w:p w14:paraId="654A280C">
            <w:pPr>
              <w:jc w:val="center"/>
              <w:rPr>
                <w:rFonts w:ascii="仿宋" w:hAnsi="仿宋" w:eastAsia="仿宋" w:cs="宋体"/>
                <w:color w:val="auto"/>
                <w:sz w:val="24"/>
                <w:szCs w:val="24"/>
                <w:highlight w:val="none"/>
              </w:rPr>
            </w:pPr>
          </w:p>
        </w:tc>
        <w:tc>
          <w:tcPr>
            <w:tcW w:w="1964" w:type="pct"/>
            <w:gridSpan w:val="10"/>
            <w:shd w:val="clear" w:color="auto" w:fill="auto"/>
            <w:vAlign w:val="center"/>
          </w:tcPr>
          <w:p w14:paraId="68EF38B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1.3.5 屋顶构架</w:t>
            </w:r>
          </w:p>
        </w:tc>
        <w:tc>
          <w:tcPr>
            <w:tcW w:w="2627" w:type="pct"/>
            <w:gridSpan w:val="4"/>
            <w:shd w:val="clear" w:color="000000" w:fill="FFFFFF"/>
            <w:vAlign w:val="center"/>
          </w:tcPr>
          <w:p w14:paraId="3C5E9A18">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钢筋混凝土构架结构，局部轻钢结构，玻璃幕墙，铝合金格栅百叶</w:t>
            </w:r>
          </w:p>
        </w:tc>
      </w:tr>
      <w:tr w14:paraId="349010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000000" w:fill="FFFFFF"/>
            <w:vAlign w:val="center"/>
          </w:tcPr>
          <w:p w14:paraId="04B5D6FD">
            <w:pPr>
              <w:widowControl/>
              <w:jc w:val="center"/>
              <w:rPr>
                <w:rFonts w:ascii="仿宋" w:hAnsi="仿宋" w:eastAsia="仿宋" w:cs="宋体"/>
                <w:color w:val="auto"/>
                <w:sz w:val="24"/>
                <w:szCs w:val="24"/>
                <w:highlight w:val="none"/>
              </w:rPr>
            </w:pPr>
          </w:p>
        </w:tc>
        <w:tc>
          <w:tcPr>
            <w:tcW w:w="1964" w:type="pct"/>
            <w:gridSpan w:val="10"/>
            <w:shd w:val="clear" w:color="000000" w:fill="FFFFFF"/>
            <w:vAlign w:val="center"/>
          </w:tcPr>
          <w:p w14:paraId="4F0552FE">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1.3.6 外墙灯光</w:t>
            </w:r>
          </w:p>
        </w:tc>
        <w:tc>
          <w:tcPr>
            <w:tcW w:w="2627" w:type="pct"/>
            <w:gridSpan w:val="4"/>
            <w:shd w:val="clear" w:color="000000" w:fill="FFFFFF"/>
            <w:vAlign w:val="center"/>
          </w:tcPr>
          <w:p w14:paraId="1A4DC52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幕墙Led光源</w:t>
            </w:r>
          </w:p>
        </w:tc>
      </w:tr>
      <w:tr w14:paraId="42F453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000000" w:fill="FFFFFF"/>
            <w:vAlign w:val="center"/>
          </w:tcPr>
          <w:p w14:paraId="15E345D4">
            <w:pPr>
              <w:widowControl/>
              <w:jc w:val="center"/>
              <w:rPr>
                <w:rFonts w:ascii="仿宋" w:hAnsi="仿宋" w:eastAsia="仿宋" w:cs="宋体"/>
                <w:color w:val="auto"/>
                <w:sz w:val="24"/>
                <w:szCs w:val="24"/>
                <w:highlight w:val="none"/>
              </w:rPr>
            </w:pPr>
          </w:p>
        </w:tc>
        <w:tc>
          <w:tcPr>
            <w:tcW w:w="1964" w:type="pct"/>
            <w:gridSpan w:val="10"/>
            <w:shd w:val="clear" w:color="000000" w:fill="FFFFFF"/>
            <w:vAlign w:val="center"/>
          </w:tcPr>
          <w:p w14:paraId="4AFA8632">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1.3.7</w:t>
            </w:r>
            <w:r>
              <w:rPr>
                <w:rFonts w:hint="eastAsia" w:ascii="仿宋" w:hAnsi="仿宋" w:eastAsia="仿宋" w:cs="宋体"/>
                <w:color w:val="auto"/>
                <w:sz w:val="24"/>
                <w:szCs w:val="24"/>
                <w:highlight w:val="none"/>
                <w:lang w:eastAsia="zh"/>
              </w:rPr>
              <w:t>医院</w:t>
            </w:r>
            <w:r>
              <w:rPr>
                <w:rFonts w:hint="eastAsia" w:ascii="仿宋" w:hAnsi="仿宋" w:eastAsia="仿宋" w:cs="宋体"/>
                <w:color w:val="auto"/>
                <w:sz w:val="24"/>
                <w:szCs w:val="24"/>
                <w:highlight w:val="none"/>
              </w:rPr>
              <w:t>logo</w:t>
            </w:r>
          </w:p>
        </w:tc>
        <w:tc>
          <w:tcPr>
            <w:tcW w:w="2627" w:type="pct"/>
            <w:gridSpan w:val="4"/>
            <w:shd w:val="clear" w:color="000000" w:fill="FFFFFF"/>
            <w:vAlign w:val="center"/>
          </w:tcPr>
          <w:p w14:paraId="07FAFE24">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根据立面方案设计，做好结构、电气点位预留，</w:t>
            </w:r>
            <w:r>
              <w:rPr>
                <w:rFonts w:hint="eastAsia" w:ascii="仿宋" w:hAnsi="仿宋" w:eastAsia="仿宋" w:cs="宋体"/>
                <w:color w:val="auto"/>
                <w:sz w:val="24"/>
                <w:szCs w:val="24"/>
                <w:highlight w:val="none"/>
                <w:lang w:eastAsia="zh"/>
              </w:rPr>
              <w:t>医院</w:t>
            </w:r>
            <w:r>
              <w:rPr>
                <w:rFonts w:ascii="仿宋" w:hAnsi="仿宋" w:eastAsia="仿宋" w:cs="宋体"/>
                <w:color w:val="auto"/>
                <w:sz w:val="24"/>
                <w:szCs w:val="24"/>
                <w:highlight w:val="none"/>
              </w:rPr>
              <w:t>logo安装到位</w:t>
            </w:r>
          </w:p>
        </w:tc>
      </w:tr>
      <w:tr w14:paraId="13A8FA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restart"/>
            <w:shd w:val="clear" w:color="000000" w:fill="FFFFFF"/>
            <w:vAlign w:val="center"/>
          </w:tcPr>
          <w:p w14:paraId="32389224">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1.4装修工程及交楼标准</w:t>
            </w:r>
          </w:p>
        </w:tc>
        <w:tc>
          <w:tcPr>
            <w:tcW w:w="577" w:type="pct"/>
            <w:gridSpan w:val="3"/>
            <w:vMerge w:val="restart"/>
            <w:shd w:val="clear" w:color="000000" w:fill="FFFFFF"/>
            <w:vAlign w:val="center"/>
          </w:tcPr>
          <w:p w14:paraId="3F4B3C54">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 xml:space="preserve">1.4.1 </w:t>
            </w:r>
            <w:r>
              <w:rPr>
                <w:rFonts w:hint="eastAsia" w:ascii="仿宋" w:hAnsi="仿宋" w:eastAsia="仿宋" w:cs="宋体"/>
                <w:color w:val="auto"/>
                <w:sz w:val="24"/>
                <w:szCs w:val="24"/>
                <w:highlight w:val="none"/>
                <w:lang w:eastAsia="zh"/>
              </w:rPr>
              <w:t>功能分区</w:t>
            </w:r>
          </w:p>
        </w:tc>
        <w:tc>
          <w:tcPr>
            <w:tcW w:w="1375" w:type="pct"/>
            <w:gridSpan w:val="6"/>
            <w:shd w:val="clear" w:color="000000" w:fill="FFFFFF"/>
            <w:vAlign w:val="center"/>
          </w:tcPr>
          <w:p w14:paraId="445646C5">
            <w:pPr>
              <w:widowControl/>
              <w:rPr>
                <w:rFonts w:ascii="仿宋" w:hAnsi="仿宋" w:eastAsia="仿宋" w:cs="宋体"/>
                <w:strike/>
                <w:color w:val="auto"/>
                <w:sz w:val="24"/>
                <w:szCs w:val="24"/>
                <w:highlight w:val="none"/>
                <w:lang w:eastAsia="zh"/>
              </w:rPr>
            </w:pPr>
            <w:r>
              <w:rPr>
                <w:rFonts w:hint="eastAsia" w:ascii="仿宋" w:hAnsi="仿宋" w:eastAsia="仿宋" w:cs="宋体"/>
                <w:color w:val="auto"/>
                <w:sz w:val="24"/>
                <w:szCs w:val="24"/>
                <w:highlight w:val="none"/>
                <w:lang w:eastAsia="zh"/>
              </w:rPr>
              <w:t>门诊、急诊</w:t>
            </w:r>
          </w:p>
        </w:tc>
        <w:tc>
          <w:tcPr>
            <w:tcW w:w="2638" w:type="pct"/>
            <w:gridSpan w:val="5"/>
            <w:shd w:val="clear" w:color="000000" w:fill="FFFFFF"/>
            <w:vAlign w:val="center"/>
          </w:tcPr>
          <w:p w14:paraId="1A25DD57">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精装修：具体根据室内设计</w:t>
            </w:r>
          </w:p>
          <w:p w14:paraId="3CE5CEC1">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地面：</w:t>
            </w:r>
            <w:r>
              <w:rPr>
                <w:rFonts w:hint="eastAsia" w:ascii="仿宋" w:hAnsi="仿宋" w:eastAsia="仿宋" w:cs="宋体"/>
                <w:color w:val="auto"/>
                <w:sz w:val="24"/>
                <w:szCs w:val="24"/>
                <w:highlight w:val="none"/>
                <w:lang w:eastAsia="zh"/>
              </w:rPr>
              <w:t>环氧磨石地面</w:t>
            </w:r>
          </w:p>
          <w:p w14:paraId="57399E20">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墙面：</w:t>
            </w:r>
            <w:r>
              <w:rPr>
                <w:rFonts w:hint="eastAsia" w:ascii="仿宋" w:hAnsi="仿宋" w:eastAsia="仿宋" w:cs="宋体"/>
                <w:color w:val="auto"/>
                <w:sz w:val="24"/>
                <w:szCs w:val="24"/>
                <w:highlight w:val="none"/>
                <w:lang w:eastAsia="zh"/>
              </w:rPr>
              <w:t>无机涂料</w:t>
            </w:r>
          </w:p>
          <w:p w14:paraId="58740D9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天花：</w:t>
            </w:r>
            <w:r>
              <w:rPr>
                <w:rFonts w:hint="eastAsia" w:ascii="仿宋" w:hAnsi="仿宋" w:eastAsia="仿宋" w:cs="宋体"/>
                <w:bCs/>
                <w:color w:val="auto"/>
                <w:sz w:val="24"/>
                <w:szCs w:val="24"/>
                <w:highlight w:val="none"/>
              </w:rPr>
              <w:t>纸面石膏板+无机涂料</w:t>
            </w:r>
          </w:p>
          <w:p w14:paraId="77392247">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空调：</w:t>
            </w:r>
            <w:r>
              <w:rPr>
                <w:rFonts w:hint="eastAsia" w:ascii="仿宋" w:hAnsi="仿宋" w:eastAsia="仿宋" w:cs="宋体"/>
                <w:bCs/>
                <w:color w:val="auto"/>
                <w:sz w:val="24"/>
                <w:szCs w:val="24"/>
                <w:highlight w:val="none"/>
              </w:rPr>
              <w:t>安装到位</w:t>
            </w:r>
          </w:p>
          <w:p w14:paraId="65E4FD3E">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强弱电：</w:t>
            </w:r>
            <w:r>
              <w:rPr>
                <w:rFonts w:hint="eastAsia" w:ascii="仿宋" w:hAnsi="仿宋" w:eastAsia="仿宋" w:cs="宋体"/>
                <w:color w:val="auto"/>
                <w:sz w:val="24"/>
                <w:szCs w:val="24"/>
                <w:highlight w:val="none"/>
                <w:lang w:eastAsia="zh"/>
              </w:rPr>
              <w:t>安装到位</w:t>
            </w:r>
          </w:p>
          <w:p w14:paraId="1CD432AE">
            <w:pPr>
              <w:widowControl/>
              <w:jc w:val="left"/>
              <w:rPr>
                <w:color w:val="auto"/>
                <w:highlight w:val="none"/>
                <w:lang w:eastAsia="zh"/>
              </w:rPr>
            </w:pPr>
            <w:r>
              <w:rPr>
                <w:rFonts w:hint="eastAsia" w:ascii="仿宋" w:hAnsi="仿宋" w:eastAsia="仿宋" w:cs="宋体"/>
                <w:color w:val="auto"/>
                <w:sz w:val="24"/>
                <w:szCs w:val="24"/>
                <w:highlight w:val="none"/>
                <w:lang w:eastAsia="zh"/>
              </w:rPr>
              <w:t>消防：配齐</w:t>
            </w:r>
          </w:p>
        </w:tc>
      </w:tr>
      <w:tr w14:paraId="25F788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000000" w:fill="FFFFFF"/>
            <w:vAlign w:val="center"/>
          </w:tcPr>
          <w:p w14:paraId="548DB171">
            <w:pPr>
              <w:widowControl/>
              <w:jc w:val="center"/>
              <w:rPr>
                <w:rFonts w:ascii="仿宋" w:hAnsi="仿宋" w:eastAsia="仿宋" w:cs="宋体"/>
                <w:color w:val="auto"/>
                <w:sz w:val="24"/>
                <w:szCs w:val="24"/>
                <w:highlight w:val="none"/>
              </w:rPr>
            </w:pPr>
          </w:p>
        </w:tc>
        <w:tc>
          <w:tcPr>
            <w:tcW w:w="577" w:type="pct"/>
            <w:gridSpan w:val="3"/>
            <w:vMerge w:val="continue"/>
            <w:shd w:val="clear" w:color="000000" w:fill="FFFFFF"/>
            <w:vAlign w:val="center"/>
          </w:tcPr>
          <w:p w14:paraId="5ADD2B65">
            <w:pPr>
              <w:widowControl/>
              <w:jc w:val="center"/>
              <w:rPr>
                <w:rFonts w:ascii="仿宋" w:hAnsi="仿宋" w:eastAsia="仿宋" w:cs="宋体"/>
                <w:color w:val="auto"/>
                <w:sz w:val="24"/>
                <w:szCs w:val="24"/>
                <w:highlight w:val="none"/>
              </w:rPr>
            </w:pPr>
          </w:p>
        </w:tc>
        <w:tc>
          <w:tcPr>
            <w:tcW w:w="1375" w:type="pct"/>
            <w:gridSpan w:val="6"/>
            <w:shd w:val="clear" w:color="000000" w:fill="FFFFFF"/>
            <w:vAlign w:val="center"/>
          </w:tcPr>
          <w:p w14:paraId="71D69861">
            <w:pPr>
              <w:widowControl/>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住院部</w:t>
            </w:r>
          </w:p>
        </w:tc>
        <w:tc>
          <w:tcPr>
            <w:tcW w:w="2638" w:type="pct"/>
            <w:gridSpan w:val="5"/>
            <w:shd w:val="clear" w:color="000000" w:fill="FFFFFF"/>
            <w:vAlign w:val="center"/>
          </w:tcPr>
          <w:p w14:paraId="7DFABA18">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精装修：具体根据室内设计</w:t>
            </w:r>
          </w:p>
          <w:p w14:paraId="58231311">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地面：</w:t>
            </w:r>
            <w:r>
              <w:rPr>
                <w:rFonts w:hint="eastAsia" w:ascii="仿宋" w:hAnsi="仿宋" w:eastAsia="仿宋" w:cs="宋体"/>
                <w:color w:val="auto"/>
                <w:sz w:val="24"/>
                <w:szCs w:val="24"/>
                <w:highlight w:val="none"/>
                <w:lang w:eastAsia="zh"/>
              </w:rPr>
              <w:t>环氧磨石地面</w:t>
            </w:r>
          </w:p>
          <w:p w14:paraId="709A6857">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墙面：</w:t>
            </w:r>
            <w:r>
              <w:rPr>
                <w:rFonts w:hint="eastAsia" w:ascii="仿宋" w:hAnsi="仿宋" w:eastAsia="仿宋" w:cs="宋体"/>
                <w:color w:val="auto"/>
                <w:sz w:val="24"/>
                <w:szCs w:val="24"/>
                <w:highlight w:val="none"/>
                <w:lang w:eastAsia="zh"/>
              </w:rPr>
              <w:t>无机涂料</w:t>
            </w:r>
          </w:p>
          <w:p w14:paraId="7B42EE02">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天花：</w:t>
            </w:r>
            <w:r>
              <w:rPr>
                <w:rFonts w:hint="eastAsia" w:ascii="仿宋" w:hAnsi="仿宋" w:eastAsia="仿宋" w:cs="宋体"/>
                <w:bCs/>
                <w:color w:val="auto"/>
                <w:sz w:val="24"/>
                <w:szCs w:val="24"/>
                <w:highlight w:val="none"/>
              </w:rPr>
              <w:t>纸面石膏板+无机涂料</w:t>
            </w:r>
          </w:p>
          <w:p w14:paraId="6F239428">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空调：</w:t>
            </w:r>
            <w:r>
              <w:rPr>
                <w:rFonts w:hint="eastAsia" w:ascii="仿宋" w:hAnsi="仿宋" w:eastAsia="仿宋" w:cs="宋体"/>
                <w:color w:val="auto"/>
                <w:sz w:val="24"/>
                <w:szCs w:val="24"/>
                <w:highlight w:val="none"/>
                <w:lang w:eastAsia="zh"/>
              </w:rPr>
              <w:t>分体空调、</w:t>
            </w:r>
            <w:r>
              <w:rPr>
                <w:rFonts w:hint="eastAsia" w:ascii="仿宋" w:hAnsi="仿宋" w:eastAsia="仿宋" w:cs="宋体"/>
                <w:bCs/>
                <w:color w:val="auto"/>
                <w:sz w:val="24"/>
                <w:szCs w:val="24"/>
                <w:highlight w:val="none"/>
              </w:rPr>
              <w:t>安装到位</w:t>
            </w:r>
          </w:p>
          <w:p w14:paraId="6B592A39">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强弱电：</w:t>
            </w:r>
            <w:r>
              <w:rPr>
                <w:rFonts w:hint="eastAsia" w:ascii="仿宋" w:hAnsi="仿宋" w:eastAsia="仿宋" w:cs="宋体"/>
                <w:color w:val="auto"/>
                <w:sz w:val="24"/>
                <w:szCs w:val="24"/>
                <w:highlight w:val="none"/>
                <w:lang w:eastAsia="zh"/>
              </w:rPr>
              <w:t>安装到位</w:t>
            </w:r>
          </w:p>
          <w:p w14:paraId="1985B203">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消防：配齐</w:t>
            </w:r>
          </w:p>
        </w:tc>
      </w:tr>
      <w:tr w14:paraId="4D6AD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000000" w:fill="FFFFFF"/>
            <w:vAlign w:val="center"/>
          </w:tcPr>
          <w:p w14:paraId="2447A173">
            <w:pPr>
              <w:widowControl/>
              <w:jc w:val="center"/>
              <w:rPr>
                <w:rFonts w:ascii="仿宋" w:hAnsi="仿宋" w:eastAsia="仿宋" w:cs="宋体"/>
                <w:color w:val="auto"/>
                <w:sz w:val="24"/>
                <w:szCs w:val="24"/>
                <w:highlight w:val="none"/>
              </w:rPr>
            </w:pPr>
          </w:p>
        </w:tc>
        <w:tc>
          <w:tcPr>
            <w:tcW w:w="577" w:type="pct"/>
            <w:gridSpan w:val="3"/>
            <w:vMerge w:val="continue"/>
            <w:shd w:val="clear" w:color="000000" w:fill="FFFFFF"/>
            <w:vAlign w:val="center"/>
          </w:tcPr>
          <w:p w14:paraId="6B097A1D">
            <w:pPr>
              <w:widowControl/>
              <w:jc w:val="center"/>
              <w:rPr>
                <w:rFonts w:ascii="仿宋" w:hAnsi="仿宋" w:eastAsia="仿宋" w:cs="宋体"/>
                <w:color w:val="auto"/>
                <w:sz w:val="24"/>
                <w:szCs w:val="24"/>
                <w:highlight w:val="none"/>
              </w:rPr>
            </w:pPr>
          </w:p>
        </w:tc>
        <w:tc>
          <w:tcPr>
            <w:tcW w:w="1375" w:type="pct"/>
            <w:gridSpan w:val="6"/>
            <w:shd w:val="clear" w:color="000000" w:fill="FFFFFF"/>
            <w:vAlign w:val="center"/>
          </w:tcPr>
          <w:p w14:paraId="659E935C">
            <w:pPr>
              <w:widowControl/>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医技科室</w:t>
            </w:r>
          </w:p>
        </w:tc>
        <w:tc>
          <w:tcPr>
            <w:tcW w:w="2638" w:type="pct"/>
            <w:gridSpan w:val="5"/>
            <w:shd w:val="clear" w:color="000000" w:fill="FFFFFF"/>
            <w:vAlign w:val="center"/>
          </w:tcPr>
          <w:p w14:paraId="3C5C0607">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精装修：具体根据室内设计</w:t>
            </w:r>
          </w:p>
          <w:p w14:paraId="5533A914">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地面：</w:t>
            </w:r>
            <w:r>
              <w:rPr>
                <w:rFonts w:hint="eastAsia" w:ascii="仿宋" w:hAnsi="仿宋" w:eastAsia="仿宋" w:cs="宋体"/>
                <w:color w:val="auto"/>
                <w:sz w:val="24"/>
                <w:szCs w:val="24"/>
                <w:highlight w:val="none"/>
                <w:lang w:eastAsia="zh"/>
              </w:rPr>
              <w:t>PVC地面</w:t>
            </w:r>
          </w:p>
          <w:p w14:paraId="49306882">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墙面：</w:t>
            </w:r>
            <w:r>
              <w:rPr>
                <w:rFonts w:hint="eastAsia" w:ascii="仿宋" w:hAnsi="仿宋" w:eastAsia="仿宋" w:cs="宋体"/>
                <w:color w:val="auto"/>
                <w:sz w:val="24"/>
                <w:szCs w:val="24"/>
                <w:highlight w:val="none"/>
                <w:lang w:eastAsia="zh"/>
              </w:rPr>
              <w:t>无机涂料</w:t>
            </w:r>
          </w:p>
          <w:p w14:paraId="37517497">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天花：</w:t>
            </w:r>
            <w:r>
              <w:rPr>
                <w:rFonts w:hint="eastAsia" w:ascii="仿宋" w:hAnsi="仿宋" w:eastAsia="仿宋" w:cs="宋体"/>
                <w:bCs/>
                <w:color w:val="auto"/>
                <w:sz w:val="24"/>
                <w:szCs w:val="24"/>
                <w:highlight w:val="none"/>
              </w:rPr>
              <w:t>纸面石膏板+无机涂料</w:t>
            </w:r>
          </w:p>
          <w:p w14:paraId="01681028">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空调：</w:t>
            </w:r>
            <w:r>
              <w:rPr>
                <w:rFonts w:hint="eastAsia" w:ascii="仿宋" w:hAnsi="仿宋" w:eastAsia="仿宋" w:cs="宋体"/>
                <w:bCs/>
                <w:color w:val="auto"/>
                <w:sz w:val="24"/>
                <w:szCs w:val="24"/>
                <w:highlight w:val="none"/>
              </w:rPr>
              <w:t>安装到位</w:t>
            </w:r>
          </w:p>
          <w:p w14:paraId="732D94D4">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强弱电：</w:t>
            </w:r>
            <w:r>
              <w:rPr>
                <w:rFonts w:hint="eastAsia" w:ascii="仿宋" w:hAnsi="仿宋" w:eastAsia="仿宋" w:cs="宋体"/>
                <w:color w:val="auto"/>
                <w:sz w:val="24"/>
                <w:szCs w:val="24"/>
                <w:highlight w:val="none"/>
                <w:lang w:eastAsia="zh"/>
              </w:rPr>
              <w:t>安装到位</w:t>
            </w:r>
          </w:p>
          <w:p w14:paraId="591449F6">
            <w:pPr>
              <w:widowControl/>
              <w:jc w:val="left"/>
              <w:rPr>
                <w:color w:val="auto"/>
                <w:highlight w:val="none"/>
              </w:rPr>
            </w:pPr>
            <w:r>
              <w:rPr>
                <w:rFonts w:hint="eastAsia" w:ascii="仿宋" w:hAnsi="仿宋" w:eastAsia="仿宋" w:cs="宋体"/>
                <w:color w:val="auto"/>
                <w:sz w:val="24"/>
                <w:szCs w:val="24"/>
                <w:highlight w:val="none"/>
                <w:lang w:eastAsia="zh"/>
              </w:rPr>
              <w:t>消防：配齐</w:t>
            </w:r>
          </w:p>
        </w:tc>
      </w:tr>
      <w:tr w14:paraId="64EB03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000000" w:fill="FFFFFF"/>
            <w:vAlign w:val="center"/>
          </w:tcPr>
          <w:p w14:paraId="161110A9">
            <w:pPr>
              <w:widowControl/>
              <w:jc w:val="center"/>
              <w:rPr>
                <w:rFonts w:ascii="仿宋" w:hAnsi="仿宋" w:eastAsia="仿宋" w:cs="宋体"/>
                <w:color w:val="auto"/>
                <w:sz w:val="24"/>
                <w:szCs w:val="24"/>
                <w:highlight w:val="none"/>
              </w:rPr>
            </w:pPr>
          </w:p>
        </w:tc>
        <w:tc>
          <w:tcPr>
            <w:tcW w:w="577" w:type="pct"/>
            <w:gridSpan w:val="3"/>
            <w:vMerge w:val="continue"/>
            <w:shd w:val="clear" w:color="000000" w:fill="FFFFFF"/>
            <w:vAlign w:val="center"/>
          </w:tcPr>
          <w:p w14:paraId="27B8DF57">
            <w:pPr>
              <w:widowControl/>
              <w:jc w:val="center"/>
              <w:rPr>
                <w:rFonts w:ascii="仿宋" w:hAnsi="仿宋" w:eastAsia="仿宋" w:cs="宋体"/>
                <w:color w:val="auto"/>
                <w:sz w:val="24"/>
                <w:szCs w:val="24"/>
                <w:highlight w:val="none"/>
              </w:rPr>
            </w:pPr>
          </w:p>
        </w:tc>
        <w:tc>
          <w:tcPr>
            <w:tcW w:w="1375" w:type="pct"/>
            <w:gridSpan w:val="6"/>
            <w:shd w:val="clear" w:color="000000" w:fill="FFFFFF"/>
            <w:vAlign w:val="center"/>
          </w:tcPr>
          <w:p w14:paraId="7A5CCC11">
            <w:pPr>
              <w:widowControl/>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保障系统</w:t>
            </w:r>
          </w:p>
        </w:tc>
        <w:tc>
          <w:tcPr>
            <w:tcW w:w="2638" w:type="pct"/>
            <w:gridSpan w:val="5"/>
            <w:shd w:val="clear" w:color="000000" w:fill="FFFFFF"/>
            <w:vAlign w:val="center"/>
          </w:tcPr>
          <w:p w14:paraId="616F4B41">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精装修：具体根据室内设计</w:t>
            </w:r>
          </w:p>
          <w:p w14:paraId="6736BD7E">
            <w:pPr>
              <w:widowControl/>
              <w:jc w:val="left"/>
              <w:rPr>
                <w:rFonts w:ascii="仿宋" w:hAnsi="仿宋" w:eastAsia="仿宋" w:cs="宋体"/>
                <w:bCs/>
                <w:color w:val="auto"/>
                <w:sz w:val="24"/>
                <w:szCs w:val="24"/>
                <w:highlight w:val="none"/>
                <w:lang w:eastAsia="zh"/>
              </w:rPr>
            </w:pPr>
            <w:r>
              <w:rPr>
                <w:rFonts w:hint="eastAsia" w:ascii="仿宋" w:hAnsi="仿宋" w:eastAsia="仿宋" w:cs="宋体"/>
                <w:bCs/>
                <w:color w:val="auto"/>
                <w:sz w:val="24"/>
                <w:szCs w:val="24"/>
                <w:highlight w:val="none"/>
              </w:rPr>
              <w:t>地面：浅色优质</w:t>
            </w:r>
            <w:r>
              <w:rPr>
                <w:rFonts w:hint="eastAsia" w:ascii="仿宋" w:hAnsi="仿宋" w:eastAsia="仿宋" w:cs="宋体"/>
                <w:bCs/>
                <w:color w:val="auto"/>
                <w:sz w:val="24"/>
                <w:szCs w:val="24"/>
                <w:highlight w:val="none"/>
                <w:lang w:eastAsia="zh"/>
              </w:rPr>
              <w:t>地砖</w:t>
            </w:r>
          </w:p>
          <w:p w14:paraId="5ED3B50D">
            <w:pPr>
              <w:widowControl/>
              <w:jc w:val="left"/>
              <w:rPr>
                <w:rFonts w:ascii="仿宋" w:hAnsi="仿宋" w:eastAsia="仿宋" w:cs="宋体"/>
                <w:bCs/>
                <w:color w:val="auto"/>
                <w:sz w:val="24"/>
                <w:szCs w:val="24"/>
                <w:highlight w:val="none"/>
                <w:lang w:eastAsia="zh"/>
              </w:rPr>
            </w:pPr>
            <w:r>
              <w:rPr>
                <w:rFonts w:hint="eastAsia" w:ascii="仿宋" w:hAnsi="仿宋" w:eastAsia="仿宋" w:cs="宋体"/>
                <w:bCs/>
                <w:color w:val="auto"/>
                <w:sz w:val="24"/>
                <w:szCs w:val="24"/>
                <w:highlight w:val="none"/>
              </w:rPr>
              <w:t>墙面：</w:t>
            </w:r>
            <w:r>
              <w:rPr>
                <w:rFonts w:hint="eastAsia" w:ascii="仿宋" w:hAnsi="仿宋" w:eastAsia="仿宋" w:cs="宋体"/>
                <w:bCs/>
                <w:color w:val="auto"/>
                <w:sz w:val="24"/>
                <w:szCs w:val="24"/>
                <w:highlight w:val="none"/>
                <w:lang w:eastAsia="zh"/>
              </w:rPr>
              <w:t>无极涂料</w:t>
            </w:r>
          </w:p>
          <w:p w14:paraId="15437C44">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天花：纸面石膏板+无机涂料</w:t>
            </w:r>
          </w:p>
          <w:p w14:paraId="7570812B">
            <w:pPr>
              <w:widowControl/>
              <w:jc w:val="left"/>
              <w:rPr>
                <w:rFonts w:ascii="仿宋" w:hAnsi="仿宋" w:eastAsia="仿宋" w:cs="宋体"/>
                <w:bCs/>
                <w:color w:val="auto"/>
                <w:sz w:val="24"/>
                <w:szCs w:val="24"/>
                <w:highlight w:val="none"/>
                <w:lang w:eastAsia="zh"/>
              </w:rPr>
            </w:pPr>
            <w:r>
              <w:rPr>
                <w:rFonts w:hint="eastAsia" w:ascii="仿宋" w:hAnsi="仿宋" w:eastAsia="仿宋" w:cs="宋体"/>
                <w:bCs/>
                <w:color w:val="auto"/>
                <w:sz w:val="24"/>
                <w:szCs w:val="24"/>
                <w:highlight w:val="none"/>
              </w:rPr>
              <w:t>空调：</w:t>
            </w:r>
            <w:r>
              <w:rPr>
                <w:rFonts w:hint="eastAsia" w:ascii="仿宋" w:hAnsi="仿宋" w:eastAsia="仿宋" w:cs="宋体"/>
                <w:bCs/>
                <w:color w:val="auto"/>
                <w:sz w:val="24"/>
                <w:szCs w:val="24"/>
                <w:highlight w:val="none"/>
                <w:lang w:eastAsia="zh"/>
              </w:rPr>
              <w:t>安装到位</w:t>
            </w:r>
          </w:p>
          <w:p w14:paraId="50F701B4">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强弱电：安装到位</w:t>
            </w:r>
          </w:p>
          <w:p w14:paraId="292A1A53">
            <w:pPr>
              <w:widowControl/>
              <w:jc w:val="left"/>
              <w:rPr>
                <w:rFonts w:ascii="仿宋" w:hAnsi="仿宋" w:eastAsia="仿宋" w:cs="宋体"/>
                <w:color w:val="auto"/>
                <w:sz w:val="24"/>
                <w:szCs w:val="24"/>
                <w:highlight w:val="none"/>
                <w:lang w:eastAsia="zh"/>
              </w:rPr>
            </w:pPr>
          </w:p>
        </w:tc>
      </w:tr>
      <w:tr w14:paraId="28042A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26FA498A">
            <w:pPr>
              <w:widowControl/>
              <w:jc w:val="left"/>
              <w:rPr>
                <w:rFonts w:ascii="仿宋" w:hAnsi="仿宋" w:eastAsia="仿宋" w:cs="宋体"/>
                <w:color w:val="auto"/>
                <w:sz w:val="24"/>
                <w:szCs w:val="24"/>
                <w:highlight w:val="none"/>
              </w:rPr>
            </w:pPr>
          </w:p>
        </w:tc>
        <w:tc>
          <w:tcPr>
            <w:tcW w:w="577" w:type="pct"/>
            <w:gridSpan w:val="3"/>
            <w:vMerge w:val="continue"/>
            <w:shd w:val="clear" w:color="000000" w:fill="FFFFFF"/>
            <w:vAlign w:val="center"/>
          </w:tcPr>
          <w:p w14:paraId="6AE4069A">
            <w:pPr>
              <w:widowControl/>
              <w:jc w:val="center"/>
              <w:rPr>
                <w:rFonts w:ascii="仿宋" w:hAnsi="仿宋" w:eastAsia="仿宋" w:cs="宋体"/>
                <w:color w:val="auto"/>
                <w:sz w:val="24"/>
                <w:szCs w:val="24"/>
                <w:highlight w:val="none"/>
              </w:rPr>
            </w:pPr>
          </w:p>
        </w:tc>
        <w:tc>
          <w:tcPr>
            <w:tcW w:w="1375" w:type="pct"/>
            <w:gridSpan w:val="6"/>
            <w:shd w:val="clear" w:color="000000" w:fill="FFFFFF"/>
            <w:vAlign w:val="center"/>
          </w:tcPr>
          <w:p w14:paraId="48DE291F">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业务管理</w:t>
            </w:r>
          </w:p>
        </w:tc>
        <w:tc>
          <w:tcPr>
            <w:tcW w:w="2638" w:type="pct"/>
            <w:gridSpan w:val="5"/>
            <w:shd w:val="clear" w:color="000000" w:fill="FFFFFF"/>
            <w:vAlign w:val="center"/>
          </w:tcPr>
          <w:p w14:paraId="0DDC68C0">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精装修：具体根据室内设计</w:t>
            </w:r>
          </w:p>
          <w:p w14:paraId="264A827D">
            <w:pPr>
              <w:widowControl/>
              <w:jc w:val="left"/>
              <w:rPr>
                <w:rFonts w:ascii="仿宋" w:hAnsi="仿宋" w:eastAsia="仿宋" w:cs="宋体"/>
                <w:bCs/>
                <w:color w:val="auto"/>
                <w:sz w:val="24"/>
                <w:szCs w:val="24"/>
                <w:highlight w:val="none"/>
                <w:lang w:eastAsia="zh"/>
              </w:rPr>
            </w:pPr>
            <w:r>
              <w:rPr>
                <w:rFonts w:hint="eastAsia" w:ascii="仿宋" w:hAnsi="仿宋" w:eastAsia="仿宋" w:cs="宋体"/>
                <w:bCs/>
                <w:color w:val="auto"/>
                <w:sz w:val="24"/>
                <w:szCs w:val="24"/>
                <w:highlight w:val="none"/>
              </w:rPr>
              <w:t>地面：浅色优质</w:t>
            </w:r>
            <w:r>
              <w:rPr>
                <w:rFonts w:hint="eastAsia" w:ascii="仿宋" w:hAnsi="仿宋" w:eastAsia="仿宋" w:cs="宋体"/>
                <w:bCs/>
                <w:color w:val="auto"/>
                <w:sz w:val="24"/>
                <w:szCs w:val="24"/>
                <w:highlight w:val="none"/>
                <w:lang w:eastAsia="zh"/>
              </w:rPr>
              <w:t>地砖</w:t>
            </w:r>
          </w:p>
          <w:p w14:paraId="5439FC82">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墙面：乳胶漆</w:t>
            </w:r>
          </w:p>
          <w:p w14:paraId="38BCA6CE">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天花：纸面石膏板+无机涂料</w:t>
            </w:r>
          </w:p>
          <w:p w14:paraId="3857ED46">
            <w:pPr>
              <w:widowControl/>
              <w:jc w:val="left"/>
              <w:rPr>
                <w:rFonts w:ascii="仿宋" w:hAnsi="仿宋" w:eastAsia="仿宋" w:cs="宋体"/>
                <w:bCs/>
                <w:color w:val="auto"/>
                <w:sz w:val="24"/>
                <w:szCs w:val="24"/>
                <w:highlight w:val="none"/>
                <w:lang w:eastAsia="zh"/>
              </w:rPr>
            </w:pPr>
            <w:r>
              <w:rPr>
                <w:rFonts w:hint="eastAsia" w:ascii="仿宋" w:hAnsi="仿宋" w:eastAsia="仿宋" w:cs="宋体"/>
                <w:bCs/>
                <w:color w:val="auto"/>
                <w:sz w:val="24"/>
                <w:szCs w:val="24"/>
                <w:highlight w:val="none"/>
              </w:rPr>
              <w:t>空调：</w:t>
            </w:r>
            <w:r>
              <w:rPr>
                <w:rFonts w:hint="eastAsia" w:ascii="仿宋" w:hAnsi="仿宋" w:eastAsia="仿宋" w:cs="宋体"/>
                <w:bCs/>
                <w:color w:val="auto"/>
                <w:sz w:val="24"/>
                <w:szCs w:val="24"/>
                <w:highlight w:val="none"/>
                <w:lang w:eastAsia="zh"/>
              </w:rPr>
              <w:t>分体空调</w:t>
            </w:r>
          </w:p>
          <w:p w14:paraId="2036785D">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强弱电：安装到位</w:t>
            </w:r>
          </w:p>
          <w:p w14:paraId="73A5503D">
            <w:pPr>
              <w:widowControl/>
              <w:jc w:val="left"/>
              <w:rPr>
                <w:rFonts w:ascii="仿宋" w:hAnsi="仿宋" w:eastAsia="仿宋" w:cs="宋体"/>
                <w:bCs/>
                <w:color w:val="auto"/>
                <w:highlight w:val="none"/>
              </w:rPr>
            </w:pPr>
          </w:p>
        </w:tc>
      </w:tr>
      <w:tr w14:paraId="061D2A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0" w:hRule="atLeast"/>
        </w:trPr>
        <w:tc>
          <w:tcPr>
            <w:tcW w:w="408" w:type="pct"/>
            <w:gridSpan w:val="2"/>
            <w:vMerge w:val="continue"/>
            <w:shd w:val="clear" w:color="auto" w:fill="auto"/>
            <w:vAlign w:val="center"/>
          </w:tcPr>
          <w:p w14:paraId="42EC95E2">
            <w:pPr>
              <w:widowControl/>
              <w:jc w:val="left"/>
              <w:rPr>
                <w:rFonts w:ascii="仿宋" w:hAnsi="仿宋" w:eastAsia="仿宋" w:cs="宋体"/>
                <w:color w:val="auto"/>
                <w:sz w:val="24"/>
                <w:szCs w:val="24"/>
                <w:highlight w:val="none"/>
              </w:rPr>
            </w:pPr>
          </w:p>
        </w:tc>
        <w:tc>
          <w:tcPr>
            <w:tcW w:w="577" w:type="pct"/>
            <w:gridSpan w:val="3"/>
            <w:vMerge w:val="restart"/>
            <w:shd w:val="clear" w:color="000000" w:fill="FFFFFF"/>
            <w:vAlign w:val="center"/>
          </w:tcPr>
          <w:p w14:paraId="093ECAC8">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1.4.2 </w:t>
            </w:r>
            <w:r>
              <w:rPr>
                <w:rFonts w:hint="eastAsia" w:ascii="仿宋" w:hAnsi="仿宋" w:eastAsia="仿宋" w:cs="宋体"/>
                <w:color w:val="auto"/>
                <w:sz w:val="24"/>
                <w:szCs w:val="24"/>
                <w:highlight w:val="none"/>
              </w:rPr>
              <w:t>公共部位及其它</w:t>
            </w:r>
          </w:p>
        </w:tc>
        <w:tc>
          <w:tcPr>
            <w:tcW w:w="1375" w:type="pct"/>
            <w:gridSpan w:val="6"/>
            <w:shd w:val="clear" w:color="000000" w:fill="FFFFFF"/>
            <w:vAlign w:val="center"/>
          </w:tcPr>
          <w:p w14:paraId="48F61FAA">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电梯轿厢</w:t>
            </w:r>
          </w:p>
        </w:tc>
        <w:tc>
          <w:tcPr>
            <w:tcW w:w="2638" w:type="pct"/>
            <w:gridSpan w:val="5"/>
            <w:shd w:val="clear" w:color="000000" w:fill="FFFFFF"/>
            <w:vAlign w:val="center"/>
          </w:tcPr>
          <w:p w14:paraId="452A62CD">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采用厂配装修。</w:t>
            </w:r>
          </w:p>
        </w:tc>
      </w:tr>
      <w:tr w14:paraId="50260F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6D147A4C">
            <w:pPr>
              <w:widowControl/>
              <w:jc w:val="left"/>
              <w:rPr>
                <w:rFonts w:ascii="仿宋" w:hAnsi="仿宋" w:eastAsia="仿宋" w:cs="宋体"/>
                <w:color w:val="auto"/>
                <w:sz w:val="24"/>
                <w:szCs w:val="24"/>
                <w:highlight w:val="none"/>
              </w:rPr>
            </w:pPr>
          </w:p>
        </w:tc>
        <w:tc>
          <w:tcPr>
            <w:tcW w:w="577" w:type="pct"/>
            <w:gridSpan w:val="3"/>
            <w:vMerge w:val="continue"/>
            <w:shd w:val="clear" w:color="auto" w:fill="auto"/>
            <w:vAlign w:val="center"/>
          </w:tcPr>
          <w:p w14:paraId="45A4B463">
            <w:pPr>
              <w:widowControl/>
              <w:jc w:val="left"/>
              <w:rPr>
                <w:rFonts w:ascii="仿宋" w:hAnsi="仿宋" w:eastAsia="仿宋" w:cs="宋体"/>
                <w:color w:val="auto"/>
                <w:sz w:val="24"/>
                <w:szCs w:val="24"/>
                <w:highlight w:val="none"/>
              </w:rPr>
            </w:pPr>
          </w:p>
        </w:tc>
        <w:tc>
          <w:tcPr>
            <w:tcW w:w="1375" w:type="pct"/>
            <w:gridSpan w:val="6"/>
            <w:shd w:val="clear" w:color="000000" w:fill="FFFFFF"/>
            <w:vAlign w:val="center"/>
          </w:tcPr>
          <w:p w14:paraId="5AA920B1">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封闭疏散楼梯间及消防电梯厅、前室、垃圾间</w:t>
            </w:r>
          </w:p>
        </w:tc>
        <w:tc>
          <w:tcPr>
            <w:tcW w:w="2638" w:type="pct"/>
            <w:gridSpan w:val="5"/>
            <w:shd w:val="clear" w:color="000000" w:fill="FFFFFF"/>
            <w:vAlign w:val="center"/>
          </w:tcPr>
          <w:p w14:paraId="25580144">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地面：水泥砂浆抹平+防滑条，梯步挡水条</w:t>
            </w:r>
            <w:r>
              <w:rPr>
                <w:rFonts w:hint="eastAsia" w:ascii="仿宋" w:hAnsi="仿宋" w:eastAsia="仿宋" w:cs="宋体"/>
                <w:color w:val="auto"/>
                <w:sz w:val="24"/>
                <w:szCs w:val="24"/>
                <w:highlight w:val="none"/>
                <w:lang w:eastAsia="zh"/>
              </w:rPr>
              <w:t>，</w:t>
            </w:r>
            <w:r>
              <w:rPr>
                <w:rFonts w:hint="eastAsia" w:ascii="仿宋" w:hAnsi="仿宋" w:eastAsia="仿宋" w:cs="宋体"/>
                <w:color w:val="auto"/>
                <w:sz w:val="24"/>
                <w:szCs w:val="24"/>
                <w:highlight w:val="none"/>
              </w:rPr>
              <w:t>垃圾间</w:t>
            </w:r>
            <w:r>
              <w:rPr>
                <w:rFonts w:hint="eastAsia" w:ascii="仿宋" w:hAnsi="仿宋" w:eastAsia="仿宋" w:cs="宋体"/>
                <w:color w:val="auto"/>
                <w:sz w:val="24"/>
                <w:szCs w:val="24"/>
                <w:highlight w:val="none"/>
                <w:lang w:eastAsia="zh"/>
              </w:rPr>
              <w:t>地</w:t>
            </w:r>
            <w:r>
              <w:rPr>
                <w:rFonts w:hint="eastAsia" w:ascii="仿宋" w:hAnsi="仿宋" w:eastAsia="仿宋" w:cs="宋体"/>
                <w:color w:val="auto"/>
                <w:sz w:val="24"/>
                <w:szCs w:val="24"/>
                <w:highlight w:val="none"/>
              </w:rPr>
              <w:t>面贴</w:t>
            </w:r>
            <w:r>
              <w:rPr>
                <w:rFonts w:hint="eastAsia" w:ascii="仿宋" w:hAnsi="仿宋" w:eastAsia="仿宋" w:cs="宋体"/>
                <w:color w:val="auto"/>
                <w:sz w:val="24"/>
                <w:szCs w:val="24"/>
                <w:highlight w:val="none"/>
                <w:lang w:eastAsia="zh"/>
              </w:rPr>
              <w:t>防滑</w:t>
            </w:r>
            <w:r>
              <w:rPr>
                <w:rFonts w:hint="eastAsia" w:ascii="仿宋" w:hAnsi="仿宋" w:eastAsia="仿宋" w:cs="宋体"/>
                <w:color w:val="auto"/>
                <w:sz w:val="24"/>
                <w:szCs w:val="24"/>
                <w:highlight w:val="none"/>
              </w:rPr>
              <w:t>砖</w:t>
            </w:r>
          </w:p>
          <w:p w14:paraId="3C3554D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墙面：白色无机涂料，墙砖踢脚线，垃圾间墙面贴墙砖</w:t>
            </w:r>
          </w:p>
          <w:p w14:paraId="6503717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天花：白色无机涂料</w:t>
            </w:r>
          </w:p>
        </w:tc>
      </w:tr>
      <w:tr w14:paraId="01743C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245EA301">
            <w:pPr>
              <w:widowControl/>
              <w:jc w:val="left"/>
              <w:rPr>
                <w:rFonts w:ascii="仿宋" w:hAnsi="仿宋" w:eastAsia="仿宋" w:cs="宋体"/>
                <w:color w:val="auto"/>
                <w:sz w:val="24"/>
                <w:szCs w:val="24"/>
                <w:highlight w:val="none"/>
              </w:rPr>
            </w:pPr>
          </w:p>
        </w:tc>
        <w:tc>
          <w:tcPr>
            <w:tcW w:w="577" w:type="pct"/>
            <w:gridSpan w:val="3"/>
            <w:vMerge w:val="continue"/>
            <w:shd w:val="clear" w:color="auto" w:fill="auto"/>
            <w:vAlign w:val="center"/>
          </w:tcPr>
          <w:p w14:paraId="5DA02033">
            <w:pPr>
              <w:widowControl/>
              <w:jc w:val="left"/>
              <w:rPr>
                <w:rFonts w:ascii="仿宋" w:hAnsi="仿宋" w:eastAsia="仿宋" w:cs="宋体"/>
                <w:color w:val="auto"/>
                <w:sz w:val="24"/>
                <w:szCs w:val="24"/>
                <w:highlight w:val="none"/>
              </w:rPr>
            </w:pPr>
          </w:p>
        </w:tc>
        <w:tc>
          <w:tcPr>
            <w:tcW w:w="1375" w:type="pct"/>
            <w:gridSpan w:val="6"/>
            <w:shd w:val="clear" w:color="000000" w:fill="FFFFFF"/>
            <w:vAlign w:val="center"/>
          </w:tcPr>
          <w:p w14:paraId="63001F44">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空中花园</w:t>
            </w:r>
          </w:p>
        </w:tc>
        <w:tc>
          <w:tcPr>
            <w:tcW w:w="2638" w:type="pct"/>
            <w:gridSpan w:val="5"/>
            <w:shd w:val="clear" w:color="000000" w:fill="FFFFFF"/>
            <w:vAlign w:val="center"/>
          </w:tcPr>
          <w:p w14:paraId="16BC4C45">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具体根据室内设计。</w:t>
            </w:r>
          </w:p>
          <w:p w14:paraId="50C6C15E">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墙面：建筑外墙材料</w:t>
            </w:r>
          </w:p>
          <w:p w14:paraId="73F505DE">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地面：防滑型</w:t>
            </w:r>
            <w:r>
              <w:rPr>
                <w:rFonts w:ascii="仿宋" w:hAnsi="仿宋" w:eastAsia="仿宋" w:cs="宋体"/>
                <w:color w:val="auto"/>
                <w:sz w:val="24"/>
                <w:szCs w:val="24"/>
                <w:highlight w:val="none"/>
              </w:rPr>
              <w:t>仿石砖</w:t>
            </w:r>
          </w:p>
          <w:p w14:paraId="19EF03D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天花：木纹铝方通吊顶,吊顶上方管道及天花刷深灰色无机涂料</w:t>
            </w:r>
          </w:p>
        </w:tc>
      </w:tr>
      <w:tr w14:paraId="6A1EA0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63544126">
            <w:pPr>
              <w:widowControl/>
              <w:jc w:val="left"/>
              <w:rPr>
                <w:rFonts w:ascii="仿宋" w:hAnsi="仿宋" w:eastAsia="仿宋" w:cs="宋体"/>
                <w:color w:val="auto"/>
                <w:sz w:val="24"/>
                <w:szCs w:val="24"/>
                <w:highlight w:val="none"/>
              </w:rPr>
            </w:pPr>
          </w:p>
        </w:tc>
        <w:tc>
          <w:tcPr>
            <w:tcW w:w="577" w:type="pct"/>
            <w:gridSpan w:val="3"/>
            <w:vMerge w:val="continue"/>
            <w:shd w:val="clear" w:color="auto" w:fill="auto"/>
            <w:vAlign w:val="center"/>
          </w:tcPr>
          <w:p w14:paraId="32543216">
            <w:pPr>
              <w:widowControl/>
              <w:jc w:val="left"/>
              <w:rPr>
                <w:rFonts w:ascii="仿宋" w:hAnsi="仿宋" w:eastAsia="仿宋" w:cs="宋体"/>
                <w:color w:val="auto"/>
                <w:sz w:val="24"/>
                <w:szCs w:val="24"/>
                <w:highlight w:val="none"/>
              </w:rPr>
            </w:pPr>
          </w:p>
        </w:tc>
        <w:tc>
          <w:tcPr>
            <w:tcW w:w="1375" w:type="pct"/>
            <w:gridSpan w:val="6"/>
            <w:shd w:val="clear" w:color="000000" w:fill="FFFFFF"/>
            <w:vAlign w:val="center"/>
          </w:tcPr>
          <w:p w14:paraId="63124EC8">
            <w:pPr>
              <w:widowControl/>
              <w:rPr>
                <w:rFonts w:ascii="仿宋" w:hAnsi="仿宋" w:eastAsia="仿宋" w:cs="宋体"/>
                <w:color w:val="auto"/>
                <w:sz w:val="24"/>
                <w:szCs w:val="24"/>
                <w:highlight w:val="none"/>
              </w:rPr>
            </w:pPr>
          </w:p>
        </w:tc>
        <w:tc>
          <w:tcPr>
            <w:tcW w:w="2638" w:type="pct"/>
            <w:gridSpan w:val="5"/>
            <w:shd w:val="clear" w:color="000000" w:fill="FFFFFF"/>
            <w:vAlign w:val="center"/>
          </w:tcPr>
          <w:p w14:paraId="60BA676D">
            <w:pPr>
              <w:widowControl/>
              <w:jc w:val="left"/>
              <w:rPr>
                <w:rFonts w:ascii="仿宋" w:hAnsi="仿宋" w:eastAsia="仿宋" w:cs="宋体"/>
                <w:color w:val="auto"/>
                <w:sz w:val="24"/>
                <w:szCs w:val="24"/>
                <w:highlight w:val="none"/>
              </w:rPr>
            </w:pPr>
          </w:p>
        </w:tc>
      </w:tr>
      <w:tr w14:paraId="36DE2D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7A01D035">
            <w:pPr>
              <w:widowControl/>
              <w:jc w:val="left"/>
              <w:rPr>
                <w:rFonts w:ascii="仿宋" w:hAnsi="仿宋" w:eastAsia="仿宋" w:cs="宋体"/>
                <w:color w:val="auto"/>
                <w:sz w:val="24"/>
                <w:szCs w:val="24"/>
                <w:highlight w:val="none"/>
              </w:rPr>
            </w:pPr>
          </w:p>
        </w:tc>
        <w:tc>
          <w:tcPr>
            <w:tcW w:w="1964" w:type="pct"/>
            <w:gridSpan w:val="10"/>
            <w:shd w:val="clear" w:color="000000" w:fill="FFFFFF"/>
            <w:vAlign w:val="center"/>
          </w:tcPr>
          <w:p w14:paraId="329D85CE">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1.4.4 </w:t>
            </w:r>
            <w:r>
              <w:rPr>
                <w:rFonts w:hint="eastAsia" w:ascii="仿宋" w:hAnsi="仿宋" w:eastAsia="仿宋" w:cs="宋体"/>
                <w:color w:val="auto"/>
                <w:sz w:val="24"/>
                <w:szCs w:val="24"/>
                <w:highlight w:val="none"/>
              </w:rPr>
              <w:t>地下车库（车库部分）</w:t>
            </w:r>
          </w:p>
        </w:tc>
        <w:tc>
          <w:tcPr>
            <w:tcW w:w="2627" w:type="pct"/>
            <w:gridSpan w:val="4"/>
            <w:shd w:val="clear" w:color="000000" w:fill="FFFFFF"/>
            <w:vAlign w:val="center"/>
          </w:tcPr>
          <w:p w14:paraId="6022EFC0">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地面：金刚砂</w:t>
            </w:r>
            <w:r>
              <w:rPr>
                <w:rFonts w:hint="eastAsia" w:ascii="仿宋" w:hAnsi="仿宋" w:eastAsia="仿宋" w:cs="宋体"/>
                <w:color w:val="auto"/>
                <w:sz w:val="24"/>
                <w:szCs w:val="24"/>
                <w:highlight w:val="none"/>
                <w:lang w:eastAsia="zh"/>
              </w:rPr>
              <w:t>+固化剂</w:t>
            </w:r>
          </w:p>
          <w:p w14:paraId="37547044">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墙柱面：水泥砂浆批腻子防霉</w:t>
            </w:r>
            <w:r>
              <w:rPr>
                <w:rFonts w:hint="eastAsia" w:ascii="仿宋" w:hAnsi="仿宋" w:eastAsia="仿宋" w:cs="宋体"/>
                <w:color w:val="auto"/>
                <w:sz w:val="24"/>
                <w:szCs w:val="24"/>
                <w:highlight w:val="none"/>
                <w:lang w:eastAsia="zh"/>
              </w:rPr>
              <w:t>无机</w:t>
            </w:r>
            <w:r>
              <w:rPr>
                <w:rFonts w:hint="eastAsia" w:ascii="仿宋" w:hAnsi="仿宋" w:eastAsia="仿宋" w:cs="宋体"/>
                <w:color w:val="auto"/>
                <w:sz w:val="24"/>
                <w:szCs w:val="24"/>
                <w:highlight w:val="none"/>
              </w:rPr>
              <w:t>涂料</w:t>
            </w:r>
            <w:r>
              <w:rPr>
                <w:rFonts w:hint="eastAsia" w:ascii="仿宋" w:hAnsi="仿宋" w:eastAsia="仿宋" w:cs="宋体"/>
                <w:color w:val="auto"/>
                <w:sz w:val="24"/>
                <w:szCs w:val="24"/>
                <w:highlight w:val="none"/>
                <w:lang w:eastAsia="zh"/>
              </w:rPr>
              <w:t>三道</w:t>
            </w:r>
          </w:p>
          <w:p w14:paraId="3D63C089">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顶棚： 批腻子防霉</w:t>
            </w:r>
            <w:r>
              <w:rPr>
                <w:rFonts w:hint="eastAsia" w:ascii="仿宋" w:hAnsi="仿宋" w:eastAsia="仿宋" w:cs="宋体"/>
                <w:color w:val="auto"/>
                <w:sz w:val="24"/>
                <w:szCs w:val="24"/>
                <w:highlight w:val="none"/>
                <w:lang w:eastAsia="zh"/>
              </w:rPr>
              <w:t>无机</w:t>
            </w:r>
            <w:r>
              <w:rPr>
                <w:rFonts w:hint="eastAsia" w:ascii="仿宋" w:hAnsi="仿宋" w:eastAsia="仿宋" w:cs="宋体"/>
                <w:color w:val="auto"/>
                <w:sz w:val="24"/>
                <w:szCs w:val="24"/>
                <w:highlight w:val="none"/>
              </w:rPr>
              <w:t>涂料</w:t>
            </w:r>
            <w:r>
              <w:rPr>
                <w:rFonts w:hint="eastAsia" w:ascii="仿宋" w:hAnsi="仿宋" w:eastAsia="仿宋" w:cs="宋体"/>
                <w:color w:val="auto"/>
                <w:sz w:val="24"/>
                <w:szCs w:val="24"/>
                <w:highlight w:val="none"/>
                <w:lang w:eastAsia="zh"/>
              </w:rPr>
              <w:t>三道</w:t>
            </w:r>
          </w:p>
        </w:tc>
      </w:tr>
      <w:tr w14:paraId="727BD8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0490BA44">
            <w:pPr>
              <w:widowControl/>
              <w:jc w:val="left"/>
              <w:rPr>
                <w:rFonts w:ascii="仿宋" w:hAnsi="仿宋" w:eastAsia="仿宋" w:cs="宋体"/>
                <w:color w:val="auto"/>
                <w:sz w:val="24"/>
                <w:szCs w:val="24"/>
                <w:highlight w:val="none"/>
              </w:rPr>
            </w:pPr>
          </w:p>
        </w:tc>
        <w:tc>
          <w:tcPr>
            <w:tcW w:w="1964" w:type="pct"/>
            <w:gridSpan w:val="10"/>
            <w:shd w:val="clear" w:color="000000" w:fill="FFFFFF"/>
            <w:vAlign w:val="center"/>
          </w:tcPr>
          <w:p w14:paraId="3F468889">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1.4.5地下室电梯厅与大堂</w:t>
            </w:r>
          </w:p>
        </w:tc>
        <w:tc>
          <w:tcPr>
            <w:tcW w:w="2627" w:type="pct"/>
            <w:gridSpan w:val="4"/>
            <w:shd w:val="clear" w:color="000000" w:fill="FFFFFF"/>
            <w:vAlign w:val="center"/>
          </w:tcPr>
          <w:p w14:paraId="0FF0D4B4">
            <w:pPr>
              <w:widowControl/>
              <w:jc w:val="lef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具体根据室内设计。土建设计按照:</w:t>
            </w:r>
          </w:p>
          <w:p w14:paraId="251CA435">
            <w:pPr>
              <w:widowControl/>
              <w:jc w:val="left"/>
              <w:rPr>
                <w:rFonts w:ascii="仿宋" w:hAnsi="仿宋" w:eastAsia="仿宋" w:cs="宋体"/>
                <w:color w:val="auto"/>
                <w:sz w:val="24"/>
                <w:szCs w:val="24"/>
                <w:highlight w:val="none"/>
              </w:rPr>
            </w:pPr>
            <w:r>
              <w:rPr>
                <w:rFonts w:hint="eastAsia" w:ascii="仿宋" w:hAnsi="仿宋" w:eastAsia="仿宋" w:cs="宋体"/>
                <w:bCs/>
                <w:color w:val="auto"/>
                <w:sz w:val="24"/>
                <w:szCs w:val="24"/>
                <w:highlight w:val="none"/>
              </w:rPr>
              <w:t>地面：</w:t>
            </w:r>
            <w:r>
              <w:rPr>
                <w:rFonts w:ascii="仿宋" w:hAnsi="仿宋" w:eastAsia="仿宋" w:cs="宋体"/>
                <w:color w:val="auto"/>
                <w:sz w:val="24"/>
                <w:szCs w:val="24"/>
                <w:highlight w:val="none"/>
              </w:rPr>
              <w:t>仿石砖</w:t>
            </w:r>
            <w:r>
              <w:rPr>
                <w:rFonts w:hint="eastAsia" w:ascii="仿宋" w:hAnsi="仿宋" w:eastAsia="仿宋" w:cs="宋体"/>
                <w:color w:val="auto"/>
                <w:sz w:val="24"/>
                <w:szCs w:val="24"/>
                <w:highlight w:val="none"/>
              </w:rPr>
              <w:t>地面，</w:t>
            </w:r>
          </w:p>
          <w:p w14:paraId="56D43C2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墙面：仿石砖墙面，</w:t>
            </w:r>
          </w:p>
          <w:p w14:paraId="271569A9">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天花：成型铝板天花，灯具；</w:t>
            </w:r>
          </w:p>
          <w:p w14:paraId="7B832DAA">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地下车库大堂设引导台</w:t>
            </w:r>
          </w:p>
        </w:tc>
      </w:tr>
      <w:tr w14:paraId="3DA22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14308F7E">
            <w:pPr>
              <w:widowControl/>
              <w:jc w:val="left"/>
              <w:rPr>
                <w:rFonts w:ascii="仿宋" w:hAnsi="仿宋" w:eastAsia="仿宋" w:cs="宋体"/>
                <w:color w:val="auto"/>
                <w:sz w:val="24"/>
                <w:szCs w:val="24"/>
                <w:highlight w:val="none"/>
              </w:rPr>
            </w:pPr>
          </w:p>
        </w:tc>
        <w:tc>
          <w:tcPr>
            <w:tcW w:w="1964" w:type="pct"/>
            <w:gridSpan w:val="10"/>
            <w:shd w:val="clear" w:color="000000" w:fill="FFFFFF"/>
            <w:vAlign w:val="center"/>
          </w:tcPr>
          <w:p w14:paraId="25FD93A4">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1.4.6 </w:t>
            </w:r>
            <w:r>
              <w:rPr>
                <w:rFonts w:hint="eastAsia" w:ascii="仿宋" w:hAnsi="仿宋" w:eastAsia="仿宋" w:cs="宋体"/>
                <w:color w:val="auto"/>
                <w:sz w:val="24"/>
                <w:szCs w:val="24"/>
                <w:highlight w:val="none"/>
              </w:rPr>
              <w:t>地下车库（非机动车库部分）</w:t>
            </w:r>
          </w:p>
        </w:tc>
        <w:tc>
          <w:tcPr>
            <w:tcW w:w="2627" w:type="pct"/>
            <w:gridSpan w:val="4"/>
            <w:shd w:val="clear" w:color="000000" w:fill="FFFFFF"/>
            <w:vAlign w:val="center"/>
          </w:tcPr>
          <w:p w14:paraId="0C15BD45">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地面：金刚砂</w:t>
            </w:r>
            <w:r>
              <w:rPr>
                <w:rFonts w:hint="eastAsia" w:ascii="仿宋" w:hAnsi="仿宋" w:eastAsia="仿宋" w:cs="宋体"/>
                <w:color w:val="auto"/>
                <w:sz w:val="24"/>
                <w:szCs w:val="24"/>
                <w:highlight w:val="none"/>
                <w:lang w:eastAsia="zh"/>
              </w:rPr>
              <w:t>+固化剂</w:t>
            </w:r>
          </w:p>
          <w:p w14:paraId="390AA681">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墙柱面：水泥砂浆批腻子防霉</w:t>
            </w:r>
            <w:r>
              <w:rPr>
                <w:rFonts w:hint="eastAsia" w:ascii="仿宋" w:hAnsi="仿宋" w:eastAsia="仿宋" w:cs="宋体"/>
                <w:color w:val="auto"/>
                <w:sz w:val="24"/>
                <w:szCs w:val="24"/>
                <w:highlight w:val="none"/>
                <w:lang w:eastAsia="zh"/>
              </w:rPr>
              <w:t>无机</w:t>
            </w:r>
            <w:r>
              <w:rPr>
                <w:rFonts w:hint="eastAsia" w:ascii="仿宋" w:hAnsi="仿宋" w:eastAsia="仿宋" w:cs="宋体"/>
                <w:color w:val="auto"/>
                <w:sz w:val="24"/>
                <w:szCs w:val="24"/>
                <w:highlight w:val="none"/>
              </w:rPr>
              <w:t>涂料</w:t>
            </w:r>
            <w:r>
              <w:rPr>
                <w:rFonts w:hint="eastAsia" w:ascii="仿宋" w:hAnsi="仿宋" w:eastAsia="仿宋" w:cs="宋体"/>
                <w:color w:val="auto"/>
                <w:sz w:val="24"/>
                <w:szCs w:val="24"/>
                <w:highlight w:val="none"/>
                <w:lang w:eastAsia="zh"/>
              </w:rPr>
              <w:t>三道</w:t>
            </w:r>
          </w:p>
          <w:p w14:paraId="68A283A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顶棚： 批腻子防霉</w:t>
            </w:r>
            <w:r>
              <w:rPr>
                <w:rFonts w:hint="eastAsia" w:ascii="仿宋" w:hAnsi="仿宋" w:eastAsia="仿宋" w:cs="宋体"/>
                <w:color w:val="auto"/>
                <w:sz w:val="24"/>
                <w:szCs w:val="24"/>
                <w:highlight w:val="none"/>
                <w:lang w:eastAsia="zh"/>
              </w:rPr>
              <w:t>无机</w:t>
            </w:r>
            <w:r>
              <w:rPr>
                <w:rFonts w:hint="eastAsia" w:ascii="仿宋" w:hAnsi="仿宋" w:eastAsia="仿宋" w:cs="宋体"/>
                <w:color w:val="auto"/>
                <w:sz w:val="24"/>
                <w:szCs w:val="24"/>
                <w:highlight w:val="none"/>
              </w:rPr>
              <w:t>涂料</w:t>
            </w:r>
            <w:r>
              <w:rPr>
                <w:rFonts w:hint="eastAsia" w:ascii="仿宋" w:hAnsi="仿宋" w:eastAsia="仿宋" w:cs="宋体"/>
                <w:color w:val="auto"/>
                <w:sz w:val="24"/>
                <w:szCs w:val="24"/>
                <w:highlight w:val="none"/>
                <w:lang w:eastAsia="zh"/>
              </w:rPr>
              <w:t>三道</w:t>
            </w:r>
          </w:p>
        </w:tc>
      </w:tr>
      <w:tr w14:paraId="55C68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1159D209">
            <w:pPr>
              <w:widowControl/>
              <w:jc w:val="left"/>
              <w:rPr>
                <w:rFonts w:ascii="仿宋" w:hAnsi="仿宋" w:eastAsia="仿宋" w:cs="宋体"/>
                <w:color w:val="auto"/>
                <w:sz w:val="24"/>
                <w:szCs w:val="24"/>
                <w:highlight w:val="none"/>
              </w:rPr>
            </w:pPr>
          </w:p>
        </w:tc>
        <w:tc>
          <w:tcPr>
            <w:tcW w:w="577" w:type="pct"/>
            <w:gridSpan w:val="3"/>
            <w:vMerge w:val="restart"/>
            <w:shd w:val="clear" w:color="000000" w:fill="FFFFFF"/>
            <w:vAlign w:val="center"/>
          </w:tcPr>
          <w:p w14:paraId="3DDB6DF9">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1.4.7 </w:t>
            </w:r>
            <w:r>
              <w:rPr>
                <w:rFonts w:hint="eastAsia" w:ascii="仿宋" w:hAnsi="仿宋" w:eastAsia="仿宋" w:cs="宋体"/>
                <w:color w:val="auto"/>
                <w:sz w:val="24"/>
                <w:szCs w:val="24"/>
                <w:highlight w:val="none"/>
              </w:rPr>
              <w:t>设备用房</w:t>
            </w:r>
          </w:p>
        </w:tc>
        <w:tc>
          <w:tcPr>
            <w:tcW w:w="1375" w:type="pct"/>
            <w:gridSpan w:val="6"/>
            <w:shd w:val="clear" w:color="000000" w:fill="FFFFFF"/>
            <w:vAlign w:val="center"/>
          </w:tcPr>
          <w:p w14:paraId="2616C6F8">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设备房</w:t>
            </w:r>
          </w:p>
        </w:tc>
        <w:tc>
          <w:tcPr>
            <w:tcW w:w="2638" w:type="pct"/>
            <w:gridSpan w:val="5"/>
            <w:shd w:val="clear" w:color="000000" w:fill="FFFFFF"/>
            <w:vAlign w:val="center"/>
          </w:tcPr>
          <w:p w14:paraId="52DBE5F2">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地上设备用房地面（除地面有特殊要求外）：水泥砂浆找平</w:t>
            </w:r>
          </w:p>
          <w:p w14:paraId="5911443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地下室设备用房及走道地面（除地面有特殊要求外）：采用环氧地坪漆 </w:t>
            </w:r>
            <w:r>
              <w:rPr>
                <w:rFonts w:hint="eastAsia"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墙柱面：水泥砂浆批腻子防霉涂料面层</w:t>
            </w:r>
          </w:p>
          <w:p w14:paraId="0671C606">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顶棚：防霉涂料面层</w:t>
            </w:r>
          </w:p>
        </w:tc>
      </w:tr>
      <w:tr w14:paraId="4F94F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3D1560C8">
            <w:pPr>
              <w:widowControl/>
              <w:jc w:val="left"/>
              <w:rPr>
                <w:rFonts w:ascii="仿宋" w:hAnsi="仿宋" w:eastAsia="仿宋" w:cs="宋体"/>
                <w:color w:val="auto"/>
                <w:sz w:val="24"/>
                <w:szCs w:val="24"/>
                <w:highlight w:val="none"/>
              </w:rPr>
            </w:pPr>
          </w:p>
        </w:tc>
        <w:tc>
          <w:tcPr>
            <w:tcW w:w="577" w:type="pct"/>
            <w:gridSpan w:val="3"/>
            <w:vMerge w:val="continue"/>
            <w:shd w:val="clear" w:color="auto" w:fill="auto"/>
            <w:vAlign w:val="center"/>
          </w:tcPr>
          <w:p w14:paraId="782EA23C">
            <w:pPr>
              <w:widowControl/>
              <w:jc w:val="left"/>
              <w:rPr>
                <w:rFonts w:ascii="仿宋" w:hAnsi="仿宋" w:eastAsia="仿宋" w:cs="宋体"/>
                <w:color w:val="auto"/>
                <w:sz w:val="24"/>
                <w:szCs w:val="24"/>
                <w:highlight w:val="none"/>
              </w:rPr>
            </w:pPr>
          </w:p>
        </w:tc>
        <w:tc>
          <w:tcPr>
            <w:tcW w:w="1375" w:type="pct"/>
            <w:gridSpan w:val="6"/>
            <w:shd w:val="clear" w:color="000000" w:fill="FFFFFF"/>
            <w:vAlign w:val="center"/>
          </w:tcPr>
          <w:p w14:paraId="3012BFE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垃圾间</w:t>
            </w:r>
          </w:p>
        </w:tc>
        <w:tc>
          <w:tcPr>
            <w:tcW w:w="2638" w:type="pct"/>
            <w:gridSpan w:val="5"/>
            <w:shd w:val="clear" w:color="000000" w:fill="FFFFFF"/>
            <w:vAlign w:val="center"/>
          </w:tcPr>
          <w:p w14:paraId="5A57B363">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地面防滑砖，墙面贴墙砖，顶棚外墙防霉涂料面层防水涂料   </w:t>
            </w:r>
          </w:p>
          <w:p w14:paraId="7189D3F3">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设置紫外线消毒灯及其它设备，门采用不锈钢门</w:t>
            </w:r>
          </w:p>
        </w:tc>
      </w:tr>
      <w:tr w14:paraId="54242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219C1229">
            <w:pPr>
              <w:widowControl/>
              <w:jc w:val="left"/>
              <w:rPr>
                <w:rFonts w:ascii="仿宋" w:hAnsi="仿宋" w:eastAsia="仿宋" w:cs="宋体"/>
                <w:color w:val="auto"/>
                <w:sz w:val="24"/>
                <w:szCs w:val="24"/>
                <w:highlight w:val="none"/>
              </w:rPr>
            </w:pPr>
          </w:p>
        </w:tc>
        <w:tc>
          <w:tcPr>
            <w:tcW w:w="1964" w:type="pct"/>
            <w:gridSpan w:val="10"/>
            <w:shd w:val="clear" w:color="000000" w:fill="FFFFFF"/>
            <w:vAlign w:val="center"/>
          </w:tcPr>
          <w:p w14:paraId="7B717C5E">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1.4.8 </w:t>
            </w:r>
            <w:r>
              <w:rPr>
                <w:rFonts w:hint="eastAsia" w:ascii="仿宋" w:hAnsi="仿宋" w:eastAsia="仿宋" w:cs="宋体"/>
                <w:color w:val="auto"/>
                <w:sz w:val="24"/>
                <w:szCs w:val="24"/>
                <w:highlight w:val="none"/>
              </w:rPr>
              <w:t>其他工程（梯屋机房装修）</w:t>
            </w:r>
          </w:p>
        </w:tc>
        <w:tc>
          <w:tcPr>
            <w:tcW w:w="2627" w:type="pct"/>
            <w:gridSpan w:val="4"/>
            <w:shd w:val="clear" w:color="000000" w:fill="FFFFFF"/>
            <w:vAlign w:val="center"/>
          </w:tcPr>
          <w:p w14:paraId="4BBD1B4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地面：水泥砂浆抹平墙柱面：水泥砂浆批腻子防霉涂料面层</w:t>
            </w:r>
          </w:p>
          <w:p w14:paraId="30CD749A">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顶棚：防霉涂料面层</w:t>
            </w:r>
          </w:p>
          <w:p w14:paraId="54FEF5A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踢脚线：墙砖踢脚线</w:t>
            </w:r>
          </w:p>
        </w:tc>
      </w:tr>
      <w:tr w14:paraId="55369A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restart"/>
            <w:shd w:val="clear" w:color="000000" w:fill="FFFFFF"/>
            <w:vAlign w:val="center"/>
          </w:tcPr>
          <w:p w14:paraId="0B0CCBB2">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2.1水电安装工程</w:t>
            </w:r>
          </w:p>
        </w:tc>
        <w:tc>
          <w:tcPr>
            <w:tcW w:w="1964" w:type="pct"/>
            <w:gridSpan w:val="10"/>
            <w:vAlign w:val="center"/>
          </w:tcPr>
          <w:p w14:paraId="04EF207E">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2.1.1 生活给水管道材质　</w:t>
            </w:r>
          </w:p>
        </w:tc>
        <w:tc>
          <w:tcPr>
            <w:tcW w:w="2627" w:type="pct"/>
            <w:gridSpan w:val="4"/>
            <w:vAlign w:val="center"/>
          </w:tcPr>
          <w:p w14:paraId="64BE376C">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室内：主干管采用食品级</w:t>
            </w:r>
            <w:r>
              <w:rPr>
                <w:rFonts w:ascii="仿宋" w:hAnsi="仿宋" w:eastAsia="仿宋" w:cs="宋体"/>
                <w:color w:val="auto"/>
                <w:sz w:val="24"/>
                <w:szCs w:val="24"/>
                <w:highlight w:val="none"/>
              </w:rPr>
              <w:t>S3</w:t>
            </w:r>
            <w:r>
              <w:rPr>
                <w:rFonts w:hint="eastAsia" w:ascii="仿宋" w:hAnsi="仿宋" w:eastAsia="仿宋" w:cs="宋体"/>
                <w:color w:val="auto"/>
                <w:sz w:val="24"/>
                <w:szCs w:val="24"/>
                <w:highlight w:val="none"/>
              </w:rPr>
              <w:t>1603不锈钢管道，支管采用PP-R给水管；</w:t>
            </w:r>
          </w:p>
          <w:p w14:paraId="7061062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室外：管径大于等于</w:t>
            </w:r>
            <w:r>
              <w:rPr>
                <w:rFonts w:ascii="仿宋" w:hAnsi="仿宋" w:eastAsia="仿宋" w:cs="宋体"/>
                <w:color w:val="auto"/>
                <w:sz w:val="24"/>
                <w:szCs w:val="24"/>
                <w:highlight w:val="none"/>
              </w:rPr>
              <w:t>DN100采用</w:t>
            </w:r>
            <w:r>
              <w:rPr>
                <w:rFonts w:hint="eastAsia" w:ascii="仿宋" w:hAnsi="仿宋" w:eastAsia="仿宋" w:cs="宋体"/>
                <w:color w:val="auto"/>
                <w:sz w:val="24"/>
                <w:szCs w:val="24"/>
                <w:highlight w:val="none"/>
              </w:rPr>
              <w:t>球墨铸铁管，小于</w:t>
            </w:r>
            <w:r>
              <w:rPr>
                <w:rFonts w:ascii="仿宋" w:hAnsi="仿宋" w:eastAsia="仿宋" w:cs="宋体"/>
                <w:color w:val="auto"/>
                <w:sz w:val="24"/>
                <w:szCs w:val="24"/>
                <w:highlight w:val="none"/>
              </w:rPr>
              <w:t>DN100采用食品</w:t>
            </w:r>
            <w:r>
              <w:rPr>
                <w:rFonts w:hint="eastAsia" w:ascii="仿宋" w:hAnsi="仿宋" w:eastAsia="仿宋" w:cs="宋体"/>
                <w:color w:val="auto"/>
                <w:sz w:val="24"/>
                <w:szCs w:val="24"/>
                <w:highlight w:val="none"/>
              </w:rPr>
              <w:t>级覆塑</w:t>
            </w:r>
            <w:r>
              <w:rPr>
                <w:rFonts w:ascii="仿宋" w:hAnsi="仿宋" w:eastAsia="仿宋" w:cs="宋体"/>
                <w:color w:val="auto"/>
                <w:sz w:val="24"/>
                <w:szCs w:val="24"/>
                <w:highlight w:val="none"/>
              </w:rPr>
              <w:t>S</w:t>
            </w:r>
            <w:r>
              <w:rPr>
                <w:rFonts w:hint="eastAsia" w:ascii="仿宋" w:hAnsi="仿宋" w:eastAsia="仿宋" w:cs="宋体"/>
                <w:color w:val="auto"/>
                <w:sz w:val="24"/>
                <w:szCs w:val="24"/>
                <w:highlight w:val="none"/>
              </w:rPr>
              <w:t>31603不锈钢管道</w:t>
            </w:r>
          </w:p>
        </w:tc>
      </w:tr>
      <w:tr w14:paraId="2FDCA0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2AE35BE2">
            <w:pPr>
              <w:widowControl/>
              <w:jc w:val="left"/>
              <w:rPr>
                <w:rFonts w:ascii="仿宋" w:hAnsi="仿宋" w:eastAsia="仿宋" w:cs="宋体"/>
                <w:color w:val="auto"/>
                <w:sz w:val="24"/>
                <w:szCs w:val="24"/>
                <w:highlight w:val="none"/>
              </w:rPr>
            </w:pPr>
          </w:p>
        </w:tc>
        <w:tc>
          <w:tcPr>
            <w:tcW w:w="1964" w:type="pct"/>
            <w:gridSpan w:val="10"/>
            <w:vAlign w:val="center"/>
          </w:tcPr>
          <w:p w14:paraId="6F48AD63">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2.1.2 给水管道阀门组件　</w:t>
            </w:r>
          </w:p>
        </w:tc>
        <w:tc>
          <w:tcPr>
            <w:tcW w:w="2627" w:type="pct"/>
            <w:gridSpan w:val="4"/>
            <w:vAlign w:val="center"/>
          </w:tcPr>
          <w:p w14:paraId="5230A952">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阀板应采用耐腐蚀性能不低于</w:t>
            </w:r>
            <w:r>
              <w:rPr>
                <w:rFonts w:ascii="仿宋" w:hAnsi="仿宋" w:eastAsia="仿宋" w:cs="宋体"/>
                <w:color w:val="auto"/>
                <w:sz w:val="24"/>
                <w:szCs w:val="24"/>
                <w:highlight w:val="none"/>
              </w:rPr>
              <w:t xml:space="preserve"> S3</w:t>
            </w:r>
            <w:r>
              <w:rPr>
                <w:rFonts w:hint="eastAsia" w:ascii="仿宋" w:hAnsi="仿宋" w:eastAsia="仿宋" w:cs="宋体"/>
                <w:color w:val="auto"/>
                <w:sz w:val="24"/>
                <w:szCs w:val="24"/>
                <w:highlight w:val="none"/>
              </w:rPr>
              <w:t>1603</w:t>
            </w:r>
            <w:r>
              <w:rPr>
                <w:rFonts w:ascii="仿宋" w:hAnsi="仿宋" w:eastAsia="仿宋" w:cs="宋体"/>
                <w:color w:val="auto"/>
                <w:sz w:val="24"/>
                <w:szCs w:val="24"/>
                <w:highlight w:val="none"/>
              </w:rPr>
              <w:t xml:space="preserve"> 不锈钢材料或不低于 QT450-10 球墨铸铁材料制作，阀杆应采用强度及耐腐蚀性能不低于 S42020 或 S3</w:t>
            </w:r>
            <w:r>
              <w:rPr>
                <w:rFonts w:hint="eastAsia" w:ascii="仿宋" w:hAnsi="仿宋" w:eastAsia="仿宋" w:cs="宋体"/>
                <w:color w:val="auto"/>
                <w:sz w:val="24"/>
                <w:szCs w:val="24"/>
                <w:highlight w:val="none"/>
              </w:rPr>
              <w:t>1603</w:t>
            </w:r>
            <w:r>
              <w:rPr>
                <w:rFonts w:ascii="仿宋" w:hAnsi="仿宋" w:eastAsia="仿宋" w:cs="宋体"/>
                <w:color w:val="auto"/>
                <w:sz w:val="24"/>
                <w:szCs w:val="24"/>
                <w:highlight w:val="none"/>
              </w:rPr>
              <w:t xml:space="preserve"> 不锈钢材料制作</w:t>
            </w:r>
          </w:p>
        </w:tc>
      </w:tr>
      <w:tr w14:paraId="26C42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3E047109">
            <w:pPr>
              <w:widowControl/>
              <w:jc w:val="left"/>
              <w:rPr>
                <w:rFonts w:ascii="仿宋" w:hAnsi="仿宋" w:eastAsia="仿宋" w:cs="宋体"/>
                <w:color w:val="auto"/>
                <w:sz w:val="24"/>
                <w:szCs w:val="24"/>
                <w:highlight w:val="none"/>
              </w:rPr>
            </w:pPr>
          </w:p>
        </w:tc>
        <w:tc>
          <w:tcPr>
            <w:tcW w:w="1964" w:type="pct"/>
            <w:gridSpan w:val="10"/>
            <w:vAlign w:val="center"/>
          </w:tcPr>
          <w:p w14:paraId="4B713984">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2.1.3 </w:t>
            </w:r>
            <w:r>
              <w:rPr>
                <w:rFonts w:hint="eastAsia" w:ascii="仿宋" w:hAnsi="仿宋" w:eastAsia="仿宋" w:cs="宋体"/>
                <w:color w:val="auto"/>
                <w:sz w:val="24"/>
                <w:szCs w:val="24"/>
                <w:highlight w:val="none"/>
              </w:rPr>
              <w:t>卫生间排水</w:t>
            </w:r>
          </w:p>
        </w:tc>
        <w:tc>
          <w:tcPr>
            <w:tcW w:w="2627" w:type="pct"/>
            <w:gridSpan w:val="4"/>
            <w:vAlign w:val="center"/>
          </w:tcPr>
          <w:p w14:paraId="51B84F39">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同层</w:t>
            </w:r>
            <w:r>
              <w:rPr>
                <w:rFonts w:ascii="仿宋" w:hAnsi="仿宋" w:eastAsia="仿宋" w:cs="宋体"/>
                <w:color w:val="auto"/>
                <w:sz w:val="24"/>
                <w:szCs w:val="24"/>
                <w:highlight w:val="none"/>
              </w:rPr>
              <w:t>排水系统</w:t>
            </w:r>
          </w:p>
        </w:tc>
      </w:tr>
      <w:tr w14:paraId="3C28B7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4E51CA4E">
            <w:pPr>
              <w:widowControl/>
              <w:jc w:val="left"/>
              <w:rPr>
                <w:rFonts w:ascii="仿宋" w:hAnsi="仿宋" w:eastAsia="仿宋" w:cs="宋体"/>
                <w:color w:val="auto"/>
                <w:sz w:val="24"/>
                <w:szCs w:val="24"/>
                <w:highlight w:val="none"/>
              </w:rPr>
            </w:pPr>
          </w:p>
        </w:tc>
        <w:tc>
          <w:tcPr>
            <w:tcW w:w="1964" w:type="pct"/>
            <w:gridSpan w:val="10"/>
            <w:vAlign w:val="center"/>
          </w:tcPr>
          <w:p w14:paraId="32CAE116">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2.1.4 </w:t>
            </w:r>
            <w:r>
              <w:rPr>
                <w:rFonts w:hint="eastAsia" w:ascii="仿宋" w:hAnsi="仿宋" w:eastAsia="仿宋" w:cs="宋体"/>
                <w:color w:val="auto"/>
                <w:sz w:val="24"/>
                <w:szCs w:val="24"/>
                <w:highlight w:val="none"/>
              </w:rPr>
              <w:t>污水、废水管道材质及配件</w:t>
            </w:r>
          </w:p>
        </w:tc>
        <w:tc>
          <w:tcPr>
            <w:tcW w:w="2627" w:type="pct"/>
            <w:gridSpan w:val="4"/>
            <w:vAlign w:val="center"/>
          </w:tcPr>
          <w:p w14:paraId="2C29DF29">
            <w:pPr>
              <w:widowControl/>
              <w:jc w:val="left"/>
              <w:rPr>
                <w:color w:val="auto"/>
                <w:highlight w:val="none"/>
                <w:lang w:eastAsia="zh"/>
              </w:rPr>
            </w:pPr>
            <w:r>
              <w:rPr>
                <w:rFonts w:hint="eastAsia" w:ascii="仿宋" w:hAnsi="仿宋" w:eastAsia="仿宋" w:cs="宋体"/>
                <w:color w:val="auto"/>
                <w:sz w:val="24"/>
                <w:szCs w:val="24"/>
                <w:highlight w:val="none"/>
              </w:rPr>
              <w:t>室内排水管：</w:t>
            </w:r>
            <w:r>
              <w:rPr>
                <w:rFonts w:hint="eastAsia" w:ascii="仿宋" w:hAnsi="仿宋" w:eastAsia="仿宋" w:cs="宋体"/>
                <w:color w:val="auto"/>
                <w:sz w:val="24"/>
                <w:szCs w:val="24"/>
                <w:highlight w:val="none"/>
                <w:lang w:eastAsia="zh"/>
              </w:rPr>
              <w:t>100米以下建筑物采用</w:t>
            </w:r>
            <w:r>
              <w:rPr>
                <w:rFonts w:ascii="仿宋" w:hAnsi="仿宋" w:eastAsia="仿宋" w:cs="宋体"/>
                <w:color w:val="auto"/>
                <w:sz w:val="24"/>
                <w:szCs w:val="24"/>
                <w:highlight w:val="none"/>
              </w:rPr>
              <w:t>PVC-U排水管;</w:t>
            </w:r>
            <w:r>
              <w:rPr>
                <w:rFonts w:hint="eastAsia" w:ascii="仿宋" w:hAnsi="仿宋" w:eastAsia="仿宋" w:cs="宋体"/>
                <w:color w:val="auto"/>
                <w:sz w:val="24"/>
                <w:szCs w:val="24"/>
                <w:highlight w:val="none"/>
                <w:lang w:eastAsia="zh"/>
              </w:rPr>
              <w:t>100米以上建筑物主管采用柔性接口铸铁排水管，支管采用</w:t>
            </w:r>
            <w:r>
              <w:rPr>
                <w:rFonts w:ascii="仿宋" w:hAnsi="仿宋" w:eastAsia="仿宋" w:cs="宋体"/>
                <w:color w:val="auto"/>
                <w:sz w:val="24"/>
                <w:szCs w:val="24"/>
                <w:highlight w:val="none"/>
              </w:rPr>
              <w:t>PVC-U排水管</w:t>
            </w:r>
          </w:p>
          <w:p w14:paraId="5D62FD63">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厨房餐饮排水：</w:t>
            </w:r>
            <w:r>
              <w:rPr>
                <w:rFonts w:hint="eastAsia" w:ascii="仿宋" w:hAnsi="仿宋" w:eastAsia="仿宋" w:cs="宋体"/>
                <w:color w:val="auto"/>
                <w:sz w:val="24"/>
                <w:szCs w:val="24"/>
                <w:highlight w:val="none"/>
                <w:lang w:eastAsia="zh"/>
              </w:rPr>
              <w:t>柔性接口铸铁排水管</w:t>
            </w:r>
            <w:r>
              <w:rPr>
                <w:rFonts w:hint="eastAsia" w:ascii="仿宋" w:hAnsi="仿宋" w:eastAsia="仿宋" w:cs="宋体"/>
                <w:color w:val="auto"/>
                <w:sz w:val="24"/>
                <w:szCs w:val="24"/>
                <w:highlight w:val="none"/>
              </w:rPr>
              <w:t>；</w:t>
            </w:r>
          </w:p>
          <w:p w14:paraId="399FA278">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室外埋地管材：</w:t>
            </w:r>
            <w:r>
              <w:rPr>
                <w:rFonts w:ascii="仿宋" w:hAnsi="仿宋" w:eastAsia="仿宋" w:cs="宋体"/>
                <w:color w:val="auto"/>
                <w:sz w:val="24"/>
                <w:szCs w:val="24"/>
                <w:highlight w:val="none"/>
              </w:rPr>
              <w:t>钢筋混凝土排水管</w:t>
            </w:r>
          </w:p>
        </w:tc>
      </w:tr>
      <w:tr w14:paraId="0FDF76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0120F884">
            <w:pPr>
              <w:widowControl/>
              <w:jc w:val="left"/>
              <w:rPr>
                <w:rFonts w:ascii="仿宋" w:hAnsi="仿宋" w:eastAsia="仿宋" w:cs="宋体"/>
                <w:color w:val="auto"/>
                <w:sz w:val="24"/>
                <w:szCs w:val="24"/>
                <w:highlight w:val="none"/>
              </w:rPr>
            </w:pPr>
          </w:p>
        </w:tc>
        <w:tc>
          <w:tcPr>
            <w:tcW w:w="1964" w:type="pct"/>
            <w:gridSpan w:val="10"/>
            <w:vAlign w:val="center"/>
          </w:tcPr>
          <w:p w14:paraId="68EA91C7">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2.1.5 冷凝水管材质　</w:t>
            </w:r>
          </w:p>
        </w:tc>
        <w:tc>
          <w:tcPr>
            <w:tcW w:w="2627" w:type="pct"/>
            <w:gridSpan w:val="4"/>
            <w:vAlign w:val="center"/>
          </w:tcPr>
          <w:p w14:paraId="09E7777C">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
              </w:rPr>
              <w:t>PVC</w:t>
            </w:r>
            <w:r>
              <w:rPr>
                <w:rFonts w:hint="eastAsia" w:ascii="仿宋" w:hAnsi="仿宋" w:eastAsia="仿宋" w:cs="宋体"/>
                <w:color w:val="auto"/>
                <w:sz w:val="24"/>
                <w:szCs w:val="24"/>
                <w:highlight w:val="none"/>
              </w:rPr>
              <w:t>管</w:t>
            </w:r>
          </w:p>
        </w:tc>
      </w:tr>
      <w:tr w14:paraId="4EE5CE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0AC2F481">
            <w:pPr>
              <w:widowControl/>
              <w:jc w:val="left"/>
              <w:rPr>
                <w:rFonts w:ascii="仿宋" w:hAnsi="仿宋" w:eastAsia="仿宋" w:cs="宋体"/>
                <w:color w:val="auto"/>
                <w:sz w:val="24"/>
                <w:szCs w:val="24"/>
                <w:highlight w:val="none"/>
              </w:rPr>
            </w:pPr>
          </w:p>
        </w:tc>
        <w:tc>
          <w:tcPr>
            <w:tcW w:w="1964" w:type="pct"/>
            <w:gridSpan w:val="10"/>
            <w:vAlign w:val="center"/>
          </w:tcPr>
          <w:p w14:paraId="742AB4A7">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2.1.6 </w:t>
            </w:r>
            <w:r>
              <w:rPr>
                <w:rFonts w:hint="eastAsia" w:ascii="仿宋" w:hAnsi="仿宋" w:eastAsia="仿宋" w:cs="宋体"/>
                <w:color w:val="auto"/>
                <w:sz w:val="24"/>
                <w:szCs w:val="24"/>
                <w:highlight w:val="none"/>
              </w:rPr>
              <w:t>雨水、压力排水管道材质</w:t>
            </w:r>
          </w:p>
        </w:tc>
        <w:tc>
          <w:tcPr>
            <w:tcW w:w="2627" w:type="pct"/>
            <w:gridSpan w:val="4"/>
            <w:vAlign w:val="center"/>
          </w:tcPr>
          <w:p w14:paraId="256168ED">
            <w:pPr>
              <w:widowControl/>
              <w:jc w:val="left"/>
              <w:rPr>
                <w:color w:val="auto"/>
                <w:highlight w:val="none"/>
              </w:rPr>
            </w:pPr>
            <w:r>
              <w:rPr>
                <w:rFonts w:hint="eastAsia" w:ascii="仿宋" w:hAnsi="仿宋" w:eastAsia="仿宋" w:cs="宋体"/>
                <w:color w:val="auto"/>
                <w:sz w:val="24"/>
                <w:szCs w:val="24"/>
                <w:highlight w:val="none"/>
              </w:rPr>
              <w:t>重力流雨水：</w:t>
            </w:r>
            <w:r>
              <w:rPr>
                <w:rFonts w:hint="eastAsia" w:ascii="仿宋" w:hAnsi="仿宋" w:eastAsia="仿宋" w:cs="宋体"/>
                <w:color w:val="auto"/>
                <w:sz w:val="24"/>
                <w:szCs w:val="24"/>
                <w:highlight w:val="none"/>
                <w:lang w:eastAsia="zh"/>
              </w:rPr>
              <w:t>100米以下建筑物采用</w:t>
            </w:r>
            <w:r>
              <w:rPr>
                <w:rFonts w:ascii="仿宋" w:hAnsi="仿宋" w:eastAsia="仿宋" w:cs="宋体"/>
                <w:color w:val="auto"/>
                <w:sz w:val="24"/>
                <w:szCs w:val="24"/>
                <w:highlight w:val="none"/>
              </w:rPr>
              <w:t>PVC-U排水管;</w:t>
            </w:r>
            <w:r>
              <w:rPr>
                <w:rFonts w:hint="eastAsia" w:ascii="仿宋" w:hAnsi="仿宋" w:eastAsia="仿宋" w:cs="宋体"/>
                <w:color w:val="auto"/>
                <w:sz w:val="24"/>
                <w:szCs w:val="24"/>
                <w:highlight w:val="none"/>
                <w:lang w:eastAsia="zh"/>
              </w:rPr>
              <w:t>100米以上建筑物采用内涂塑钢管</w:t>
            </w:r>
          </w:p>
          <w:p w14:paraId="2503021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压力流雨水排水管：内外涂塑钢管</w:t>
            </w:r>
          </w:p>
          <w:p w14:paraId="7F7537AC">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室外埋地：</w:t>
            </w:r>
            <w:r>
              <w:rPr>
                <w:rFonts w:ascii="仿宋" w:hAnsi="仿宋" w:eastAsia="仿宋" w:cs="宋体"/>
                <w:color w:val="auto"/>
                <w:sz w:val="24"/>
                <w:szCs w:val="24"/>
                <w:highlight w:val="none"/>
              </w:rPr>
              <w:t>DN500及以下HDPE</w:t>
            </w:r>
            <w:r>
              <w:rPr>
                <w:rFonts w:hint="eastAsia" w:ascii="仿宋" w:hAnsi="仿宋" w:eastAsia="仿宋" w:cs="宋体"/>
                <w:color w:val="auto"/>
                <w:sz w:val="24"/>
                <w:szCs w:val="24"/>
                <w:highlight w:val="none"/>
                <w:lang w:eastAsia="zh"/>
              </w:rPr>
              <w:t>双壁波纹</w:t>
            </w:r>
            <w:r>
              <w:rPr>
                <w:rFonts w:ascii="仿宋" w:hAnsi="仿宋" w:eastAsia="仿宋" w:cs="宋体"/>
                <w:color w:val="auto"/>
                <w:sz w:val="24"/>
                <w:szCs w:val="24"/>
                <w:highlight w:val="none"/>
              </w:rPr>
              <w:t>管，DN500以上钢筋混凝土排水管</w:t>
            </w:r>
          </w:p>
        </w:tc>
      </w:tr>
      <w:tr w14:paraId="003243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6132B870">
            <w:pPr>
              <w:widowControl/>
              <w:jc w:val="left"/>
              <w:rPr>
                <w:rFonts w:ascii="仿宋" w:hAnsi="仿宋" w:eastAsia="仿宋" w:cs="宋体"/>
                <w:color w:val="auto"/>
                <w:sz w:val="24"/>
                <w:szCs w:val="24"/>
                <w:highlight w:val="none"/>
              </w:rPr>
            </w:pPr>
          </w:p>
        </w:tc>
        <w:tc>
          <w:tcPr>
            <w:tcW w:w="1964" w:type="pct"/>
            <w:gridSpan w:val="10"/>
            <w:vAlign w:val="center"/>
          </w:tcPr>
          <w:p w14:paraId="71DA9520">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2.1.7 厨房废水处理设备　</w:t>
            </w:r>
          </w:p>
        </w:tc>
        <w:tc>
          <w:tcPr>
            <w:tcW w:w="2627" w:type="pct"/>
            <w:gridSpan w:val="4"/>
            <w:vAlign w:val="center"/>
          </w:tcPr>
          <w:p w14:paraId="6997D0C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全封闭不锈钢隔油器</w:t>
            </w:r>
          </w:p>
        </w:tc>
      </w:tr>
      <w:tr w14:paraId="4068E4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23463017">
            <w:pPr>
              <w:widowControl/>
              <w:jc w:val="left"/>
              <w:rPr>
                <w:rFonts w:ascii="仿宋" w:hAnsi="仿宋" w:eastAsia="仿宋" w:cs="宋体"/>
                <w:color w:val="auto"/>
                <w:sz w:val="24"/>
                <w:szCs w:val="24"/>
                <w:highlight w:val="none"/>
              </w:rPr>
            </w:pPr>
          </w:p>
        </w:tc>
        <w:tc>
          <w:tcPr>
            <w:tcW w:w="1964" w:type="pct"/>
            <w:gridSpan w:val="10"/>
            <w:vAlign w:val="center"/>
          </w:tcPr>
          <w:p w14:paraId="56AFB9CC">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2.1.8 化粪池　</w:t>
            </w:r>
          </w:p>
        </w:tc>
        <w:tc>
          <w:tcPr>
            <w:tcW w:w="2627" w:type="pct"/>
            <w:gridSpan w:val="4"/>
            <w:vAlign w:val="center"/>
          </w:tcPr>
          <w:p w14:paraId="2E77AE5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
              </w:rPr>
              <w:t>钢筋混凝土</w:t>
            </w:r>
            <w:r>
              <w:rPr>
                <w:rFonts w:hint="eastAsia" w:ascii="仿宋" w:hAnsi="仿宋" w:eastAsia="仿宋" w:cs="宋体"/>
                <w:color w:val="auto"/>
                <w:sz w:val="24"/>
                <w:szCs w:val="24"/>
                <w:highlight w:val="none"/>
              </w:rPr>
              <w:t>化粪池</w:t>
            </w:r>
          </w:p>
        </w:tc>
      </w:tr>
      <w:tr w14:paraId="73F93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131E5D19">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0EE64CA5">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2.1.9 非标配电箱断路器　</w:t>
            </w:r>
          </w:p>
        </w:tc>
        <w:tc>
          <w:tcPr>
            <w:tcW w:w="2627" w:type="pct"/>
            <w:gridSpan w:val="4"/>
            <w:shd w:val="clear" w:color="000000" w:fill="FFFFFF"/>
            <w:vAlign w:val="center"/>
          </w:tcPr>
          <w:p w14:paraId="34171123">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断路器等采用优质品牌</w:t>
            </w:r>
          </w:p>
        </w:tc>
      </w:tr>
      <w:tr w14:paraId="34792C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3A088BA0">
            <w:pPr>
              <w:widowControl/>
              <w:jc w:val="left"/>
              <w:rPr>
                <w:rFonts w:ascii="仿宋" w:hAnsi="仿宋" w:eastAsia="仿宋" w:cs="宋体"/>
                <w:color w:val="auto"/>
                <w:sz w:val="24"/>
                <w:szCs w:val="24"/>
                <w:highlight w:val="none"/>
              </w:rPr>
            </w:pPr>
          </w:p>
        </w:tc>
        <w:tc>
          <w:tcPr>
            <w:tcW w:w="1964" w:type="pct"/>
            <w:gridSpan w:val="10"/>
            <w:vAlign w:val="center"/>
          </w:tcPr>
          <w:p w14:paraId="74E14792">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2.1.10 电线、电缆　</w:t>
            </w:r>
          </w:p>
        </w:tc>
        <w:tc>
          <w:tcPr>
            <w:tcW w:w="2627" w:type="pct"/>
            <w:gridSpan w:val="4"/>
            <w:vAlign w:val="center"/>
          </w:tcPr>
          <w:p w14:paraId="0183B31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2FB7E7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27AFF359">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24176A8C">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2.1.11 母线槽　</w:t>
            </w:r>
          </w:p>
        </w:tc>
        <w:tc>
          <w:tcPr>
            <w:tcW w:w="2627" w:type="pct"/>
            <w:gridSpan w:val="4"/>
            <w:shd w:val="clear" w:color="000000" w:fill="FFFFFF"/>
            <w:vAlign w:val="center"/>
          </w:tcPr>
          <w:p w14:paraId="315F4A73">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39A661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3D46254B">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47118BF2">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2.1.12 地下车库照明　</w:t>
            </w:r>
          </w:p>
        </w:tc>
        <w:tc>
          <w:tcPr>
            <w:tcW w:w="2627" w:type="pct"/>
            <w:gridSpan w:val="4"/>
            <w:shd w:val="clear" w:color="000000" w:fill="FFFFFF"/>
            <w:vAlign w:val="center"/>
          </w:tcPr>
          <w:p w14:paraId="07328F0C">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采用</w:t>
            </w:r>
            <w:r>
              <w:rPr>
                <w:rFonts w:ascii="仿宋" w:hAnsi="仿宋" w:eastAsia="仿宋" w:cs="宋体"/>
                <w:color w:val="auto"/>
                <w:sz w:val="24"/>
                <w:szCs w:val="24"/>
                <w:highlight w:val="none"/>
              </w:rPr>
              <w:t>LED</w:t>
            </w:r>
            <w:r>
              <w:rPr>
                <w:rFonts w:hint="eastAsia" w:ascii="仿宋" w:hAnsi="仿宋" w:eastAsia="仿宋" w:cs="宋体"/>
                <w:color w:val="auto"/>
                <w:sz w:val="24"/>
                <w:szCs w:val="24"/>
                <w:highlight w:val="none"/>
              </w:rPr>
              <w:t>灯具</w:t>
            </w:r>
          </w:p>
        </w:tc>
      </w:tr>
      <w:tr w14:paraId="7D68F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3EF56B6B">
            <w:pPr>
              <w:widowControl/>
              <w:jc w:val="left"/>
              <w:rPr>
                <w:rFonts w:ascii="仿宋" w:hAnsi="仿宋" w:eastAsia="仿宋" w:cs="宋体"/>
                <w:color w:val="auto"/>
                <w:sz w:val="24"/>
                <w:szCs w:val="24"/>
                <w:highlight w:val="none"/>
              </w:rPr>
            </w:pPr>
          </w:p>
        </w:tc>
        <w:tc>
          <w:tcPr>
            <w:tcW w:w="1964" w:type="pct"/>
            <w:gridSpan w:val="10"/>
            <w:vAlign w:val="center"/>
          </w:tcPr>
          <w:p w14:paraId="6826BE43">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2.1.13 开关、插座面板　</w:t>
            </w:r>
          </w:p>
        </w:tc>
        <w:tc>
          <w:tcPr>
            <w:tcW w:w="2627" w:type="pct"/>
            <w:gridSpan w:val="4"/>
            <w:vAlign w:val="center"/>
          </w:tcPr>
          <w:p w14:paraId="315DFAB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3F601F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restart"/>
            <w:shd w:val="clear" w:color="000000" w:fill="FFFFFF"/>
            <w:vAlign w:val="center"/>
          </w:tcPr>
          <w:p w14:paraId="3F90CAD4">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2.2</w:t>
            </w:r>
            <w:r>
              <w:rPr>
                <w:rFonts w:hint="eastAsia" w:ascii="仿宋" w:hAnsi="仿宋" w:eastAsia="仿宋" w:cs="宋体"/>
                <w:color w:val="auto"/>
                <w:sz w:val="24"/>
                <w:szCs w:val="24"/>
                <w:highlight w:val="none"/>
              </w:rPr>
              <w:t>供水设备</w:t>
            </w:r>
          </w:p>
        </w:tc>
        <w:tc>
          <w:tcPr>
            <w:tcW w:w="1964" w:type="pct"/>
            <w:gridSpan w:val="10"/>
            <w:vAlign w:val="center"/>
          </w:tcPr>
          <w:p w14:paraId="30C1FB76">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2.2.1 生活水泵　</w:t>
            </w:r>
          </w:p>
        </w:tc>
        <w:tc>
          <w:tcPr>
            <w:tcW w:w="2627" w:type="pct"/>
            <w:gridSpan w:val="4"/>
            <w:vAlign w:val="center"/>
          </w:tcPr>
          <w:p w14:paraId="1CD8AC8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676802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65ACC947">
            <w:pPr>
              <w:widowControl/>
              <w:jc w:val="left"/>
              <w:rPr>
                <w:rFonts w:ascii="仿宋" w:hAnsi="仿宋" w:eastAsia="仿宋" w:cs="宋体"/>
                <w:color w:val="auto"/>
                <w:sz w:val="24"/>
                <w:szCs w:val="24"/>
                <w:highlight w:val="none"/>
              </w:rPr>
            </w:pPr>
          </w:p>
        </w:tc>
        <w:tc>
          <w:tcPr>
            <w:tcW w:w="1964" w:type="pct"/>
            <w:gridSpan w:val="10"/>
            <w:vAlign w:val="center"/>
          </w:tcPr>
          <w:p w14:paraId="30B28BED">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2.2.2 水处理器　</w:t>
            </w:r>
          </w:p>
        </w:tc>
        <w:tc>
          <w:tcPr>
            <w:tcW w:w="2627" w:type="pct"/>
            <w:gridSpan w:val="4"/>
            <w:vAlign w:val="center"/>
          </w:tcPr>
          <w:p w14:paraId="4CAEC27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0B9C7D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1C3531E9">
            <w:pPr>
              <w:widowControl/>
              <w:jc w:val="left"/>
              <w:rPr>
                <w:rFonts w:ascii="仿宋" w:hAnsi="仿宋" w:eastAsia="仿宋" w:cs="宋体"/>
                <w:color w:val="auto"/>
                <w:sz w:val="24"/>
                <w:szCs w:val="24"/>
                <w:highlight w:val="none"/>
              </w:rPr>
            </w:pPr>
          </w:p>
        </w:tc>
        <w:tc>
          <w:tcPr>
            <w:tcW w:w="1964" w:type="pct"/>
            <w:gridSpan w:val="10"/>
            <w:vAlign w:val="center"/>
          </w:tcPr>
          <w:p w14:paraId="3FC874B6">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2.2.3 装配式不锈钢水箱　</w:t>
            </w:r>
          </w:p>
        </w:tc>
        <w:tc>
          <w:tcPr>
            <w:tcW w:w="2627" w:type="pct"/>
            <w:gridSpan w:val="4"/>
            <w:vAlign w:val="center"/>
          </w:tcPr>
          <w:p w14:paraId="08324562">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优质品牌</w:t>
            </w:r>
          </w:p>
        </w:tc>
      </w:tr>
      <w:tr w14:paraId="22E9C2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restart"/>
            <w:shd w:val="clear" w:color="000000" w:fill="FFFFFF"/>
            <w:vAlign w:val="center"/>
          </w:tcPr>
          <w:p w14:paraId="0D7CA52A">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2.3消防工程</w:t>
            </w:r>
          </w:p>
        </w:tc>
        <w:tc>
          <w:tcPr>
            <w:tcW w:w="1964" w:type="pct"/>
            <w:gridSpan w:val="10"/>
            <w:vAlign w:val="center"/>
          </w:tcPr>
          <w:p w14:paraId="01D8EB3E">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2.3.1 </w:t>
            </w:r>
            <w:r>
              <w:rPr>
                <w:rFonts w:hint="eastAsia" w:ascii="仿宋" w:hAnsi="仿宋" w:eastAsia="仿宋" w:cs="宋体"/>
                <w:color w:val="auto"/>
                <w:sz w:val="24"/>
                <w:szCs w:val="24"/>
                <w:highlight w:val="none"/>
              </w:rPr>
              <w:t>自动报警系统（含：消防广播、电话等）</w:t>
            </w:r>
          </w:p>
        </w:tc>
        <w:tc>
          <w:tcPr>
            <w:tcW w:w="2627" w:type="pct"/>
            <w:gridSpan w:val="4"/>
            <w:vAlign w:val="center"/>
          </w:tcPr>
          <w:p w14:paraId="79C558BA">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优质品牌，具备</w:t>
            </w:r>
            <w:r>
              <w:rPr>
                <w:rFonts w:ascii="仿宋" w:hAnsi="仿宋" w:eastAsia="仿宋" w:cs="宋体"/>
                <w:color w:val="auto"/>
                <w:sz w:val="24"/>
                <w:szCs w:val="24"/>
                <w:highlight w:val="none"/>
              </w:rPr>
              <w:t>UL或FM认证</w:t>
            </w:r>
          </w:p>
        </w:tc>
      </w:tr>
      <w:tr w14:paraId="152416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7CC6151B">
            <w:pPr>
              <w:widowControl/>
              <w:jc w:val="left"/>
              <w:rPr>
                <w:rFonts w:ascii="仿宋" w:hAnsi="仿宋" w:eastAsia="仿宋" w:cs="宋体"/>
                <w:color w:val="auto"/>
                <w:sz w:val="24"/>
                <w:szCs w:val="24"/>
                <w:highlight w:val="none"/>
              </w:rPr>
            </w:pPr>
          </w:p>
        </w:tc>
        <w:tc>
          <w:tcPr>
            <w:tcW w:w="1964" w:type="pct"/>
            <w:gridSpan w:val="10"/>
            <w:vAlign w:val="center"/>
          </w:tcPr>
          <w:p w14:paraId="5624A957">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2.3.2 消火栓系统　</w:t>
            </w:r>
          </w:p>
        </w:tc>
        <w:tc>
          <w:tcPr>
            <w:tcW w:w="2627" w:type="pct"/>
            <w:gridSpan w:val="4"/>
            <w:vAlign w:val="center"/>
          </w:tcPr>
          <w:p w14:paraId="5781443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2A5D1B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24796E82">
            <w:pPr>
              <w:widowControl/>
              <w:jc w:val="left"/>
              <w:rPr>
                <w:rFonts w:ascii="仿宋" w:hAnsi="仿宋" w:eastAsia="仿宋" w:cs="宋体"/>
                <w:color w:val="auto"/>
                <w:sz w:val="24"/>
                <w:szCs w:val="24"/>
                <w:highlight w:val="none"/>
              </w:rPr>
            </w:pPr>
          </w:p>
        </w:tc>
        <w:tc>
          <w:tcPr>
            <w:tcW w:w="1964" w:type="pct"/>
            <w:gridSpan w:val="10"/>
            <w:vAlign w:val="center"/>
          </w:tcPr>
          <w:p w14:paraId="61912A78">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2.3.3 自动喷水系统　</w:t>
            </w:r>
          </w:p>
        </w:tc>
        <w:tc>
          <w:tcPr>
            <w:tcW w:w="2627" w:type="pct"/>
            <w:gridSpan w:val="4"/>
            <w:vAlign w:val="center"/>
          </w:tcPr>
          <w:p w14:paraId="1917351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2793A9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50FFB2BA">
            <w:pPr>
              <w:widowControl/>
              <w:jc w:val="left"/>
              <w:rPr>
                <w:rFonts w:ascii="仿宋" w:hAnsi="仿宋" w:eastAsia="仿宋" w:cs="宋体"/>
                <w:color w:val="auto"/>
                <w:sz w:val="24"/>
                <w:szCs w:val="24"/>
                <w:highlight w:val="none"/>
              </w:rPr>
            </w:pPr>
          </w:p>
        </w:tc>
        <w:tc>
          <w:tcPr>
            <w:tcW w:w="1964" w:type="pct"/>
            <w:gridSpan w:val="10"/>
            <w:vAlign w:val="center"/>
          </w:tcPr>
          <w:p w14:paraId="7C78790F">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2.3.4 消防水泵　</w:t>
            </w:r>
          </w:p>
        </w:tc>
        <w:tc>
          <w:tcPr>
            <w:tcW w:w="2627" w:type="pct"/>
            <w:gridSpan w:val="4"/>
            <w:vAlign w:val="center"/>
          </w:tcPr>
          <w:p w14:paraId="34C93F71">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6EF4D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66E59F1E">
            <w:pPr>
              <w:widowControl/>
              <w:jc w:val="left"/>
              <w:rPr>
                <w:rFonts w:ascii="仿宋" w:hAnsi="仿宋" w:eastAsia="仿宋" w:cs="宋体"/>
                <w:color w:val="auto"/>
                <w:sz w:val="24"/>
                <w:szCs w:val="24"/>
                <w:highlight w:val="none"/>
              </w:rPr>
            </w:pPr>
          </w:p>
        </w:tc>
        <w:tc>
          <w:tcPr>
            <w:tcW w:w="1964" w:type="pct"/>
            <w:gridSpan w:val="10"/>
            <w:vAlign w:val="center"/>
          </w:tcPr>
          <w:p w14:paraId="121641F4">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2.3.5 管材　</w:t>
            </w:r>
          </w:p>
        </w:tc>
        <w:tc>
          <w:tcPr>
            <w:tcW w:w="2627" w:type="pct"/>
            <w:gridSpan w:val="4"/>
            <w:vAlign w:val="center"/>
          </w:tcPr>
          <w:p w14:paraId="7AECF15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内外涂塑钢管、内外热镀锌钢管、内外热镀锌无缝钢管等；</w:t>
            </w:r>
          </w:p>
        </w:tc>
      </w:tr>
      <w:tr w14:paraId="109FD6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411635C7">
            <w:pPr>
              <w:widowControl/>
              <w:jc w:val="left"/>
              <w:rPr>
                <w:rFonts w:ascii="仿宋" w:hAnsi="仿宋" w:eastAsia="仿宋" w:cs="宋体"/>
                <w:color w:val="auto"/>
                <w:sz w:val="24"/>
                <w:szCs w:val="24"/>
                <w:highlight w:val="none"/>
              </w:rPr>
            </w:pPr>
          </w:p>
        </w:tc>
        <w:tc>
          <w:tcPr>
            <w:tcW w:w="1964" w:type="pct"/>
            <w:gridSpan w:val="10"/>
            <w:vAlign w:val="center"/>
          </w:tcPr>
          <w:p w14:paraId="0C19ED23">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2.3.6 阀门组件　</w:t>
            </w:r>
          </w:p>
        </w:tc>
        <w:tc>
          <w:tcPr>
            <w:tcW w:w="2627" w:type="pct"/>
            <w:gridSpan w:val="4"/>
            <w:vAlign w:val="center"/>
          </w:tcPr>
          <w:p w14:paraId="59AB0306">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35B0D0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5EF76D43">
            <w:pPr>
              <w:widowControl/>
              <w:jc w:val="left"/>
              <w:rPr>
                <w:rFonts w:ascii="仿宋" w:hAnsi="仿宋" w:eastAsia="仿宋" w:cs="宋体"/>
                <w:color w:val="auto"/>
                <w:sz w:val="24"/>
                <w:szCs w:val="24"/>
                <w:highlight w:val="none"/>
              </w:rPr>
            </w:pPr>
          </w:p>
        </w:tc>
        <w:tc>
          <w:tcPr>
            <w:tcW w:w="1964" w:type="pct"/>
            <w:gridSpan w:val="10"/>
            <w:vAlign w:val="center"/>
          </w:tcPr>
          <w:p w14:paraId="55279574">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2.3.7 灭火器　</w:t>
            </w:r>
          </w:p>
        </w:tc>
        <w:tc>
          <w:tcPr>
            <w:tcW w:w="2627" w:type="pct"/>
            <w:gridSpan w:val="4"/>
            <w:vAlign w:val="center"/>
          </w:tcPr>
          <w:p w14:paraId="6A9D757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098CD3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5B3E1F32">
            <w:pPr>
              <w:widowControl/>
              <w:jc w:val="left"/>
              <w:rPr>
                <w:rFonts w:ascii="仿宋" w:hAnsi="仿宋" w:eastAsia="仿宋" w:cs="宋体"/>
                <w:color w:val="auto"/>
                <w:sz w:val="24"/>
                <w:szCs w:val="24"/>
                <w:highlight w:val="none"/>
              </w:rPr>
            </w:pPr>
          </w:p>
        </w:tc>
        <w:tc>
          <w:tcPr>
            <w:tcW w:w="1964" w:type="pct"/>
            <w:gridSpan w:val="10"/>
            <w:vAlign w:val="center"/>
          </w:tcPr>
          <w:p w14:paraId="793F96CE">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2.3.8 防火卷帘　</w:t>
            </w:r>
          </w:p>
        </w:tc>
        <w:tc>
          <w:tcPr>
            <w:tcW w:w="2627" w:type="pct"/>
            <w:gridSpan w:val="4"/>
            <w:vAlign w:val="center"/>
          </w:tcPr>
          <w:p w14:paraId="17894E48">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253981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7AAB3F01">
            <w:pPr>
              <w:widowControl/>
              <w:jc w:val="left"/>
              <w:rPr>
                <w:rFonts w:ascii="仿宋" w:hAnsi="仿宋" w:eastAsia="仿宋" w:cs="宋体"/>
                <w:color w:val="auto"/>
                <w:sz w:val="24"/>
                <w:szCs w:val="24"/>
                <w:highlight w:val="none"/>
              </w:rPr>
            </w:pPr>
          </w:p>
        </w:tc>
        <w:tc>
          <w:tcPr>
            <w:tcW w:w="1964" w:type="pct"/>
            <w:gridSpan w:val="10"/>
            <w:vAlign w:val="center"/>
          </w:tcPr>
          <w:p w14:paraId="169CF8A2">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2.3.9 气体灭火系统　</w:t>
            </w:r>
          </w:p>
        </w:tc>
        <w:tc>
          <w:tcPr>
            <w:tcW w:w="2627" w:type="pct"/>
            <w:gridSpan w:val="4"/>
            <w:tcBorders>
              <w:bottom w:val="single" w:color="auto" w:sz="8" w:space="0"/>
            </w:tcBorders>
            <w:vAlign w:val="center"/>
          </w:tcPr>
          <w:p w14:paraId="1EFB2EA7">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电机房用七氟丙烷气体灭火</w:t>
            </w:r>
          </w:p>
        </w:tc>
      </w:tr>
      <w:tr w14:paraId="64FFF9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restart"/>
            <w:shd w:val="clear" w:color="000000" w:fill="FFFFFF"/>
            <w:vAlign w:val="center"/>
          </w:tcPr>
          <w:p w14:paraId="2A224F80">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2.4</w:t>
            </w:r>
            <w:r>
              <w:rPr>
                <w:rFonts w:hint="eastAsia" w:ascii="仿宋" w:hAnsi="仿宋" w:eastAsia="仿宋" w:cs="宋体"/>
                <w:color w:val="auto"/>
                <w:sz w:val="24"/>
                <w:szCs w:val="24"/>
                <w:highlight w:val="none"/>
              </w:rPr>
              <w:t>电梯</w:t>
            </w:r>
          </w:p>
        </w:tc>
        <w:tc>
          <w:tcPr>
            <w:tcW w:w="1964" w:type="pct"/>
            <w:gridSpan w:val="10"/>
            <w:vAlign w:val="center"/>
          </w:tcPr>
          <w:p w14:paraId="0150A3E4">
            <w:pPr>
              <w:widowControl/>
              <w:rPr>
                <w:rFonts w:ascii="仿宋" w:hAnsi="仿宋" w:eastAsia="仿宋" w:cs="宋体"/>
                <w:color w:val="auto"/>
                <w:sz w:val="24"/>
                <w:szCs w:val="24"/>
                <w:highlight w:val="none"/>
              </w:rPr>
            </w:pPr>
            <w:r>
              <w:rPr>
                <w:rFonts w:ascii="仿宋" w:hAnsi="仿宋" w:eastAsia="仿宋" w:cs="宋体"/>
                <w:color w:val="auto"/>
                <w:sz w:val="24"/>
                <w:szCs w:val="24"/>
                <w:highlight w:val="none"/>
              </w:rPr>
              <w:t>2.4.</w:t>
            </w:r>
            <w:r>
              <w:rPr>
                <w:rFonts w:hint="eastAsia" w:ascii="仿宋" w:hAnsi="仿宋" w:eastAsia="仿宋" w:cs="宋体"/>
                <w:color w:val="auto"/>
                <w:sz w:val="24"/>
                <w:szCs w:val="24"/>
                <w:highlight w:val="none"/>
              </w:rPr>
              <w:t>1塔楼</w:t>
            </w:r>
            <w:r>
              <w:rPr>
                <w:rFonts w:ascii="仿宋" w:hAnsi="仿宋" w:eastAsia="仿宋" w:cs="宋体"/>
                <w:color w:val="auto"/>
                <w:sz w:val="24"/>
                <w:szCs w:val="24"/>
                <w:highlight w:val="none"/>
              </w:rPr>
              <w:t>电梯</w:t>
            </w:r>
          </w:p>
        </w:tc>
        <w:tc>
          <w:tcPr>
            <w:tcW w:w="2627" w:type="pct"/>
            <w:gridSpan w:val="4"/>
            <w:vAlign w:val="center"/>
          </w:tcPr>
          <w:p w14:paraId="0DAC12C2">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 xml:space="preserve">13台电梯 </w:t>
            </w:r>
          </w:p>
          <w:p w14:paraId="1D586769">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客梯2台：载重1600kg</w:t>
            </w:r>
          </w:p>
          <w:p w14:paraId="06D44DF3">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医梯7台：载重1600kg</w:t>
            </w:r>
          </w:p>
          <w:p w14:paraId="44EC3488">
            <w:pPr>
              <w:widowControl/>
              <w:jc w:val="left"/>
              <w:rPr>
                <w:rFonts w:ascii="仿宋" w:hAnsi="仿宋" w:eastAsia="仿宋" w:cs="仿宋"/>
                <w:color w:val="auto"/>
                <w:sz w:val="24"/>
                <w:szCs w:val="24"/>
                <w:highlight w:val="none"/>
                <w:lang w:eastAsia="zh"/>
              </w:rPr>
            </w:pPr>
            <w:r>
              <w:rPr>
                <w:rFonts w:hint="eastAsia" w:ascii="仿宋" w:hAnsi="仿宋" w:eastAsia="仿宋" w:cs="仿宋"/>
                <w:color w:val="auto"/>
                <w:sz w:val="24"/>
                <w:szCs w:val="24"/>
                <w:highlight w:val="none"/>
                <w:lang w:eastAsia="zh"/>
              </w:rPr>
              <w:t>自动扶梯：4台</w:t>
            </w:r>
          </w:p>
        </w:tc>
      </w:tr>
      <w:tr w14:paraId="20A641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4B00BA96">
            <w:pPr>
              <w:widowControl/>
              <w:jc w:val="left"/>
              <w:rPr>
                <w:rFonts w:ascii="仿宋" w:hAnsi="仿宋" w:eastAsia="仿宋" w:cs="宋体"/>
                <w:color w:val="auto"/>
                <w:sz w:val="24"/>
                <w:szCs w:val="24"/>
                <w:highlight w:val="none"/>
              </w:rPr>
            </w:pPr>
          </w:p>
        </w:tc>
        <w:tc>
          <w:tcPr>
            <w:tcW w:w="1964" w:type="pct"/>
            <w:gridSpan w:val="10"/>
            <w:vAlign w:val="center"/>
          </w:tcPr>
          <w:p w14:paraId="7602E5CE">
            <w:pPr>
              <w:widowControl/>
              <w:jc w:val="left"/>
              <w:rPr>
                <w:rFonts w:ascii="仿宋" w:hAnsi="仿宋" w:eastAsia="仿宋" w:cs="宋体"/>
                <w:color w:val="auto"/>
                <w:sz w:val="24"/>
                <w:szCs w:val="24"/>
                <w:highlight w:val="none"/>
              </w:rPr>
            </w:pPr>
          </w:p>
        </w:tc>
        <w:tc>
          <w:tcPr>
            <w:tcW w:w="2627" w:type="pct"/>
            <w:gridSpan w:val="4"/>
            <w:vAlign w:val="center"/>
          </w:tcPr>
          <w:p w14:paraId="6836FD74">
            <w:pPr>
              <w:widowControl/>
              <w:jc w:val="left"/>
              <w:rPr>
                <w:rFonts w:ascii="仿宋" w:hAnsi="仿宋" w:eastAsia="仿宋" w:cs="宋体"/>
                <w:color w:val="auto"/>
                <w:sz w:val="24"/>
                <w:szCs w:val="24"/>
                <w:highlight w:val="none"/>
              </w:rPr>
            </w:pPr>
          </w:p>
        </w:tc>
      </w:tr>
      <w:tr w14:paraId="550A53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23C659C8">
            <w:pPr>
              <w:widowControl/>
              <w:jc w:val="left"/>
              <w:rPr>
                <w:rFonts w:ascii="仿宋" w:hAnsi="仿宋" w:eastAsia="仿宋" w:cs="宋体"/>
                <w:color w:val="auto"/>
                <w:sz w:val="24"/>
                <w:szCs w:val="24"/>
                <w:highlight w:val="none"/>
              </w:rPr>
            </w:pPr>
          </w:p>
        </w:tc>
        <w:tc>
          <w:tcPr>
            <w:tcW w:w="1964" w:type="pct"/>
            <w:gridSpan w:val="10"/>
            <w:vMerge w:val="restart"/>
            <w:vAlign w:val="center"/>
          </w:tcPr>
          <w:p w14:paraId="0B6F2553">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2.5.</w:t>
            </w:r>
            <w:r>
              <w:rPr>
                <w:rFonts w:hint="eastAsia" w:ascii="仿宋" w:hAnsi="仿宋" w:eastAsia="仿宋" w:cs="宋体"/>
                <w:color w:val="auto"/>
                <w:sz w:val="24"/>
                <w:szCs w:val="24"/>
                <w:highlight w:val="none"/>
                <w:lang w:eastAsia="zh"/>
              </w:rPr>
              <w:t>1</w:t>
            </w:r>
            <w:r>
              <w:rPr>
                <w:rFonts w:ascii="仿宋" w:hAnsi="仿宋" w:eastAsia="仿宋" w:cs="宋体"/>
                <w:color w:val="auto"/>
                <w:sz w:val="24"/>
                <w:szCs w:val="24"/>
                <w:highlight w:val="none"/>
              </w:rPr>
              <w:t xml:space="preserve"> </w:t>
            </w:r>
            <w:r>
              <w:rPr>
                <w:rFonts w:hint="eastAsia" w:ascii="仿宋" w:hAnsi="仿宋" w:eastAsia="仿宋" w:cs="宋体"/>
                <w:color w:val="auto"/>
                <w:sz w:val="24"/>
                <w:szCs w:val="24"/>
                <w:highlight w:val="none"/>
              </w:rPr>
              <w:t>风系统选型</w:t>
            </w:r>
          </w:p>
        </w:tc>
        <w:tc>
          <w:tcPr>
            <w:tcW w:w="2627" w:type="pct"/>
            <w:gridSpan w:val="4"/>
            <w:vAlign w:val="center"/>
          </w:tcPr>
          <w:p w14:paraId="41F7A88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
              </w:rPr>
              <w:t>独栋办公及首层商业</w:t>
            </w:r>
            <w:r>
              <w:rPr>
                <w:rFonts w:hint="eastAsia" w:ascii="仿宋" w:hAnsi="仿宋" w:eastAsia="仿宋" w:cs="宋体"/>
                <w:color w:val="auto"/>
                <w:sz w:val="24"/>
                <w:szCs w:val="24"/>
                <w:highlight w:val="none"/>
              </w:rPr>
              <w:t xml:space="preserve">仅预留空调机位 </w:t>
            </w:r>
            <w:r>
              <w:rPr>
                <w:rFonts w:ascii="仿宋" w:hAnsi="仿宋" w:eastAsia="仿宋" w:cs="宋体"/>
                <w:color w:val="auto"/>
                <w:sz w:val="24"/>
                <w:szCs w:val="24"/>
                <w:highlight w:val="none"/>
              </w:rPr>
              <w:t xml:space="preserve"> </w:t>
            </w:r>
          </w:p>
        </w:tc>
      </w:tr>
      <w:tr w14:paraId="5B4EF5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2CF8050E">
            <w:pPr>
              <w:widowControl/>
              <w:jc w:val="left"/>
              <w:rPr>
                <w:rFonts w:ascii="仿宋" w:hAnsi="仿宋" w:eastAsia="仿宋" w:cs="宋体"/>
                <w:color w:val="auto"/>
                <w:sz w:val="24"/>
                <w:szCs w:val="24"/>
                <w:highlight w:val="none"/>
              </w:rPr>
            </w:pPr>
          </w:p>
        </w:tc>
        <w:tc>
          <w:tcPr>
            <w:tcW w:w="1964" w:type="pct"/>
            <w:gridSpan w:val="10"/>
            <w:vMerge w:val="continue"/>
            <w:shd w:val="clear" w:color="auto" w:fill="auto"/>
            <w:vAlign w:val="center"/>
          </w:tcPr>
          <w:p w14:paraId="41E6BB29">
            <w:pPr>
              <w:widowControl/>
              <w:jc w:val="left"/>
              <w:rPr>
                <w:rFonts w:ascii="仿宋" w:hAnsi="仿宋" w:eastAsia="仿宋" w:cs="宋体"/>
                <w:color w:val="auto"/>
                <w:sz w:val="24"/>
                <w:szCs w:val="24"/>
                <w:highlight w:val="none"/>
              </w:rPr>
            </w:pPr>
          </w:p>
        </w:tc>
        <w:tc>
          <w:tcPr>
            <w:tcW w:w="2627" w:type="pct"/>
            <w:gridSpan w:val="4"/>
            <w:shd w:val="clear" w:color="000000" w:fill="FFFFFF"/>
            <w:vAlign w:val="center"/>
          </w:tcPr>
          <w:p w14:paraId="4BA6DBE6">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塔楼办公</w:t>
            </w:r>
            <w:r>
              <w:rPr>
                <w:rFonts w:hint="eastAsia" w:ascii="仿宋" w:hAnsi="仿宋" w:eastAsia="仿宋" w:cs="宋体"/>
                <w:color w:val="auto"/>
                <w:sz w:val="24"/>
                <w:szCs w:val="24"/>
                <w:highlight w:val="none"/>
              </w:rPr>
              <w:t>：产业配套</w:t>
            </w:r>
            <w:r>
              <w:rPr>
                <w:rFonts w:hint="eastAsia" w:ascii="仿宋" w:hAnsi="仿宋" w:eastAsia="仿宋" w:cs="宋体"/>
                <w:color w:val="auto"/>
                <w:sz w:val="24"/>
                <w:szCs w:val="24"/>
                <w:highlight w:val="none"/>
                <w:lang w:eastAsia="zh"/>
              </w:rPr>
              <w:t>公区及户内仅预留空调机位；其他标准层公区均</w:t>
            </w:r>
            <w:r>
              <w:rPr>
                <w:rFonts w:hint="eastAsia"/>
                <w:color w:val="auto"/>
                <w:highlight w:val="none"/>
              </w:rPr>
              <w:t xml:space="preserve"> </w:t>
            </w:r>
            <w:r>
              <w:rPr>
                <w:rFonts w:hint="eastAsia" w:ascii="仿宋" w:hAnsi="仿宋" w:eastAsia="仿宋" w:cs="宋体"/>
                <w:color w:val="auto"/>
                <w:sz w:val="24"/>
                <w:szCs w:val="24"/>
                <w:highlight w:val="none"/>
                <w:lang w:eastAsia="zh"/>
              </w:rPr>
              <w:t>VRV空调内外机安装到位，出租的户内</w:t>
            </w:r>
            <w:r>
              <w:rPr>
                <w:rFonts w:hint="eastAsia"/>
                <w:color w:val="auto"/>
                <w:highlight w:val="none"/>
              </w:rPr>
              <w:t xml:space="preserve"> </w:t>
            </w:r>
            <w:r>
              <w:rPr>
                <w:rFonts w:hint="eastAsia" w:ascii="仿宋" w:hAnsi="仿宋" w:eastAsia="仿宋" w:cs="宋体"/>
                <w:color w:val="auto"/>
                <w:sz w:val="24"/>
                <w:szCs w:val="24"/>
                <w:highlight w:val="none"/>
                <w:lang w:eastAsia="zh"/>
              </w:rPr>
              <w:t>VRV空调外机安装到位，管道入户1m，出售的</w:t>
            </w:r>
            <w:r>
              <w:rPr>
                <w:rFonts w:hint="eastAsia" w:ascii="仿宋" w:hAnsi="仿宋" w:eastAsia="仿宋" w:cs="宋体"/>
                <w:color w:val="auto"/>
                <w:sz w:val="24"/>
                <w:szCs w:val="24"/>
                <w:highlight w:val="none"/>
              </w:rPr>
              <w:t>仅预留仅预留空调机位</w:t>
            </w:r>
            <w:r>
              <w:rPr>
                <w:rFonts w:hint="eastAsia" w:ascii="仿宋" w:hAnsi="仿宋" w:eastAsia="仿宋" w:cs="宋体"/>
                <w:color w:val="auto"/>
                <w:sz w:val="24"/>
                <w:szCs w:val="24"/>
                <w:highlight w:val="none"/>
                <w:lang w:eastAsia="zh"/>
              </w:rPr>
              <w:t xml:space="preserve"> </w:t>
            </w:r>
          </w:p>
        </w:tc>
      </w:tr>
      <w:tr w14:paraId="0037A8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7F368F80">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6B2C3003">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2.5.</w:t>
            </w:r>
            <w:r>
              <w:rPr>
                <w:rFonts w:hint="eastAsia" w:ascii="仿宋" w:hAnsi="仿宋" w:eastAsia="仿宋" w:cs="宋体"/>
                <w:color w:val="auto"/>
                <w:sz w:val="24"/>
                <w:szCs w:val="24"/>
                <w:highlight w:val="none"/>
                <w:lang w:eastAsia="zh"/>
              </w:rPr>
              <w:t>2</w:t>
            </w:r>
            <w:r>
              <w:rPr>
                <w:rFonts w:ascii="仿宋" w:hAnsi="仿宋" w:eastAsia="仿宋" w:cs="宋体"/>
                <w:color w:val="auto"/>
                <w:sz w:val="24"/>
                <w:szCs w:val="24"/>
                <w:highlight w:val="none"/>
              </w:rPr>
              <w:t xml:space="preserve"> 水系统选型　</w:t>
            </w:r>
          </w:p>
        </w:tc>
        <w:tc>
          <w:tcPr>
            <w:tcW w:w="2627" w:type="pct"/>
            <w:gridSpan w:val="4"/>
            <w:shd w:val="clear" w:color="000000" w:fill="FFFFFF"/>
            <w:vAlign w:val="center"/>
          </w:tcPr>
          <w:p w14:paraId="193ACF84">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预留</w:t>
            </w:r>
            <w:r>
              <w:rPr>
                <w:rFonts w:hint="eastAsia" w:ascii="仿宋" w:hAnsi="仿宋" w:eastAsia="仿宋" w:cs="宋体"/>
                <w:color w:val="auto"/>
                <w:sz w:val="24"/>
                <w:szCs w:val="24"/>
                <w:highlight w:val="none"/>
              </w:rPr>
              <w:t>多联</w:t>
            </w:r>
            <w:r>
              <w:rPr>
                <w:rFonts w:hint="eastAsia" w:ascii="仿宋" w:hAnsi="仿宋" w:eastAsia="仿宋" w:cs="宋体"/>
                <w:color w:val="auto"/>
                <w:sz w:val="24"/>
                <w:szCs w:val="24"/>
                <w:highlight w:val="none"/>
                <w:lang w:eastAsia="zh"/>
              </w:rPr>
              <w:t>机</w:t>
            </w:r>
            <w:r>
              <w:rPr>
                <w:rFonts w:hint="eastAsia" w:ascii="仿宋" w:hAnsi="仿宋" w:eastAsia="仿宋" w:cs="宋体"/>
                <w:color w:val="auto"/>
                <w:sz w:val="24"/>
                <w:szCs w:val="24"/>
                <w:highlight w:val="none"/>
              </w:rPr>
              <w:t>+新风系统</w:t>
            </w:r>
            <w:r>
              <w:rPr>
                <w:rFonts w:hint="eastAsia" w:ascii="仿宋" w:hAnsi="仿宋" w:eastAsia="仿宋" w:cs="宋体"/>
                <w:color w:val="auto"/>
                <w:sz w:val="24"/>
                <w:szCs w:val="24"/>
                <w:highlight w:val="none"/>
                <w:lang w:eastAsia="zh"/>
              </w:rPr>
              <w:t>条件</w:t>
            </w:r>
            <w:r>
              <w:rPr>
                <w:rFonts w:hint="eastAsia" w:ascii="仿宋" w:hAnsi="仿宋" w:eastAsia="仿宋" w:cs="宋体"/>
                <w:color w:val="auto"/>
                <w:sz w:val="24"/>
                <w:szCs w:val="24"/>
                <w:highlight w:val="none"/>
              </w:rPr>
              <w:t>，通过冷媒管井接至空调室内机</w:t>
            </w:r>
            <w:r>
              <w:rPr>
                <w:rFonts w:hint="eastAsia" w:ascii="仿宋" w:hAnsi="仿宋" w:eastAsia="仿宋" w:cs="宋体"/>
                <w:color w:val="auto"/>
                <w:sz w:val="24"/>
                <w:szCs w:val="24"/>
                <w:highlight w:val="none"/>
                <w:lang w:eastAsia="zh"/>
              </w:rPr>
              <w:t>。</w:t>
            </w:r>
          </w:p>
        </w:tc>
      </w:tr>
      <w:tr w14:paraId="4D34C6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45F41A93">
            <w:pPr>
              <w:widowControl/>
              <w:jc w:val="left"/>
              <w:rPr>
                <w:rFonts w:ascii="仿宋" w:hAnsi="仿宋" w:eastAsia="仿宋" w:cs="宋体"/>
                <w:color w:val="auto"/>
                <w:sz w:val="24"/>
                <w:szCs w:val="24"/>
                <w:highlight w:val="none"/>
              </w:rPr>
            </w:pPr>
          </w:p>
        </w:tc>
        <w:tc>
          <w:tcPr>
            <w:tcW w:w="1964" w:type="pct"/>
            <w:gridSpan w:val="10"/>
            <w:vAlign w:val="center"/>
          </w:tcPr>
          <w:p w14:paraId="40AC41C9">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2.5.</w:t>
            </w:r>
            <w:r>
              <w:rPr>
                <w:rFonts w:hint="eastAsia" w:ascii="仿宋" w:hAnsi="仿宋" w:eastAsia="仿宋" w:cs="宋体"/>
                <w:color w:val="auto"/>
                <w:sz w:val="24"/>
                <w:szCs w:val="24"/>
                <w:highlight w:val="none"/>
                <w:lang w:eastAsia="zh"/>
              </w:rPr>
              <w:t>3</w:t>
            </w:r>
            <w:r>
              <w:rPr>
                <w:rFonts w:ascii="仿宋" w:hAnsi="仿宋" w:eastAsia="仿宋" w:cs="宋体"/>
                <w:color w:val="auto"/>
                <w:sz w:val="24"/>
                <w:szCs w:val="24"/>
                <w:highlight w:val="none"/>
              </w:rPr>
              <w:t xml:space="preserve"> 管材　</w:t>
            </w:r>
          </w:p>
        </w:tc>
        <w:tc>
          <w:tcPr>
            <w:tcW w:w="2627" w:type="pct"/>
            <w:gridSpan w:val="4"/>
            <w:vAlign w:val="center"/>
          </w:tcPr>
          <w:p w14:paraId="2B649855">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冷媒管采用铜管。冷凝水管采用</w:t>
            </w:r>
            <w:r>
              <w:rPr>
                <w:rFonts w:hint="eastAsia" w:ascii="仿宋" w:hAnsi="仿宋" w:eastAsia="仿宋" w:cs="宋体"/>
                <w:color w:val="auto"/>
                <w:sz w:val="24"/>
                <w:szCs w:val="24"/>
                <w:highlight w:val="none"/>
                <w:lang w:eastAsia="zh"/>
              </w:rPr>
              <w:t>PVC</w:t>
            </w:r>
            <w:r>
              <w:rPr>
                <w:rFonts w:hint="eastAsia" w:ascii="仿宋" w:hAnsi="仿宋" w:eastAsia="仿宋" w:cs="宋体"/>
                <w:color w:val="auto"/>
                <w:sz w:val="24"/>
                <w:szCs w:val="24"/>
                <w:highlight w:val="none"/>
              </w:rPr>
              <w:t>管。</w:t>
            </w:r>
            <w:r>
              <w:rPr>
                <w:rFonts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厨房排油烟管、垃圾房、污水处理间、油污处理间等风管采用不锈钢板制作。</w:t>
            </w:r>
            <w:r>
              <w:rPr>
                <w:rFonts w:ascii="仿宋" w:hAnsi="仿宋" w:eastAsia="仿宋" w:cs="宋体"/>
                <w:color w:val="auto"/>
                <w:sz w:val="24"/>
                <w:szCs w:val="24"/>
                <w:highlight w:val="none"/>
              </w:rPr>
              <w:t xml:space="preserve"> </w:t>
            </w:r>
            <w:r>
              <w:rPr>
                <w:rFonts w:ascii="仿宋" w:hAnsi="仿宋" w:eastAsia="仿宋" w:cs="宋体"/>
                <w:color w:val="auto"/>
                <w:sz w:val="24"/>
                <w:szCs w:val="24"/>
                <w:highlight w:val="none"/>
              </w:rPr>
              <w:br w:type="textWrapping"/>
            </w:r>
            <w:r>
              <w:rPr>
                <w:rFonts w:hint="eastAsia" w:ascii="仿宋" w:hAnsi="仿宋" w:eastAsia="仿宋" w:cs="宋体"/>
                <w:color w:val="auto"/>
                <w:sz w:val="24"/>
                <w:szCs w:val="24"/>
                <w:highlight w:val="none"/>
              </w:rPr>
              <w:t>其它风管采用镀锌铁皮</w:t>
            </w:r>
          </w:p>
        </w:tc>
      </w:tr>
      <w:tr w14:paraId="7441C1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408" w:type="pct"/>
            <w:gridSpan w:val="2"/>
            <w:vMerge w:val="continue"/>
            <w:vAlign w:val="center"/>
          </w:tcPr>
          <w:p w14:paraId="7CA948FF">
            <w:pPr>
              <w:widowControl/>
              <w:jc w:val="left"/>
              <w:rPr>
                <w:rFonts w:ascii="仿宋" w:hAnsi="仿宋" w:eastAsia="仿宋" w:cs="宋体"/>
                <w:color w:val="auto"/>
                <w:sz w:val="24"/>
                <w:szCs w:val="24"/>
                <w:highlight w:val="none"/>
              </w:rPr>
            </w:pPr>
          </w:p>
        </w:tc>
        <w:tc>
          <w:tcPr>
            <w:tcW w:w="1964" w:type="pct"/>
            <w:gridSpan w:val="10"/>
            <w:vAlign w:val="center"/>
          </w:tcPr>
          <w:p w14:paraId="05625F98">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2.5.</w:t>
            </w:r>
            <w:r>
              <w:rPr>
                <w:rFonts w:hint="eastAsia" w:ascii="仿宋" w:hAnsi="仿宋" w:eastAsia="仿宋" w:cs="宋体"/>
                <w:color w:val="auto"/>
                <w:sz w:val="24"/>
                <w:szCs w:val="24"/>
                <w:highlight w:val="none"/>
                <w:lang w:eastAsia="zh"/>
              </w:rPr>
              <w:t>4</w:t>
            </w:r>
            <w:r>
              <w:rPr>
                <w:rFonts w:ascii="仿宋" w:hAnsi="仿宋" w:eastAsia="仿宋" w:cs="宋体"/>
                <w:color w:val="auto"/>
                <w:sz w:val="24"/>
                <w:szCs w:val="24"/>
                <w:highlight w:val="none"/>
              </w:rPr>
              <w:t xml:space="preserve"> 管材保温　</w:t>
            </w:r>
          </w:p>
        </w:tc>
        <w:tc>
          <w:tcPr>
            <w:tcW w:w="2627" w:type="pct"/>
            <w:gridSpan w:val="4"/>
            <w:vAlign w:val="center"/>
          </w:tcPr>
          <w:p w14:paraId="29F9EE9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所有防结露风管、水管、冷媒管道、冷凝水管道采用燃烧性能不低于B1级的保温材料，其中冷冻水管、冷媒管、冷凝水采用橡塑保温；空调风管应采用带铝箔面防潮防腐面玻璃棉板制作（非燃材料）；消声器、粘合剂等均采用燃烧性能A级材料。</w:t>
            </w:r>
          </w:p>
        </w:tc>
      </w:tr>
      <w:tr w14:paraId="3EAC2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408" w:type="pct"/>
            <w:gridSpan w:val="2"/>
            <w:vMerge w:val="continue"/>
            <w:vAlign w:val="center"/>
          </w:tcPr>
          <w:p w14:paraId="19A799B8">
            <w:pPr>
              <w:widowControl/>
              <w:jc w:val="left"/>
              <w:rPr>
                <w:rFonts w:ascii="仿宋" w:hAnsi="仿宋" w:eastAsia="仿宋" w:cs="宋体"/>
                <w:color w:val="auto"/>
                <w:sz w:val="24"/>
                <w:szCs w:val="24"/>
                <w:highlight w:val="none"/>
              </w:rPr>
            </w:pPr>
          </w:p>
        </w:tc>
        <w:tc>
          <w:tcPr>
            <w:tcW w:w="1964" w:type="pct"/>
            <w:gridSpan w:val="10"/>
            <w:vAlign w:val="center"/>
          </w:tcPr>
          <w:p w14:paraId="4DC0F731">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2.5.</w:t>
            </w:r>
            <w:r>
              <w:rPr>
                <w:rFonts w:hint="eastAsia" w:ascii="仿宋" w:hAnsi="仿宋" w:eastAsia="仿宋" w:cs="宋体"/>
                <w:color w:val="auto"/>
                <w:sz w:val="24"/>
                <w:szCs w:val="24"/>
                <w:highlight w:val="none"/>
                <w:lang w:eastAsia="zh"/>
              </w:rPr>
              <w:t>5</w:t>
            </w:r>
            <w:r>
              <w:rPr>
                <w:rFonts w:ascii="仿宋" w:hAnsi="仿宋" w:eastAsia="仿宋" w:cs="宋体"/>
                <w:color w:val="auto"/>
                <w:sz w:val="24"/>
                <w:szCs w:val="24"/>
                <w:highlight w:val="none"/>
              </w:rPr>
              <w:t xml:space="preserve"> 风阀、风口　</w:t>
            </w:r>
          </w:p>
        </w:tc>
        <w:tc>
          <w:tcPr>
            <w:tcW w:w="2627" w:type="pct"/>
            <w:gridSpan w:val="4"/>
            <w:vAlign w:val="center"/>
          </w:tcPr>
          <w:p w14:paraId="7ED7FA59">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1CE89C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6DC41FB4">
            <w:pPr>
              <w:widowControl/>
              <w:jc w:val="left"/>
              <w:rPr>
                <w:rFonts w:ascii="仿宋" w:hAnsi="仿宋" w:eastAsia="仿宋" w:cs="宋体"/>
                <w:color w:val="auto"/>
                <w:sz w:val="24"/>
                <w:szCs w:val="24"/>
                <w:highlight w:val="none"/>
              </w:rPr>
            </w:pPr>
          </w:p>
        </w:tc>
        <w:tc>
          <w:tcPr>
            <w:tcW w:w="1964" w:type="pct"/>
            <w:gridSpan w:val="10"/>
            <w:vAlign w:val="center"/>
          </w:tcPr>
          <w:p w14:paraId="18012FC8">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2.5.</w:t>
            </w:r>
            <w:r>
              <w:rPr>
                <w:rFonts w:hint="eastAsia" w:ascii="仿宋" w:hAnsi="仿宋" w:eastAsia="仿宋" w:cs="宋体"/>
                <w:color w:val="auto"/>
                <w:sz w:val="24"/>
                <w:szCs w:val="24"/>
                <w:highlight w:val="none"/>
                <w:lang w:eastAsia="zh"/>
              </w:rPr>
              <w:t>6</w:t>
            </w:r>
            <w:r>
              <w:rPr>
                <w:rFonts w:ascii="仿宋" w:hAnsi="仿宋" w:eastAsia="仿宋" w:cs="宋体"/>
                <w:color w:val="auto"/>
                <w:sz w:val="24"/>
                <w:szCs w:val="24"/>
                <w:highlight w:val="none"/>
              </w:rPr>
              <w:t xml:space="preserve"> 加压送风、排烟系统　</w:t>
            </w:r>
          </w:p>
        </w:tc>
        <w:tc>
          <w:tcPr>
            <w:tcW w:w="2627" w:type="pct"/>
            <w:gridSpan w:val="4"/>
            <w:vAlign w:val="center"/>
          </w:tcPr>
          <w:p w14:paraId="0092DB02">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088196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22D897E6">
            <w:pPr>
              <w:widowControl/>
              <w:jc w:val="left"/>
              <w:rPr>
                <w:rFonts w:ascii="仿宋" w:hAnsi="仿宋" w:eastAsia="仿宋" w:cs="宋体"/>
                <w:color w:val="auto"/>
                <w:sz w:val="24"/>
                <w:szCs w:val="24"/>
                <w:highlight w:val="none"/>
              </w:rPr>
            </w:pPr>
          </w:p>
        </w:tc>
        <w:tc>
          <w:tcPr>
            <w:tcW w:w="1964" w:type="pct"/>
            <w:gridSpan w:val="10"/>
            <w:vAlign w:val="center"/>
          </w:tcPr>
          <w:p w14:paraId="6A481E31">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2.5.</w:t>
            </w:r>
            <w:r>
              <w:rPr>
                <w:rFonts w:hint="eastAsia" w:ascii="仿宋" w:hAnsi="仿宋" w:eastAsia="仿宋" w:cs="宋体"/>
                <w:color w:val="auto"/>
                <w:sz w:val="24"/>
                <w:szCs w:val="24"/>
                <w:highlight w:val="none"/>
                <w:lang w:eastAsia="zh"/>
              </w:rPr>
              <w:t>7</w:t>
            </w:r>
            <w:r>
              <w:rPr>
                <w:rFonts w:ascii="仿宋" w:hAnsi="仿宋" w:eastAsia="仿宋" w:cs="宋体"/>
                <w:color w:val="auto"/>
                <w:sz w:val="24"/>
                <w:szCs w:val="24"/>
                <w:highlight w:val="none"/>
              </w:rPr>
              <w:t xml:space="preserve"> 加压送风、排烟系统</w:t>
            </w:r>
          </w:p>
        </w:tc>
        <w:tc>
          <w:tcPr>
            <w:tcW w:w="2627" w:type="pct"/>
            <w:gridSpan w:val="4"/>
            <w:vAlign w:val="center"/>
          </w:tcPr>
          <w:p w14:paraId="6BBB38DE">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3E60DB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75" w:type="pct"/>
            <w:gridSpan w:val="8"/>
            <w:vAlign w:val="center"/>
          </w:tcPr>
          <w:p w14:paraId="6E881315">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2.6人防设备及安装</w:t>
            </w:r>
          </w:p>
        </w:tc>
        <w:tc>
          <w:tcPr>
            <w:tcW w:w="3224" w:type="pct"/>
            <w:gridSpan w:val="8"/>
            <w:vAlign w:val="center"/>
          </w:tcPr>
          <w:p w14:paraId="7550F8AC">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满足人防要求</w:t>
            </w:r>
          </w:p>
        </w:tc>
      </w:tr>
      <w:tr w14:paraId="7EA63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75" w:type="pct"/>
            <w:gridSpan w:val="8"/>
            <w:shd w:val="clear" w:color="000000" w:fill="FFFFFF"/>
            <w:vAlign w:val="center"/>
          </w:tcPr>
          <w:p w14:paraId="24E45C58">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2.7发电机及环保工程</w:t>
            </w:r>
          </w:p>
        </w:tc>
        <w:tc>
          <w:tcPr>
            <w:tcW w:w="3224" w:type="pct"/>
            <w:gridSpan w:val="8"/>
            <w:vAlign w:val="center"/>
          </w:tcPr>
          <w:p w14:paraId="67B750DE">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发电机组采用优质品牌，发电机组烟管采用优质品牌</w:t>
            </w:r>
          </w:p>
        </w:tc>
      </w:tr>
      <w:tr w14:paraId="63230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75" w:type="pct"/>
            <w:gridSpan w:val="8"/>
            <w:shd w:val="clear" w:color="000000" w:fill="FFFFFF"/>
            <w:vAlign w:val="center"/>
          </w:tcPr>
          <w:p w14:paraId="49B0F34E">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2.8风机</w:t>
            </w:r>
          </w:p>
        </w:tc>
        <w:tc>
          <w:tcPr>
            <w:tcW w:w="3224" w:type="pct"/>
            <w:gridSpan w:val="8"/>
            <w:vAlign w:val="center"/>
          </w:tcPr>
          <w:p w14:paraId="2472CCAE">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223027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shd w:val="clear" w:color="000000" w:fill="FFFFFF"/>
            <w:vAlign w:val="center"/>
          </w:tcPr>
          <w:p w14:paraId="0EE2F95B">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3.1永水工程</w:t>
            </w:r>
          </w:p>
        </w:tc>
        <w:tc>
          <w:tcPr>
            <w:tcW w:w="1724" w:type="pct"/>
            <w:gridSpan w:val="7"/>
            <w:vAlign w:val="center"/>
          </w:tcPr>
          <w:p w14:paraId="3484DC52">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3.1.1 室外给水管道　</w:t>
            </w:r>
          </w:p>
        </w:tc>
        <w:tc>
          <w:tcPr>
            <w:tcW w:w="2866" w:type="pct"/>
            <w:gridSpan w:val="7"/>
            <w:vAlign w:val="center"/>
          </w:tcPr>
          <w:p w14:paraId="6804FB78">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管径大于等于DN100采用球墨铸铁管，小于DN100采用食品级覆塑</w:t>
            </w:r>
            <w:r>
              <w:rPr>
                <w:rFonts w:ascii="仿宋" w:hAnsi="仿宋" w:eastAsia="仿宋" w:cs="宋体"/>
                <w:color w:val="auto"/>
                <w:sz w:val="24"/>
                <w:szCs w:val="24"/>
                <w:highlight w:val="none"/>
              </w:rPr>
              <w:t>S</w:t>
            </w:r>
            <w:r>
              <w:rPr>
                <w:rFonts w:hint="eastAsia" w:ascii="仿宋" w:hAnsi="仿宋" w:eastAsia="仿宋" w:cs="宋体"/>
                <w:color w:val="auto"/>
                <w:sz w:val="24"/>
                <w:szCs w:val="24"/>
                <w:highlight w:val="none"/>
              </w:rPr>
              <w:t>31603</w:t>
            </w:r>
            <w:r>
              <w:rPr>
                <w:rFonts w:ascii="仿宋" w:hAnsi="仿宋" w:eastAsia="仿宋" w:cs="宋体"/>
                <w:color w:val="auto"/>
                <w:sz w:val="24"/>
                <w:szCs w:val="24"/>
                <w:highlight w:val="none"/>
              </w:rPr>
              <w:t>不锈钢管道</w:t>
            </w:r>
          </w:p>
        </w:tc>
      </w:tr>
      <w:tr w14:paraId="4E7F5B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restart"/>
            <w:shd w:val="clear" w:color="000000" w:fill="FFFFFF"/>
            <w:vAlign w:val="center"/>
          </w:tcPr>
          <w:p w14:paraId="2C796AB2">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3.2永电工程</w:t>
            </w:r>
          </w:p>
        </w:tc>
        <w:tc>
          <w:tcPr>
            <w:tcW w:w="1724" w:type="pct"/>
            <w:gridSpan w:val="7"/>
            <w:shd w:val="clear" w:color="auto" w:fill="auto"/>
            <w:vAlign w:val="center"/>
          </w:tcPr>
          <w:p w14:paraId="48FF0B33">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3.2.1 中压断路器　</w:t>
            </w:r>
            <w:r>
              <w:rPr>
                <w:rFonts w:hint="eastAsia" w:ascii="仿宋" w:hAnsi="仿宋" w:eastAsia="仿宋" w:cs="宋体"/>
                <w:color w:val="auto"/>
                <w:sz w:val="24"/>
                <w:szCs w:val="24"/>
                <w:highlight w:val="none"/>
              </w:rPr>
              <w:t xml:space="preserve">   </w:t>
            </w:r>
          </w:p>
        </w:tc>
        <w:tc>
          <w:tcPr>
            <w:tcW w:w="2866" w:type="pct"/>
            <w:gridSpan w:val="7"/>
            <w:shd w:val="clear" w:color="000000" w:fill="FFFFFF"/>
            <w:vAlign w:val="center"/>
          </w:tcPr>
          <w:p w14:paraId="7B5D89E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0CE002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06DB757F">
            <w:pPr>
              <w:widowControl/>
              <w:jc w:val="left"/>
              <w:rPr>
                <w:rFonts w:ascii="仿宋" w:hAnsi="仿宋" w:eastAsia="仿宋" w:cs="宋体"/>
                <w:color w:val="auto"/>
                <w:sz w:val="24"/>
                <w:szCs w:val="24"/>
                <w:highlight w:val="none"/>
              </w:rPr>
            </w:pPr>
          </w:p>
        </w:tc>
        <w:tc>
          <w:tcPr>
            <w:tcW w:w="1724" w:type="pct"/>
            <w:gridSpan w:val="7"/>
            <w:shd w:val="clear" w:color="auto" w:fill="auto"/>
            <w:vAlign w:val="center"/>
          </w:tcPr>
          <w:p w14:paraId="2C37502C">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3.2.2 变压器　</w:t>
            </w:r>
          </w:p>
        </w:tc>
        <w:tc>
          <w:tcPr>
            <w:tcW w:w="2866" w:type="pct"/>
            <w:gridSpan w:val="7"/>
            <w:shd w:val="clear" w:color="000000" w:fill="FFFFFF"/>
            <w:vAlign w:val="center"/>
          </w:tcPr>
          <w:p w14:paraId="610B62F4">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74306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08D0D798">
            <w:pPr>
              <w:widowControl/>
              <w:jc w:val="left"/>
              <w:rPr>
                <w:rFonts w:ascii="仿宋" w:hAnsi="仿宋" w:eastAsia="仿宋" w:cs="宋体"/>
                <w:color w:val="auto"/>
                <w:sz w:val="24"/>
                <w:szCs w:val="24"/>
                <w:highlight w:val="none"/>
              </w:rPr>
            </w:pPr>
          </w:p>
        </w:tc>
        <w:tc>
          <w:tcPr>
            <w:tcW w:w="1724" w:type="pct"/>
            <w:gridSpan w:val="7"/>
            <w:shd w:val="clear" w:color="auto" w:fill="auto"/>
            <w:vAlign w:val="center"/>
          </w:tcPr>
          <w:p w14:paraId="4EEB892E">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3.2.3 低压开关　</w:t>
            </w:r>
          </w:p>
        </w:tc>
        <w:tc>
          <w:tcPr>
            <w:tcW w:w="2866" w:type="pct"/>
            <w:gridSpan w:val="7"/>
            <w:shd w:val="clear" w:color="000000" w:fill="FFFFFF"/>
            <w:vAlign w:val="center"/>
          </w:tcPr>
          <w:p w14:paraId="3CFA94E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0BAC62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00A7E638">
            <w:pPr>
              <w:widowControl/>
              <w:jc w:val="left"/>
              <w:rPr>
                <w:rFonts w:ascii="仿宋" w:hAnsi="仿宋" w:eastAsia="仿宋" w:cs="宋体"/>
                <w:color w:val="auto"/>
                <w:sz w:val="24"/>
                <w:szCs w:val="24"/>
                <w:highlight w:val="none"/>
              </w:rPr>
            </w:pPr>
          </w:p>
        </w:tc>
        <w:tc>
          <w:tcPr>
            <w:tcW w:w="1724" w:type="pct"/>
            <w:gridSpan w:val="7"/>
            <w:shd w:val="clear" w:color="auto" w:fill="auto"/>
            <w:vAlign w:val="center"/>
          </w:tcPr>
          <w:p w14:paraId="4437A479">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3.2.4 母线槽　</w:t>
            </w:r>
          </w:p>
        </w:tc>
        <w:tc>
          <w:tcPr>
            <w:tcW w:w="2866" w:type="pct"/>
            <w:gridSpan w:val="7"/>
            <w:shd w:val="clear" w:color="000000" w:fill="FFFFFF"/>
            <w:vAlign w:val="center"/>
          </w:tcPr>
          <w:p w14:paraId="25AD7D4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58C7C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6F3FB143">
            <w:pPr>
              <w:widowControl/>
              <w:jc w:val="left"/>
              <w:rPr>
                <w:rFonts w:ascii="仿宋" w:hAnsi="仿宋" w:eastAsia="仿宋" w:cs="宋体"/>
                <w:color w:val="auto"/>
                <w:sz w:val="24"/>
                <w:szCs w:val="24"/>
                <w:highlight w:val="none"/>
              </w:rPr>
            </w:pPr>
          </w:p>
        </w:tc>
        <w:tc>
          <w:tcPr>
            <w:tcW w:w="1724" w:type="pct"/>
            <w:gridSpan w:val="7"/>
            <w:shd w:val="clear" w:color="000000" w:fill="FFFFFF"/>
            <w:vAlign w:val="center"/>
          </w:tcPr>
          <w:p w14:paraId="798051C5">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3.2.5 供电系统　</w:t>
            </w:r>
          </w:p>
        </w:tc>
        <w:tc>
          <w:tcPr>
            <w:tcW w:w="2866" w:type="pct"/>
            <w:gridSpan w:val="7"/>
            <w:shd w:val="clear" w:color="000000" w:fill="FFFFFF"/>
            <w:vAlign w:val="center"/>
          </w:tcPr>
          <w:p w14:paraId="4ACDEB47">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拟采用一路</w:t>
            </w:r>
            <w:r>
              <w:rPr>
                <w:rFonts w:ascii="仿宋" w:hAnsi="仿宋" w:eastAsia="仿宋" w:cs="宋体"/>
                <w:color w:val="auto"/>
                <w:sz w:val="24"/>
                <w:szCs w:val="24"/>
                <w:highlight w:val="none"/>
              </w:rPr>
              <w:t>10KV中压进线。</w:t>
            </w:r>
          </w:p>
        </w:tc>
      </w:tr>
      <w:tr w14:paraId="21E31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04401D5C">
            <w:pPr>
              <w:widowControl/>
              <w:jc w:val="left"/>
              <w:rPr>
                <w:rFonts w:ascii="仿宋" w:hAnsi="仿宋" w:eastAsia="仿宋" w:cs="宋体"/>
                <w:color w:val="auto"/>
                <w:sz w:val="24"/>
                <w:szCs w:val="24"/>
                <w:highlight w:val="none"/>
              </w:rPr>
            </w:pPr>
          </w:p>
        </w:tc>
        <w:tc>
          <w:tcPr>
            <w:tcW w:w="1724" w:type="pct"/>
            <w:gridSpan w:val="7"/>
            <w:shd w:val="clear" w:color="auto" w:fill="auto"/>
            <w:vAlign w:val="center"/>
          </w:tcPr>
          <w:p w14:paraId="2AB2F710">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3.2.6 电力负荷监控系统　</w:t>
            </w:r>
          </w:p>
        </w:tc>
        <w:tc>
          <w:tcPr>
            <w:tcW w:w="2866" w:type="pct"/>
            <w:gridSpan w:val="7"/>
            <w:shd w:val="clear" w:color="000000" w:fill="FFFFFF"/>
            <w:vAlign w:val="center"/>
          </w:tcPr>
          <w:p w14:paraId="2EBCF3D6">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728ADD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restart"/>
            <w:shd w:val="clear" w:color="000000" w:fill="FFFFFF"/>
            <w:vAlign w:val="center"/>
          </w:tcPr>
          <w:p w14:paraId="1FD400F2">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3.3智能化工程</w:t>
            </w:r>
          </w:p>
        </w:tc>
        <w:tc>
          <w:tcPr>
            <w:tcW w:w="1724" w:type="pct"/>
            <w:gridSpan w:val="7"/>
            <w:shd w:val="clear" w:color="auto" w:fill="auto"/>
            <w:vAlign w:val="center"/>
          </w:tcPr>
          <w:p w14:paraId="2335166A">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3.3.1 </w:t>
            </w:r>
            <w:r>
              <w:rPr>
                <w:rFonts w:hint="eastAsia" w:ascii="仿宋" w:hAnsi="仿宋" w:eastAsia="仿宋" w:cs="宋体"/>
                <w:color w:val="auto"/>
                <w:sz w:val="24"/>
                <w:szCs w:val="24"/>
                <w:highlight w:val="none"/>
              </w:rPr>
              <w:t>建筑设备自动监控系统（</w:t>
            </w:r>
            <w:r>
              <w:rPr>
                <w:rFonts w:ascii="仿宋" w:hAnsi="仿宋" w:eastAsia="仿宋" w:cs="宋体"/>
                <w:color w:val="auto"/>
                <w:sz w:val="24"/>
                <w:szCs w:val="24"/>
                <w:highlight w:val="none"/>
              </w:rPr>
              <w:t>BAS）</w:t>
            </w:r>
          </w:p>
        </w:tc>
        <w:tc>
          <w:tcPr>
            <w:tcW w:w="2866" w:type="pct"/>
            <w:gridSpan w:val="7"/>
            <w:shd w:val="clear" w:color="000000" w:fill="FFFFFF"/>
            <w:vAlign w:val="center"/>
          </w:tcPr>
          <w:p w14:paraId="46A99375">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441004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5451E47F">
            <w:pPr>
              <w:widowControl/>
              <w:jc w:val="left"/>
              <w:rPr>
                <w:rFonts w:ascii="仿宋" w:hAnsi="仿宋" w:eastAsia="仿宋" w:cs="宋体"/>
                <w:color w:val="auto"/>
                <w:sz w:val="24"/>
                <w:szCs w:val="24"/>
                <w:highlight w:val="none"/>
              </w:rPr>
            </w:pPr>
          </w:p>
        </w:tc>
        <w:tc>
          <w:tcPr>
            <w:tcW w:w="1724" w:type="pct"/>
            <w:gridSpan w:val="7"/>
            <w:shd w:val="clear" w:color="auto" w:fill="auto"/>
            <w:vAlign w:val="center"/>
          </w:tcPr>
          <w:p w14:paraId="64B7CE40">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3.3.2 自动计费系统　</w:t>
            </w:r>
          </w:p>
        </w:tc>
        <w:tc>
          <w:tcPr>
            <w:tcW w:w="2866" w:type="pct"/>
            <w:gridSpan w:val="7"/>
            <w:shd w:val="clear" w:color="000000" w:fill="FFFFFF"/>
            <w:vAlign w:val="center"/>
          </w:tcPr>
          <w:p w14:paraId="7A705F96">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52106F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35929B41">
            <w:pPr>
              <w:widowControl/>
              <w:jc w:val="left"/>
              <w:rPr>
                <w:rFonts w:ascii="仿宋" w:hAnsi="仿宋" w:eastAsia="仿宋" w:cs="宋体"/>
                <w:color w:val="auto"/>
                <w:sz w:val="24"/>
                <w:szCs w:val="24"/>
                <w:highlight w:val="none"/>
              </w:rPr>
            </w:pPr>
          </w:p>
        </w:tc>
        <w:tc>
          <w:tcPr>
            <w:tcW w:w="1724" w:type="pct"/>
            <w:gridSpan w:val="7"/>
            <w:shd w:val="clear" w:color="auto" w:fill="auto"/>
            <w:vAlign w:val="center"/>
          </w:tcPr>
          <w:p w14:paraId="545AE939">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3.3.3 入侵报警系统　</w:t>
            </w:r>
          </w:p>
        </w:tc>
        <w:tc>
          <w:tcPr>
            <w:tcW w:w="2866" w:type="pct"/>
            <w:gridSpan w:val="7"/>
            <w:shd w:val="clear" w:color="000000" w:fill="FFFFFF"/>
            <w:vAlign w:val="center"/>
          </w:tcPr>
          <w:p w14:paraId="3EB21D07">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38358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5BA1F35E">
            <w:pPr>
              <w:widowControl/>
              <w:jc w:val="left"/>
              <w:rPr>
                <w:rFonts w:ascii="仿宋" w:hAnsi="仿宋" w:eastAsia="仿宋" w:cs="宋体"/>
                <w:color w:val="auto"/>
                <w:sz w:val="24"/>
                <w:szCs w:val="24"/>
                <w:highlight w:val="none"/>
              </w:rPr>
            </w:pPr>
          </w:p>
        </w:tc>
        <w:tc>
          <w:tcPr>
            <w:tcW w:w="1724" w:type="pct"/>
            <w:gridSpan w:val="7"/>
            <w:shd w:val="clear" w:color="auto" w:fill="auto"/>
            <w:vAlign w:val="center"/>
          </w:tcPr>
          <w:p w14:paraId="6F02400D">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3.3.4 </w:t>
            </w:r>
            <w:r>
              <w:rPr>
                <w:rFonts w:hint="eastAsia" w:ascii="仿宋" w:hAnsi="仿宋" w:eastAsia="仿宋" w:cs="宋体"/>
                <w:color w:val="auto"/>
                <w:sz w:val="24"/>
                <w:szCs w:val="24"/>
                <w:highlight w:val="none"/>
              </w:rPr>
              <w:t>视频安防监控系（</w:t>
            </w:r>
            <w:r>
              <w:rPr>
                <w:rFonts w:ascii="仿宋" w:hAnsi="仿宋" w:eastAsia="仿宋" w:cs="宋体"/>
                <w:color w:val="auto"/>
                <w:sz w:val="24"/>
                <w:szCs w:val="24"/>
                <w:highlight w:val="none"/>
              </w:rPr>
              <w:t>CCTV）</w:t>
            </w:r>
          </w:p>
        </w:tc>
        <w:tc>
          <w:tcPr>
            <w:tcW w:w="2866" w:type="pct"/>
            <w:gridSpan w:val="7"/>
            <w:shd w:val="clear" w:color="000000" w:fill="FFFFFF"/>
            <w:vAlign w:val="center"/>
          </w:tcPr>
          <w:p w14:paraId="446029EF">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309B8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79C9BEF2">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4BAF33CA">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3.3.4 </w:t>
            </w:r>
            <w:r>
              <w:rPr>
                <w:rFonts w:hint="eastAsia" w:ascii="仿宋" w:hAnsi="仿宋" w:eastAsia="仿宋" w:cs="宋体"/>
                <w:color w:val="auto"/>
                <w:sz w:val="24"/>
                <w:szCs w:val="24"/>
                <w:highlight w:val="none"/>
              </w:rPr>
              <w:t>出入口控制系统（门禁系统）</w:t>
            </w:r>
          </w:p>
        </w:tc>
        <w:tc>
          <w:tcPr>
            <w:tcW w:w="2627" w:type="pct"/>
            <w:gridSpan w:val="4"/>
            <w:shd w:val="clear" w:color="000000" w:fill="FFFFFF"/>
            <w:vAlign w:val="center"/>
          </w:tcPr>
          <w:p w14:paraId="1B62993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优质品牌，人脸识别系统/刷卡系统</w:t>
            </w:r>
          </w:p>
        </w:tc>
      </w:tr>
      <w:tr w14:paraId="67FE3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58AC2BA7">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60137F6E">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3.3.6 电子巡查系统　</w:t>
            </w:r>
          </w:p>
        </w:tc>
        <w:tc>
          <w:tcPr>
            <w:tcW w:w="2627" w:type="pct"/>
            <w:gridSpan w:val="4"/>
            <w:shd w:val="clear" w:color="000000" w:fill="FFFFFF"/>
            <w:vAlign w:val="center"/>
          </w:tcPr>
          <w:p w14:paraId="670C9007">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40C95B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1F05F8F0">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432BDE76">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3.3.7 </w:t>
            </w:r>
            <w:r>
              <w:rPr>
                <w:rFonts w:hint="eastAsia" w:ascii="仿宋" w:hAnsi="仿宋" w:eastAsia="仿宋" w:cs="宋体"/>
                <w:color w:val="auto"/>
                <w:sz w:val="24"/>
                <w:szCs w:val="24"/>
                <w:highlight w:val="none"/>
              </w:rPr>
              <w:t>停车场管理系统（含车位引导系统）</w:t>
            </w:r>
          </w:p>
        </w:tc>
        <w:tc>
          <w:tcPr>
            <w:tcW w:w="2627" w:type="pct"/>
            <w:gridSpan w:val="4"/>
            <w:shd w:val="clear" w:color="000000" w:fill="FFFFFF"/>
            <w:vAlign w:val="center"/>
          </w:tcPr>
          <w:p w14:paraId="05023574">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42A7A4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07D31427">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47B8BF62">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3.3.8 </w:t>
            </w:r>
            <w:r>
              <w:rPr>
                <w:rFonts w:hint="eastAsia" w:ascii="仿宋" w:hAnsi="仿宋" w:eastAsia="仿宋" w:cs="宋体"/>
                <w:color w:val="auto"/>
                <w:sz w:val="24"/>
                <w:szCs w:val="24"/>
                <w:highlight w:val="none"/>
              </w:rPr>
              <w:t>综合布线系统（含</w:t>
            </w:r>
            <w:r>
              <w:rPr>
                <w:rFonts w:ascii="仿宋" w:hAnsi="仿宋" w:eastAsia="仿宋" w:cs="宋体"/>
                <w:color w:val="auto"/>
                <w:sz w:val="24"/>
                <w:szCs w:val="24"/>
                <w:highlight w:val="none"/>
              </w:rPr>
              <w:t>RCU的网络布线）</w:t>
            </w:r>
          </w:p>
        </w:tc>
        <w:tc>
          <w:tcPr>
            <w:tcW w:w="2627" w:type="pct"/>
            <w:gridSpan w:val="4"/>
            <w:shd w:val="clear" w:color="000000" w:fill="FFFFFF"/>
            <w:vAlign w:val="center"/>
          </w:tcPr>
          <w:p w14:paraId="1592FAAE">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5DB77D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345135D3">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2A8AA856">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3.3.9 信息发布系统　</w:t>
            </w:r>
          </w:p>
        </w:tc>
        <w:tc>
          <w:tcPr>
            <w:tcW w:w="2627" w:type="pct"/>
            <w:gridSpan w:val="4"/>
            <w:shd w:val="clear" w:color="000000" w:fill="FFFFFF"/>
            <w:vAlign w:val="center"/>
          </w:tcPr>
          <w:p w14:paraId="2468A61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36FBA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63638CA0">
            <w:pPr>
              <w:widowControl/>
              <w:jc w:val="left"/>
              <w:rPr>
                <w:rFonts w:ascii="仿宋" w:hAnsi="仿宋" w:eastAsia="仿宋" w:cs="宋体"/>
                <w:color w:val="auto"/>
                <w:sz w:val="24"/>
                <w:szCs w:val="24"/>
                <w:highlight w:val="none"/>
              </w:rPr>
            </w:pPr>
          </w:p>
        </w:tc>
        <w:tc>
          <w:tcPr>
            <w:tcW w:w="1964" w:type="pct"/>
            <w:gridSpan w:val="10"/>
            <w:shd w:val="clear" w:color="000000" w:fill="FFFFFF"/>
            <w:vAlign w:val="center"/>
          </w:tcPr>
          <w:p w14:paraId="7D16C910">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3.3.10 无线局域网　</w:t>
            </w:r>
          </w:p>
        </w:tc>
        <w:tc>
          <w:tcPr>
            <w:tcW w:w="2627" w:type="pct"/>
            <w:gridSpan w:val="4"/>
            <w:shd w:val="clear" w:color="000000" w:fill="FFFFFF"/>
            <w:vAlign w:val="center"/>
          </w:tcPr>
          <w:p w14:paraId="6E2C5D13">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除自用办公提供公用无线外，其它暂不考虑</w:t>
            </w:r>
          </w:p>
        </w:tc>
      </w:tr>
      <w:tr w14:paraId="2B6A8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6E8C774B">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1DC976BA">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3.3.11 </w:t>
            </w:r>
            <w:r>
              <w:rPr>
                <w:rFonts w:hint="eastAsia" w:ascii="仿宋" w:hAnsi="仿宋" w:eastAsia="仿宋" w:cs="宋体"/>
                <w:color w:val="auto"/>
                <w:sz w:val="24"/>
                <w:szCs w:val="24"/>
                <w:highlight w:val="none"/>
              </w:rPr>
              <w:t>智能化系统的配电、防雷与接地</w:t>
            </w:r>
          </w:p>
        </w:tc>
        <w:tc>
          <w:tcPr>
            <w:tcW w:w="2627" w:type="pct"/>
            <w:gridSpan w:val="4"/>
            <w:shd w:val="clear" w:color="000000" w:fill="FFFFFF"/>
            <w:vAlign w:val="center"/>
          </w:tcPr>
          <w:p w14:paraId="54DC886C">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6F3EF7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3024392F">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78B29018">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3.3.12 </w:t>
            </w:r>
            <w:r>
              <w:rPr>
                <w:rFonts w:hint="eastAsia" w:ascii="仿宋" w:hAnsi="仿宋" w:eastAsia="仿宋" w:cs="宋体"/>
                <w:color w:val="auto"/>
                <w:sz w:val="24"/>
                <w:szCs w:val="24"/>
                <w:highlight w:val="none"/>
              </w:rPr>
              <w:t>卫星接收及有线电视系统</w:t>
            </w:r>
          </w:p>
        </w:tc>
        <w:tc>
          <w:tcPr>
            <w:tcW w:w="2627" w:type="pct"/>
            <w:gridSpan w:val="4"/>
            <w:shd w:val="clear" w:color="000000" w:fill="FFFFFF"/>
            <w:vAlign w:val="center"/>
          </w:tcPr>
          <w:p w14:paraId="754EE89E">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预留安装位置</w:t>
            </w:r>
          </w:p>
        </w:tc>
      </w:tr>
      <w:tr w14:paraId="7D796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5DBCE28D">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324C313C">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3.3.13 </w:t>
            </w:r>
            <w:r>
              <w:rPr>
                <w:rFonts w:hint="eastAsia" w:ascii="仿宋" w:hAnsi="仿宋" w:eastAsia="仿宋" w:cs="宋体"/>
                <w:color w:val="auto"/>
                <w:sz w:val="24"/>
                <w:szCs w:val="24"/>
                <w:highlight w:val="none"/>
              </w:rPr>
              <w:t>电梯五方通话线缆敷设</w:t>
            </w:r>
          </w:p>
        </w:tc>
        <w:tc>
          <w:tcPr>
            <w:tcW w:w="2627" w:type="pct"/>
            <w:gridSpan w:val="4"/>
            <w:shd w:val="clear" w:color="000000" w:fill="FFFFFF"/>
            <w:vAlign w:val="center"/>
          </w:tcPr>
          <w:p w14:paraId="3009A7DC">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5E285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shd w:val="clear" w:color="auto" w:fill="auto"/>
            <w:vAlign w:val="center"/>
          </w:tcPr>
          <w:p w14:paraId="3663F127">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33274381">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3.3.14 </w:t>
            </w:r>
            <w:r>
              <w:rPr>
                <w:rFonts w:hint="eastAsia" w:ascii="仿宋" w:hAnsi="仿宋" w:eastAsia="仿宋" w:cs="宋体"/>
                <w:color w:val="auto"/>
                <w:sz w:val="24"/>
                <w:szCs w:val="24"/>
                <w:highlight w:val="none"/>
              </w:rPr>
              <w:t>电话通讯系统</w:t>
            </w:r>
            <w:r>
              <w:rPr>
                <w:rFonts w:ascii="仿宋" w:hAnsi="仿宋" w:eastAsia="仿宋" w:cs="宋体"/>
                <w:color w:val="auto"/>
                <w:sz w:val="24"/>
                <w:szCs w:val="24"/>
                <w:highlight w:val="none"/>
              </w:rPr>
              <w:t xml:space="preserve"> 　</w:t>
            </w:r>
          </w:p>
        </w:tc>
        <w:tc>
          <w:tcPr>
            <w:tcW w:w="2627" w:type="pct"/>
            <w:gridSpan w:val="4"/>
            <w:shd w:val="clear" w:color="000000" w:fill="FFFFFF"/>
            <w:vAlign w:val="center"/>
          </w:tcPr>
          <w:p w14:paraId="045579A5">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程控交换机、电话终端、工作站等，优质品牌</w:t>
            </w:r>
          </w:p>
        </w:tc>
      </w:tr>
      <w:tr w14:paraId="3AC0D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408" w:type="pct"/>
            <w:gridSpan w:val="2"/>
            <w:vMerge w:val="continue"/>
            <w:shd w:val="clear" w:color="auto" w:fill="auto"/>
            <w:vAlign w:val="center"/>
          </w:tcPr>
          <w:p w14:paraId="4BB3D2CE">
            <w:pPr>
              <w:widowControl/>
              <w:jc w:val="left"/>
              <w:rPr>
                <w:rFonts w:ascii="仿宋" w:hAnsi="仿宋" w:eastAsia="仿宋" w:cs="宋体"/>
                <w:color w:val="auto"/>
                <w:sz w:val="24"/>
                <w:szCs w:val="24"/>
                <w:highlight w:val="none"/>
              </w:rPr>
            </w:pPr>
          </w:p>
        </w:tc>
        <w:tc>
          <w:tcPr>
            <w:tcW w:w="1964" w:type="pct"/>
            <w:gridSpan w:val="10"/>
            <w:shd w:val="clear" w:color="auto" w:fill="auto"/>
            <w:vAlign w:val="center"/>
          </w:tcPr>
          <w:p w14:paraId="4CAB0778">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3.3.15 5G信号覆盖</w:t>
            </w:r>
          </w:p>
        </w:tc>
        <w:tc>
          <w:tcPr>
            <w:tcW w:w="2627" w:type="pct"/>
            <w:gridSpan w:val="4"/>
            <w:shd w:val="clear" w:color="000000" w:fill="FFFFFF"/>
            <w:vAlign w:val="center"/>
          </w:tcPr>
          <w:p w14:paraId="584A703E">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lang w:eastAsia="zh"/>
              </w:rPr>
              <w:t>安装到位</w:t>
            </w:r>
          </w:p>
        </w:tc>
      </w:tr>
      <w:tr w14:paraId="39360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13467DF6">
            <w:pPr>
              <w:widowControl/>
              <w:jc w:val="left"/>
              <w:rPr>
                <w:rFonts w:ascii="仿宋" w:hAnsi="仿宋" w:eastAsia="仿宋" w:cs="宋体"/>
                <w:color w:val="auto"/>
                <w:sz w:val="24"/>
                <w:szCs w:val="24"/>
                <w:highlight w:val="none"/>
              </w:rPr>
            </w:pPr>
          </w:p>
        </w:tc>
        <w:tc>
          <w:tcPr>
            <w:tcW w:w="574" w:type="pct"/>
            <w:gridSpan w:val="2"/>
            <w:vMerge w:val="restart"/>
            <w:vAlign w:val="center"/>
          </w:tcPr>
          <w:p w14:paraId="125AF08E">
            <w:pPr>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3.3.16</w:t>
            </w:r>
            <w:r>
              <w:rPr>
                <w:rFonts w:hint="eastAsia" w:ascii="仿宋" w:hAnsi="仿宋" w:eastAsia="仿宋" w:cs="宋体"/>
                <w:color w:val="auto"/>
                <w:sz w:val="24"/>
                <w:szCs w:val="24"/>
                <w:highlight w:val="none"/>
              </w:rPr>
              <w:t>智能照明控制系统（含室外景观智能控制系统）</w:t>
            </w:r>
          </w:p>
        </w:tc>
        <w:tc>
          <w:tcPr>
            <w:tcW w:w="1546" w:type="pct"/>
            <w:gridSpan w:val="10"/>
            <w:vAlign w:val="center"/>
          </w:tcPr>
          <w:p w14:paraId="45CB352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办公楼</w:t>
            </w:r>
          </w:p>
        </w:tc>
        <w:tc>
          <w:tcPr>
            <w:tcW w:w="2470" w:type="pct"/>
            <w:gridSpan w:val="2"/>
            <w:vAlign w:val="center"/>
          </w:tcPr>
          <w:p w14:paraId="1FC3E507">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7328D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6837DE49">
            <w:pPr>
              <w:widowControl/>
              <w:jc w:val="left"/>
              <w:rPr>
                <w:rFonts w:ascii="仿宋" w:hAnsi="仿宋" w:eastAsia="仿宋" w:cs="宋体"/>
                <w:color w:val="auto"/>
                <w:sz w:val="24"/>
                <w:szCs w:val="24"/>
                <w:highlight w:val="none"/>
              </w:rPr>
            </w:pPr>
          </w:p>
        </w:tc>
        <w:tc>
          <w:tcPr>
            <w:tcW w:w="574" w:type="pct"/>
            <w:gridSpan w:val="2"/>
            <w:vMerge w:val="continue"/>
            <w:vAlign w:val="center"/>
          </w:tcPr>
          <w:p w14:paraId="42577993">
            <w:pPr>
              <w:jc w:val="center"/>
              <w:rPr>
                <w:rFonts w:ascii="仿宋" w:hAnsi="仿宋" w:eastAsia="仿宋" w:cs="宋体"/>
                <w:color w:val="auto"/>
                <w:sz w:val="24"/>
                <w:szCs w:val="24"/>
                <w:highlight w:val="none"/>
              </w:rPr>
            </w:pPr>
          </w:p>
        </w:tc>
        <w:tc>
          <w:tcPr>
            <w:tcW w:w="1546" w:type="pct"/>
            <w:gridSpan w:val="10"/>
            <w:vAlign w:val="center"/>
          </w:tcPr>
          <w:p w14:paraId="30DFDB30">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RCU客房控制系统</w:t>
            </w:r>
          </w:p>
        </w:tc>
        <w:tc>
          <w:tcPr>
            <w:tcW w:w="2470" w:type="pct"/>
            <w:gridSpan w:val="2"/>
            <w:vAlign w:val="center"/>
          </w:tcPr>
          <w:p w14:paraId="16E891AA">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5EC63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00B38833">
            <w:pPr>
              <w:widowControl/>
              <w:jc w:val="left"/>
              <w:rPr>
                <w:rFonts w:ascii="仿宋" w:hAnsi="仿宋" w:eastAsia="仿宋" w:cs="宋体"/>
                <w:color w:val="auto"/>
                <w:sz w:val="24"/>
                <w:szCs w:val="24"/>
                <w:highlight w:val="none"/>
              </w:rPr>
            </w:pPr>
          </w:p>
        </w:tc>
        <w:tc>
          <w:tcPr>
            <w:tcW w:w="574" w:type="pct"/>
            <w:gridSpan w:val="2"/>
            <w:vMerge w:val="continue"/>
            <w:vAlign w:val="center"/>
          </w:tcPr>
          <w:p w14:paraId="027CAFD3">
            <w:pPr>
              <w:widowControl/>
              <w:jc w:val="center"/>
              <w:rPr>
                <w:rFonts w:ascii="仿宋" w:hAnsi="仿宋" w:eastAsia="仿宋" w:cs="宋体"/>
                <w:color w:val="auto"/>
                <w:sz w:val="24"/>
                <w:szCs w:val="24"/>
                <w:highlight w:val="none"/>
              </w:rPr>
            </w:pPr>
          </w:p>
        </w:tc>
        <w:tc>
          <w:tcPr>
            <w:tcW w:w="1546" w:type="pct"/>
            <w:gridSpan w:val="10"/>
            <w:vAlign w:val="center"/>
          </w:tcPr>
          <w:p w14:paraId="0471D3FA">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智能照明控制系统（含室外景观智能控制）</w:t>
            </w:r>
          </w:p>
        </w:tc>
        <w:tc>
          <w:tcPr>
            <w:tcW w:w="2470" w:type="pct"/>
            <w:gridSpan w:val="2"/>
            <w:vAlign w:val="center"/>
          </w:tcPr>
          <w:p w14:paraId="1DDDBDC7">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540201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761E20B4">
            <w:pPr>
              <w:widowControl/>
              <w:jc w:val="left"/>
              <w:rPr>
                <w:rFonts w:ascii="仿宋" w:hAnsi="仿宋" w:eastAsia="仿宋" w:cs="宋体"/>
                <w:color w:val="auto"/>
                <w:sz w:val="24"/>
                <w:szCs w:val="24"/>
                <w:highlight w:val="none"/>
              </w:rPr>
            </w:pPr>
          </w:p>
        </w:tc>
        <w:tc>
          <w:tcPr>
            <w:tcW w:w="574" w:type="pct"/>
            <w:gridSpan w:val="2"/>
            <w:vMerge w:val="continue"/>
            <w:vAlign w:val="center"/>
          </w:tcPr>
          <w:p w14:paraId="7CD98A14">
            <w:pPr>
              <w:widowControl/>
              <w:jc w:val="center"/>
              <w:rPr>
                <w:rFonts w:ascii="仿宋" w:hAnsi="仿宋" w:eastAsia="仿宋" w:cs="宋体"/>
                <w:color w:val="auto"/>
                <w:sz w:val="24"/>
                <w:szCs w:val="24"/>
                <w:highlight w:val="none"/>
              </w:rPr>
            </w:pPr>
          </w:p>
        </w:tc>
        <w:tc>
          <w:tcPr>
            <w:tcW w:w="1546" w:type="pct"/>
            <w:gridSpan w:val="10"/>
            <w:vAlign w:val="center"/>
          </w:tcPr>
          <w:p w14:paraId="409328A9">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AV影音系统</w:t>
            </w:r>
          </w:p>
        </w:tc>
        <w:tc>
          <w:tcPr>
            <w:tcW w:w="2470" w:type="pct"/>
            <w:gridSpan w:val="2"/>
            <w:vAlign w:val="center"/>
          </w:tcPr>
          <w:p w14:paraId="688BBDEC">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224B8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6BFF204C">
            <w:pPr>
              <w:widowControl/>
              <w:jc w:val="left"/>
              <w:rPr>
                <w:rFonts w:ascii="仿宋" w:hAnsi="仿宋" w:eastAsia="仿宋" w:cs="宋体"/>
                <w:color w:val="auto"/>
                <w:sz w:val="24"/>
                <w:szCs w:val="24"/>
                <w:highlight w:val="none"/>
              </w:rPr>
            </w:pPr>
          </w:p>
        </w:tc>
        <w:tc>
          <w:tcPr>
            <w:tcW w:w="574" w:type="pct"/>
            <w:gridSpan w:val="2"/>
            <w:vMerge w:val="continue"/>
            <w:vAlign w:val="center"/>
          </w:tcPr>
          <w:p w14:paraId="3586FD4B">
            <w:pPr>
              <w:widowControl/>
              <w:jc w:val="center"/>
              <w:rPr>
                <w:rFonts w:ascii="仿宋" w:hAnsi="仿宋" w:eastAsia="仿宋" w:cs="宋体"/>
                <w:color w:val="auto"/>
                <w:sz w:val="24"/>
                <w:szCs w:val="24"/>
                <w:highlight w:val="none"/>
              </w:rPr>
            </w:pPr>
          </w:p>
        </w:tc>
        <w:tc>
          <w:tcPr>
            <w:tcW w:w="1546" w:type="pct"/>
            <w:gridSpan w:val="10"/>
            <w:vAlign w:val="center"/>
          </w:tcPr>
          <w:p w14:paraId="16AFFF7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电子门锁</w:t>
            </w:r>
          </w:p>
        </w:tc>
        <w:tc>
          <w:tcPr>
            <w:tcW w:w="2470" w:type="pct"/>
            <w:gridSpan w:val="2"/>
            <w:vAlign w:val="center"/>
          </w:tcPr>
          <w:p w14:paraId="78E91EB2">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458A6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Merge w:val="continue"/>
            <w:vAlign w:val="center"/>
          </w:tcPr>
          <w:p w14:paraId="476DEA7C">
            <w:pPr>
              <w:widowControl/>
              <w:jc w:val="left"/>
              <w:rPr>
                <w:rFonts w:ascii="仿宋" w:hAnsi="仿宋" w:eastAsia="仿宋" w:cs="宋体"/>
                <w:color w:val="auto"/>
                <w:sz w:val="24"/>
                <w:szCs w:val="24"/>
                <w:highlight w:val="none"/>
              </w:rPr>
            </w:pPr>
          </w:p>
        </w:tc>
        <w:tc>
          <w:tcPr>
            <w:tcW w:w="574" w:type="pct"/>
            <w:gridSpan w:val="2"/>
            <w:vMerge w:val="continue"/>
            <w:vAlign w:val="center"/>
          </w:tcPr>
          <w:p w14:paraId="5EC95F93">
            <w:pPr>
              <w:widowControl/>
              <w:jc w:val="center"/>
              <w:rPr>
                <w:rFonts w:ascii="仿宋" w:hAnsi="仿宋" w:eastAsia="仿宋" w:cs="宋体"/>
                <w:color w:val="auto"/>
                <w:sz w:val="24"/>
                <w:szCs w:val="24"/>
                <w:highlight w:val="none"/>
              </w:rPr>
            </w:pPr>
          </w:p>
        </w:tc>
        <w:tc>
          <w:tcPr>
            <w:tcW w:w="1546" w:type="pct"/>
            <w:gridSpan w:val="10"/>
            <w:vAlign w:val="center"/>
          </w:tcPr>
          <w:p w14:paraId="6E648402">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多功能组合面板、插座</w:t>
            </w:r>
          </w:p>
        </w:tc>
        <w:tc>
          <w:tcPr>
            <w:tcW w:w="2470" w:type="pct"/>
            <w:gridSpan w:val="2"/>
            <w:vAlign w:val="center"/>
          </w:tcPr>
          <w:p w14:paraId="2129395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68E922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8" w:type="pct"/>
            <w:gridSpan w:val="2"/>
            <w:vAlign w:val="center"/>
          </w:tcPr>
          <w:p w14:paraId="69F83686">
            <w:pPr>
              <w:widowControl/>
              <w:jc w:val="left"/>
              <w:rPr>
                <w:rFonts w:ascii="仿宋" w:hAnsi="仿宋" w:eastAsia="仿宋" w:cs="宋体"/>
                <w:color w:val="auto"/>
                <w:sz w:val="24"/>
                <w:szCs w:val="24"/>
                <w:highlight w:val="none"/>
              </w:rPr>
            </w:pPr>
          </w:p>
        </w:tc>
        <w:tc>
          <w:tcPr>
            <w:tcW w:w="1964" w:type="pct"/>
            <w:gridSpan w:val="10"/>
            <w:vAlign w:val="center"/>
          </w:tcPr>
          <w:p w14:paraId="72509F8C">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3.3.16  IBMS</w:t>
            </w:r>
            <w:r>
              <w:rPr>
                <w:rFonts w:hint="eastAsia" w:ascii="仿宋" w:hAnsi="仿宋" w:eastAsia="仿宋" w:cs="宋体"/>
                <w:color w:val="auto"/>
                <w:sz w:val="24"/>
                <w:szCs w:val="24"/>
                <w:highlight w:val="none"/>
              </w:rPr>
              <w:t>系统</w:t>
            </w:r>
          </w:p>
        </w:tc>
        <w:tc>
          <w:tcPr>
            <w:tcW w:w="2627" w:type="pct"/>
            <w:gridSpan w:val="4"/>
            <w:vAlign w:val="center"/>
          </w:tcPr>
          <w:p w14:paraId="1A05BB24">
            <w:pPr>
              <w:widowControl/>
              <w:jc w:val="left"/>
              <w:rPr>
                <w:rFonts w:ascii="仿宋" w:hAnsi="仿宋" w:eastAsia="仿宋" w:cs="宋体"/>
                <w:color w:val="auto"/>
                <w:sz w:val="24"/>
                <w:szCs w:val="24"/>
                <w:highlight w:val="none"/>
              </w:rPr>
            </w:pPr>
          </w:p>
        </w:tc>
      </w:tr>
      <w:tr w14:paraId="75FC1A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75" w:type="pct"/>
            <w:gridSpan w:val="8"/>
            <w:vMerge w:val="restart"/>
            <w:shd w:val="clear" w:color="auto" w:fill="auto"/>
            <w:vAlign w:val="center"/>
          </w:tcPr>
          <w:p w14:paraId="52DE75B3">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3.4 </w:t>
            </w:r>
            <w:r>
              <w:rPr>
                <w:rFonts w:hint="eastAsia" w:ascii="仿宋" w:hAnsi="仿宋" w:eastAsia="仿宋" w:cs="宋体"/>
                <w:color w:val="auto"/>
                <w:sz w:val="24"/>
                <w:szCs w:val="24"/>
                <w:highlight w:val="none"/>
              </w:rPr>
              <w:t>厨房</w:t>
            </w:r>
            <w:r>
              <w:rPr>
                <w:rFonts w:ascii="仿宋" w:hAnsi="仿宋" w:eastAsia="仿宋" w:cs="宋体"/>
                <w:color w:val="auto"/>
                <w:sz w:val="24"/>
                <w:szCs w:val="24"/>
                <w:highlight w:val="none"/>
              </w:rPr>
              <w:t>/洗衣设备</w:t>
            </w:r>
          </w:p>
        </w:tc>
        <w:tc>
          <w:tcPr>
            <w:tcW w:w="3224" w:type="pct"/>
            <w:gridSpan w:val="8"/>
            <w:shd w:val="clear" w:color="000000" w:fill="FFFFFF"/>
            <w:vAlign w:val="center"/>
          </w:tcPr>
          <w:p w14:paraId="3B563A01">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需考虑厨房设备费用</w:t>
            </w:r>
          </w:p>
        </w:tc>
      </w:tr>
      <w:tr w14:paraId="6AAF3C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75" w:type="pct"/>
            <w:gridSpan w:val="8"/>
            <w:vMerge w:val="continue"/>
            <w:shd w:val="clear" w:color="auto" w:fill="auto"/>
            <w:vAlign w:val="center"/>
          </w:tcPr>
          <w:p w14:paraId="638C7877">
            <w:pPr>
              <w:widowControl/>
              <w:jc w:val="left"/>
              <w:rPr>
                <w:rFonts w:ascii="仿宋" w:hAnsi="仿宋" w:eastAsia="仿宋" w:cs="宋体"/>
                <w:color w:val="auto"/>
                <w:sz w:val="24"/>
                <w:szCs w:val="24"/>
                <w:highlight w:val="none"/>
              </w:rPr>
            </w:pPr>
          </w:p>
        </w:tc>
        <w:tc>
          <w:tcPr>
            <w:tcW w:w="3224" w:type="pct"/>
            <w:gridSpan w:val="8"/>
            <w:shd w:val="clear" w:color="000000" w:fill="FFFFFF"/>
            <w:vAlign w:val="center"/>
          </w:tcPr>
          <w:p w14:paraId="1EF651D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优质品牌</w:t>
            </w:r>
          </w:p>
        </w:tc>
      </w:tr>
      <w:tr w14:paraId="53B5B7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75" w:type="pct"/>
            <w:gridSpan w:val="8"/>
            <w:shd w:val="clear" w:color="000000" w:fill="FFFFFF"/>
            <w:vAlign w:val="center"/>
          </w:tcPr>
          <w:p w14:paraId="5FB43443">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3.5燃气工程</w:t>
            </w:r>
          </w:p>
        </w:tc>
        <w:tc>
          <w:tcPr>
            <w:tcW w:w="3224" w:type="pct"/>
            <w:gridSpan w:val="8"/>
            <w:vAlign w:val="center"/>
          </w:tcPr>
          <w:p w14:paraId="1F45CC27">
            <w:pPr>
              <w:widowControl/>
              <w:jc w:val="left"/>
              <w:rPr>
                <w:rFonts w:ascii="仿宋" w:hAnsi="仿宋" w:eastAsia="仿宋" w:cs="宋体"/>
                <w:color w:val="auto"/>
                <w:sz w:val="24"/>
                <w:szCs w:val="24"/>
                <w:highlight w:val="none"/>
                <w:lang w:eastAsia="zh"/>
              </w:rPr>
            </w:pPr>
            <w:r>
              <w:rPr>
                <w:rFonts w:hint="eastAsia" w:ascii="仿宋" w:hAnsi="仿宋" w:eastAsia="仿宋" w:cs="宋体"/>
                <w:color w:val="auto"/>
                <w:sz w:val="24"/>
                <w:szCs w:val="24"/>
                <w:highlight w:val="none"/>
              </w:rPr>
              <w:t>满足商业及企业饭堂使用要求，符合国标等相关规范要求。</w:t>
            </w:r>
            <w:r>
              <w:rPr>
                <w:rFonts w:hint="eastAsia" w:ascii="仿宋" w:hAnsi="仿宋" w:eastAsia="仿宋" w:cs="宋体"/>
                <w:color w:val="auto"/>
                <w:sz w:val="24"/>
                <w:szCs w:val="24"/>
                <w:highlight w:val="none"/>
                <w:lang w:eastAsia="zh"/>
              </w:rPr>
              <w:t>独栋办公预留厨房烟道直通屋面，燃气到商业及办公门口处</w:t>
            </w:r>
          </w:p>
        </w:tc>
      </w:tr>
      <w:tr w14:paraId="7DC126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restart"/>
            <w:shd w:val="clear" w:color="auto" w:fill="auto"/>
            <w:vAlign w:val="center"/>
          </w:tcPr>
          <w:p w14:paraId="7D4E9B31">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3.6市政工程</w:t>
            </w:r>
          </w:p>
          <w:p w14:paraId="4BA4AF3F">
            <w:pPr>
              <w:jc w:val="center"/>
              <w:rPr>
                <w:rFonts w:ascii="仿宋" w:hAnsi="仿宋" w:eastAsia="仿宋" w:cs="宋体"/>
                <w:color w:val="auto"/>
                <w:sz w:val="24"/>
                <w:szCs w:val="24"/>
                <w:highlight w:val="none"/>
              </w:rPr>
            </w:pPr>
          </w:p>
        </w:tc>
        <w:tc>
          <w:tcPr>
            <w:tcW w:w="1886" w:type="pct"/>
            <w:gridSpan w:val="9"/>
            <w:shd w:val="clear" w:color="auto" w:fill="auto"/>
            <w:vAlign w:val="center"/>
          </w:tcPr>
          <w:p w14:paraId="07E3D4E3">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 xml:space="preserve">3.6.1 </w:t>
            </w:r>
            <w:r>
              <w:rPr>
                <w:rFonts w:hint="eastAsia" w:ascii="仿宋" w:hAnsi="仿宋" w:eastAsia="仿宋" w:cs="宋体"/>
                <w:color w:val="auto"/>
                <w:sz w:val="24"/>
                <w:szCs w:val="24"/>
                <w:highlight w:val="none"/>
              </w:rPr>
              <w:t>车行道路</w:t>
            </w:r>
          </w:p>
        </w:tc>
        <w:tc>
          <w:tcPr>
            <w:tcW w:w="2750" w:type="pct"/>
            <w:gridSpan w:val="6"/>
            <w:shd w:val="clear" w:color="000000" w:fill="FFFFFF"/>
            <w:vAlign w:val="center"/>
          </w:tcPr>
          <w:p w14:paraId="4A6AC981">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花岗岩路面，花岗岩道牙</w:t>
            </w:r>
          </w:p>
        </w:tc>
      </w:tr>
      <w:tr w14:paraId="1FDBF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continue"/>
            <w:shd w:val="clear" w:color="auto" w:fill="auto"/>
            <w:vAlign w:val="center"/>
          </w:tcPr>
          <w:p w14:paraId="75FAE84E">
            <w:pPr>
              <w:widowControl/>
              <w:jc w:val="center"/>
              <w:rPr>
                <w:rFonts w:ascii="仿宋" w:hAnsi="仿宋" w:eastAsia="仿宋" w:cs="宋体"/>
                <w:color w:val="auto"/>
                <w:sz w:val="24"/>
                <w:szCs w:val="24"/>
                <w:highlight w:val="none"/>
              </w:rPr>
            </w:pPr>
          </w:p>
        </w:tc>
        <w:tc>
          <w:tcPr>
            <w:tcW w:w="1886" w:type="pct"/>
            <w:gridSpan w:val="9"/>
            <w:shd w:val="clear" w:color="auto" w:fill="auto"/>
            <w:vAlign w:val="center"/>
          </w:tcPr>
          <w:p w14:paraId="35AEE429">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3.6.2 室外排水管道　</w:t>
            </w:r>
          </w:p>
        </w:tc>
        <w:tc>
          <w:tcPr>
            <w:tcW w:w="2750" w:type="pct"/>
            <w:gridSpan w:val="6"/>
            <w:shd w:val="clear" w:color="000000" w:fill="FFFFFF"/>
            <w:vAlign w:val="center"/>
          </w:tcPr>
          <w:p w14:paraId="1173BB0F">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DN500及以下双高</w:t>
            </w:r>
            <w:r>
              <w:rPr>
                <w:rFonts w:hint="eastAsia" w:ascii="仿宋" w:hAnsi="仿宋" w:eastAsia="仿宋" w:cs="宋体"/>
                <w:color w:val="auto"/>
                <w:sz w:val="24"/>
                <w:szCs w:val="24"/>
                <w:highlight w:val="none"/>
              </w:rPr>
              <w:t>筋增强聚乙烯（</w:t>
            </w:r>
            <w:r>
              <w:rPr>
                <w:rFonts w:ascii="仿宋" w:hAnsi="仿宋" w:eastAsia="仿宋" w:cs="宋体"/>
                <w:color w:val="auto"/>
                <w:sz w:val="24"/>
                <w:szCs w:val="24"/>
                <w:highlight w:val="none"/>
              </w:rPr>
              <w:t>HDPE）缠绕管，DN500以上</w:t>
            </w:r>
            <w:r>
              <w:rPr>
                <w:rFonts w:hint="eastAsia" w:ascii="仿宋" w:hAnsi="仿宋" w:eastAsia="仿宋" w:cs="宋体"/>
                <w:color w:val="auto"/>
                <w:sz w:val="24"/>
                <w:szCs w:val="24"/>
                <w:highlight w:val="none"/>
              </w:rPr>
              <w:t>雨水管道采用</w:t>
            </w:r>
            <w:r>
              <w:rPr>
                <w:rFonts w:ascii="仿宋" w:hAnsi="仿宋" w:eastAsia="仿宋" w:cs="宋体"/>
                <w:color w:val="auto"/>
                <w:sz w:val="24"/>
                <w:szCs w:val="24"/>
                <w:highlight w:val="none"/>
              </w:rPr>
              <w:t>钢筋混凝土排水管</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DN500以上</w:t>
            </w:r>
            <w:r>
              <w:rPr>
                <w:rFonts w:hint="eastAsia" w:ascii="仿宋" w:hAnsi="仿宋" w:eastAsia="仿宋" w:cs="宋体"/>
                <w:color w:val="auto"/>
                <w:sz w:val="24"/>
                <w:szCs w:val="24"/>
                <w:highlight w:val="none"/>
              </w:rPr>
              <w:t>污水管道采用球墨铸铁管</w:t>
            </w:r>
          </w:p>
        </w:tc>
      </w:tr>
      <w:tr w14:paraId="2DE586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continue"/>
            <w:shd w:val="clear" w:color="auto" w:fill="auto"/>
            <w:vAlign w:val="center"/>
          </w:tcPr>
          <w:p w14:paraId="53B31908">
            <w:pPr>
              <w:widowControl/>
              <w:jc w:val="left"/>
              <w:rPr>
                <w:rFonts w:ascii="仿宋" w:hAnsi="仿宋" w:eastAsia="仿宋" w:cs="宋体"/>
                <w:color w:val="auto"/>
                <w:sz w:val="24"/>
                <w:szCs w:val="24"/>
                <w:highlight w:val="none"/>
              </w:rPr>
            </w:pPr>
          </w:p>
        </w:tc>
        <w:tc>
          <w:tcPr>
            <w:tcW w:w="1886" w:type="pct"/>
            <w:gridSpan w:val="9"/>
            <w:shd w:val="clear" w:color="auto" w:fill="auto"/>
            <w:vAlign w:val="center"/>
          </w:tcPr>
          <w:p w14:paraId="18D43933">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3.6.4 给水管网　</w:t>
            </w:r>
          </w:p>
        </w:tc>
        <w:tc>
          <w:tcPr>
            <w:tcW w:w="2750" w:type="pct"/>
            <w:gridSpan w:val="6"/>
            <w:shd w:val="clear" w:color="000000" w:fill="FFFFFF"/>
            <w:vAlign w:val="center"/>
          </w:tcPr>
          <w:p w14:paraId="20A32595">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管径大于等于DN100采用球墨铸铁管，小于DN100采用食品级覆塑</w:t>
            </w:r>
            <w:r>
              <w:rPr>
                <w:rFonts w:ascii="仿宋" w:hAnsi="仿宋" w:eastAsia="仿宋" w:cs="宋体"/>
                <w:color w:val="auto"/>
                <w:sz w:val="24"/>
                <w:szCs w:val="24"/>
                <w:highlight w:val="none"/>
              </w:rPr>
              <w:t>S</w:t>
            </w:r>
            <w:r>
              <w:rPr>
                <w:rFonts w:hint="eastAsia" w:ascii="仿宋" w:hAnsi="仿宋" w:eastAsia="仿宋" w:cs="宋体"/>
                <w:color w:val="auto"/>
                <w:sz w:val="24"/>
                <w:szCs w:val="24"/>
                <w:highlight w:val="none"/>
              </w:rPr>
              <w:t>31603</w:t>
            </w:r>
            <w:r>
              <w:rPr>
                <w:rFonts w:ascii="仿宋" w:hAnsi="仿宋" w:eastAsia="仿宋" w:cs="宋体"/>
                <w:color w:val="auto"/>
                <w:sz w:val="24"/>
                <w:szCs w:val="24"/>
                <w:highlight w:val="none"/>
              </w:rPr>
              <w:t>不锈钢管道</w:t>
            </w:r>
          </w:p>
        </w:tc>
      </w:tr>
      <w:tr w14:paraId="2C8F7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continue"/>
            <w:shd w:val="clear" w:color="auto" w:fill="auto"/>
            <w:vAlign w:val="center"/>
          </w:tcPr>
          <w:p w14:paraId="596A2BCC">
            <w:pPr>
              <w:widowControl/>
              <w:jc w:val="left"/>
              <w:rPr>
                <w:rFonts w:ascii="仿宋" w:hAnsi="仿宋" w:eastAsia="仿宋" w:cs="宋体"/>
                <w:color w:val="auto"/>
                <w:sz w:val="24"/>
                <w:szCs w:val="24"/>
                <w:highlight w:val="none"/>
              </w:rPr>
            </w:pPr>
          </w:p>
        </w:tc>
        <w:tc>
          <w:tcPr>
            <w:tcW w:w="1886" w:type="pct"/>
            <w:gridSpan w:val="9"/>
            <w:shd w:val="clear" w:color="auto" w:fill="auto"/>
            <w:vAlign w:val="center"/>
          </w:tcPr>
          <w:p w14:paraId="591F0720">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3.6.5 排水管网　</w:t>
            </w:r>
          </w:p>
        </w:tc>
        <w:tc>
          <w:tcPr>
            <w:tcW w:w="2750" w:type="pct"/>
            <w:gridSpan w:val="6"/>
            <w:shd w:val="clear" w:color="000000" w:fill="FFFFFF"/>
            <w:vAlign w:val="center"/>
          </w:tcPr>
          <w:p w14:paraId="1661448C">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DN500及以下双高</w:t>
            </w:r>
            <w:r>
              <w:rPr>
                <w:rFonts w:hint="eastAsia" w:ascii="仿宋" w:hAnsi="仿宋" w:eastAsia="仿宋" w:cs="宋体"/>
                <w:color w:val="auto"/>
                <w:sz w:val="24"/>
                <w:szCs w:val="24"/>
                <w:highlight w:val="none"/>
              </w:rPr>
              <w:t>筋增强聚乙烯（</w:t>
            </w:r>
            <w:r>
              <w:rPr>
                <w:rFonts w:ascii="仿宋" w:hAnsi="仿宋" w:eastAsia="仿宋" w:cs="宋体"/>
                <w:color w:val="auto"/>
                <w:sz w:val="24"/>
                <w:szCs w:val="24"/>
                <w:highlight w:val="none"/>
              </w:rPr>
              <w:t>HDPE）缠绕管，DN500以上</w:t>
            </w:r>
            <w:r>
              <w:rPr>
                <w:rFonts w:hint="eastAsia" w:ascii="仿宋" w:hAnsi="仿宋" w:eastAsia="仿宋" w:cs="宋体"/>
                <w:color w:val="auto"/>
                <w:sz w:val="24"/>
                <w:szCs w:val="24"/>
                <w:highlight w:val="none"/>
              </w:rPr>
              <w:t>雨水管道采用</w:t>
            </w:r>
            <w:r>
              <w:rPr>
                <w:rFonts w:ascii="仿宋" w:hAnsi="仿宋" w:eastAsia="仿宋" w:cs="宋体"/>
                <w:color w:val="auto"/>
                <w:sz w:val="24"/>
                <w:szCs w:val="24"/>
                <w:highlight w:val="none"/>
              </w:rPr>
              <w:t>钢筋混凝土排水管</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DN500以上</w:t>
            </w:r>
            <w:r>
              <w:rPr>
                <w:rFonts w:hint="eastAsia" w:ascii="仿宋" w:hAnsi="仿宋" w:eastAsia="仿宋" w:cs="宋体"/>
                <w:color w:val="auto"/>
                <w:sz w:val="24"/>
                <w:szCs w:val="24"/>
                <w:highlight w:val="none"/>
              </w:rPr>
              <w:t>污水管道采用球墨铸铁管</w:t>
            </w:r>
          </w:p>
        </w:tc>
      </w:tr>
      <w:tr w14:paraId="45AE39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restart"/>
            <w:shd w:val="clear" w:color="auto" w:fill="auto"/>
            <w:vAlign w:val="center"/>
          </w:tcPr>
          <w:p w14:paraId="166B5002">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3.7园林绿化工程</w:t>
            </w:r>
          </w:p>
          <w:p w14:paraId="2DE91C44">
            <w:pPr>
              <w:widowControl/>
              <w:jc w:val="center"/>
              <w:rPr>
                <w:rFonts w:ascii="仿宋" w:hAnsi="仿宋" w:eastAsia="仿宋" w:cs="宋体"/>
                <w:color w:val="auto"/>
                <w:sz w:val="24"/>
                <w:szCs w:val="24"/>
                <w:highlight w:val="none"/>
              </w:rPr>
            </w:pPr>
          </w:p>
        </w:tc>
        <w:tc>
          <w:tcPr>
            <w:tcW w:w="619" w:type="pct"/>
            <w:gridSpan w:val="3"/>
            <w:vMerge w:val="restart"/>
            <w:shd w:val="clear" w:color="auto" w:fill="auto"/>
            <w:vAlign w:val="center"/>
          </w:tcPr>
          <w:p w14:paraId="62EE37BD">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3.7.1硬景</w:t>
            </w:r>
          </w:p>
          <w:p w14:paraId="67DD4219">
            <w:pPr>
              <w:widowControl/>
              <w:jc w:val="center"/>
              <w:rPr>
                <w:rFonts w:ascii="仿宋" w:hAnsi="仿宋" w:eastAsia="仿宋" w:cs="宋体"/>
                <w:color w:val="auto"/>
                <w:sz w:val="24"/>
                <w:szCs w:val="24"/>
                <w:highlight w:val="none"/>
              </w:rPr>
            </w:pPr>
          </w:p>
        </w:tc>
        <w:tc>
          <w:tcPr>
            <w:tcW w:w="1523" w:type="pct"/>
            <w:gridSpan w:val="9"/>
            <w:shd w:val="clear" w:color="auto" w:fill="auto"/>
            <w:vAlign w:val="center"/>
          </w:tcPr>
          <w:p w14:paraId="2E3D9D43">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硬质铺地</w:t>
            </w:r>
          </w:p>
        </w:tc>
        <w:tc>
          <w:tcPr>
            <w:tcW w:w="2493" w:type="pct"/>
            <w:gridSpan w:val="3"/>
            <w:shd w:val="clear" w:color="000000" w:fill="FFFFFF"/>
            <w:vAlign w:val="center"/>
          </w:tcPr>
          <w:p w14:paraId="0CC6E79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花岗岩铺地为主</w:t>
            </w:r>
          </w:p>
        </w:tc>
      </w:tr>
      <w:tr w14:paraId="5DC74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continue"/>
            <w:vAlign w:val="center"/>
          </w:tcPr>
          <w:p w14:paraId="47D0B631">
            <w:pPr>
              <w:widowControl/>
              <w:jc w:val="left"/>
              <w:rPr>
                <w:rFonts w:ascii="仿宋" w:hAnsi="仿宋" w:eastAsia="仿宋" w:cs="宋体"/>
                <w:color w:val="auto"/>
                <w:sz w:val="24"/>
                <w:szCs w:val="24"/>
                <w:highlight w:val="none"/>
              </w:rPr>
            </w:pPr>
          </w:p>
        </w:tc>
        <w:tc>
          <w:tcPr>
            <w:tcW w:w="619" w:type="pct"/>
            <w:gridSpan w:val="3"/>
            <w:vMerge w:val="continue"/>
            <w:vAlign w:val="center"/>
          </w:tcPr>
          <w:p w14:paraId="2CEA4E4B">
            <w:pPr>
              <w:widowControl/>
              <w:jc w:val="left"/>
              <w:rPr>
                <w:rFonts w:ascii="仿宋" w:hAnsi="仿宋" w:eastAsia="仿宋" w:cs="宋体"/>
                <w:color w:val="auto"/>
                <w:sz w:val="24"/>
                <w:szCs w:val="24"/>
                <w:highlight w:val="none"/>
              </w:rPr>
            </w:pPr>
          </w:p>
        </w:tc>
        <w:tc>
          <w:tcPr>
            <w:tcW w:w="1523" w:type="pct"/>
            <w:gridSpan w:val="9"/>
            <w:vAlign w:val="center"/>
          </w:tcPr>
          <w:p w14:paraId="33CA5A94">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景墙</w:t>
            </w:r>
          </w:p>
        </w:tc>
        <w:tc>
          <w:tcPr>
            <w:tcW w:w="2493" w:type="pct"/>
            <w:gridSpan w:val="3"/>
            <w:vAlign w:val="center"/>
          </w:tcPr>
          <w:p w14:paraId="7501B69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花岗岩景墙建议干挂，避免泛碱现象</w:t>
            </w:r>
          </w:p>
        </w:tc>
      </w:tr>
      <w:tr w14:paraId="4356C0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continue"/>
            <w:shd w:val="clear" w:color="auto" w:fill="auto"/>
            <w:vAlign w:val="center"/>
          </w:tcPr>
          <w:p w14:paraId="40DB2B19">
            <w:pPr>
              <w:widowControl/>
              <w:jc w:val="left"/>
              <w:rPr>
                <w:rFonts w:ascii="仿宋" w:hAnsi="仿宋" w:eastAsia="仿宋" w:cs="宋体"/>
                <w:color w:val="auto"/>
                <w:sz w:val="24"/>
                <w:szCs w:val="24"/>
                <w:highlight w:val="none"/>
              </w:rPr>
            </w:pPr>
          </w:p>
        </w:tc>
        <w:tc>
          <w:tcPr>
            <w:tcW w:w="619" w:type="pct"/>
            <w:gridSpan w:val="3"/>
            <w:vMerge w:val="continue"/>
            <w:shd w:val="clear" w:color="auto" w:fill="auto"/>
            <w:vAlign w:val="center"/>
          </w:tcPr>
          <w:p w14:paraId="33112B42">
            <w:pPr>
              <w:widowControl/>
              <w:jc w:val="left"/>
              <w:rPr>
                <w:rFonts w:ascii="仿宋" w:hAnsi="仿宋" w:eastAsia="仿宋" w:cs="宋体"/>
                <w:color w:val="auto"/>
                <w:sz w:val="24"/>
                <w:szCs w:val="24"/>
                <w:highlight w:val="none"/>
              </w:rPr>
            </w:pPr>
          </w:p>
        </w:tc>
        <w:tc>
          <w:tcPr>
            <w:tcW w:w="1523" w:type="pct"/>
            <w:gridSpan w:val="9"/>
            <w:shd w:val="clear" w:color="auto" w:fill="auto"/>
            <w:vAlign w:val="center"/>
          </w:tcPr>
          <w:p w14:paraId="34B56043">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园建</w:t>
            </w:r>
          </w:p>
        </w:tc>
        <w:tc>
          <w:tcPr>
            <w:tcW w:w="2493" w:type="pct"/>
            <w:gridSpan w:val="3"/>
            <w:shd w:val="clear" w:color="000000" w:fill="FFFFFF"/>
            <w:vAlign w:val="center"/>
          </w:tcPr>
          <w:p w14:paraId="2D3AC9A6">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花岗岩贴面</w:t>
            </w:r>
          </w:p>
        </w:tc>
      </w:tr>
      <w:tr w14:paraId="710FA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continue"/>
            <w:shd w:val="clear" w:color="auto" w:fill="auto"/>
            <w:vAlign w:val="center"/>
          </w:tcPr>
          <w:p w14:paraId="7234BD02">
            <w:pPr>
              <w:widowControl/>
              <w:jc w:val="left"/>
              <w:rPr>
                <w:rFonts w:ascii="仿宋" w:hAnsi="仿宋" w:eastAsia="仿宋" w:cs="宋体"/>
                <w:color w:val="auto"/>
                <w:sz w:val="24"/>
                <w:szCs w:val="24"/>
                <w:highlight w:val="none"/>
              </w:rPr>
            </w:pPr>
          </w:p>
        </w:tc>
        <w:tc>
          <w:tcPr>
            <w:tcW w:w="619" w:type="pct"/>
            <w:gridSpan w:val="3"/>
            <w:vMerge w:val="continue"/>
            <w:shd w:val="clear" w:color="auto" w:fill="auto"/>
            <w:vAlign w:val="center"/>
          </w:tcPr>
          <w:p w14:paraId="6C43DF4C">
            <w:pPr>
              <w:widowControl/>
              <w:jc w:val="left"/>
              <w:rPr>
                <w:rFonts w:ascii="仿宋" w:hAnsi="仿宋" w:eastAsia="仿宋" w:cs="宋体"/>
                <w:color w:val="auto"/>
                <w:sz w:val="24"/>
                <w:szCs w:val="24"/>
                <w:highlight w:val="none"/>
              </w:rPr>
            </w:pPr>
          </w:p>
        </w:tc>
        <w:tc>
          <w:tcPr>
            <w:tcW w:w="1523" w:type="pct"/>
            <w:gridSpan w:val="9"/>
            <w:shd w:val="clear" w:color="auto" w:fill="auto"/>
            <w:vAlign w:val="center"/>
          </w:tcPr>
          <w:p w14:paraId="02DA6445">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水体</w:t>
            </w:r>
          </w:p>
        </w:tc>
        <w:tc>
          <w:tcPr>
            <w:tcW w:w="2493" w:type="pct"/>
            <w:gridSpan w:val="3"/>
            <w:shd w:val="clear" w:color="000000" w:fill="FFFFFF"/>
            <w:vAlign w:val="center"/>
          </w:tcPr>
          <w:p w14:paraId="0F454FB6">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水池花岗岩贴面</w:t>
            </w:r>
          </w:p>
        </w:tc>
      </w:tr>
      <w:tr w14:paraId="32376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continue"/>
            <w:shd w:val="clear" w:color="auto" w:fill="auto"/>
            <w:vAlign w:val="center"/>
          </w:tcPr>
          <w:p w14:paraId="005797AB">
            <w:pPr>
              <w:widowControl/>
              <w:jc w:val="left"/>
              <w:rPr>
                <w:rFonts w:ascii="仿宋" w:hAnsi="仿宋" w:eastAsia="仿宋" w:cs="宋体"/>
                <w:color w:val="auto"/>
                <w:sz w:val="24"/>
                <w:szCs w:val="24"/>
                <w:highlight w:val="none"/>
              </w:rPr>
            </w:pPr>
          </w:p>
        </w:tc>
        <w:tc>
          <w:tcPr>
            <w:tcW w:w="619" w:type="pct"/>
            <w:gridSpan w:val="3"/>
            <w:vMerge w:val="continue"/>
            <w:shd w:val="clear" w:color="000000" w:fill="FFFFFF"/>
            <w:vAlign w:val="center"/>
          </w:tcPr>
          <w:p w14:paraId="3B621C9D">
            <w:pPr>
              <w:widowControl/>
              <w:jc w:val="left"/>
              <w:rPr>
                <w:rFonts w:ascii="仿宋" w:hAnsi="仿宋" w:eastAsia="仿宋" w:cs="宋体"/>
                <w:color w:val="auto"/>
                <w:sz w:val="24"/>
                <w:szCs w:val="24"/>
                <w:highlight w:val="none"/>
              </w:rPr>
            </w:pPr>
          </w:p>
        </w:tc>
        <w:tc>
          <w:tcPr>
            <w:tcW w:w="1523" w:type="pct"/>
            <w:gridSpan w:val="9"/>
            <w:shd w:val="clear" w:color="auto" w:fill="auto"/>
            <w:vAlign w:val="center"/>
          </w:tcPr>
          <w:p w14:paraId="3DF0944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艺术品、设施</w:t>
            </w:r>
          </w:p>
        </w:tc>
        <w:tc>
          <w:tcPr>
            <w:tcW w:w="2493" w:type="pct"/>
            <w:gridSpan w:val="3"/>
            <w:shd w:val="clear" w:color="000000" w:fill="FFFFFF"/>
            <w:vAlign w:val="center"/>
          </w:tcPr>
          <w:p w14:paraId="5175E0A1">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艺术雕塑、花钵等艺术品，室外空间休闲家具、广告灯箱等</w:t>
            </w:r>
          </w:p>
        </w:tc>
      </w:tr>
      <w:tr w14:paraId="50C4D8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continue"/>
            <w:shd w:val="clear" w:color="auto" w:fill="auto"/>
            <w:vAlign w:val="center"/>
          </w:tcPr>
          <w:p w14:paraId="11E16B0F">
            <w:pPr>
              <w:widowControl/>
              <w:jc w:val="left"/>
              <w:rPr>
                <w:rFonts w:ascii="仿宋" w:hAnsi="仿宋" w:eastAsia="仿宋" w:cs="宋体"/>
                <w:color w:val="auto"/>
                <w:sz w:val="24"/>
                <w:szCs w:val="24"/>
                <w:highlight w:val="none"/>
              </w:rPr>
            </w:pPr>
          </w:p>
        </w:tc>
        <w:tc>
          <w:tcPr>
            <w:tcW w:w="1886" w:type="pct"/>
            <w:gridSpan w:val="9"/>
            <w:shd w:val="clear" w:color="000000" w:fill="FFFFFF"/>
            <w:vAlign w:val="center"/>
          </w:tcPr>
          <w:p w14:paraId="0FD4E20A">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3.7.2软景</w:t>
            </w:r>
          </w:p>
        </w:tc>
        <w:tc>
          <w:tcPr>
            <w:tcW w:w="2750" w:type="pct"/>
            <w:gridSpan w:val="6"/>
            <w:shd w:val="clear" w:color="000000" w:fill="FFFFFF"/>
            <w:vAlign w:val="center"/>
          </w:tcPr>
          <w:p w14:paraId="74F046F6">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大量种植景观</w:t>
            </w:r>
            <w:r>
              <w:rPr>
                <w:rFonts w:ascii="仿宋" w:hAnsi="仿宋" w:eastAsia="仿宋" w:cs="宋体"/>
                <w:color w:val="auto"/>
                <w:sz w:val="24"/>
                <w:szCs w:val="24"/>
                <w:highlight w:val="none"/>
              </w:rPr>
              <w:t>乔木平均胸径</w:t>
            </w:r>
            <w:r>
              <w:rPr>
                <w:rFonts w:hint="eastAsia" w:ascii="仿宋" w:hAnsi="仿宋" w:eastAsia="仿宋" w:cs="宋体"/>
                <w:color w:val="auto"/>
                <w:sz w:val="24"/>
                <w:szCs w:val="24"/>
                <w:highlight w:val="none"/>
              </w:rPr>
              <w:t>13</w:t>
            </w:r>
            <w:r>
              <w:rPr>
                <w:rFonts w:ascii="仿宋" w:hAnsi="仿宋" w:eastAsia="仿宋" w:cs="宋体"/>
                <w:color w:val="auto"/>
                <w:sz w:val="24"/>
                <w:szCs w:val="24"/>
                <w:highlight w:val="none"/>
              </w:rPr>
              <w:t>cm以上；</w:t>
            </w:r>
          </w:p>
          <w:p w14:paraId="40DF4773">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小乔木、花灌木结合地被复层种植</w:t>
            </w:r>
          </w:p>
        </w:tc>
      </w:tr>
      <w:tr w14:paraId="186CC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continue"/>
            <w:shd w:val="clear" w:color="auto" w:fill="auto"/>
            <w:vAlign w:val="center"/>
          </w:tcPr>
          <w:p w14:paraId="2ABEEC86">
            <w:pPr>
              <w:widowControl/>
              <w:jc w:val="left"/>
              <w:rPr>
                <w:rFonts w:ascii="仿宋" w:hAnsi="仿宋" w:eastAsia="仿宋" w:cs="宋体"/>
                <w:color w:val="auto"/>
                <w:sz w:val="24"/>
                <w:szCs w:val="24"/>
                <w:highlight w:val="none"/>
              </w:rPr>
            </w:pPr>
          </w:p>
        </w:tc>
        <w:tc>
          <w:tcPr>
            <w:tcW w:w="619" w:type="pct"/>
            <w:gridSpan w:val="3"/>
            <w:vMerge w:val="restart"/>
            <w:shd w:val="clear" w:color="auto" w:fill="auto"/>
            <w:vAlign w:val="center"/>
          </w:tcPr>
          <w:p w14:paraId="79848A4C">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3.7.3水电</w:t>
            </w:r>
          </w:p>
        </w:tc>
        <w:tc>
          <w:tcPr>
            <w:tcW w:w="1523" w:type="pct"/>
            <w:gridSpan w:val="9"/>
            <w:shd w:val="clear" w:color="auto" w:fill="auto"/>
            <w:vAlign w:val="center"/>
          </w:tcPr>
          <w:p w14:paraId="6CBA7999">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园林水电</w:t>
            </w:r>
          </w:p>
        </w:tc>
        <w:tc>
          <w:tcPr>
            <w:tcW w:w="2493" w:type="pct"/>
            <w:gridSpan w:val="3"/>
            <w:shd w:val="clear" w:color="000000" w:fill="FFFFFF"/>
            <w:vAlign w:val="center"/>
          </w:tcPr>
          <w:p w14:paraId="48D7C35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参主体工程标准。考虑背景音乐</w:t>
            </w:r>
          </w:p>
        </w:tc>
      </w:tr>
      <w:tr w14:paraId="09F37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continue"/>
            <w:shd w:val="clear" w:color="000000" w:fill="FFFFFF"/>
            <w:vAlign w:val="center"/>
          </w:tcPr>
          <w:p w14:paraId="1F38277C">
            <w:pPr>
              <w:widowControl/>
              <w:jc w:val="left"/>
              <w:rPr>
                <w:rFonts w:ascii="仿宋" w:hAnsi="仿宋" w:eastAsia="仿宋" w:cs="宋体"/>
                <w:color w:val="auto"/>
                <w:sz w:val="24"/>
                <w:szCs w:val="24"/>
                <w:highlight w:val="none"/>
              </w:rPr>
            </w:pPr>
          </w:p>
        </w:tc>
        <w:tc>
          <w:tcPr>
            <w:tcW w:w="619" w:type="pct"/>
            <w:gridSpan w:val="3"/>
            <w:vMerge w:val="continue"/>
            <w:shd w:val="clear" w:color="auto" w:fill="auto"/>
            <w:vAlign w:val="center"/>
          </w:tcPr>
          <w:p w14:paraId="484F8641">
            <w:pPr>
              <w:widowControl/>
              <w:jc w:val="left"/>
              <w:rPr>
                <w:rFonts w:ascii="仿宋" w:hAnsi="仿宋" w:eastAsia="仿宋" w:cs="宋体"/>
                <w:color w:val="auto"/>
                <w:sz w:val="24"/>
                <w:szCs w:val="24"/>
                <w:highlight w:val="none"/>
              </w:rPr>
            </w:pPr>
          </w:p>
        </w:tc>
        <w:tc>
          <w:tcPr>
            <w:tcW w:w="1523" w:type="pct"/>
            <w:gridSpan w:val="9"/>
            <w:shd w:val="clear" w:color="auto" w:fill="auto"/>
            <w:vAlign w:val="center"/>
          </w:tcPr>
          <w:p w14:paraId="2DDE4D06">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泛光照明</w:t>
            </w:r>
          </w:p>
        </w:tc>
        <w:tc>
          <w:tcPr>
            <w:tcW w:w="2493" w:type="pct"/>
            <w:gridSpan w:val="3"/>
            <w:shd w:val="clear" w:color="000000" w:fill="FFFFFF"/>
            <w:vAlign w:val="center"/>
          </w:tcPr>
          <w:p w14:paraId="443D97C0">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广场区域有特色的泛光设计，</w:t>
            </w:r>
            <w:r>
              <w:rPr>
                <w:rFonts w:ascii="仿宋" w:hAnsi="仿宋" w:eastAsia="仿宋" w:cs="宋体"/>
                <w:color w:val="auto"/>
                <w:sz w:val="24"/>
                <w:szCs w:val="24"/>
                <w:highlight w:val="none"/>
              </w:rPr>
              <w:t>LED灯具</w:t>
            </w:r>
          </w:p>
        </w:tc>
      </w:tr>
      <w:tr w14:paraId="4853D6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75" w:type="pct"/>
            <w:gridSpan w:val="8"/>
            <w:shd w:val="clear" w:color="000000" w:fill="FFFFFF"/>
            <w:vAlign w:val="center"/>
          </w:tcPr>
          <w:p w14:paraId="5D7EDB58">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3.8供暖</w:t>
            </w:r>
          </w:p>
        </w:tc>
        <w:tc>
          <w:tcPr>
            <w:tcW w:w="3224" w:type="pct"/>
            <w:gridSpan w:val="8"/>
            <w:vAlign w:val="center"/>
          </w:tcPr>
          <w:p w14:paraId="66B1A6A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考虑工作时间：办公区</w:t>
            </w:r>
          </w:p>
        </w:tc>
      </w:tr>
      <w:tr w14:paraId="1F68F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75" w:type="pct"/>
            <w:gridSpan w:val="8"/>
            <w:shd w:val="clear" w:color="000000" w:fill="FFFFFF"/>
            <w:vAlign w:val="center"/>
          </w:tcPr>
          <w:p w14:paraId="5369E02C">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3.9有线电视及电信</w:t>
            </w:r>
          </w:p>
        </w:tc>
        <w:tc>
          <w:tcPr>
            <w:tcW w:w="3224" w:type="pct"/>
            <w:gridSpan w:val="8"/>
            <w:vAlign w:val="center"/>
          </w:tcPr>
          <w:p w14:paraId="1FC9E528">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按运营商标准设置</w:t>
            </w:r>
          </w:p>
        </w:tc>
      </w:tr>
      <w:tr w14:paraId="617D8E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75" w:type="pct"/>
            <w:gridSpan w:val="8"/>
            <w:shd w:val="clear" w:color="000000" w:fill="FFFFFF"/>
            <w:vAlign w:val="center"/>
          </w:tcPr>
          <w:p w14:paraId="1996CA56">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3.10标识系统</w:t>
            </w:r>
          </w:p>
        </w:tc>
        <w:tc>
          <w:tcPr>
            <w:tcW w:w="3224" w:type="pct"/>
            <w:gridSpan w:val="8"/>
            <w:vAlign w:val="center"/>
          </w:tcPr>
          <w:p w14:paraId="48DD0109">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含室内外标识系统（含企业logo），按实际的设计方案确定</w:t>
            </w:r>
          </w:p>
        </w:tc>
      </w:tr>
      <w:tr w14:paraId="178AC6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75" w:type="pct"/>
            <w:gridSpan w:val="8"/>
            <w:shd w:val="clear" w:color="000000" w:fill="FFFFFF"/>
            <w:vAlign w:val="center"/>
          </w:tcPr>
          <w:p w14:paraId="28C39735">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3.11其他设备</w:t>
            </w:r>
          </w:p>
        </w:tc>
        <w:tc>
          <w:tcPr>
            <w:tcW w:w="3224" w:type="pct"/>
            <w:gridSpan w:val="8"/>
            <w:vAlign w:val="center"/>
          </w:tcPr>
          <w:p w14:paraId="728C9DB3">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雨水收集及水处理系统；</w:t>
            </w:r>
          </w:p>
        </w:tc>
      </w:tr>
      <w:tr w14:paraId="412A2A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75" w:type="pct"/>
            <w:gridSpan w:val="8"/>
            <w:shd w:val="clear" w:color="000000" w:fill="FFFFFF"/>
            <w:vAlign w:val="center"/>
          </w:tcPr>
          <w:p w14:paraId="41FC5A1D">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3.11 光伏发电</w:t>
            </w:r>
          </w:p>
        </w:tc>
        <w:tc>
          <w:tcPr>
            <w:tcW w:w="3224" w:type="pct"/>
            <w:gridSpan w:val="8"/>
            <w:vAlign w:val="center"/>
          </w:tcPr>
          <w:p w14:paraId="0919E31B">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预留条件</w:t>
            </w:r>
          </w:p>
        </w:tc>
      </w:tr>
      <w:tr w14:paraId="188070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restart"/>
            <w:shd w:val="clear" w:color="auto" w:fill="auto"/>
            <w:vAlign w:val="center"/>
          </w:tcPr>
          <w:p w14:paraId="09B6B41C">
            <w:pPr>
              <w:widowControl/>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3.12其他设备</w:t>
            </w:r>
          </w:p>
        </w:tc>
        <w:tc>
          <w:tcPr>
            <w:tcW w:w="1886" w:type="pct"/>
            <w:gridSpan w:val="9"/>
            <w:shd w:val="clear" w:color="000000" w:fill="FFFFFF"/>
            <w:vAlign w:val="center"/>
          </w:tcPr>
          <w:p w14:paraId="41285E07">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3.12.2通信机房</w:t>
            </w:r>
          </w:p>
        </w:tc>
        <w:tc>
          <w:tcPr>
            <w:tcW w:w="2750" w:type="pct"/>
            <w:gridSpan w:val="6"/>
            <w:vAlign w:val="center"/>
          </w:tcPr>
          <w:p w14:paraId="44AC13CD">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按运营商标准设置</w:t>
            </w:r>
          </w:p>
        </w:tc>
      </w:tr>
      <w:tr w14:paraId="15E34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63" w:type="pct"/>
            <w:vMerge w:val="continue"/>
            <w:shd w:val="clear" w:color="auto" w:fill="auto"/>
            <w:vAlign w:val="center"/>
          </w:tcPr>
          <w:p w14:paraId="126792FF">
            <w:pPr>
              <w:widowControl/>
              <w:jc w:val="left"/>
              <w:rPr>
                <w:rFonts w:ascii="仿宋" w:hAnsi="仿宋" w:eastAsia="仿宋" w:cs="宋体"/>
                <w:color w:val="auto"/>
                <w:sz w:val="24"/>
                <w:szCs w:val="24"/>
                <w:highlight w:val="none"/>
              </w:rPr>
            </w:pPr>
          </w:p>
        </w:tc>
        <w:tc>
          <w:tcPr>
            <w:tcW w:w="1886" w:type="pct"/>
            <w:gridSpan w:val="9"/>
            <w:shd w:val="clear" w:color="000000" w:fill="FFFFFF"/>
            <w:vAlign w:val="center"/>
          </w:tcPr>
          <w:p w14:paraId="2A7F0D97">
            <w:pPr>
              <w:widowControl/>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3.12.3电信固话</w:t>
            </w:r>
          </w:p>
        </w:tc>
        <w:tc>
          <w:tcPr>
            <w:tcW w:w="2750" w:type="pct"/>
            <w:gridSpan w:val="6"/>
            <w:vAlign w:val="center"/>
          </w:tcPr>
          <w:p w14:paraId="6739223C">
            <w:pPr>
              <w:widowControl/>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按运营商标准设置</w:t>
            </w:r>
          </w:p>
        </w:tc>
      </w:tr>
    </w:tbl>
    <w:p w14:paraId="76DD7D77">
      <w:pPr>
        <w:pStyle w:val="2"/>
        <w:spacing w:line="360" w:lineRule="auto"/>
        <w:ind w:firstLine="0" w:firstLineChars="0"/>
        <w:rPr>
          <w:color w:val="auto"/>
          <w:highlight w:val="none"/>
        </w:rPr>
      </w:pPr>
    </w:p>
    <w:sectPr>
      <w:headerReference r:id="rId3" w:type="default"/>
      <w:footerReference r:id="rId4" w:type="default"/>
      <w:pgSz w:w="11906" w:h="16838"/>
      <w:pgMar w:top="1361" w:right="1304" w:bottom="1304" w:left="1304"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dobe 宋体 Std L">
    <w:altName w:val="宋体"/>
    <w:panose1 w:val="00000000000000000000"/>
    <w:charset w:val="00"/>
    <w:family w:val="roman"/>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宋体..胭..">
    <w:altName w:val="宋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78016">
    <w:pPr>
      <w:pStyle w:val="21"/>
      <w:pBdr>
        <w:bottom w:val="none" w:color="auto" w:sz="0" w:space="0"/>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8529A51">
                          <w:pPr>
                            <w:pStyle w:val="20"/>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B9+3s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cVX3NmhaGFP6oxsE8wsmId5RmcLynrwVFe&#10;GOmcTJOoencH8qdnFm47YQ/qBhGGTomGxitiZfakdMLxEaQevkJDfcQxQAIaWzRRO1KDETqt5nxZ&#10;TZxFxpbF1Tp/x5mkq+Ltx/d5Wl0myqXYoQ+fFRgWg4ojbT6Bi9OdD3EYUS4psZeFve77tP3e/nVA&#10;idOJSvaZqyOVOP3EI4z1OEtTQ3MmUgiTtehhUdAB/uJsIFtV3NIr4qz/YkmW6MAlwCWol0BYSYUV&#10;D5xN4W2YnHp0qA8d4S7C35B0e51oxcGmGWbBySiJ7Wzq6MSn/ynrz0Pe/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37ewf8BAAAQBAAADgAAAAAAAAABACAAAAAfAQAAZHJzL2Uyb0RvYy54&#10;bWxQSwUGAAAAAAYABgBZAQAAkAUAAAAA&#10;">
              <v:fill on="f" focussize="0,0"/>
              <v:stroke on="f"/>
              <v:imagedata o:title=""/>
              <o:lock v:ext="edit" aspectratio="f"/>
              <v:textbox inset="0mm,0mm,0mm,0mm" style="mso-fit-shape-to-text:t;">
                <w:txbxContent>
                  <w:p w14:paraId="58529A51">
                    <w:pPr>
                      <w:pStyle w:val="2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D7460">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F3CDD"/>
    <w:multiLevelType w:val="singleLevel"/>
    <w:tmpl w:val="CFEF3CDD"/>
    <w:lvl w:ilvl="0" w:tentative="0">
      <w:start w:val="1"/>
      <w:numFmt w:val="decimal"/>
      <w:suff w:val="nothing"/>
      <w:lvlText w:val="%1、"/>
      <w:lvlJc w:val="left"/>
    </w:lvl>
  </w:abstractNum>
  <w:abstractNum w:abstractNumId="1">
    <w:nsid w:val="2064C85C"/>
    <w:multiLevelType w:val="singleLevel"/>
    <w:tmpl w:val="2064C85C"/>
    <w:lvl w:ilvl="0" w:tentative="0">
      <w:start w:val="4"/>
      <w:numFmt w:val="chineseCounting"/>
      <w:suff w:val="nothing"/>
      <w:lvlText w:val="（%1）"/>
      <w:lvlJc w:val="left"/>
      <w:rPr>
        <w:rFonts w:hint="eastAsia"/>
      </w:rPr>
    </w:lvl>
  </w:abstractNum>
  <w:abstractNum w:abstractNumId="2">
    <w:nsid w:val="5DF69F38"/>
    <w:multiLevelType w:val="singleLevel"/>
    <w:tmpl w:val="5DF69F38"/>
    <w:lvl w:ilvl="0" w:tentative="0">
      <w:start w:val="1"/>
      <w:numFmt w:val="decimal"/>
      <w:suff w:val="nothing"/>
      <w:lvlText w:val="%1、"/>
      <w:lvlJc w:val="left"/>
    </w:lvl>
  </w:abstractNum>
  <w:abstractNum w:abstractNumId="3">
    <w:nsid w:val="604F4C82"/>
    <w:multiLevelType w:val="singleLevel"/>
    <w:tmpl w:val="604F4C82"/>
    <w:lvl w:ilvl="0" w:tentative="0">
      <w:start w:val="1"/>
      <w:numFmt w:val="decimal"/>
      <w:suff w:val="nothing"/>
      <w:lvlText w:val="%1、"/>
      <w:lvlJc w:val="left"/>
    </w:lvl>
  </w:abstractNum>
  <w:abstractNum w:abstractNumId="4">
    <w:nsid w:val="6F153691"/>
    <w:multiLevelType w:val="multilevel"/>
    <w:tmpl w:val="6F15369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gutterAtTop/>
  <w:documentProtection w:enforcement="0"/>
  <w:defaultTabStop w:val="420"/>
  <w:hyphenationZone w:val="425"/>
  <w:drawingGridHorizontalSpacing w:val="0"/>
  <w:drawingGridVerticalSpacing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jODBmM2JlMmNhNGI4MjZhZWUzMzA1M2ExYzhlODIifQ=="/>
  </w:docVars>
  <w:rsids>
    <w:rsidRoot w:val="00172A27"/>
    <w:rsid w:val="000002A1"/>
    <w:rsid w:val="00000BFA"/>
    <w:rsid w:val="00001300"/>
    <w:rsid w:val="000013C9"/>
    <w:rsid w:val="000058B7"/>
    <w:rsid w:val="000068FA"/>
    <w:rsid w:val="000079CD"/>
    <w:rsid w:val="00007A42"/>
    <w:rsid w:val="00010B16"/>
    <w:rsid w:val="00013549"/>
    <w:rsid w:val="0001376C"/>
    <w:rsid w:val="00014545"/>
    <w:rsid w:val="0001595D"/>
    <w:rsid w:val="00015AA9"/>
    <w:rsid w:val="00015F2F"/>
    <w:rsid w:val="00020457"/>
    <w:rsid w:val="00022352"/>
    <w:rsid w:val="00022978"/>
    <w:rsid w:val="00022E29"/>
    <w:rsid w:val="00022E5E"/>
    <w:rsid w:val="000235FC"/>
    <w:rsid w:val="0002481C"/>
    <w:rsid w:val="00024E93"/>
    <w:rsid w:val="00025D1A"/>
    <w:rsid w:val="00025F53"/>
    <w:rsid w:val="00026667"/>
    <w:rsid w:val="00026713"/>
    <w:rsid w:val="0003123A"/>
    <w:rsid w:val="000320C5"/>
    <w:rsid w:val="00032872"/>
    <w:rsid w:val="000334E8"/>
    <w:rsid w:val="00034A3E"/>
    <w:rsid w:val="00035C9A"/>
    <w:rsid w:val="00036018"/>
    <w:rsid w:val="00040350"/>
    <w:rsid w:val="000403DE"/>
    <w:rsid w:val="000409CF"/>
    <w:rsid w:val="00040BAC"/>
    <w:rsid w:val="00042265"/>
    <w:rsid w:val="00042AFF"/>
    <w:rsid w:val="00042BEF"/>
    <w:rsid w:val="00042CC2"/>
    <w:rsid w:val="00043448"/>
    <w:rsid w:val="00043B82"/>
    <w:rsid w:val="000459BB"/>
    <w:rsid w:val="000462DF"/>
    <w:rsid w:val="00046D28"/>
    <w:rsid w:val="00046F13"/>
    <w:rsid w:val="00047956"/>
    <w:rsid w:val="00047E0B"/>
    <w:rsid w:val="0005173A"/>
    <w:rsid w:val="000524A8"/>
    <w:rsid w:val="000528BF"/>
    <w:rsid w:val="000550FD"/>
    <w:rsid w:val="00055E9D"/>
    <w:rsid w:val="00056609"/>
    <w:rsid w:val="00056D4F"/>
    <w:rsid w:val="00056E04"/>
    <w:rsid w:val="00060740"/>
    <w:rsid w:val="0006113C"/>
    <w:rsid w:val="0006120C"/>
    <w:rsid w:val="0006242D"/>
    <w:rsid w:val="000631B6"/>
    <w:rsid w:val="000647F6"/>
    <w:rsid w:val="000653E3"/>
    <w:rsid w:val="000657C3"/>
    <w:rsid w:val="00067C50"/>
    <w:rsid w:val="00070089"/>
    <w:rsid w:val="00070B13"/>
    <w:rsid w:val="00072227"/>
    <w:rsid w:val="000734DF"/>
    <w:rsid w:val="00076904"/>
    <w:rsid w:val="000775A1"/>
    <w:rsid w:val="00077BBB"/>
    <w:rsid w:val="00080054"/>
    <w:rsid w:val="000801C7"/>
    <w:rsid w:val="0008052B"/>
    <w:rsid w:val="00081CE3"/>
    <w:rsid w:val="00083CC6"/>
    <w:rsid w:val="00084B93"/>
    <w:rsid w:val="00092A32"/>
    <w:rsid w:val="00093172"/>
    <w:rsid w:val="00093E40"/>
    <w:rsid w:val="00094CF6"/>
    <w:rsid w:val="000A0C15"/>
    <w:rsid w:val="000A2F1A"/>
    <w:rsid w:val="000A6693"/>
    <w:rsid w:val="000A67ED"/>
    <w:rsid w:val="000A7F4F"/>
    <w:rsid w:val="000B147A"/>
    <w:rsid w:val="000B1A6A"/>
    <w:rsid w:val="000B216C"/>
    <w:rsid w:val="000B35ED"/>
    <w:rsid w:val="000B4043"/>
    <w:rsid w:val="000B4BE9"/>
    <w:rsid w:val="000B4E92"/>
    <w:rsid w:val="000B633D"/>
    <w:rsid w:val="000B7324"/>
    <w:rsid w:val="000C0F10"/>
    <w:rsid w:val="000C187B"/>
    <w:rsid w:val="000C1FD2"/>
    <w:rsid w:val="000C277D"/>
    <w:rsid w:val="000C2B96"/>
    <w:rsid w:val="000C2E96"/>
    <w:rsid w:val="000C301D"/>
    <w:rsid w:val="000C75A4"/>
    <w:rsid w:val="000C75FA"/>
    <w:rsid w:val="000D1B24"/>
    <w:rsid w:val="000D1F55"/>
    <w:rsid w:val="000D219D"/>
    <w:rsid w:val="000D21A1"/>
    <w:rsid w:val="000D32C1"/>
    <w:rsid w:val="000D37A1"/>
    <w:rsid w:val="000D6B94"/>
    <w:rsid w:val="000D6D3C"/>
    <w:rsid w:val="000D7137"/>
    <w:rsid w:val="000D7693"/>
    <w:rsid w:val="000E22FD"/>
    <w:rsid w:val="000E4A0C"/>
    <w:rsid w:val="000E52F2"/>
    <w:rsid w:val="000E74D8"/>
    <w:rsid w:val="000E7AEB"/>
    <w:rsid w:val="000E7F98"/>
    <w:rsid w:val="000F06AF"/>
    <w:rsid w:val="000F1425"/>
    <w:rsid w:val="000F16F7"/>
    <w:rsid w:val="000F2356"/>
    <w:rsid w:val="000F294C"/>
    <w:rsid w:val="000F48FE"/>
    <w:rsid w:val="000F5993"/>
    <w:rsid w:val="00100750"/>
    <w:rsid w:val="00100B0D"/>
    <w:rsid w:val="0010128B"/>
    <w:rsid w:val="00101427"/>
    <w:rsid w:val="0010269C"/>
    <w:rsid w:val="00103DE9"/>
    <w:rsid w:val="00104E61"/>
    <w:rsid w:val="00105F74"/>
    <w:rsid w:val="00107E60"/>
    <w:rsid w:val="00107FEC"/>
    <w:rsid w:val="00110396"/>
    <w:rsid w:val="00110B51"/>
    <w:rsid w:val="00111078"/>
    <w:rsid w:val="00112D07"/>
    <w:rsid w:val="0011390B"/>
    <w:rsid w:val="00115288"/>
    <w:rsid w:val="00115D9F"/>
    <w:rsid w:val="00117DD7"/>
    <w:rsid w:val="00120A5C"/>
    <w:rsid w:val="00120BE4"/>
    <w:rsid w:val="00122BEC"/>
    <w:rsid w:val="00122D84"/>
    <w:rsid w:val="00123DAA"/>
    <w:rsid w:val="00123DB5"/>
    <w:rsid w:val="0012530C"/>
    <w:rsid w:val="00125FCA"/>
    <w:rsid w:val="001262AD"/>
    <w:rsid w:val="001268F1"/>
    <w:rsid w:val="00126C29"/>
    <w:rsid w:val="00126F50"/>
    <w:rsid w:val="001274AA"/>
    <w:rsid w:val="00127A3B"/>
    <w:rsid w:val="00127CAD"/>
    <w:rsid w:val="00130693"/>
    <w:rsid w:val="00130B44"/>
    <w:rsid w:val="001317B6"/>
    <w:rsid w:val="00131E67"/>
    <w:rsid w:val="00132D7E"/>
    <w:rsid w:val="00132FEC"/>
    <w:rsid w:val="00133C25"/>
    <w:rsid w:val="00135DE3"/>
    <w:rsid w:val="0013690D"/>
    <w:rsid w:val="0013770B"/>
    <w:rsid w:val="001379F9"/>
    <w:rsid w:val="00142C6B"/>
    <w:rsid w:val="0014466F"/>
    <w:rsid w:val="00144E89"/>
    <w:rsid w:val="00145B44"/>
    <w:rsid w:val="00145CB3"/>
    <w:rsid w:val="0014612D"/>
    <w:rsid w:val="00147ED7"/>
    <w:rsid w:val="00154431"/>
    <w:rsid w:val="001545C4"/>
    <w:rsid w:val="001555AD"/>
    <w:rsid w:val="00155795"/>
    <w:rsid w:val="00156791"/>
    <w:rsid w:val="001568A9"/>
    <w:rsid w:val="001604FD"/>
    <w:rsid w:val="00160728"/>
    <w:rsid w:val="00160B1A"/>
    <w:rsid w:val="00160FF9"/>
    <w:rsid w:val="00161A54"/>
    <w:rsid w:val="0016248D"/>
    <w:rsid w:val="001624D2"/>
    <w:rsid w:val="00162928"/>
    <w:rsid w:val="00166155"/>
    <w:rsid w:val="00166D7E"/>
    <w:rsid w:val="00166D94"/>
    <w:rsid w:val="00171FF7"/>
    <w:rsid w:val="00172A27"/>
    <w:rsid w:val="001803C0"/>
    <w:rsid w:val="00180BE8"/>
    <w:rsid w:val="00182F26"/>
    <w:rsid w:val="00183E9A"/>
    <w:rsid w:val="00183EA6"/>
    <w:rsid w:val="001840E1"/>
    <w:rsid w:val="0018494D"/>
    <w:rsid w:val="00185644"/>
    <w:rsid w:val="001859C1"/>
    <w:rsid w:val="00185FC0"/>
    <w:rsid w:val="0018626A"/>
    <w:rsid w:val="00187664"/>
    <w:rsid w:val="0018767B"/>
    <w:rsid w:val="001933D4"/>
    <w:rsid w:val="00194C15"/>
    <w:rsid w:val="001955CA"/>
    <w:rsid w:val="00196BAF"/>
    <w:rsid w:val="001977F0"/>
    <w:rsid w:val="00197EA0"/>
    <w:rsid w:val="00197EE3"/>
    <w:rsid w:val="001A0E97"/>
    <w:rsid w:val="001A3082"/>
    <w:rsid w:val="001A387A"/>
    <w:rsid w:val="001A4034"/>
    <w:rsid w:val="001A42DF"/>
    <w:rsid w:val="001A4E80"/>
    <w:rsid w:val="001B02C9"/>
    <w:rsid w:val="001B170D"/>
    <w:rsid w:val="001B2D66"/>
    <w:rsid w:val="001B2EBE"/>
    <w:rsid w:val="001B3F9D"/>
    <w:rsid w:val="001B403A"/>
    <w:rsid w:val="001B4C98"/>
    <w:rsid w:val="001B4DF8"/>
    <w:rsid w:val="001B5FEA"/>
    <w:rsid w:val="001C08A4"/>
    <w:rsid w:val="001C0A08"/>
    <w:rsid w:val="001C0B22"/>
    <w:rsid w:val="001C1013"/>
    <w:rsid w:val="001C233F"/>
    <w:rsid w:val="001C29BC"/>
    <w:rsid w:val="001C32B8"/>
    <w:rsid w:val="001C6485"/>
    <w:rsid w:val="001C77B1"/>
    <w:rsid w:val="001C77CC"/>
    <w:rsid w:val="001D058E"/>
    <w:rsid w:val="001D250E"/>
    <w:rsid w:val="001D58A6"/>
    <w:rsid w:val="001D652E"/>
    <w:rsid w:val="001E2B1E"/>
    <w:rsid w:val="001E3B9E"/>
    <w:rsid w:val="001E424D"/>
    <w:rsid w:val="001E4E02"/>
    <w:rsid w:val="001E6908"/>
    <w:rsid w:val="001E6BF5"/>
    <w:rsid w:val="001E792A"/>
    <w:rsid w:val="001E7B24"/>
    <w:rsid w:val="001E7F31"/>
    <w:rsid w:val="001F1E1F"/>
    <w:rsid w:val="001F3153"/>
    <w:rsid w:val="001F4033"/>
    <w:rsid w:val="001F4336"/>
    <w:rsid w:val="001F438B"/>
    <w:rsid w:val="001F43E3"/>
    <w:rsid w:val="001F5C0F"/>
    <w:rsid w:val="00200415"/>
    <w:rsid w:val="00200C55"/>
    <w:rsid w:val="00204971"/>
    <w:rsid w:val="0020629E"/>
    <w:rsid w:val="00206ACF"/>
    <w:rsid w:val="00207DC9"/>
    <w:rsid w:val="00211A77"/>
    <w:rsid w:val="00212798"/>
    <w:rsid w:val="002137E2"/>
    <w:rsid w:val="00213EE6"/>
    <w:rsid w:val="002223E1"/>
    <w:rsid w:val="00222437"/>
    <w:rsid w:val="00222DAD"/>
    <w:rsid w:val="002233C0"/>
    <w:rsid w:val="00223C5C"/>
    <w:rsid w:val="00223CE2"/>
    <w:rsid w:val="00224107"/>
    <w:rsid w:val="00224AD2"/>
    <w:rsid w:val="00226288"/>
    <w:rsid w:val="002268F9"/>
    <w:rsid w:val="00227E3E"/>
    <w:rsid w:val="00231628"/>
    <w:rsid w:val="0023246A"/>
    <w:rsid w:val="00232EA9"/>
    <w:rsid w:val="0023515A"/>
    <w:rsid w:val="00235A01"/>
    <w:rsid w:val="00236CC5"/>
    <w:rsid w:val="00237F38"/>
    <w:rsid w:val="002410E9"/>
    <w:rsid w:val="002413CD"/>
    <w:rsid w:val="002423E2"/>
    <w:rsid w:val="00243DAE"/>
    <w:rsid w:val="00246022"/>
    <w:rsid w:val="00246510"/>
    <w:rsid w:val="00247370"/>
    <w:rsid w:val="00247D0C"/>
    <w:rsid w:val="00251485"/>
    <w:rsid w:val="002519E9"/>
    <w:rsid w:val="00252A63"/>
    <w:rsid w:val="00253504"/>
    <w:rsid w:val="002536D6"/>
    <w:rsid w:val="002545B0"/>
    <w:rsid w:val="00255761"/>
    <w:rsid w:val="0025601D"/>
    <w:rsid w:val="00256FD1"/>
    <w:rsid w:val="00261118"/>
    <w:rsid w:val="00261EAD"/>
    <w:rsid w:val="00261FDF"/>
    <w:rsid w:val="0026263B"/>
    <w:rsid w:val="00263085"/>
    <w:rsid w:val="0026570E"/>
    <w:rsid w:val="002659E4"/>
    <w:rsid w:val="00266B70"/>
    <w:rsid w:val="0026714F"/>
    <w:rsid w:val="002672B5"/>
    <w:rsid w:val="002676DC"/>
    <w:rsid w:val="002717EA"/>
    <w:rsid w:val="0027316E"/>
    <w:rsid w:val="002758B2"/>
    <w:rsid w:val="002779D9"/>
    <w:rsid w:val="00280493"/>
    <w:rsid w:val="00280917"/>
    <w:rsid w:val="00280A71"/>
    <w:rsid w:val="0028685F"/>
    <w:rsid w:val="00287727"/>
    <w:rsid w:val="002904DC"/>
    <w:rsid w:val="00290EAC"/>
    <w:rsid w:val="002920F0"/>
    <w:rsid w:val="0029637E"/>
    <w:rsid w:val="0029686D"/>
    <w:rsid w:val="0029731C"/>
    <w:rsid w:val="002A0D85"/>
    <w:rsid w:val="002A0EBD"/>
    <w:rsid w:val="002A334E"/>
    <w:rsid w:val="002A44A1"/>
    <w:rsid w:val="002A4B98"/>
    <w:rsid w:val="002A67E1"/>
    <w:rsid w:val="002A7FF6"/>
    <w:rsid w:val="002B1525"/>
    <w:rsid w:val="002B1951"/>
    <w:rsid w:val="002B323E"/>
    <w:rsid w:val="002B34F2"/>
    <w:rsid w:val="002B3661"/>
    <w:rsid w:val="002B3D56"/>
    <w:rsid w:val="002B4367"/>
    <w:rsid w:val="002B43A8"/>
    <w:rsid w:val="002B5500"/>
    <w:rsid w:val="002B69E1"/>
    <w:rsid w:val="002C1B37"/>
    <w:rsid w:val="002C21D4"/>
    <w:rsid w:val="002C21DB"/>
    <w:rsid w:val="002C317F"/>
    <w:rsid w:val="002C353C"/>
    <w:rsid w:val="002C64BB"/>
    <w:rsid w:val="002C6FD8"/>
    <w:rsid w:val="002C75DD"/>
    <w:rsid w:val="002C7C31"/>
    <w:rsid w:val="002D123E"/>
    <w:rsid w:val="002D2298"/>
    <w:rsid w:val="002D2812"/>
    <w:rsid w:val="002D7FB1"/>
    <w:rsid w:val="002E148F"/>
    <w:rsid w:val="002E41A6"/>
    <w:rsid w:val="002E4C5E"/>
    <w:rsid w:val="002E4F1E"/>
    <w:rsid w:val="002E5593"/>
    <w:rsid w:val="002E5A30"/>
    <w:rsid w:val="002E5E2B"/>
    <w:rsid w:val="002E6C25"/>
    <w:rsid w:val="002E742D"/>
    <w:rsid w:val="002F071D"/>
    <w:rsid w:val="002F3748"/>
    <w:rsid w:val="002F4C46"/>
    <w:rsid w:val="002F60F4"/>
    <w:rsid w:val="002F7698"/>
    <w:rsid w:val="002F7D96"/>
    <w:rsid w:val="003000F1"/>
    <w:rsid w:val="0030262C"/>
    <w:rsid w:val="00302C15"/>
    <w:rsid w:val="00304712"/>
    <w:rsid w:val="00305B71"/>
    <w:rsid w:val="00306138"/>
    <w:rsid w:val="0030657B"/>
    <w:rsid w:val="00307CD8"/>
    <w:rsid w:val="003106EC"/>
    <w:rsid w:val="0031096A"/>
    <w:rsid w:val="00311869"/>
    <w:rsid w:val="003118C5"/>
    <w:rsid w:val="00311BFC"/>
    <w:rsid w:val="00311F2D"/>
    <w:rsid w:val="0031336A"/>
    <w:rsid w:val="003135B2"/>
    <w:rsid w:val="00314ADF"/>
    <w:rsid w:val="0031502E"/>
    <w:rsid w:val="003151EC"/>
    <w:rsid w:val="003163EE"/>
    <w:rsid w:val="003177F7"/>
    <w:rsid w:val="003201D2"/>
    <w:rsid w:val="0032089C"/>
    <w:rsid w:val="00320F3F"/>
    <w:rsid w:val="00321183"/>
    <w:rsid w:val="00321FCB"/>
    <w:rsid w:val="003243F5"/>
    <w:rsid w:val="0032473D"/>
    <w:rsid w:val="003259D2"/>
    <w:rsid w:val="00326593"/>
    <w:rsid w:val="00326C76"/>
    <w:rsid w:val="00326FA0"/>
    <w:rsid w:val="0033099C"/>
    <w:rsid w:val="003315AC"/>
    <w:rsid w:val="0033284A"/>
    <w:rsid w:val="00334289"/>
    <w:rsid w:val="0033602E"/>
    <w:rsid w:val="0033614E"/>
    <w:rsid w:val="0033667B"/>
    <w:rsid w:val="00336A7D"/>
    <w:rsid w:val="00337788"/>
    <w:rsid w:val="003413B7"/>
    <w:rsid w:val="00342ED6"/>
    <w:rsid w:val="003456D4"/>
    <w:rsid w:val="00347415"/>
    <w:rsid w:val="00350C90"/>
    <w:rsid w:val="00351562"/>
    <w:rsid w:val="003547DE"/>
    <w:rsid w:val="00355F44"/>
    <w:rsid w:val="00355FB6"/>
    <w:rsid w:val="00356345"/>
    <w:rsid w:val="00357B87"/>
    <w:rsid w:val="00361258"/>
    <w:rsid w:val="00361E81"/>
    <w:rsid w:val="00362872"/>
    <w:rsid w:val="00363365"/>
    <w:rsid w:val="003656A0"/>
    <w:rsid w:val="00365B96"/>
    <w:rsid w:val="00367B85"/>
    <w:rsid w:val="003714C7"/>
    <w:rsid w:val="0037155F"/>
    <w:rsid w:val="003716CC"/>
    <w:rsid w:val="00371D94"/>
    <w:rsid w:val="003758E8"/>
    <w:rsid w:val="0037622A"/>
    <w:rsid w:val="00376DBB"/>
    <w:rsid w:val="003770C2"/>
    <w:rsid w:val="003812F1"/>
    <w:rsid w:val="00381C41"/>
    <w:rsid w:val="00382117"/>
    <w:rsid w:val="00383099"/>
    <w:rsid w:val="00383673"/>
    <w:rsid w:val="00383835"/>
    <w:rsid w:val="00383CA4"/>
    <w:rsid w:val="00384F6C"/>
    <w:rsid w:val="00385A40"/>
    <w:rsid w:val="00386AB6"/>
    <w:rsid w:val="0038764A"/>
    <w:rsid w:val="003879A7"/>
    <w:rsid w:val="00390069"/>
    <w:rsid w:val="00392818"/>
    <w:rsid w:val="003941EF"/>
    <w:rsid w:val="003949E6"/>
    <w:rsid w:val="00394BC6"/>
    <w:rsid w:val="00396073"/>
    <w:rsid w:val="003A024F"/>
    <w:rsid w:val="003A03F7"/>
    <w:rsid w:val="003A14C5"/>
    <w:rsid w:val="003A160D"/>
    <w:rsid w:val="003A3AB4"/>
    <w:rsid w:val="003A3D8F"/>
    <w:rsid w:val="003A4B35"/>
    <w:rsid w:val="003A5CDA"/>
    <w:rsid w:val="003A6652"/>
    <w:rsid w:val="003B06BC"/>
    <w:rsid w:val="003B13FC"/>
    <w:rsid w:val="003B27A9"/>
    <w:rsid w:val="003B6A0E"/>
    <w:rsid w:val="003B6BB7"/>
    <w:rsid w:val="003B7659"/>
    <w:rsid w:val="003C0DB4"/>
    <w:rsid w:val="003C1A65"/>
    <w:rsid w:val="003C1F1C"/>
    <w:rsid w:val="003C3357"/>
    <w:rsid w:val="003C387A"/>
    <w:rsid w:val="003C3CCC"/>
    <w:rsid w:val="003C3E44"/>
    <w:rsid w:val="003C5B43"/>
    <w:rsid w:val="003C78C6"/>
    <w:rsid w:val="003C7C02"/>
    <w:rsid w:val="003C7D8F"/>
    <w:rsid w:val="003C7F5D"/>
    <w:rsid w:val="003D1A07"/>
    <w:rsid w:val="003D25EA"/>
    <w:rsid w:val="003D2A90"/>
    <w:rsid w:val="003D4BE1"/>
    <w:rsid w:val="003D4D42"/>
    <w:rsid w:val="003E09B3"/>
    <w:rsid w:val="003E43BB"/>
    <w:rsid w:val="003E4ADB"/>
    <w:rsid w:val="003E5B18"/>
    <w:rsid w:val="003E711E"/>
    <w:rsid w:val="003E7C81"/>
    <w:rsid w:val="003F026E"/>
    <w:rsid w:val="003F1223"/>
    <w:rsid w:val="003F2502"/>
    <w:rsid w:val="003F2CDC"/>
    <w:rsid w:val="003F3FF6"/>
    <w:rsid w:val="003F5434"/>
    <w:rsid w:val="003F6953"/>
    <w:rsid w:val="003F73A3"/>
    <w:rsid w:val="003F770C"/>
    <w:rsid w:val="003F7921"/>
    <w:rsid w:val="00400E2E"/>
    <w:rsid w:val="00402C92"/>
    <w:rsid w:val="0040356A"/>
    <w:rsid w:val="00403672"/>
    <w:rsid w:val="00403F90"/>
    <w:rsid w:val="00404C03"/>
    <w:rsid w:val="00406DC0"/>
    <w:rsid w:val="00406EA1"/>
    <w:rsid w:val="00407388"/>
    <w:rsid w:val="0041077B"/>
    <w:rsid w:val="00410FFF"/>
    <w:rsid w:val="0041301A"/>
    <w:rsid w:val="00414BB2"/>
    <w:rsid w:val="0041562E"/>
    <w:rsid w:val="00415BB6"/>
    <w:rsid w:val="0041651C"/>
    <w:rsid w:val="004167EC"/>
    <w:rsid w:val="004206A5"/>
    <w:rsid w:val="004217F5"/>
    <w:rsid w:val="00423A24"/>
    <w:rsid w:val="00425084"/>
    <w:rsid w:val="0042618C"/>
    <w:rsid w:val="004270E7"/>
    <w:rsid w:val="004270FD"/>
    <w:rsid w:val="004273F5"/>
    <w:rsid w:val="00430B03"/>
    <w:rsid w:val="00430EAA"/>
    <w:rsid w:val="00431F09"/>
    <w:rsid w:val="0043218D"/>
    <w:rsid w:val="004337BA"/>
    <w:rsid w:val="004351E5"/>
    <w:rsid w:val="00437ADD"/>
    <w:rsid w:val="00440051"/>
    <w:rsid w:val="00442D45"/>
    <w:rsid w:val="004431DA"/>
    <w:rsid w:val="0044443F"/>
    <w:rsid w:val="0044602D"/>
    <w:rsid w:val="0044677F"/>
    <w:rsid w:val="00447337"/>
    <w:rsid w:val="00447A42"/>
    <w:rsid w:val="00450D61"/>
    <w:rsid w:val="00451603"/>
    <w:rsid w:val="00454957"/>
    <w:rsid w:val="00455617"/>
    <w:rsid w:val="00455710"/>
    <w:rsid w:val="00455C87"/>
    <w:rsid w:val="00455FF7"/>
    <w:rsid w:val="004563D0"/>
    <w:rsid w:val="004572B0"/>
    <w:rsid w:val="00461E57"/>
    <w:rsid w:val="00467679"/>
    <w:rsid w:val="00467828"/>
    <w:rsid w:val="00467AF7"/>
    <w:rsid w:val="00470D33"/>
    <w:rsid w:val="0047101C"/>
    <w:rsid w:val="00471DA0"/>
    <w:rsid w:val="00472151"/>
    <w:rsid w:val="00472C6C"/>
    <w:rsid w:val="00474111"/>
    <w:rsid w:val="0047534A"/>
    <w:rsid w:val="00475B59"/>
    <w:rsid w:val="004769BA"/>
    <w:rsid w:val="00476F4B"/>
    <w:rsid w:val="004774CE"/>
    <w:rsid w:val="00477761"/>
    <w:rsid w:val="00480633"/>
    <w:rsid w:val="0048065E"/>
    <w:rsid w:val="00480DB6"/>
    <w:rsid w:val="00480DC7"/>
    <w:rsid w:val="0048486E"/>
    <w:rsid w:val="004854C7"/>
    <w:rsid w:val="00485D78"/>
    <w:rsid w:val="00485F78"/>
    <w:rsid w:val="0048737E"/>
    <w:rsid w:val="00487404"/>
    <w:rsid w:val="00487B55"/>
    <w:rsid w:val="00490007"/>
    <w:rsid w:val="00492433"/>
    <w:rsid w:val="004928F1"/>
    <w:rsid w:val="00492EC6"/>
    <w:rsid w:val="00493D23"/>
    <w:rsid w:val="00493D9C"/>
    <w:rsid w:val="0049494D"/>
    <w:rsid w:val="00495731"/>
    <w:rsid w:val="004967DB"/>
    <w:rsid w:val="004973C1"/>
    <w:rsid w:val="00497A0A"/>
    <w:rsid w:val="00497BC0"/>
    <w:rsid w:val="004A00B2"/>
    <w:rsid w:val="004A0BC6"/>
    <w:rsid w:val="004A5A87"/>
    <w:rsid w:val="004A68B0"/>
    <w:rsid w:val="004A7EB8"/>
    <w:rsid w:val="004B04DE"/>
    <w:rsid w:val="004B19A0"/>
    <w:rsid w:val="004B1A8A"/>
    <w:rsid w:val="004B1E5F"/>
    <w:rsid w:val="004B2254"/>
    <w:rsid w:val="004B2A9D"/>
    <w:rsid w:val="004B399B"/>
    <w:rsid w:val="004B4298"/>
    <w:rsid w:val="004B52ED"/>
    <w:rsid w:val="004B5501"/>
    <w:rsid w:val="004B677F"/>
    <w:rsid w:val="004B7C60"/>
    <w:rsid w:val="004C11C4"/>
    <w:rsid w:val="004C199D"/>
    <w:rsid w:val="004C1CA1"/>
    <w:rsid w:val="004C2160"/>
    <w:rsid w:val="004C588D"/>
    <w:rsid w:val="004C5DA4"/>
    <w:rsid w:val="004C66AC"/>
    <w:rsid w:val="004C7034"/>
    <w:rsid w:val="004C7132"/>
    <w:rsid w:val="004D068F"/>
    <w:rsid w:val="004D0AD6"/>
    <w:rsid w:val="004D0ADA"/>
    <w:rsid w:val="004D1621"/>
    <w:rsid w:val="004D1B7C"/>
    <w:rsid w:val="004D2C11"/>
    <w:rsid w:val="004D3862"/>
    <w:rsid w:val="004D402A"/>
    <w:rsid w:val="004D4F76"/>
    <w:rsid w:val="004D5F6B"/>
    <w:rsid w:val="004D6A48"/>
    <w:rsid w:val="004D74BF"/>
    <w:rsid w:val="004E00BA"/>
    <w:rsid w:val="004E2CE8"/>
    <w:rsid w:val="004E3A4B"/>
    <w:rsid w:val="004E3BD0"/>
    <w:rsid w:val="004E44FC"/>
    <w:rsid w:val="004F0170"/>
    <w:rsid w:val="004F0255"/>
    <w:rsid w:val="004F19B5"/>
    <w:rsid w:val="004F1B52"/>
    <w:rsid w:val="004F1F19"/>
    <w:rsid w:val="004F2E59"/>
    <w:rsid w:val="004F2F39"/>
    <w:rsid w:val="004F371F"/>
    <w:rsid w:val="004F4741"/>
    <w:rsid w:val="004F4A0D"/>
    <w:rsid w:val="004F5037"/>
    <w:rsid w:val="004F5111"/>
    <w:rsid w:val="004F5240"/>
    <w:rsid w:val="004F6C46"/>
    <w:rsid w:val="00500451"/>
    <w:rsid w:val="00501A31"/>
    <w:rsid w:val="005024FE"/>
    <w:rsid w:val="00502627"/>
    <w:rsid w:val="00503853"/>
    <w:rsid w:val="005038D0"/>
    <w:rsid w:val="00504C45"/>
    <w:rsid w:val="00506DA6"/>
    <w:rsid w:val="0051117D"/>
    <w:rsid w:val="0051179C"/>
    <w:rsid w:val="00511F81"/>
    <w:rsid w:val="005122F4"/>
    <w:rsid w:val="00513BE6"/>
    <w:rsid w:val="00514876"/>
    <w:rsid w:val="00515BC0"/>
    <w:rsid w:val="00515CA4"/>
    <w:rsid w:val="005203F8"/>
    <w:rsid w:val="00520B18"/>
    <w:rsid w:val="00521FA0"/>
    <w:rsid w:val="005229CA"/>
    <w:rsid w:val="00522C13"/>
    <w:rsid w:val="00523B55"/>
    <w:rsid w:val="005279E1"/>
    <w:rsid w:val="00527F65"/>
    <w:rsid w:val="005340C4"/>
    <w:rsid w:val="005345AF"/>
    <w:rsid w:val="00535628"/>
    <w:rsid w:val="00535D4E"/>
    <w:rsid w:val="00540609"/>
    <w:rsid w:val="00541C55"/>
    <w:rsid w:val="005452AA"/>
    <w:rsid w:val="00545474"/>
    <w:rsid w:val="00546EC4"/>
    <w:rsid w:val="0055066D"/>
    <w:rsid w:val="00551309"/>
    <w:rsid w:val="00551B3C"/>
    <w:rsid w:val="00552E67"/>
    <w:rsid w:val="00553736"/>
    <w:rsid w:val="00553E3D"/>
    <w:rsid w:val="0055436C"/>
    <w:rsid w:val="00554785"/>
    <w:rsid w:val="00555636"/>
    <w:rsid w:val="005558A3"/>
    <w:rsid w:val="00557B09"/>
    <w:rsid w:val="00557E18"/>
    <w:rsid w:val="00560B8B"/>
    <w:rsid w:val="005630C1"/>
    <w:rsid w:val="00564E7A"/>
    <w:rsid w:val="005656FD"/>
    <w:rsid w:val="00565701"/>
    <w:rsid w:val="00566BE5"/>
    <w:rsid w:val="0057033F"/>
    <w:rsid w:val="0057338B"/>
    <w:rsid w:val="00573BB0"/>
    <w:rsid w:val="0057490F"/>
    <w:rsid w:val="005773A0"/>
    <w:rsid w:val="00577E5D"/>
    <w:rsid w:val="00577F53"/>
    <w:rsid w:val="00580AF1"/>
    <w:rsid w:val="00582304"/>
    <w:rsid w:val="00582AC5"/>
    <w:rsid w:val="00583483"/>
    <w:rsid w:val="00583A02"/>
    <w:rsid w:val="00584965"/>
    <w:rsid w:val="005867FB"/>
    <w:rsid w:val="00590511"/>
    <w:rsid w:val="00593B43"/>
    <w:rsid w:val="00593D5A"/>
    <w:rsid w:val="00594CC0"/>
    <w:rsid w:val="00594D69"/>
    <w:rsid w:val="005959A7"/>
    <w:rsid w:val="005978B5"/>
    <w:rsid w:val="005A0B5A"/>
    <w:rsid w:val="005A0F25"/>
    <w:rsid w:val="005A29C4"/>
    <w:rsid w:val="005A2FA3"/>
    <w:rsid w:val="005A37DB"/>
    <w:rsid w:val="005A42A5"/>
    <w:rsid w:val="005A49B4"/>
    <w:rsid w:val="005A5BB5"/>
    <w:rsid w:val="005A6BC7"/>
    <w:rsid w:val="005B094F"/>
    <w:rsid w:val="005B391D"/>
    <w:rsid w:val="005B465D"/>
    <w:rsid w:val="005B4858"/>
    <w:rsid w:val="005C15B6"/>
    <w:rsid w:val="005C1733"/>
    <w:rsid w:val="005C1DC5"/>
    <w:rsid w:val="005C2560"/>
    <w:rsid w:val="005C362A"/>
    <w:rsid w:val="005C5685"/>
    <w:rsid w:val="005C6A98"/>
    <w:rsid w:val="005C6DF2"/>
    <w:rsid w:val="005C76BB"/>
    <w:rsid w:val="005D0230"/>
    <w:rsid w:val="005D0715"/>
    <w:rsid w:val="005D1E45"/>
    <w:rsid w:val="005D2FC8"/>
    <w:rsid w:val="005D3DD9"/>
    <w:rsid w:val="005D3E0F"/>
    <w:rsid w:val="005D485E"/>
    <w:rsid w:val="005D579E"/>
    <w:rsid w:val="005D5B43"/>
    <w:rsid w:val="005D7A56"/>
    <w:rsid w:val="005E067F"/>
    <w:rsid w:val="005E16AF"/>
    <w:rsid w:val="005E301C"/>
    <w:rsid w:val="005E310E"/>
    <w:rsid w:val="005E3752"/>
    <w:rsid w:val="005E3C6A"/>
    <w:rsid w:val="005E4CEE"/>
    <w:rsid w:val="005E5157"/>
    <w:rsid w:val="005E78D0"/>
    <w:rsid w:val="005F0094"/>
    <w:rsid w:val="005F0604"/>
    <w:rsid w:val="005F0B9E"/>
    <w:rsid w:val="005F280C"/>
    <w:rsid w:val="005F2850"/>
    <w:rsid w:val="005F3E4B"/>
    <w:rsid w:val="005F4978"/>
    <w:rsid w:val="005F5166"/>
    <w:rsid w:val="005F5F4F"/>
    <w:rsid w:val="005F6979"/>
    <w:rsid w:val="005F73B9"/>
    <w:rsid w:val="005F7C82"/>
    <w:rsid w:val="005F7D0A"/>
    <w:rsid w:val="00601501"/>
    <w:rsid w:val="006016D5"/>
    <w:rsid w:val="00601733"/>
    <w:rsid w:val="00602674"/>
    <w:rsid w:val="006026A5"/>
    <w:rsid w:val="00602B90"/>
    <w:rsid w:val="0060417F"/>
    <w:rsid w:val="0060426F"/>
    <w:rsid w:val="00604331"/>
    <w:rsid w:val="00604AAF"/>
    <w:rsid w:val="006104AB"/>
    <w:rsid w:val="00610D27"/>
    <w:rsid w:val="00611023"/>
    <w:rsid w:val="00611583"/>
    <w:rsid w:val="006121C7"/>
    <w:rsid w:val="006162D9"/>
    <w:rsid w:val="0061721D"/>
    <w:rsid w:val="00620E73"/>
    <w:rsid w:val="0062141D"/>
    <w:rsid w:val="00621B02"/>
    <w:rsid w:val="006234B4"/>
    <w:rsid w:val="00626068"/>
    <w:rsid w:val="006271E3"/>
    <w:rsid w:val="006278A3"/>
    <w:rsid w:val="0063193E"/>
    <w:rsid w:val="00631C01"/>
    <w:rsid w:val="0063313D"/>
    <w:rsid w:val="006350CB"/>
    <w:rsid w:val="006355D1"/>
    <w:rsid w:val="00636CA1"/>
    <w:rsid w:val="00636F44"/>
    <w:rsid w:val="00637426"/>
    <w:rsid w:val="00637559"/>
    <w:rsid w:val="00637C43"/>
    <w:rsid w:val="0064085C"/>
    <w:rsid w:val="00641DC9"/>
    <w:rsid w:val="006424D6"/>
    <w:rsid w:val="006426EA"/>
    <w:rsid w:val="00643312"/>
    <w:rsid w:val="006440F7"/>
    <w:rsid w:val="00644E5D"/>
    <w:rsid w:val="006463E6"/>
    <w:rsid w:val="00646A81"/>
    <w:rsid w:val="00646FC8"/>
    <w:rsid w:val="006503FF"/>
    <w:rsid w:val="006506D7"/>
    <w:rsid w:val="0065101C"/>
    <w:rsid w:val="0065102F"/>
    <w:rsid w:val="00651AA6"/>
    <w:rsid w:val="00651E58"/>
    <w:rsid w:val="00651FCC"/>
    <w:rsid w:val="00653817"/>
    <w:rsid w:val="00654589"/>
    <w:rsid w:val="00654665"/>
    <w:rsid w:val="00655510"/>
    <w:rsid w:val="00655C6D"/>
    <w:rsid w:val="00657200"/>
    <w:rsid w:val="0065774F"/>
    <w:rsid w:val="006619A5"/>
    <w:rsid w:val="00661C86"/>
    <w:rsid w:val="0066275C"/>
    <w:rsid w:val="0066292F"/>
    <w:rsid w:val="0066308B"/>
    <w:rsid w:val="00664878"/>
    <w:rsid w:val="00664C96"/>
    <w:rsid w:val="006652F7"/>
    <w:rsid w:val="00666243"/>
    <w:rsid w:val="00667295"/>
    <w:rsid w:val="00667EAB"/>
    <w:rsid w:val="00671771"/>
    <w:rsid w:val="006717A2"/>
    <w:rsid w:val="00675F15"/>
    <w:rsid w:val="006766DC"/>
    <w:rsid w:val="00677EEA"/>
    <w:rsid w:val="00683844"/>
    <w:rsid w:val="00684480"/>
    <w:rsid w:val="00684A28"/>
    <w:rsid w:val="0068665F"/>
    <w:rsid w:val="00686D59"/>
    <w:rsid w:val="0069021B"/>
    <w:rsid w:val="006906AC"/>
    <w:rsid w:val="0069086E"/>
    <w:rsid w:val="006919A3"/>
    <w:rsid w:val="00691FC5"/>
    <w:rsid w:val="00693048"/>
    <w:rsid w:val="00693924"/>
    <w:rsid w:val="00693A49"/>
    <w:rsid w:val="00694528"/>
    <w:rsid w:val="006976AA"/>
    <w:rsid w:val="006977D9"/>
    <w:rsid w:val="006A0A08"/>
    <w:rsid w:val="006A10EE"/>
    <w:rsid w:val="006A5D19"/>
    <w:rsid w:val="006A706D"/>
    <w:rsid w:val="006A7E38"/>
    <w:rsid w:val="006B1D29"/>
    <w:rsid w:val="006B3D7B"/>
    <w:rsid w:val="006B4021"/>
    <w:rsid w:val="006B4482"/>
    <w:rsid w:val="006B49D0"/>
    <w:rsid w:val="006B576A"/>
    <w:rsid w:val="006B6623"/>
    <w:rsid w:val="006B68BD"/>
    <w:rsid w:val="006B733A"/>
    <w:rsid w:val="006C0E63"/>
    <w:rsid w:val="006C1A18"/>
    <w:rsid w:val="006C5B51"/>
    <w:rsid w:val="006C5ED0"/>
    <w:rsid w:val="006C67DE"/>
    <w:rsid w:val="006C6E84"/>
    <w:rsid w:val="006C7FEE"/>
    <w:rsid w:val="006D17B1"/>
    <w:rsid w:val="006D1E28"/>
    <w:rsid w:val="006D2485"/>
    <w:rsid w:val="006D37F3"/>
    <w:rsid w:val="006D3C7E"/>
    <w:rsid w:val="006D4277"/>
    <w:rsid w:val="006D7159"/>
    <w:rsid w:val="006D76DA"/>
    <w:rsid w:val="006E0C52"/>
    <w:rsid w:val="006E0F87"/>
    <w:rsid w:val="006E1BF8"/>
    <w:rsid w:val="006E2359"/>
    <w:rsid w:val="006E5C9F"/>
    <w:rsid w:val="006E6E3D"/>
    <w:rsid w:val="006F1A4D"/>
    <w:rsid w:val="006F1CD0"/>
    <w:rsid w:val="006F2438"/>
    <w:rsid w:val="006F2E83"/>
    <w:rsid w:val="006F340A"/>
    <w:rsid w:val="006F476F"/>
    <w:rsid w:val="006F4A2F"/>
    <w:rsid w:val="006F5285"/>
    <w:rsid w:val="006F5991"/>
    <w:rsid w:val="006F7606"/>
    <w:rsid w:val="006F79E6"/>
    <w:rsid w:val="007007AD"/>
    <w:rsid w:val="0070119B"/>
    <w:rsid w:val="007012A1"/>
    <w:rsid w:val="007016D8"/>
    <w:rsid w:val="00701948"/>
    <w:rsid w:val="007032B0"/>
    <w:rsid w:val="007039E8"/>
    <w:rsid w:val="00703EEA"/>
    <w:rsid w:val="0070479D"/>
    <w:rsid w:val="00705FA9"/>
    <w:rsid w:val="0070731D"/>
    <w:rsid w:val="00707742"/>
    <w:rsid w:val="007108FB"/>
    <w:rsid w:val="00710AAB"/>
    <w:rsid w:val="00711953"/>
    <w:rsid w:val="00713827"/>
    <w:rsid w:val="007141DF"/>
    <w:rsid w:val="007142FA"/>
    <w:rsid w:val="007145D2"/>
    <w:rsid w:val="00715270"/>
    <w:rsid w:val="00716304"/>
    <w:rsid w:val="00722BD0"/>
    <w:rsid w:val="007231DA"/>
    <w:rsid w:val="00724340"/>
    <w:rsid w:val="0072532B"/>
    <w:rsid w:val="00725D68"/>
    <w:rsid w:val="007267A9"/>
    <w:rsid w:val="00730217"/>
    <w:rsid w:val="00730FC3"/>
    <w:rsid w:val="0073159B"/>
    <w:rsid w:val="00732431"/>
    <w:rsid w:val="007344B2"/>
    <w:rsid w:val="00734A1C"/>
    <w:rsid w:val="00735693"/>
    <w:rsid w:val="007362F5"/>
    <w:rsid w:val="007367A9"/>
    <w:rsid w:val="0073755B"/>
    <w:rsid w:val="007375C7"/>
    <w:rsid w:val="007379AD"/>
    <w:rsid w:val="00737D6D"/>
    <w:rsid w:val="00740162"/>
    <w:rsid w:val="00740491"/>
    <w:rsid w:val="00742B0A"/>
    <w:rsid w:val="00743EA5"/>
    <w:rsid w:val="007452B6"/>
    <w:rsid w:val="00745BEA"/>
    <w:rsid w:val="00746FCF"/>
    <w:rsid w:val="00747A6D"/>
    <w:rsid w:val="00750EEA"/>
    <w:rsid w:val="007550A0"/>
    <w:rsid w:val="00755352"/>
    <w:rsid w:val="00755796"/>
    <w:rsid w:val="0076119E"/>
    <w:rsid w:val="007625F5"/>
    <w:rsid w:val="0076379E"/>
    <w:rsid w:val="0076621A"/>
    <w:rsid w:val="007669AC"/>
    <w:rsid w:val="007678BD"/>
    <w:rsid w:val="00767B63"/>
    <w:rsid w:val="00771751"/>
    <w:rsid w:val="00771962"/>
    <w:rsid w:val="00771C80"/>
    <w:rsid w:val="007724CE"/>
    <w:rsid w:val="00772567"/>
    <w:rsid w:val="007727D2"/>
    <w:rsid w:val="007737B0"/>
    <w:rsid w:val="007745C2"/>
    <w:rsid w:val="00774924"/>
    <w:rsid w:val="00776407"/>
    <w:rsid w:val="00776498"/>
    <w:rsid w:val="00776A10"/>
    <w:rsid w:val="0078085E"/>
    <w:rsid w:val="0078364B"/>
    <w:rsid w:val="007848AE"/>
    <w:rsid w:val="00784F5F"/>
    <w:rsid w:val="00791DA9"/>
    <w:rsid w:val="00792AD4"/>
    <w:rsid w:val="00792C86"/>
    <w:rsid w:val="00792F87"/>
    <w:rsid w:val="007934F3"/>
    <w:rsid w:val="00796BAD"/>
    <w:rsid w:val="007970B9"/>
    <w:rsid w:val="00797B73"/>
    <w:rsid w:val="007A1693"/>
    <w:rsid w:val="007A19DA"/>
    <w:rsid w:val="007A1D22"/>
    <w:rsid w:val="007A3E1C"/>
    <w:rsid w:val="007A473E"/>
    <w:rsid w:val="007A5C1D"/>
    <w:rsid w:val="007A6092"/>
    <w:rsid w:val="007A7536"/>
    <w:rsid w:val="007B0B95"/>
    <w:rsid w:val="007B19A4"/>
    <w:rsid w:val="007B1B96"/>
    <w:rsid w:val="007B2A66"/>
    <w:rsid w:val="007B33C0"/>
    <w:rsid w:val="007B3E06"/>
    <w:rsid w:val="007B5233"/>
    <w:rsid w:val="007B6247"/>
    <w:rsid w:val="007C08B2"/>
    <w:rsid w:val="007C1E01"/>
    <w:rsid w:val="007C5860"/>
    <w:rsid w:val="007C7CB1"/>
    <w:rsid w:val="007D20E7"/>
    <w:rsid w:val="007D3850"/>
    <w:rsid w:val="007D3A20"/>
    <w:rsid w:val="007D42BF"/>
    <w:rsid w:val="007D45C6"/>
    <w:rsid w:val="007D5092"/>
    <w:rsid w:val="007D5FFB"/>
    <w:rsid w:val="007D6A55"/>
    <w:rsid w:val="007D6A7D"/>
    <w:rsid w:val="007D7FE0"/>
    <w:rsid w:val="007E0A45"/>
    <w:rsid w:val="007E3129"/>
    <w:rsid w:val="007E3670"/>
    <w:rsid w:val="007E4AC1"/>
    <w:rsid w:val="007E5591"/>
    <w:rsid w:val="007E6021"/>
    <w:rsid w:val="007F05E3"/>
    <w:rsid w:val="007F0649"/>
    <w:rsid w:val="007F08E0"/>
    <w:rsid w:val="007F173E"/>
    <w:rsid w:val="007F3486"/>
    <w:rsid w:val="007F354E"/>
    <w:rsid w:val="007F3853"/>
    <w:rsid w:val="007F4103"/>
    <w:rsid w:val="007F42FB"/>
    <w:rsid w:val="007F4356"/>
    <w:rsid w:val="007F43AE"/>
    <w:rsid w:val="007F6118"/>
    <w:rsid w:val="007F7264"/>
    <w:rsid w:val="00800386"/>
    <w:rsid w:val="008008BF"/>
    <w:rsid w:val="00803803"/>
    <w:rsid w:val="008055CF"/>
    <w:rsid w:val="0080764E"/>
    <w:rsid w:val="00807F09"/>
    <w:rsid w:val="0081317B"/>
    <w:rsid w:val="00814D79"/>
    <w:rsid w:val="00815521"/>
    <w:rsid w:val="0082005A"/>
    <w:rsid w:val="0082167D"/>
    <w:rsid w:val="008317D6"/>
    <w:rsid w:val="00832C99"/>
    <w:rsid w:val="00833085"/>
    <w:rsid w:val="008348DB"/>
    <w:rsid w:val="0083692F"/>
    <w:rsid w:val="008371DC"/>
    <w:rsid w:val="00841087"/>
    <w:rsid w:val="00843A81"/>
    <w:rsid w:val="00844BD6"/>
    <w:rsid w:val="00845AD8"/>
    <w:rsid w:val="00845FAE"/>
    <w:rsid w:val="00845FBE"/>
    <w:rsid w:val="00846EF6"/>
    <w:rsid w:val="0084769C"/>
    <w:rsid w:val="00847DBE"/>
    <w:rsid w:val="008502BB"/>
    <w:rsid w:val="008507FB"/>
    <w:rsid w:val="00851C22"/>
    <w:rsid w:val="00853A0A"/>
    <w:rsid w:val="00854388"/>
    <w:rsid w:val="00855C86"/>
    <w:rsid w:val="008623AD"/>
    <w:rsid w:val="00864BFF"/>
    <w:rsid w:val="0086695D"/>
    <w:rsid w:val="00866B0E"/>
    <w:rsid w:val="00870C6E"/>
    <w:rsid w:val="00870E33"/>
    <w:rsid w:val="00870ECE"/>
    <w:rsid w:val="00872894"/>
    <w:rsid w:val="00873887"/>
    <w:rsid w:val="00873B6E"/>
    <w:rsid w:val="00873F51"/>
    <w:rsid w:val="00876CC7"/>
    <w:rsid w:val="0087770D"/>
    <w:rsid w:val="0087789D"/>
    <w:rsid w:val="00877DB2"/>
    <w:rsid w:val="008810A2"/>
    <w:rsid w:val="00883300"/>
    <w:rsid w:val="00883970"/>
    <w:rsid w:val="00883C1A"/>
    <w:rsid w:val="00884558"/>
    <w:rsid w:val="00884875"/>
    <w:rsid w:val="00884F6E"/>
    <w:rsid w:val="00891F4D"/>
    <w:rsid w:val="00892059"/>
    <w:rsid w:val="00892398"/>
    <w:rsid w:val="00892D86"/>
    <w:rsid w:val="00894700"/>
    <w:rsid w:val="0089486B"/>
    <w:rsid w:val="00897E08"/>
    <w:rsid w:val="008A22B2"/>
    <w:rsid w:val="008B052C"/>
    <w:rsid w:val="008B08D6"/>
    <w:rsid w:val="008B4702"/>
    <w:rsid w:val="008C0996"/>
    <w:rsid w:val="008C0C11"/>
    <w:rsid w:val="008C204A"/>
    <w:rsid w:val="008C2799"/>
    <w:rsid w:val="008C2D43"/>
    <w:rsid w:val="008C3B3F"/>
    <w:rsid w:val="008C5090"/>
    <w:rsid w:val="008C534E"/>
    <w:rsid w:val="008C6259"/>
    <w:rsid w:val="008C6B34"/>
    <w:rsid w:val="008C7603"/>
    <w:rsid w:val="008D00C1"/>
    <w:rsid w:val="008D0F5F"/>
    <w:rsid w:val="008D14B3"/>
    <w:rsid w:val="008D1878"/>
    <w:rsid w:val="008D1B0B"/>
    <w:rsid w:val="008D3B18"/>
    <w:rsid w:val="008D3B78"/>
    <w:rsid w:val="008E09B5"/>
    <w:rsid w:val="008E1063"/>
    <w:rsid w:val="008E1785"/>
    <w:rsid w:val="008E38CE"/>
    <w:rsid w:val="008E3FF7"/>
    <w:rsid w:val="008E5D4C"/>
    <w:rsid w:val="008E690D"/>
    <w:rsid w:val="008E7435"/>
    <w:rsid w:val="008E781C"/>
    <w:rsid w:val="008E7953"/>
    <w:rsid w:val="008F180A"/>
    <w:rsid w:val="008F3570"/>
    <w:rsid w:val="008F43EC"/>
    <w:rsid w:val="008F4ABB"/>
    <w:rsid w:val="008F6D9F"/>
    <w:rsid w:val="008F7DDF"/>
    <w:rsid w:val="00900AF8"/>
    <w:rsid w:val="00901F9E"/>
    <w:rsid w:val="009023F9"/>
    <w:rsid w:val="00903700"/>
    <w:rsid w:val="00905155"/>
    <w:rsid w:val="0090606F"/>
    <w:rsid w:val="00906D61"/>
    <w:rsid w:val="00911FC2"/>
    <w:rsid w:val="009127E9"/>
    <w:rsid w:val="00914B83"/>
    <w:rsid w:val="0091585B"/>
    <w:rsid w:val="00916C1E"/>
    <w:rsid w:val="00917115"/>
    <w:rsid w:val="009173E2"/>
    <w:rsid w:val="0092002F"/>
    <w:rsid w:val="00923291"/>
    <w:rsid w:val="00924D29"/>
    <w:rsid w:val="009254E1"/>
    <w:rsid w:val="00925676"/>
    <w:rsid w:val="00927675"/>
    <w:rsid w:val="00927DDF"/>
    <w:rsid w:val="00927E8B"/>
    <w:rsid w:val="0093232E"/>
    <w:rsid w:val="00932E22"/>
    <w:rsid w:val="009331B0"/>
    <w:rsid w:val="009331BC"/>
    <w:rsid w:val="0093359D"/>
    <w:rsid w:val="00934B22"/>
    <w:rsid w:val="009359A0"/>
    <w:rsid w:val="009378DD"/>
    <w:rsid w:val="00940453"/>
    <w:rsid w:val="00941EBD"/>
    <w:rsid w:val="00944465"/>
    <w:rsid w:val="00944CC7"/>
    <w:rsid w:val="00950785"/>
    <w:rsid w:val="00950B53"/>
    <w:rsid w:val="00952611"/>
    <w:rsid w:val="00952ACB"/>
    <w:rsid w:val="0095305A"/>
    <w:rsid w:val="00953B65"/>
    <w:rsid w:val="009545F8"/>
    <w:rsid w:val="00954E7C"/>
    <w:rsid w:val="009561AE"/>
    <w:rsid w:val="00956D76"/>
    <w:rsid w:val="00957341"/>
    <w:rsid w:val="009579C2"/>
    <w:rsid w:val="00961D94"/>
    <w:rsid w:val="00962920"/>
    <w:rsid w:val="00963D4A"/>
    <w:rsid w:val="009640D2"/>
    <w:rsid w:val="00967420"/>
    <w:rsid w:val="00967533"/>
    <w:rsid w:val="009705A7"/>
    <w:rsid w:val="00972A0A"/>
    <w:rsid w:val="00973075"/>
    <w:rsid w:val="009733B5"/>
    <w:rsid w:val="0097398E"/>
    <w:rsid w:val="0097508B"/>
    <w:rsid w:val="009752A5"/>
    <w:rsid w:val="00975AC5"/>
    <w:rsid w:val="00975D1C"/>
    <w:rsid w:val="00976762"/>
    <w:rsid w:val="00976E44"/>
    <w:rsid w:val="0097753B"/>
    <w:rsid w:val="00977AC2"/>
    <w:rsid w:val="0098041D"/>
    <w:rsid w:val="00980F00"/>
    <w:rsid w:val="00982971"/>
    <w:rsid w:val="009838DB"/>
    <w:rsid w:val="00983FC5"/>
    <w:rsid w:val="009844F5"/>
    <w:rsid w:val="00986B52"/>
    <w:rsid w:val="009870A5"/>
    <w:rsid w:val="009927E5"/>
    <w:rsid w:val="009927E6"/>
    <w:rsid w:val="0099432C"/>
    <w:rsid w:val="009966AA"/>
    <w:rsid w:val="00996B9D"/>
    <w:rsid w:val="00996F09"/>
    <w:rsid w:val="009A0468"/>
    <w:rsid w:val="009A1897"/>
    <w:rsid w:val="009A34F6"/>
    <w:rsid w:val="009A3FC1"/>
    <w:rsid w:val="009A53BA"/>
    <w:rsid w:val="009A5D0A"/>
    <w:rsid w:val="009B0035"/>
    <w:rsid w:val="009B0961"/>
    <w:rsid w:val="009B35B4"/>
    <w:rsid w:val="009B3BE7"/>
    <w:rsid w:val="009B5045"/>
    <w:rsid w:val="009B74F2"/>
    <w:rsid w:val="009B7668"/>
    <w:rsid w:val="009C0260"/>
    <w:rsid w:val="009C08E2"/>
    <w:rsid w:val="009C0D31"/>
    <w:rsid w:val="009C20D9"/>
    <w:rsid w:val="009C23E8"/>
    <w:rsid w:val="009C3179"/>
    <w:rsid w:val="009C39E9"/>
    <w:rsid w:val="009C3F36"/>
    <w:rsid w:val="009C4406"/>
    <w:rsid w:val="009C4906"/>
    <w:rsid w:val="009C5259"/>
    <w:rsid w:val="009C68F5"/>
    <w:rsid w:val="009C6FBB"/>
    <w:rsid w:val="009C712D"/>
    <w:rsid w:val="009C79AC"/>
    <w:rsid w:val="009C7E38"/>
    <w:rsid w:val="009D2C24"/>
    <w:rsid w:val="009D368E"/>
    <w:rsid w:val="009D43BD"/>
    <w:rsid w:val="009D4F5C"/>
    <w:rsid w:val="009D5114"/>
    <w:rsid w:val="009D621B"/>
    <w:rsid w:val="009D6F83"/>
    <w:rsid w:val="009D773B"/>
    <w:rsid w:val="009E04CC"/>
    <w:rsid w:val="009E33C2"/>
    <w:rsid w:val="009E3ACC"/>
    <w:rsid w:val="009E3B3F"/>
    <w:rsid w:val="009E4911"/>
    <w:rsid w:val="009E7393"/>
    <w:rsid w:val="009F0CDA"/>
    <w:rsid w:val="009F19D5"/>
    <w:rsid w:val="009F2BBD"/>
    <w:rsid w:val="009F32DC"/>
    <w:rsid w:val="009F35F0"/>
    <w:rsid w:val="009F436B"/>
    <w:rsid w:val="009F4B55"/>
    <w:rsid w:val="009F511A"/>
    <w:rsid w:val="009F69F8"/>
    <w:rsid w:val="009F6AB0"/>
    <w:rsid w:val="009F7577"/>
    <w:rsid w:val="00A01815"/>
    <w:rsid w:val="00A01A29"/>
    <w:rsid w:val="00A04730"/>
    <w:rsid w:val="00A06280"/>
    <w:rsid w:val="00A06349"/>
    <w:rsid w:val="00A079D8"/>
    <w:rsid w:val="00A10593"/>
    <w:rsid w:val="00A11109"/>
    <w:rsid w:val="00A11196"/>
    <w:rsid w:val="00A127C1"/>
    <w:rsid w:val="00A13476"/>
    <w:rsid w:val="00A1359C"/>
    <w:rsid w:val="00A1470D"/>
    <w:rsid w:val="00A15C4E"/>
    <w:rsid w:val="00A17CE2"/>
    <w:rsid w:val="00A22826"/>
    <w:rsid w:val="00A231C1"/>
    <w:rsid w:val="00A23300"/>
    <w:rsid w:val="00A2392C"/>
    <w:rsid w:val="00A2396A"/>
    <w:rsid w:val="00A24692"/>
    <w:rsid w:val="00A2708B"/>
    <w:rsid w:val="00A2733A"/>
    <w:rsid w:val="00A274B9"/>
    <w:rsid w:val="00A310C0"/>
    <w:rsid w:val="00A31901"/>
    <w:rsid w:val="00A343E9"/>
    <w:rsid w:val="00A35C06"/>
    <w:rsid w:val="00A3605C"/>
    <w:rsid w:val="00A370BC"/>
    <w:rsid w:val="00A3756A"/>
    <w:rsid w:val="00A406F0"/>
    <w:rsid w:val="00A414CC"/>
    <w:rsid w:val="00A42079"/>
    <w:rsid w:val="00A424AD"/>
    <w:rsid w:val="00A44997"/>
    <w:rsid w:val="00A46474"/>
    <w:rsid w:val="00A4764E"/>
    <w:rsid w:val="00A52DEA"/>
    <w:rsid w:val="00A53304"/>
    <w:rsid w:val="00A53461"/>
    <w:rsid w:val="00A53A9C"/>
    <w:rsid w:val="00A5441F"/>
    <w:rsid w:val="00A56657"/>
    <w:rsid w:val="00A57E53"/>
    <w:rsid w:val="00A6082F"/>
    <w:rsid w:val="00A620FA"/>
    <w:rsid w:val="00A63BE4"/>
    <w:rsid w:val="00A64194"/>
    <w:rsid w:val="00A64899"/>
    <w:rsid w:val="00A6493C"/>
    <w:rsid w:val="00A70313"/>
    <w:rsid w:val="00A73011"/>
    <w:rsid w:val="00A736A0"/>
    <w:rsid w:val="00A737E0"/>
    <w:rsid w:val="00A73DA3"/>
    <w:rsid w:val="00A742A2"/>
    <w:rsid w:val="00A75CE4"/>
    <w:rsid w:val="00A761DC"/>
    <w:rsid w:val="00A76D63"/>
    <w:rsid w:val="00A77547"/>
    <w:rsid w:val="00A80123"/>
    <w:rsid w:val="00A80817"/>
    <w:rsid w:val="00A8127A"/>
    <w:rsid w:val="00A81439"/>
    <w:rsid w:val="00A824D8"/>
    <w:rsid w:val="00A8350D"/>
    <w:rsid w:val="00A83FC8"/>
    <w:rsid w:val="00A85242"/>
    <w:rsid w:val="00A8638B"/>
    <w:rsid w:val="00A8692C"/>
    <w:rsid w:val="00A869D0"/>
    <w:rsid w:val="00A90826"/>
    <w:rsid w:val="00A9098E"/>
    <w:rsid w:val="00A917F5"/>
    <w:rsid w:val="00A9204F"/>
    <w:rsid w:val="00A922D5"/>
    <w:rsid w:val="00A9313E"/>
    <w:rsid w:val="00A943D6"/>
    <w:rsid w:val="00A94C4B"/>
    <w:rsid w:val="00A96430"/>
    <w:rsid w:val="00A966E6"/>
    <w:rsid w:val="00A97928"/>
    <w:rsid w:val="00AA1DD7"/>
    <w:rsid w:val="00AA36FC"/>
    <w:rsid w:val="00AA698C"/>
    <w:rsid w:val="00AA7100"/>
    <w:rsid w:val="00AA75DD"/>
    <w:rsid w:val="00AB0330"/>
    <w:rsid w:val="00AB0E66"/>
    <w:rsid w:val="00AB194E"/>
    <w:rsid w:val="00AB20BF"/>
    <w:rsid w:val="00AB2A54"/>
    <w:rsid w:val="00AB31D0"/>
    <w:rsid w:val="00AB53B8"/>
    <w:rsid w:val="00AB645B"/>
    <w:rsid w:val="00AC0D3E"/>
    <w:rsid w:val="00AC13F9"/>
    <w:rsid w:val="00AC25FA"/>
    <w:rsid w:val="00AC78F9"/>
    <w:rsid w:val="00AD12FB"/>
    <w:rsid w:val="00AD19EC"/>
    <w:rsid w:val="00AD1A4F"/>
    <w:rsid w:val="00AD2032"/>
    <w:rsid w:val="00AD2E32"/>
    <w:rsid w:val="00AD3E58"/>
    <w:rsid w:val="00AD53E6"/>
    <w:rsid w:val="00AE0539"/>
    <w:rsid w:val="00AE15BC"/>
    <w:rsid w:val="00AE2956"/>
    <w:rsid w:val="00AE29DA"/>
    <w:rsid w:val="00AE4C0E"/>
    <w:rsid w:val="00AE5EEB"/>
    <w:rsid w:val="00AE6A66"/>
    <w:rsid w:val="00AE7441"/>
    <w:rsid w:val="00AF08F3"/>
    <w:rsid w:val="00AF17B1"/>
    <w:rsid w:val="00AF19D9"/>
    <w:rsid w:val="00AF1E57"/>
    <w:rsid w:val="00AF3D2E"/>
    <w:rsid w:val="00AF3FCB"/>
    <w:rsid w:val="00AF4F3F"/>
    <w:rsid w:val="00AF623A"/>
    <w:rsid w:val="00AF7D5B"/>
    <w:rsid w:val="00B00179"/>
    <w:rsid w:val="00B018BF"/>
    <w:rsid w:val="00B01F9F"/>
    <w:rsid w:val="00B02456"/>
    <w:rsid w:val="00B025BD"/>
    <w:rsid w:val="00B026E6"/>
    <w:rsid w:val="00B02DF5"/>
    <w:rsid w:val="00B03A7B"/>
    <w:rsid w:val="00B04BD9"/>
    <w:rsid w:val="00B07916"/>
    <w:rsid w:val="00B10AA3"/>
    <w:rsid w:val="00B11B7C"/>
    <w:rsid w:val="00B1346E"/>
    <w:rsid w:val="00B1350D"/>
    <w:rsid w:val="00B13B8B"/>
    <w:rsid w:val="00B13FD0"/>
    <w:rsid w:val="00B14739"/>
    <w:rsid w:val="00B1567F"/>
    <w:rsid w:val="00B167F4"/>
    <w:rsid w:val="00B17756"/>
    <w:rsid w:val="00B2127D"/>
    <w:rsid w:val="00B219E5"/>
    <w:rsid w:val="00B21A0A"/>
    <w:rsid w:val="00B22EAF"/>
    <w:rsid w:val="00B2304E"/>
    <w:rsid w:val="00B23437"/>
    <w:rsid w:val="00B24840"/>
    <w:rsid w:val="00B24D4F"/>
    <w:rsid w:val="00B25C9A"/>
    <w:rsid w:val="00B26019"/>
    <w:rsid w:val="00B26A14"/>
    <w:rsid w:val="00B315DB"/>
    <w:rsid w:val="00B328AE"/>
    <w:rsid w:val="00B3544D"/>
    <w:rsid w:val="00B35774"/>
    <w:rsid w:val="00B359D7"/>
    <w:rsid w:val="00B35CFD"/>
    <w:rsid w:val="00B35DA6"/>
    <w:rsid w:val="00B377CE"/>
    <w:rsid w:val="00B37DFE"/>
    <w:rsid w:val="00B4044B"/>
    <w:rsid w:val="00B4143F"/>
    <w:rsid w:val="00B4271D"/>
    <w:rsid w:val="00B43AC4"/>
    <w:rsid w:val="00B44216"/>
    <w:rsid w:val="00B44313"/>
    <w:rsid w:val="00B45133"/>
    <w:rsid w:val="00B463ED"/>
    <w:rsid w:val="00B46CD8"/>
    <w:rsid w:val="00B5175A"/>
    <w:rsid w:val="00B5582A"/>
    <w:rsid w:val="00B55ECB"/>
    <w:rsid w:val="00B5643D"/>
    <w:rsid w:val="00B57076"/>
    <w:rsid w:val="00B61F11"/>
    <w:rsid w:val="00B62302"/>
    <w:rsid w:val="00B624AD"/>
    <w:rsid w:val="00B67FE6"/>
    <w:rsid w:val="00B70C91"/>
    <w:rsid w:val="00B723D9"/>
    <w:rsid w:val="00B72CBA"/>
    <w:rsid w:val="00B74945"/>
    <w:rsid w:val="00B761E4"/>
    <w:rsid w:val="00B777E8"/>
    <w:rsid w:val="00B77B12"/>
    <w:rsid w:val="00B80265"/>
    <w:rsid w:val="00B8065D"/>
    <w:rsid w:val="00B80DC4"/>
    <w:rsid w:val="00B81724"/>
    <w:rsid w:val="00B81C46"/>
    <w:rsid w:val="00B839CF"/>
    <w:rsid w:val="00B857B6"/>
    <w:rsid w:val="00B85B9C"/>
    <w:rsid w:val="00B85D21"/>
    <w:rsid w:val="00B902A3"/>
    <w:rsid w:val="00B9176C"/>
    <w:rsid w:val="00B93088"/>
    <w:rsid w:val="00B93397"/>
    <w:rsid w:val="00B9387D"/>
    <w:rsid w:val="00B94EB8"/>
    <w:rsid w:val="00B94EF8"/>
    <w:rsid w:val="00B95B00"/>
    <w:rsid w:val="00B9611D"/>
    <w:rsid w:val="00B96C4C"/>
    <w:rsid w:val="00B97ECD"/>
    <w:rsid w:val="00BA1603"/>
    <w:rsid w:val="00BA251A"/>
    <w:rsid w:val="00BA2605"/>
    <w:rsid w:val="00BA31C5"/>
    <w:rsid w:val="00BA5272"/>
    <w:rsid w:val="00BA6721"/>
    <w:rsid w:val="00BA7611"/>
    <w:rsid w:val="00BB1759"/>
    <w:rsid w:val="00BB2A22"/>
    <w:rsid w:val="00BB2D64"/>
    <w:rsid w:val="00BB49F8"/>
    <w:rsid w:val="00BB4C32"/>
    <w:rsid w:val="00BB56D4"/>
    <w:rsid w:val="00BB5A95"/>
    <w:rsid w:val="00BC1181"/>
    <w:rsid w:val="00BC1F9D"/>
    <w:rsid w:val="00BC1FDF"/>
    <w:rsid w:val="00BC2070"/>
    <w:rsid w:val="00BC2C90"/>
    <w:rsid w:val="00BC2F1C"/>
    <w:rsid w:val="00BC33EB"/>
    <w:rsid w:val="00BC35D6"/>
    <w:rsid w:val="00BC49D0"/>
    <w:rsid w:val="00BC4A6F"/>
    <w:rsid w:val="00BC5DEF"/>
    <w:rsid w:val="00BC773D"/>
    <w:rsid w:val="00BD09F0"/>
    <w:rsid w:val="00BD1471"/>
    <w:rsid w:val="00BD25FD"/>
    <w:rsid w:val="00BD26FA"/>
    <w:rsid w:val="00BD2BFC"/>
    <w:rsid w:val="00BD3E4F"/>
    <w:rsid w:val="00BD63CD"/>
    <w:rsid w:val="00BD740A"/>
    <w:rsid w:val="00BD79D3"/>
    <w:rsid w:val="00BD7BE6"/>
    <w:rsid w:val="00BE027C"/>
    <w:rsid w:val="00BE0518"/>
    <w:rsid w:val="00BE1318"/>
    <w:rsid w:val="00BE1BE2"/>
    <w:rsid w:val="00BE2DF8"/>
    <w:rsid w:val="00BE3C06"/>
    <w:rsid w:val="00BE4DE2"/>
    <w:rsid w:val="00BE4F0B"/>
    <w:rsid w:val="00BE58E5"/>
    <w:rsid w:val="00BE678A"/>
    <w:rsid w:val="00BE780D"/>
    <w:rsid w:val="00BE7E44"/>
    <w:rsid w:val="00BF15BB"/>
    <w:rsid w:val="00BF2810"/>
    <w:rsid w:val="00BF2A76"/>
    <w:rsid w:val="00BF2C4D"/>
    <w:rsid w:val="00BF2EB9"/>
    <w:rsid w:val="00BF4120"/>
    <w:rsid w:val="00BF4C86"/>
    <w:rsid w:val="00BF5563"/>
    <w:rsid w:val="00C011F6"/>
    <w:rsid w:val="00C01AD1"/>
    <w:rsid w:val="00C01BBE"/>
    <w:rsid w:val="00C0300B"/>
    <w:rsid w:val="00C034B5"/>
    <w:rsid w:val="00C03E43"/>
    <w:rsid w:val="00C0584C"/>
    <w:rsid w:val="00C10099"/>
    <w:rsid w:val="00C10F82"/>
    <w:rsid w:val="00C11C48"/>
    <w:rsid w:val="00C15197"/>
    <w:rsid w:val="00C16A58"/>
    <w:rsid w:val="00C16DA7"/>
    <w:rsid w:val="00C17496"/>
    <w:rsid w:val="00C1765C"/>
    <w:rsid w:val="00C20027"/>
    <w:rsid w:val="00C204AE"/>
    <w:rsid w:val="00C206FC"/>
    <w:rsid w:val="00C21DC9"/>
    <w:rsid w:val="00C22BDA"/>
    <w:rsid w:val="00C2315F"/>
    <w:rsid w:val="00C23896"/>
    <w:rsid w:val="00C23C68"/>
    <w:rsid w:val="00C26F0A"/>
    <w:rsid w:val="00C31353"/>
    <w:rsid w:val="00C31467"/>
    <w:rsid w:val="00C318F1"/>
    <w:rsid w:val="00C32D86"/>
    <w:rsid w:val="00C33E54"/>
    <w:rsid w:val="00C36250"/>
    <w:rsid w:val="00C363F5"/>
    <w:rsid w:val="00C37808"/>
    <w:rsid w:val="00C4010B"/>
    <w:rsid w:val="00C41230"/>
    <w:rsid w:val="00C44894"/>
    <w:rsid w:val="00C4579C"/>
    <w:rsid w:val="00C45BF6"/>
    <w:rsid w:val="00C45CB9"/>
    <w:rsid w:val="00C46C60"/>
    <w:rsid w:val="00C47CF7"/>
    <w:rsid w:val="00C5060F"/>
    <w:rsid w:val="00C5105D"/>
    <w:rsid w:val="00C5220D"/>
    <w:rsid w:val="00C52EF8"/>
    <w:rsid w:val="00C538AA"/>
    <w:rsid w:val="00C55E1C"/>
    <w:rsid w:val="00C57E62"/>
    <w:rsid w:val="00C61E90"/>
    <w:rsid w:val="00C624E9"/>
    <w:rsid w:val="00C62B3D"/>
    <w:rsid w:val="00C6340D"/>
    <w:rsid w:val="00C65D36"/>
    <w:rsid w:val="00C66A2A"/>
    <w:rsid w:val="00C6707A"/>
    <w:rsid w:val="00C70D7F"/>
    <w:rsid w:val="00C71ACD"/>
    <w:rsid w:val="00C74664"/>
    <w:rsid w:val="00C75B08"/>
    <w:rsid w:val="00C75F2A"/>
    <w:rsid w:val="00C80573"/>
    <w:rsid w:val="00C8197E"/>
    <w:rsid w:val="00C8253D"/>
    <w:rsid w:val="00C82906"/>
    <w:rsid w:val="00C82AFB"/>
    <w:rsid w:val="00C85CB7"/>
    <w:rsid w:val="00C8637A"/>
    <w:rsid w:val="00C8769B"/>
    <w:rsid w:val="00C901B8"/>
    <w:rsid w:val="00C90280"/>
    <w:rsid w:val="00C91F76"/>
    <w:rsid w:val="00C9315C"/>
    <w:rsid w:val="00C93CF8"/>
    <w:rsid w:val="00C94A3B"/>
    <w:rsid w:val="00C962AA"/>
    <w:rsid w:val="00C96BC5"/>
    <w:rsid w:val="00CA0D84"/>
    <w:rsid w:val="00CA1426"/>
    <w:rsid w:val="00CA1D06"/>
    <w:rsid w:val="00CA3906"/>
    <w:rsid w:val="00CA3AC9"/>
    <w:rsid w:val="00CA7980"/>
    <w:rsid w:val="00CA7DB5"/>
    <w:rsid w:val="00CB0A0E"/>
    <w:rsid w:val="00CB0AA9"/>
    <w:rsid w:val="00CB1269"/>
    <w:rsid w:val="00CB29F0"/>
    <w:rsid w:val="00CB2D0F"/>
    <w:rsid w:val="00CB3AB8"/>
    <w:rsid w:val="00CB4A6B"/>
    <w:rsid w:val="00CB681D"/>
    <w:rsid w:val="00CC1559"/>
    <w:rsid w:val="00CC1764"/>
    <w:rsid w:val="00CC1F19"/>
    <w:rsid w:val="00CC1F4E"/>
    <w:rsid w:val="00CC5E3B"/>
    <w:rsid w:val="00CC6609"/>
    <w:rsid w:val="00CC6811"/>
    <w:rsid w:val="00CD0074"/>
    <w:rsid w:val="00CD0BC4"/>
    <w:rsid w:val="00CD1031"/>
    <w:rsid w:val="00CD376C"/>
    <w:rsid w:val="00CD42A5"/>
    <w:rsid w:val="00CD54CD"/>
    <w:rsid w:val="00CD5FCE"/>
    <w:rsid w:val="00CD658A"/>
    <w:rsid w:val="00CD6771"/>
    <w:rsid w:val="00CD7B99"/>
    <w:rsid w:val="00CD7E8E"/>
    <w:rsid w:val="00CE02F1"/>
    <w:rsid w:val="00CE06D1"/>
    <w:rsid w:val="00CE169C"/>
    <w:rsid w:val="00CE2655"/>
    <w:rsid w:val="00CE2C3C"/>
    <w:rsid w:val="00CE3345"/>
    <w:rsid w:val="00CE36CB"/>
    <w:rsid w:val="00CE4A10"/>
    <w:rsid w:val="00CE56AC"/>
    <w:rsid w:val="00CE6806"/>
    <w:rsid w:val="00CF318F"/>
    <w:rsid w:val="00CF5723"/>
    <w:rsid w:val="00CF5747"/>
    <w:rsid w:val="00CF6694"/>
    <w:rsid w:val="00CF710D"/>
    <w:rsid w:val="00D0029D"/>
    <w:rsid w:val="00D00CB0"/>
    <w:rsid w:val="00D01B48"/>
    <w:rsid w:val="00D03C8D"/>
    <w:rsid w:val="00D0486B"/>
    <w:rsid w:val="00D06D80"/>
    <w:rsid w:val="00D0741E"/>
    <w:rsid w:val="00D106C9"/>
    <w:rsid w:val="00D11616"/>
    <w:rsid w:val="00D11912"/>
    <w:rsid w:val="00D15B91"/>
    <w:rsid w:val="00D17ECE"/>
    <w:rsid w:val="00D21B4A"/>
    <w:rsid w:val="00D22019"/>
    <w:rsid w:val="00D2277D"/>
    <w:rsid w:val="00D22E43"/>
    <w:rsid w:val="00D24D02"/>
    <w:rsid w:val="00D254E8"/>
    <w:rsid w:val="00D25563"/>
    <w:rsid w:val="00D26AFA"/>
    <w:rsid w:val="00D26E8A"/>
    <w:rsid w:val="00D27943"/>
    <w:rsid w:val="00D304FB"/>
    <w:rsid w:val="00D307E0"/>
    <w:rsid w:val="00D3097C"/>
    <w:rsid w:val="00D30C23"/>
    <w:rsid w:val="00D312B2"/>
    <w:rsid w:val="00D31E4A"/>
    <w:rsid w:val="00D320F3"/>
    <w:rsid w:val="00D3250A"/>
    <w:rsid w:val="00D3263B"/>
    <w:rsid w:val="00D34A04"/>
    <w:rsid w:val="00D36C75"/>
    <w:rsid w:val="00D41AFC"/>
    <w:rsid w:val="00D448A2"/>
    <w:rsid w:val="00D4508B"/>
    <w:rsid w:val="00D461D9"/>
    <w:rsid w:val="00D46F38"/>
    <w:rsid w:val="00D5029F"/>
    <w:rsid w:val="00D50554"/>
    <w:rsid w:val="00D514AF"/>
    <w:rsid w:val="00D5213F"/>
    <w:rsid w:val="00D52538"/>
    <w:rsid w:val="00D52944"/>
    <w:rsid w:val="00D530D4"/>
    <w:rsid w:val="00D54286"/>
    <w:rsid w:val="00D548D0"/>
    <w:rsid w:val="00D551C2"/>
    <w:rsid w:val="00D55D58"/>
    <w:rsid w:val="00D561B8"/>
    <w:rsid w:val="00D578FE"/>
    <w:rsid w:val="00D60813"/>
    <w:rsid w:val="00D60BF0"/>
    <w:rsid w:val="00D60DF1"/>
    <w:rsid w:val="00D61748"/>
    <w:rsid w:val="00D62B78"/>
    <w:rsid w:val="00D62F45"/>
    <w:rsid w:val="00D644FC"/>
    <w:rsid w:val="00D647E1"/>
    <w:rsid w:val="00D6546B"/>
    <w:rsid w:val="00D65555"/>
    <w:rsid w:val="00D67362"/>
    <w:rsid w:val="00D674CE"/>
    <w:rsid w:val="00D70461"/>
    <w:rsid w:val="00D70B81"/>
    <w:rsid w:val="00D712FF"/>
    <w:rsid w:val="00D72E30"/>
    <w:rsid w:val="00D73B0D"/>
    <w:rsid w:val="00D7408B"/>
    <w:rsid w:val="00D7448B"/>
    <w:rsid w:val="00D75D93"/>
    <w:rsid w:val="00D76457"/>
    <w:rsid w:val="00D76DE4"/>
    <w:rsid w:val="00D77724"/>
    <w:rsid w:val="00D77D3D"/>
    <w:rsid w:val="00D805CB"/>
    <w:rsid w:val="00D81A04"/>
    <w:rsid w:val="00D82D8E"/>
    <w:rsid w:val="00D834D2"/>
    <w:rsid w:val="00D834D8"/>
    <w:rsid w:val="00D852EA"/>
    <w:rsid w:val="00D85867"/>
    <w:rsid w:val="00D86E75"/>
    <w:rsid w:val="00D87FE3"/>
    <w:rsid w:val="00D908C6"/>
    <w:rsid w:val="00D919DB"/>
    <w:rsid w:val="00D924BD"/>
    <w:rsid w:val="00D92F39"/>
    <w:rsid w:val="00D9436C"/>
    <w:rsid w:val="00D94EB5"/>
    <w:rsid w:val="00D96185"/>
    <w:rsid w:val="00D9750F"/>
    <w:rsid w:val="00D97744"/>
    <w:rsid w:val="00D97BAC"/>
    <w:rsid w:val="00D97E55"/>
    <w:rsid w:val="00D97F66"/>
    <w:rsid w:val="00DA1C00"/>
    <w:rsid w:val="00DA2AAF"/>
    <w:rsid w:val="00DA4AF3"/>
    <w:rsid w:val="00DA5B51"/>
    <w:rsid w:val="00DA6C0F"/>
    <w:rsid w:val="00DB1B37"/>
    <w:rsid w:val="00DB1BCD"/>
    <w:rsid w:val="00DB2380"/>
    <w:rsid w:val="00DB4B42"/>
    <w:rsid w:val="00DB642B"/>
    <w:rsid w:val="00DB7347"/>
    <w:rsid w:val="00DC1ABF"/>
    <w:rsid w:val="00DC2F79"/>
    <w:rsid w:val="00DC48F6"/>
    <w:rsid w:val="00DC676B"/>
    <w:rsid w:val="00DC6E18"/>
    <w:rsid w:val="00DD0FDD"/>
    <w:rsid w:val="00DD121A"/>
    <w:rsid w:val="00DD1E80"/>
    <w:rsid w:val="00DD3203"/>
    <w:rsid w:val="00DD332F"/>
    <w:rsid w:val="00DD443C"/>
    <w:rsid w:val="00DD4786"/>
    <w:rsid w:val="00DD6F4D"/>
    <w:rsid w:val="00DD6F69"/>
    <w:rsid w:val="00DD6FD7"/>
    <w:rsid w:val="00DD7323"/>
    <w:rsid w:val="00DE2F8B"/>
    <w:rsid w:val="00DE309C"/>
    <w:rsid w:val="00DE3C19"/>
    <w:rsid w:val="00DE3D8E"/>
    <w:rsid w:val="00DE4143"/>
    <w:rsid w:val="00DE4AA2"/>
    <w:rsid w:val="00DE63CA"/>
    <w:rsid w:val="00DF1601"/>
    <w:rsid w:val="00DF5486"/>
    <w:rsid w:val="00DF5E03"/>
    <w:rsid w:val="00DF6D45"/>
    <w:rsid w:val="00DF71BB"/>
    <w:rsid w:val="00DF72F8"/>
    <w:rsid w:val="00DF7C7D"/>
    <w:rsid w:val="00E00267"/>
    <w:rsid w:val="00E004E6"/>
    <w:rsid w:val="00E01F03"/>
    <w:rsid w:val="00E02192"/>
    <w:rsid w:val="00E02545"/>
    <w:rsid w:val="00E02B12"/>
    <w:rsid w:val="00E032F5"/>
    <w:rsid w:val="00E03390"/>
    <w:rsid w:val="00E035B2"/>
    <w:rsid w:val="00E048E8"/>
    <w:rsid w:val="00E05908"/>
    <w:rsid w:val="00E05C53"/>
    <w:rsid w:val="00E066C1"/>
    <w:rsid w:val="00E06B21"/>
    <w:rsid w:val="00E07089"/>
    <w:rsid w:val="00E077CE"/>
    <w:rsid w:val="00E117FB"/>
    <w:rsid w:val="00E21793"/>
    <w:rsid w:val="00E22EA6"/>
    <w:rsid w:val="00E23FA0"/>
    <w:rsid w:val="00E24D29"/>
    <w:rsid w:val="00E267EC"/>
    <w:rsid w:val="00E335F0"/>
    <w:rsid w:val="00E3398C"/>
    <w:rsid w:val="00E3444A"/>
    <w:rsid w:val="00E354CE"/>
    <w:rsid w:val="00E356AA"/>
    <w:rsid w:val="00E35C4D"/>
    <w:rsid w:val="00E3600F"/>
    <w:rsid w:val="00E366D9"/>
    <w:rsid w:val="00E370FF"/>
    <w:rsid w:val="00E40077"/>
    <w:rsid w:val="00E4146E"/>
    <w:rsid w:val="00E424C5"/>
    <w:rsid w:val="00E429F4"/>
    <w:rsid w:val="00E43700"/>
    <w:rsid w:val="00E43896"/>
    <w:rsid w:val="00E4440E"/>
    <w:rsid w:val="00E4479F"/>
    <w:rsid w:val="00E44C57"/>
    <w:rsid w:val="00E44EC9"/>
    <w:rsid w:val="00E460FF"/>
    <w:rsid w:val="00E46B2C"/>
    <w:rsid w:val="00E521C4"/>
    <w:rsid w:val="00E5256E"/>
    <w:rsid w:val="00E53586"/>
    <w:rsid w:val="00E53D47"/>
    <w:rsid w:val="00E57239"/>
    <w:rsid w:val="00E61C69"/>
    <w:rsid w:val="00E63FE1"/>
    <w:rsid w:val="00E67908"/>
    <w:rsid w:val="00E71322"/>
    <w:rsid w:val="00E71D9C"/>
    <w:rsid w:val="00E7207D"/>
    <w:rsid w:val="00E72F9C"/>
    <w:rsid w:val="00E73522"/>
    <w:rsid w:val="00E73F8C"/>
    <w:rsid w:val="00E73FA3"/>
    <w:rsid w:val="00E74245"/>
    <w:rsid w:val="00E748BD"/>
    <w:rsid w:val="00E74ECC"/>
    <w:rsid w:val="00E7680C"/>
    <w:rsid w:val="00E76D64"/>
    <w:rsid w:val="00E76EDE"/>
    <w:rsid w:val="00E77B5C"/>
    <w:rsid w:val="00E77D65"/>
    <w:rsid w:val="00E80D8B"/>
    <w:rsid w:val="00E81757"/>
    <w:rsid w:val="00E82E6C"/>
    <w:rsid w:val="00E857B6"/>
    <w:rsid w:val="00E858EE"/>
    <w:rsid w:val="00E86FD0"/>
    <w:rsid w:val="00E9059B"/>
    <w:rsid w:val="00E90BC5"/>
    <w:rsid w:val="00E917E3"/>
    <w:rsid w:val="00E91FC4"/>
    <w:rsid w:val="00E93E44"/>
    <w:rsid w:val="00E955A0"/>
    <w:rsid w:val="00E963F7"/>
    <w:rsid w:val="00E966B0"/>
    <w:rsid w:val="00E96781"/>
    <w:rsid w:val="00E96C79"/>
    <w:rsid w:val="00E9705D"/>
    <w:rsid w:val="00E97A6A"/>
    <w:rsid w:val="00EA011A"/>
    <w:rsid w:val="00EA0770"/>
    <w:rsid w:val="00EA16A6"/>
    <w:rsid w:val="00EA1C50"/>
    <w:rsid w:val="00EA607F"/>
    <w:rsid w:val="00EA6778"/>
    <w:rsid w:val="00EA7237"/>
    <w:rsid w:val="00EA770E"/>
    <w:rsid w:val="00EA788B"/>
    <w:rsid w:val="00EA7D9E"/>
    <w:rsid w:val="00EB049E"/>
    <w:rsid w:val="00EB0A47"/>
    <w:rsid w:val="00EB0B84"/>
    <w:rsid w:val="00EB2ED0"/>
    <w:rsid w:val="00EB37F6"/>
    <w:rsid w:val="00EB3C26"/>
    <w:rsid w:val="00EB554F"/>
    <w:rsid w:val="00EB7E8E"/>
    <w:rsid w:val="00EC1F4D"/>
    <w:rsid w:val="00EC3C9E"/>
    <w:rsid w:val="00EC52B9"/>
    <w:rsid w:val="00EC77AA"/>
    <w:rsid w:val="00ED0498"/>
    <w:rsid w:val="00ED1866"/>
    <w:rsid w:val="00ED2800"/>
    <w:rsid w:val="00ED4BFB"/>
    <w:rsid w:val="00ED50D4"/>
    <w:rsid w:val="00ED5F4B"/>
    <w:rsid w:val="00ED6F34"/>
    <w:rsid w:val="00ED719F"/>
    <w:rsid w:val="00EE083C"/>
    <w:rsid w:val="00EE0D5E"/>
    <w:rsid w:val="00EE2001"/>
    <w:rsid w:val="00EE2061"/>
    <w:rsid w:val="00EE311E"/>
    <w:rsid w:val="00EE45A1"/>
    <w:rsid w:val="00EE4B69"/>
    <w:rsid w:val="00EE4F01"/>
    <w:rsid w:val="00EE5F71"/>
    <w:rsid w:val="00EE7E8E"/>
    <w:rsid w:val="00EF07A3"/>
    <w:rsid w:val="00EF091E"/>
    <w:rsid w:val="00EF0DA0"/>
    <w:rsid w:val="00EF1089"/>
    <w:rsid w:val="00EF2ABB"/>
    <w:rsid w:val="00EF4A7D"/>
    <w:rsid w:val="00EF4D3F"/>
    <w:rsid w:val="00F0320A"/>
    <w:rsid w:val="00F041FD"/>
    <w:rsid w:val="00F052B4"/>
    <w:rsid w:val="00F05339"/>
    <w:rsid w:val="00F056D4"/>
    <w:rsid w:val="00F06306"/>
    <w:rsid w:val="00F06E60"/>
    <w:rsid w:val="00F07C80"/>
    <w:rsid w:val="00F10295"/>
    <w:rsid w:val="00F10A08"/>
    <w:rsid w:val="00F10B88"/>
    <w:rsid w:val="00F124EE"/>
    <w:rsid w:val="00F13FB8"/>
    <w:rsid w:val="00F14002"/>
    <w:rsid w:val="00F14DFE"/>
    <w:rsid w:val="00F1575D"/>
    <w:rsid w:val="00F16655"/>
    <w:rsid w:val="00F169EF"/>
    <w:rsid w:val="00F20613"/>
    <w:rsid w:val="00F21EDF"/>
    <w:rsid w:val="00F21F24"/>
    <w:rsid w:val="00F221B0"/>
    <w:rsid w:val="00F22405"/>
    <w:rsid w:val="00F229B0"/>
    <w:rsid w:val="00F251ED"/>
    <w:rsid w:val="00F25972"/>
    <w:rsid w:val="00F26375"/>
    <w:rsid w:val="00F26C4C"/>
    <w:rsid w:val="00F27DF7"/>
    <w:rsid w:val="00F301CD"/>
    <w:rsid w:val="00F3253D"/>
    <w:rsid w:val="00F33FF3"/>
    <w:rsid w:val="00F34135"/>
    <w:rsid w:val="00F343D6"/>
    <w:rsid w:val="00F37CFC"/>
    <w:rsid w:val="00F40E87"/>
    <w:rsid w:val="00F40FC8"/>
    <w:rsid w:val="00F41398"/>
    <w:rsid w:val="00F42808"/>
    <w:rsid w:val="00F428BE"/>
    <w:rsid w:val="00F44368"/>
    <w:rsid w:val="00F46F12"/>
    <w:rsid w:val="00F47219"/>
    <w:rsid w:val="00F47DAB"/>
    <w:rsid w:val="00F501F6"/>
    <w:rsid w:val="00F50CE3"/>
    <w:rsid w:val="00F533D4"/>
    <w:rsid w:val="00F53AF7"/>
    <w:rsid w:val="00F54D45"/>
    <w:rsid w:val="00F56D34"/>
    <w:rsid w:val="00F6090B"/>
    <w:rsid w:val="00F60C18"/>
    <w:rsid w:val="00F6191B"/>
    <w:rsid w:val="00F63260"/>
    <w:rsid w:val="00F67857"/>
    <w:rsid w:val="00F67D42"/>
    <w:rsid w:val="00F718E5"/>
    <w:rsid w:val="00F71E0E"/>
    <w:rsid w:val="00F71E3F"/>
    <w:rsid w:val="00F7215D"/>
    <w:rsid w:val="00F72D03"/>
    <w:rsid w:val="00F74A5A"/>
    <w:rsid w:val="00F74E94"/>
    <w:rsid w:val="00F754DC"/>
    <w:rsid w:val="00F75A2F"/>
    <w:rsid w:val="00F75EB6"/>
    <w:rsid w:val="00F81254"/>
    <w:rsid w:val="00F81AEF"/>
    <w:rsid w:val="00F81DEC"/>
    <w:rsid w:val="00F8225D"/>
    <w:rsid w:val="00F8419D"/>
    <w:rsid w:val="00F8447A"/>
    <w:rsid w:val="00F856A0"/>
    <w:rsid w:val="00F86AF2"/>
    <w:rsid w:val="00F86D47"/>
    <w:rsid w:val="00F901AF"/>
    <w:rsid w:val="00F90413"/>
    <w:rsid w:val="00F9070A"/>
    <w:rsid w:val="00F93C72"/>
    <w:rsid w:val="00F94A46"/>
    <w:rsid w:val="00F97DE1"/>
    <w:rsid w:val="00FA0A19"/>
    <w:rsid w:val="00FA2EFC"/>
    <w:rsid w:val="00FA416D"/>
    <w:rsid w:val="00FA48F9"/>
    <w:rsid w:val="00FA62E4"/>
    <w:rsid w:val="00FA7222"/>
    <w:rsid w:val="00FA7CED"/>
    <w:rsid w:val="00FB0877"/>
    <w:rsid w:val="00FB2778"/>
    <w:rsid w:val="00FB3F6D"/>
    <w:rsid w:val="00FB46DA"/>
    <w:rsid w:val="00FB7C1B"/>
    <w:rsid w:val="00FC0A75"/>
    <w:rsid w:val="00FC1C06"/>
    <w:rsid w:val="00FC202E"/>
    <w:rsid w:val="00FC3ED5"/>
    <w:rsid w:val="00FC4CEC"/>
    <w:rsid w:val="00FC5AEA"/>
    <w:rsid w:val="00FC5C5E"/>
    <w:rsid w:val="00FC5F75"/>
    <w:rsid w:val="00FC69C6"/>
    <w:rsid w:val="00FC70F3"/>
    <w:rsid w:val="00FC71B9"/>
    <w:rsid w:val="00FC7250"/>
    <w:rsid w:val="00FC7CB4"/>
    <w:rsid w:val="00FD0954"/>
    <w:rsid w:val="00FD13E7"/>
    <w:rsid w:val="00FD1C8E"/>
    <w:rsid w:val="00FD2842"/>
    <w:rsid w:val="00FD4EDA"/>
    <w:rsid w:val="00FD5BBB"/>
    <w:rsid w:val="00FD6ADE"/>
    <w:rsid w:val="00FD724C"/>
    <w:rsid w:val="00FD7609"/>
    <w:rsid w:val="00FE0AAE"/>
    <w:rsid w:val="00FE55C5"/>
    <w:rsid w:val="00FE6C36"/>
    <w:rsid w:val="00FF0A60"/>
    <w:rsid w:val="00FF16A7"/>
    <w:rsid w:val="00FF1E66"/>
    <w:rsid w:val="00FF2563"/>
    <w:rsid w:val="00FF2DFE"/>
    <w:rsid w:val="00FF30C9"/>
    <w:rsid w:val="00FF34D8"/>
    <w:rsid w:val="00FF590C"/>
    <w:rsid w:val="00FF6119"/>
    <w:rsid w:val="011C4D8A"/>
    <w:rsid w:val="012B0C1E"/>
    <w:rsid w:val="016C3D8E"/>
    <w:rsid w:val="01702D73"/>
    <w:rsid w:val="0174208A"/>
    <w:rsid w:val="0188685E"/>
    <w:rsid w:val="018D1B93"/>
    <w:rsid w:val="01A8450E"/>
    <w:rsid w:val="01BC1294"/>
    <w:rsid w:val="01C2207C"/>
    <w:rsid w:val="01C776E0"/>
    <w:rsid w:val="01CF13C4"/>
    <w:rsid w:val="01DB4E9F"/>
    <w:rsid w:val="01EB2BE1"/>
    <w:rsid w:val="02064BCD"/>
    <w:rsid w:val="02090068"/>
    <w:rsid w:val="021F3AC5"/>
    <w:rsid w:val="02263C2A"/>
    <w:rsid w:val="02273298"/>
    <w:rsid w:val="023F3EF2"/>
    <w:rsid w:val="02682FB0"/>
    <w:rsid w:val="027A6549"/>
    <w:rsid w:val="028A205E"/>
    <w:rsid w:val="029B3385"/>
    <w:rsid w:val="029E2BA4"/>
    <w:rsid w:val="029E662D"/>
    <w:rsid w:val="02BA4997"/>
    <w:rsid w:val="02C25610"/>
    <w:rsid w:val="02D931FC"/>
    <w:rsid w:val="02F0179C"/>
    <w:rsid w:val="02F405F4"/>
    <w:rsid w:val="030A4FB4"/>
    <w:rsid w:val="030D3039"/>
    <w:rsid w:val="031239E5"/>
    <w:rsid w:val="03166EC9"/>
    <w:rsid w:val="031A3AA8"/>
    <w:rsid w:val="032300C2"/>
    <w:rsid w:val="033E39E2"/>
    <w:rsid w:val="03491CE5"/>
    <w:rsid w:val="035D0010"/>
    <w:rsid w:val="03621C97"/>
    <w:rsid w:val="0368271C"/>
    <w:rsid w:val="038208C8"/>
    <w:rsid w:val="03844A01"/>
    <w:rsid w:val="03C36F10"/>
    <w:rsid w:val="03C74DC2"/>
    <w:rsid w:val="03E624EB"/>
    <w:rsid w:val="03E80945"/>
    <w:rsid w:val="03E96C61"/>
    <w:rsid w:val="04075A39"/>
    <w:rsid w:val="040E47EE"/>
    <w:rsid w:val="041E40B7"/>
    <w:rsid w:val="042F09AF"/>
    <w:rsid w:val="04611A78"/>
    <w:rsid w:val="046D3876"/>
    <w:rsid w:val="04701B8C"/>
    <w:rsid w:val="04826287"/>
    <w:rsid w:val="04A24AA9"/>
    <w:rsid w:val="04B17104"/>
    <w:rsid w:val="04C51222"/>
    <w:rsid w:val="04D63E4A"/>
    <w:rsid w:val="04F06B51"/>
    <w:rsid w:val="04F811F7"/>
    <w:rsid w:val="052D3EE9"/>
    <w:rsid w:val="053E580B"/>
    <w:rsid w:val="05441E69"/>
    <w:rsid w:val="055D4726"/>
    <w:rsid w:val="05723253"/>
    <w:rsid w:val="05762920"/>
    <w:rsid w:val="0576360E"/>
    <w:rsid w:val="057E3893"/>
    <w:rsid w:val="05896DC4"/>
    <w:rsid w:val="058F7672"/>
    <w:rsid w:val="05B44425"/>
    <w:rsid w:val="05CF41D4"/>
    <w:rsid w:val="05D142B3"/>
    <w:rsid w:val="05DD5474"/>
    <w:rsid w:val="05E26410"/>
    <w:rsid w:val="05EE3B4E"/>
    <w:rsid w:val="060D2BB2"/>
    <w:rsid w:val="060F2BBF"/>
    <w:rsid w:val="061F463E"/>
    <w:rsid w:val="062D3334"/>
    <w:rsid w:val="062E7477"/>
    <w:rsid w:val="06394F99"/>
    <w:rsid w:val="066459AC"/>
    <w:rsid w:val="066525A4"/>
    <w:rsid w:val="06685DA0"/>
    <w:rsid w:val="066E5311"/>
    <w:rsid w:val="06757696"/>
    <w:rsid w:val="06763B4B"/>
    <w:rsid w:val="068151D0"/>
    <w:rsid w:val="06A94B4A"/>
    <w:rsid w:val="06AC7BDE"/>
    <w:rsid w:val="06B1626D"/>
    <w:rsid w:val="06CD0855"/>
    <w:rsid w:val="06F71148"/>
    <w:rsid w:val="06F72F04"/>
    <w:rsid w:val="06FD0DC2"/>
    <w:rsid w:val="070218EC"/>
    <w:rsid w:val="07180312"/>
    <w:rsid w:val="07183D02"/>
    <w:rsid w:val="071E3EF8"/>
    <w:rsid w:val="071F570D"/>
    <w:rsid w:val="073533AD"/>
    <w:rsid w:val="07476DC8"/>
    <w:rsid w:val="07484589"/>
    <w:rsid w:val="074A7978"/>
    <w:rsid w:val="07815C50"/>
    <w:rsid w:val="07B62C9C"/>
    <w:rsid w:val="07EA291F"/>
    <w:rsid w:val="080808A0"/>
    <w:rsid w:val="081508A2"/>
    <w:rsid w:val="081749A7"/>
    <w:rsid w:val="083E2F25"/>
    <w:rsid w:val="08437EF3"/>
    <w:rsid w:val="085802FE"/>
    <w:rsid w:val="08594498"/>
    <w:rsid w:val="085A7797"/>
    <w:rsid w:val="08692312"/>
    <w:rsid w:val="08706A66"/>
    <w:rsid w:val="089036B7"/>
    <w:rsid w:val="089F7CA5"/>
    <w:rsid w:val="08B51453"/>
    <w:rsid w:val="08BD0EA0"/>
    <w:rsid w:val="08C064C0"/>
    <w:rsid w:val="08DB4B25"/>
    <w:rsid w:val="08E01BCE"/>
    <w:rsid w:val="08E216F0"/>
    <w:rsid w:val="08E26F45"/>
    <w:rsid w:val="08E3734A"/>
    <w:rsid w:val="08E702BF"/>
    <w:rsid w:val="08EA6987"/>
    <w:rsid w:val="08F61B23"/>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E737F2"/>
    <w:rsid w:val="09F84AA8"/>
    <w:rsid w:val="0A001631"/>
    <w:rsid w:val="0A0B76BA"/>
    <w:rsid w:val="0A106033"/>
    <w:rsid w:val="0A353749"/>
    <w:rsid w:val="0A4213D2"/>
    <w:rsid w:val="0A4C10CD"/>
    <w:rsid w:val="0A501D24"/>
    <w:rsid w:val="0A514723"/>
    <w:rsid w:val="0A577DCC"/>
    <w:rsid w:val="0A6D3C90"/>
    <w:rsid w:val="0A9D519E"/>
    <w:rsid w:val="0A9E3A18"/>
    <w:rsid w:val="0AA94BEF"/>
    <w:rsid w:val="0ABB1E85"/>
    <w:rsid w:val="0ABE5888"/>
    <w:rsid w:val="0AC0235E"/>
    <w:rsid w:val="0AC24A92"/>
    <w:rsid w:val="0AC62D12"/>
    <w:rsid w:val="0AC7358C"/>
    <w:rsid w:val="0AFF6668"/>
    <w:rsid w:val="0B0D528C"/>
    <w:rsid w:val="0B1C1C00"/>
    <w:rsid w:val="0B1C6E34"/>
    <w:rsid w:val="0B1F4F7F"/>
    <w:rsid w:val="0B3253A5"/>
    <w:rsid w:val="0B326CC7"/>
    <w:rsid w:val="0B370769"/>
    <w:rsid w:val="0B562DAC"/>
    <w:rsid w:val="0B702D58"/>
    <w:rsid w:val="0B75201D"/>
    <w:rsid w:val="0B813677"/>
    <w:rsid w:val="0B8575F9"/>
    <w:rsid w:val="0BA42587"/>
    <w:rsid w:val="0BAA350D"/>
    <w:rsid w:val="0BB27E54"/>
    <w:rsid w:val="0BBA28F5"/>
    <w:rsid w:val="0BBD1EDC"/>
    <w:rsid w:val="0BCD12D7"/>
    <w:rsid w:val="0BCF7C16"/>
    <w:rsid w:val="0BDD6672"/>
    <w:rsid w:val="0BE814BE"/>
    <w:rsid w:val="0BEB6819"/>
    <w:rsid w:val="0BF77528"/>
    <w:rsid w:val="0BFA0045"/>
    <w:rsid w:val="0C136F73"/>
    <w:rsid w:val="0C1B06D7"/>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D5BB6"/>
    <w:rsid w:val="0CDE76B4"/>
    <w:rsid w:val="0CDF1FED"/>
    <w:rsid w:val="0CEC35B5"/>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B708BC"/>
    <w:rsid w:val="0DB72C42"/>
    <w:rsid w:val="0DC06C2B"/>
    <w:rsid w:val="0DDB5534"/>
    <w:rsid w:val="0DE04E29"/>
    <w:rsid w:val="0DE90D6E"/>
    <w:rsid w:val="0DF92721"/>
    <w:rsid w:val="0DFF5037"/>
    <w:rsid w:val="0E2A3D48"/>
    <w:rsid w:val="0E48217E"/>
    <w:rsid w:val="0E4C6690"/>
    <w:rsid w:val="0E666C91"/>
    <w:rsid w:val="0EA73C6D"/>
    <w:rsid w:val="0EAC1173"/>
    <w:rsid w:val="0EB02422"/>
    <w:rsid w:val="0EB5640F"/>
    <w:rsid w:val="0EB8426F"/>
    <w:rsid w:val="0EBB3D1D"/>
    <w:rsid w:val="0EC23B23"/>
    <w:rsid w:val="0EDF6D79"/>
    <w:rsid w:val="0EF27A89"/>
    <w:rsid w:val="0F0D19D8"/>
    <w:rsid w:val="0F217D15"/>
    <w:rsid w:val="0F321715"/>
    <w:rsid w:val="0F3E131E"/>
    <w:rsid w:val="0F471525"/>
    <w:rsid w:val="0F5977B6"/>
    <w:rsid w:val="0F6A0D23"/>
    <w:rsid w:val="0F922970"/>
    <w:rsid w:val="0FAF385C"/>
    <w:rsid w:val="0FBF197F"/>
    <w:rsid w:val="0FC32FB3"/>
    <w:rsid w:val="0FF54C4D"/>
    <w:rsid w:val="1005432D"/>
    <w:rsid w:val="1009448F"/>
    <w:rsid w:val="102C4A8E"/>
    <w:rsid w:val="1060768A"/>
    <w:rsid w:val="10616FD4"/>
    <w:rsid w:val="10726AB1"/>
    <w:rsid w:val="10BD62F9"/>
    <w:rsid w:val="10D4264C"/>
    <w:rsid w:val="10DD707D"/>
    <w:rsid w:val="10DF592B"/>
    <w:rsid w:val="10E636FF"/>
    <w:rsid w:val="11175E42"/>
    <w:rsid w:val="111854A2"/>
    <w:rsid w:val="112231F4"/>
    <w:rsid w:val="11290272"/>
    <w:rsid w:val="114A7AE3"/>
    <w:rsid w:val="11701F80"/>
    <w:rsid w:val="118A1992"/>
    <w:rsid w:val="119F755E"/>
    <w:rsid w:val="11A23697"/>
    <w:rsid w:val="11B72EF1"/>
    <w:rsid w:val="11B82A44"/>
    <w:rsid w:val="11BA669D"/>
    <w:rsid w:val="11BC0ABD"/>
    <w:rsid w:val="11CA5AA2"/>
    <w:rsid w:val="11D973BC"/>
    <w:rsid w:val="11DA0BCE"/>
    <w:rsid w:val="11F53E16"/>
    <w:rsid w:val="12113CC6"/>
    <w:rsid w:val="121B516A"/>
    <w:rsid w:val="12231D95"/>
    <w:rsid w:val="12312C85"/>
    <w:rsid w:val="123C702A"/>
    <w:rsid w:val="12441B06"/>
    <w:rsid w:val="1249182D"/>
    <w:rsid w:val="125B2E40"/>
    <w:rsid w:val="12877439"/>
    <w:rsid w:val="129725E9"/>
    <w:rsid w:val="12B343B2"/>
    <w:rsid w:val="12C86981"/>
    <w:rsid w:val="12CF4C41"/>
    <w:rsid w:val="12DA503B"/>
    <w:rsid w:val="12DD1218"/>
    <w:rsid w:val="12FD6E69"/>
    <w:rsid w:val="130E0A9E"/>
    <w:rsid w:val="13270EFD"/>
    <w:rsid w:val="13384EBF"/>
    <w:rsid w:val="13401D7B"/>
    <w:rsid w:val="13450C06"/>
    <w:rsid w:val="134E59DE"/>
    <w:rsid w:val="137F762D"/>
    <w:rsid w:val="138D3A49"/>
    <w:rsid w:val="13BC5F47"/>
    <w:rsid w:val="13C76AD9"/>
    <w:rsid w:val="13D24932"/>
    <w:rsid w:val="13DF2F86"/>
    <w:rsid w:val="13E16550"/>
    <w:rsid w:val="13E97AE8"/>
    <w:rsid w:val="13EE5A17"/>
    <w:rsid w:val="140E6A2C"/>
    <w:rsid w:val="142C50B5"/>
    <w:rsid w:val="143417A2"/>
    <w:rsid w:val="143E3F4A"/>
    <w:rsid w:val="14576A07"/>
    <w:rsid w:val="145E210C"/>
    <w:rsid w:val="146C05D1"/>
    <w:rsid w:val="14774747"/>
    <w:rsid w:val="147A40E5"/>
    <w:rsid w:val="14B645DD"/>
    <w:rsid w:val="14CF6367"/>
    <w:rsid w:val="1506170C"/>
    <w:rsid w:val="15304C6C"/>
    <w:rsid w:val="154A5A8D"/>
    <w:rsid w:val="156F1D08"/>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8C097C"/>
    <w:rsid w:val="16A57952"/>
    <w:rsid w:val="16C31A06"/>
    <w:rsid w:val="16D534FC"/>
    <w:rsid w:val="16FD7C84"/>
    <w:rsid w:val="17053FFF"/>
    <w:rsid w:val="1710641E"/>
    <w:rsid w:val="1714609D"/>
    <w:rsid w:val="17497D3D"/>
    <w:rsid w:val="174D2D72"/>
    <w:rsid w:val="17504F3A"/>
    <w:rsid w:val="175B185B"/>
    <w:rsid w:val="17614581"/>
    <w:rsid w:val="1765436B"/>
    <w:rsid w:val="17862906"/>
    <w:rsid w:val="179A02D4"/>
    <w:rsid w:val="17A12A83"/>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6C7E50"/>
    <w:rsid w:val="18787EF4"/>
    <w:rsid w:val="18B407EB"/>
    <w:rsid w:val="18B660F8"/>
    <w:rsid w:val="18BE41EE"/>
    <w:rsid w:val="18C45B23"/>
    <w:rsid w:val="18D17C0A"/>
    <w:rsid w:val="18D40073"/>
    <w:rsid w:val="18D813F2"/>
    <w:rsid w:val="18D97B1D"/>
    <w:rsid w:val="18EC168B"/>
    <w:rsid w:val="18F642EE"/>
    <w:rsid w:val="18F71715"/>
    <w:rsid w:val="18FD0335"/>
    <w:rsid w:val="19047A40"/>
    <w:rsid w:val="19311DAE"/>
    <w:rsid w:val="194E4DC2"/>
    <w:rsid w:val="19585F48"/>
    <w:rsid w:val="195F0793"/>
    <w:rsid w:val="196E0779"/>
    <w:rsid w:val="197F1A4D"/>
    <w:rsid w:val="19826508"/>
    <w:rsid w:val="198A4C43"/>
    <w:rsid w:val="19A32BBF"/>
    <w:rsid w:val="19AF7D5A"/>
    <w:rsid w:val="19C23939"/>
    <w:rsid w:val="19E06C66"/>
    <w:rsid w:val="19F8604D"/>
    <w:rsid w:val="1A182768"/>
    <w:rsid w:val="1A1C644E"/>
    <w:rsid w:val="1A225FD3"/>
    <w:rsid w:val="1A3C5DF4"/>
    <w:rsid w:val="1A3F3EC7"/>
    <w:rsid w:val="1A4C7DA7"/>
    <w:rsid w:val="1A637597"/>
    <w:rsid w:val="1A64443B"/>
    <w:rsid w:val="1A690D88"/>
    <w:rsid w:val="1A9D3EBF"/>
    <w:rsid w:val="1AA4068A"/>
    <w:rsid w:val="1AB04A42"/>
    <w:rsid w:val="1AB674F6"/>
    <w:rsid w:val="1ABC7B11"/>
    <w:rsid w:val="1ABD335D"/>
    <w:rsid w:val="1B0516FC"/>
    <w:rsid w:val="1B1D35F1"/>
    <w:rsid w:val="1B261436"/>
    <w:rsid w:val="1B441B4B"/>
    <w:rsid w:val="1B524CFD"/>
    <w:rsid w:val="1B8F198C"/>
    <w:rsid w:val="1B932E9D"/>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B039E"/>
    <w:rsid w:val="1D5E6460"/>
    <w:rsid w:val="1D5F31C0"/>
    <w:rsid w:val="1D894D3C"/>
    <w:rsid w:val="1D8B75A9"/>
    <w:rsid w:val="1D9B1DF7"/>
    <w:rsid w:val="1DA51865"/>
    <w:rsid w:val="1DAA6B76"/>
    <w:rsid w:val="1DC46FF2"/>
    <w:rsid w:val="1DE25941"/>
    <w:rsid w:val="1DF338DF"/>
    <w:rsid w:val="1DF563BD"/>
    <w:rsid w:val="1E0D2F8B"/>
    <w:rsid w:val="1E157441"/>
    <w:rsid w:val="1E34141D"/>
    <w:rsid w:val="1E492823"/>
    <w:rsid w:val="1E6F1FB2"/>
    <w:rsid w:val="1E7C28E8"/>
    <w:rsid w:val="1E7D2B5A"/>
    <w:rsid w:val="1E827D7E"/>
    <w:rsid w:val="1E8534F8"/>
    <w:rsid w:val="1E9721B3"/>
    <w:rsid w:val="1E9A240C"/>
    <w:rsid w:val="1E9A6994"/>
    <w:rsid w:val="1EA86A96"/>
    <w:rsid w:val="1EBF1537"/>
    <w:rsid w:val="1EC56616"/>
    <w:rsid w:val="1EFA9EF2"/>
    <w:rsid w:val="1F3A1DB1"/>
    <w:rsid w:val="1F3D4D6E"/>
    <w:rsid w:val="1F4C2D8C"/>
    <w:rsid w:val="1F60412E"/>
    <w:rsid w:val="1F6720F9"/>
    <w:rsid w:val="1F6C6915"/>
    <w:rsid w:val="1F6F0C8C"/>
    <w:rsid w:val="1F7258E1"/>
    <w:rsid w:val="1F7D76DF"/>
    <w:rsid w:val="1F8C1EF8"/>
    <w:rsid w:val="1F8D6A01"/>
    <w:rsid w:val="1F9B50FB"/>
    <w:rsid w:val="1FAF67D1"/>
    <w:rsid w:val="1FB91067"/>
    <w:rsid w:val="1FBE071B"/>
    <w:rsid w:val="1FC2289A"/>
    <w:rsid w:val="1FC23276"/>
    <w:rsid w:val="1FC85BAB"/>
    <w:rsid w:val="1FC95279"/>
    <w:rsid w:val="1FD43313"/>
    <w:rsid w:val="1FF17C2B"/>
    <w:rsid w:val="1FFF4E7B"/>
    <w:rsid w:val="202B6F7B"/>
    <w:rsid w:val="20323E6A"/>
    <w:rsid w:val="204A0ACB"/>
    <w:rsid w:val="20586827"/>
    <w:rsid w:val="205E1FA5"/>
    <w:rsid w:val="20702B26"/>
    <w:rsid w:val="20780093"/>
    <w:rsid w:val="20907043"/>
    <w:rsid w:val="2091709B"/>
    <w:rsid w:val="20B81A77"/>
    <w:rsid w:val="20B84F06"/>
    <w:rsid w:val="20BE6AB2"/>
    <w:rsid w:val="20E36096"/>
    <w:rsid w:val="21030F54"/>
    <w:rsid w:val="2109527E"/>
    <w:rsid w:val="213D6CC6"/>
    <w:rsid w:val="21636D7B"/>
    <w:rsid w:val="216F71FD"/>
    <w:rsid w:val="21914B24"/>
    <w:rsid w:val="21A47E8B"/>
    <w:rsid w:val="21C87D97"/>
    <w:rsid w:val="21CA3166"/>
    <w:rsid w:val="21CF326F"/>
    <w:rsid w:val="21D2289C"/>
    <w:rsid w:val="21D8702B"/>
    <w:rsid w:val="21DF6586"/>
    <w:rsid w:val="220A22BA"/>
    <w:rsid w:val="22180C02"/>
    <w:rsid w:val="222372A0"/>
    <w:rsid w:val="222C0C55"/>
    <w:rsid w:val="222F0FA7"/>
    <w:rsid w:val="222F46EE"/>
    <w:rsid w:val="22753E0A"/>
    <w:rsid w:val="227919AA"/>
    <w:rsid w:val="22811DE4"/>
    <w:rsid w:val="22A42B75"/>
    <w:rsid w:val="22B62C3D"/>
    <w:rsid w:val="22BE307F"/>
    <w:rsid w:val="22C30C00"/>
    <w:rsid w:val="22D24498"/>
    <w:rsid w:val="23022971"/>
    <w:rsid w:val="2304021D"/>
    <w:rsid w:val="23105139"/>
    <w:rsid w:val="23251948"/>
    <w:rsid w:val="23372B85"/>
    <w:rsid w:val="2342491A"/>
    <w:rsid w:val="234E7127"/>
    <w:rsid w:val="23521D38"/>
    <w:rsid w:val="23613237"/>
    <w:rsid w:val="23677B55"/>
    <w:rsid w:val="237F49BB"/>
    <w:rsid w:val="23856A36"/>
    <w:rsid w:val="23A72E6D"/>
    <w:rsid w:val="23B12D40"/>
    <w:rsid w:val="23B20D3E"/>
    <w:rsid w:val="23C506D5"/>
    <w:rsid w:val="23C84470"/>
    <w:rsid w:val="23DD01B9"/>
    <w:rsid w:val="240F6896"/>
    <w:rsid w:val="2425734F"/>
    <w:rsid w:val="24393FFA"/>
    <w:rsid w:val="24582D0C"/>
    <w:rsid w:val="245D3D13"/>
    <w:rsid w:val="2469029B"/>
    <w:rsid w:val="24695D13"/>
    <w:rsid w:val="246F05F7"/>
    <w:rsid w:val="24754746"/>
    <w:rsid w:val="24913CB1"/>
    <w:rsid w:val="24A4671B"/>
    <w:rsid w:val="24B753DA"/>
    <w:rsid w:val="24D87048"/>
    <w:rsid w:val="24D87381"/>
    <w:rsid w:val="24DB52FC"/>
    <w:rsid w:val="24E47DD8"/>
    <w:rsid w:val="24F74338"/>
    <w:rsid w:val="25233450"/>
    <w:rsid w:val="25272813"/>
    <w:rsid w:val="2542408E"/>
    <w:rsid w:val="2558593D"/>
    <w:rsid w:val="255A64F0"/>
    <w:rsid w:val="258745AB"/>
    <w:rsid w:val="259B5417"/>
    <w:rsid w:val="25A345C7"/>
    <w:rsid w:val="25BA0083"/>
    <w:rsid w:val="260F10C4"/>
    <w:rsid w:val="261B3B20"/>
    <w:rsid w:val="26312206"/>
    <w:rsid w:val="26386ABC"/>
    <w:rsid w:val="263E0227"/>
    <w:rsid w:val="26451DDC"/>
    <w:rsid w:val="26540875"/>
    <w:rsid w:val="26572E04"/>
    <w:rsid w:val="265A302E"/>
    <w:rsid w:val="268D1231"/>
    <w:rsid w:val="26995E1A"/>
    <w:rsid w:val="26A60B05"/>
    <w:rsid w:val="26BC1123"/>
    <w:rsid w:val="26EF0BA1"/>
    <w:rsid w:val="27124CDE"/>
    <w:rsid w:val="273B5402"/>
    <w:rsid w:val="273C3E45"/>
    <w:rsid w:val="274D57E8"/>
    <w:rsid w:val="27584838"/>
    <w:rsid w:val="275B152E"/>
    <w:rsid w:val="275F0664"/>
    <w:rsid w:val="27605DF0"/>
    <w:rsid w:val="276E3AFE"/>
    <w:rsid w:val="27737039"/>
    <w:rsid w:val="27791188"/>
    <w:rsid w:val="27A87CA4"/>
    <w:rsid w:val="27EC1425"/>
    <w:rsid w:val="280669D8"/>
    <w:rsid w:val="280E08E2"/>
    <w:rsid w:val="2820402B"/>
    <w:rsid w:val="283413A6"/>
    <w:rsid w:val="28810504"/>
    <w:rsid w:val="288D28A0"/>
    <w:rsid w:val="28B40502"/>
    <w:rsid w:val="28BC7239"/>
    <w:rsid w:val="28BE3187"/>
    <w:rsid w:val="28C223DE"/>
    <w:rsid w:val="28C22C4B"/>
    <w:rsid w:val="28CD08FE"/>
    <w:rsid w:val="28DE60CD"/>
    <w:rsid w:val="28F71147"/>
    <w:rsid w:val="29321D97"/>
    <w:rsid w:val="29694A41"/>
    <w:rsid w:val="2999700F"/>
    <w:rsid w:val="299C1F80"/>
    <w:rsid w:val="29AE2E2F"/>
    <w:rsid w:val="29BB5357"/>
    <w:rsid w:val="29C06B34"/>
    <w:rsid w:val="29C14785"/>
    <w:rsid w:val="29DD07EB"/>
    <w:rsid w:val="29E73928"/>
    <w:rsid w:val="29F96867"/>
    <w:rsid w:val="29FE19BA"/>
    <w:rsid w:val="2A0D31C6"/>
    <w:rsid w:val="2A156AF0"/>
    <w:rsid w:val="2A3D0A69"/>
    <w:rsid w:val="2A3F34CF"/>
    <w:rsid w:val="2A576519"/>
    <w:rsid w:val="2A5C3BA7"/>
    <w:rsid w:val="2A650DC0"/>
    <w:rsid w:val="2AAF60D9"/>
    <w:rsid w:val="2AB51E86"/>
    <w:rsid w:val="2ABB16D3"/>
    <w:rsid w:val="2AC21E7D"/>
    <w:rsid w:val="2AC77008"/>
    <w:rsid w:val="2AF63DBB"/>
    <w:rsid w:val="2AFC0493"/>
    <w:rsid w:val="2B1B9199"/>
    <w:rsid w:val="2B244005"/>
    <w:rsid w:val="2B344690"/>
    <w:rsid w:val="2B4E043B"/>
    <w:rsid w:val="2B501478"/>
    <w:rsid w:val="2B717896"/>
    <w:rsid w:val="2B835C97"/>
    <w:rsid w:val="2B852663"/>
    <w:rsid w:val="2B917598"/>
    <w:rsid w:val="2BA74BE2"/>
    <w:rsid w:val="2BD44729"/>
    <w:rsid w:val="2BE0448D"/>
    <w:rsid w:val="2BF2058C"/>
    <w:rsid w:val="2BF259E2"/>
    <w:rsid w:val="2BFF3CE1"/>
    <w:rsid w:val="2C044214"/>
    <w:rsid w:val="2C053456"/>
    <w:rsid w:val="2C2579E8"/>
    <w:rsid w:val="2C3B57A4"/>
    <w:rsid w:val="2C4922BA"/>
    <w:rsid w:val="2C6E5BE6"/>
    <w:rsid w:val="2C997D1F"/>
    <w:rsid w:val="2CCC5FED"/>
    <w:rsid w:val="2CCF2078"/>
    <w:rsid w:val="2CE528D0"/>
    <w:rsid w:val="2CEB5D27"/>
    <w:rsid w:val="2CFA7FE4"/>
    <w:rsid w:val="2D095E18"/>
    <w:rsid w:val="2D50593E"/>
    <w:rsid w:val="2D5313CF"/>
    <w:rsid w:val="2D5F578C"/>
    <w:rsid w:val="2D933446"/>
    <w:rsid w:val="2D9644A2"/>
    <w:rsid w:val="2D973597"/>
    <w:rsid w:val="2DB60998"/>
    <w:rsid w:val="2DB7083D"/>
    <w:rsid w:val="2DBE7284"/>
    <w:rsid w:val="2DC31A80"/>
    <w:rsid w:val="2DC42D0C"/>
    <w:rsid w:val="2DD438A6"/>
    <w:rsid w:val="2DD4569D"/>
    <w:rsid w:val="2DDA5FA1"/>
    <w:rsid w:val="2DFA3C63"/>
    <w:rsid w:val="2E030BE7"/>
    <w:rsid w:val="2E034CE3"/>
    <w:rsid w:val="2E2145BE"/>
    <w:rsid w:val="2E393DE3"/>
    <w:rsid w:val="2E4C0045"/>
    <w:rsid w:val="2E5B6362"/>
    <w:rsid w:val="2E615D08"/>
    <w:rsid w:val="2E6C6861"/>
    <w:rsid w:val="2E9168DF"/>
    <w:rsid w:val="2EA121BB"/>
    <w:rsid w:val="2EAA5E47"/>
    <w:rsid w:val="2ED70585"/>
    <w:rsid w:val="2EE15669"/>
    <w:rsid w:val="2EEA5F12"/>
    <w:rsid w:val="2EF2301B"/>
    <w:rsid w:val="2F4F7564"/>
    <w:rsid w:val="2F5C724D"/>
    <w:rsid w:val="2F5F0DB6"/>
    <w:rsid w:val="2F6F263B"/>
    <w:rsid w:val="2F7F6134"/>
    <w:rsid w:val="2F880E16"/>
    <w:rsid w:val="2FAF79D6"/>
    <w:rsid w:val="2FCB5483"/>
    <w:rsid w:val="2FDF0E7B"/>
    <w:rsid w:val="2FE18472"/>
    <w:rsid w:val="2FEC7EAA"/>
    <w:rsid w:val="30012870"/>
    <w:rsid w:val="300316C2"/>
    <w:rsid w:val="30066EC1"/>
    <w:rsid w:val="301E127F"/>
    <w:rsid w:val="302E38EC"/>
    <w:rsid w:val="302F1EE3"/>
    <w:rsid w:val="3030226D"/>
    <w:rsid w:val="303A0D9D"/>
    <w:rsid w:val="304158B6"/>
    <w:rsid w:val="304914F9"/>
    <w:rsid w:val="30631B8F"/>
    <w:rsid w:val="30A81E1E"/>
    <w:rsid w:val="30B62E76"/>
    <w:rsid w:val="30BB364D"/>
    <w:rsid w:val="30C43E45"/>
    <w:rsid w:val="30CF509D"/>
    <w:rsid w:val="31067E7B"/>
    <w:rsid w:val="310E5FB5"/>
    <w:rsid w:val="31187A66"/>
    <w:rsid w:val="311D6212"/>
    <w:rsid w:val="31262BBA"/>
    <w:rsid w:val="31403265"/>
    <w:rsid w:val="31411D99"/>
    <w:rsid w:val="314C2989"/>
    <w:rsid w:val="317642CF"/>
    <w:rsid w:val="317654F8"/>
    <w:rsid w:val="318A7B30"/>
    <w:rsid w:val="31974C9E"/>
    <w:rsid w:val="31A262FD"/>
    <w:rsid w:val="31B40C75"/>
    <w:rsid w:val="31B64731"/>
    <w:rsid w:val="31BF11AD"/>
    <w:rsid w:val="31C56C6F"/>
    <w:rsid w:val="31C7383D"/>
    <w:rsid w:val="31C77AD7"/>
    <w:rsid w:val="31D3702E"/>
    <w:rsid w:val="31DA771A"/>
    <w:rsid w:val="31E64256"/>
    <w:rsid w:val="31F81538"/>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3015EF2"/>
    <w:rsid w:val="33182488"/>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207020"/>
    <w:rsid w:val="34341AA0"/>
    <w:rsid w:val="343B04DD"/>
    <w:rsid w:val="34534056"/>
    <w:rsid w:val="34567B7B"/>
    <w:rsid w:val="345A1B9E"/>
    <w:rsid w:val="348E6394"/>
    <w:rsid w:val="34A47227"/>
    <w:rsid w:val="34B63A90"/>
    <w:rsid w:val="34C7150A"/>
    <w:rsid w:val="34D1182B"/>
    <w:rsid w:val="35072CEF"/>
    <w:rsid w:val="351F2985"/>
    <w:rsid w:val="35671C85"/>
    <w:rsid w:val="356C37B0"/>
    <w:rsid w:val="35710C4C"/>
    <w:rsid w:val="35764B5C"/>
    <w:rsid w:val="358A5E61"/>
    <w:rsid w:val="35900ED5"/>
    <w:rsid w:val="35A756F7"/>
    <w:rsid w:val="35C11F31"/>
    <w:rsid w:val="35D31EB2"/>
    <w:rsid w:val="35DD2667"/>
    <w:rsid w:val="35F67483"/>
    <w:rsid w:val="35FD08E8"/>
    <w:rsid w:val="36111279"/>
    <w:rsid w:val="361163DE"/>
    <w:rsid w:val="36194705"/>
    <w:rsid w:val="36211A21"/>
    <w:rsid w:val="364E1314"/>
    <w:rsid w:val="366F1447"/>
    <w:rsid w:val="367F78CD"/>
    <w:rsid w:val="368A4D4A"/>
    <w:rsid w:val="368C52E8"/>
    <w:rsid w:val="369D3ED8"/>
    <w:rsid w:val="36AF4BCB"/>
    <w:rsid w:val="36BE1A6B"/>
    <w:rsid w:val="36DB1B0B"/>
    <w:rsid w:val="36F52F4B"/>
    <w:rsid w:val="36FB536A"/>
    <w:rsid w:val="370A55DB"/>
    <w:rsid w:val="3711137C"/>
    <w:rsid w:val="371634C5"/>
    <w:rsid w:val="372312B2"/>
    <w:rsid w:val="3723179E"/>
    <w:rsid w:val="373F6779"/>
    <w:rsid w:val="37465E0D"/>
    <w:rsid w:val="374B6CF1"/>
    <w:rsid w:val="37782DDB"/>
    <w:rsid w:val="377B2222"/>
    <w:rsid w:val="377E0554"/>
    <w:rsid w:val="37916D10"/>
    <w:rsid w:val="379451B9"/>
    <w:rsid w:val="37A74F6E"/>
    <w:rsid w:val="37A872B8"/>
    <w:rsid w:val="37C86550"/>
    <w:rsid w:val="37CB133A"/>
    <w:rsid w:val="37D52F37"/>
    <w:rsid w:val="37DF616E"/>
    <w:rsid w:val="37ED6965"/>
    <w:rsid w:val="381F5D04"/>
    <w:rsid w:val="38420EEC"/>
    <w:rsid w:val="384E431A"/>
    <w:rsid w:val="38562FAB"/>
    <w:rsid w:val="386D62E0"/>
    <w:rsid w:val="38704A02"/>
    <w:rsid w:val="38714C38"/>
    <w:rsid w:val="38B439AB"/>
    <w:rsid w:val="38D073A9"/>
    <w:rsid w:val="38E4723D"/>
    <w:rsid w:val="38EC013B"/>
    <w:rsid w:val="3904328E"/>
    <w:rsid w:val="390C4BB8"/>
    <w:rsid w:val="3914330A"/>
    <w:rsid w:val="3925101A"/>
    <w:rsid w:val="395122B2"/>
    <w:rsid w:val="3951491A"/>
    <w:rsid w:val="39625FC8"/>
    <w:rsid w:val="39633820"/>
    <w:rsid w:val="396E45E5"/>
    <w:rsid w:val="398A730D"/>
    <w:rsid w:val="399D5069"/>
    <w:rsid w:val="39BF445A"/>
    <w:rsid w:val="39C8479B"/>
    <w:rsid w:val="39E555E3"/>
    <w:rsid w:val="39E81D16"/>
    <w:rsid w:val="39E93843"/>
    <w:rsid w:val="3A093664"/>
    <w:rsid w:val="3A0D7F05"/>
    <w:rsid w:val="3A400A75"/>
    <w:rsid w:val="3A5C64E1"/>
    <w:rsid w:val="3A6F0C02"/>
    <w:rsid w:val="3A7F6D1B"/>
    <w:rsid w:val="3A8B7A82"/>
    <w:rsid w:val="3A8F0C96"/>
    <w:rsid w:val="3AA60192"/>
    <w:rsid w:val="3AA80233"/>
    <w:rsid w:val="3AAB0EB3"/>
    <w:rsid w:val="3AB62111"/>
    <w:rsid w:val="3AB96A17"/>
    <w:rsid w:val="3AC03A82"/>
    <w:rsid w:val="3ACD01E8"/>
    <w:rsid w:val="3ADE5C9C"/>
    <w:rsid w:val="3ADE6E9A"/>
    <w:rsid w:val="3ADF4F82"/>
    <w:rsid w:val="3AF20A22"/>
    <w:rsid w:val="3AF754D7"/>
    <w:rsid w:val="3AFB37A5"/>
    <w:rsid w:val="3AFF7E2C"/>
    <w:rsid w:val="3B0063A3"/>
    <w:rsid w:val="3B051447"/>
    <w:rsid w:val="3B0E5A2C"/>
    <w:rsid w:val="3B241944"/>
    <w:rsid w:val="3B54788C"/>
    <w:rsid w:val="3B5F76F5"/>
    <w:rsid w:val="3B6177D3"/>
    <w:rsid w:val="3B640142"/>
    <w:rsid w:val="3B775D80"/>
    <w:rsid w:val="3B920E16"/>
    <w:rsid w:val="3B9C78FD"/>
    <w:rsid w:val="3BAA64D6"/>
    <w:rsid w:val="3BBC7ABA"/>
    <w:rsid w:val="3C032B8A"/>
    <w:rsid w:val="3C1C05FF"/>
    <w:rsid w:val="3C324A5D"/>
    <w:rsid w:val="3C3B1FBA"/>
    <w:rsid w:val="3C3B7D13"/>
    <w:rsid w:val="3C4F32DD"/>
    <w:rsid w:val="3C5D77C4"/>
    <w:rsid w:val="3C6651F7"/>
    <w:rsid w:val="3C68076E"/>
    <w:rsid w:val="3C7448C1"/>
    <w:rsid w:val="3C771162"/>
    <w:rsid w:val="3C8F469B"/>
    <w:rsid w:val="3C955239"/>
    <w:rsid w:val="3C986F76"/>
    <w:rsid w:val="3CBE5019"/>
    <w:rsid w:val="3CCB2283"/>
    <w:rsid w:val="3CD363A6"/>
    <w:rsid w:val="3CE31817"/>
    <w:rsid w:val="3CEA0C86"/>
    <w:rsid w:val="3CEE5B3A"/>
    <w:rsid w:val="3CFC3D7C"/>
    <w:rsid w:val="3CFE1C8B"/>
    <w:rsid w:val="3CFE6330"/>
    <w:rsid w:val="3D016725"/>
    <w:rsid w:val="3D0A7209"/>
    <w:rsid w:val="3D0F7DF5"/>
    <w:rsid w:val="3D220E7D"/>
    <w:rsid w:val="3D502711"/>
    <w:rsid w:val="3D547F1F"/>
    <w:rsid w:val="3D5C0385"/>
    <w:rsid w:val="3D5F0191"/>
    <w:rsid w:val="3D6F4667"/>
    <w:rsid w:val="3D725A53"/>
    <w:rsid w:val="3D9A5BD2"/>
    <w:rsid w:val="3DA6696F"/>
    <w:rsid w:val="3DAC026A"/>
    <w:rsid w:val="3DB34D94"/>
    <w:rsid w:val="3DCA0564"/>
    <w:rsid w:val="3DDD556C"/>
    <w:rsid w:val="3DE8419C"/>
    <w:rsid w:val="3DFEFE7E"/>
    <w:rsid w:val="3E0B5732"/>
    <w:rsid w:val="3E3B533C"/>
    <w:rsid w:val="3E6137E1"/>
    <w:rsid w:val="3E665A51"/>
    <w:rsid w:val="3E7D3335"/>
    <w:rsid w:val="3E851149"/>
    <w:rsid w:val="3E973062"/>
    <w:rsid w:val="3E9B56C3"/>
    <w:rsid w:val="3EAE65CE"/>
    <w:rsid w:val="3EBD7715"/>
    <w:rsid w:val="3EBF0128"/>
    <w:rsid w:val="3ED1597F"/>
    <w:rsid w:val="3EE635DA"/>
    <w:rsid w:val="3EF10DF1"/>
    <w:rsid w:val="3EFC1673"/>
    <w:rsid w:val="3F000844"/>
    <w:rsid w:val="3F024BFE"/>
    <w:rsid w:val="3F027066"/>
    <w:rsid w:val="3F0726FB"/>
    <w:rsid w:val="3F204392"/>
    <w:rsid w:val="3F3E53F2"/>
    <w:rsid w:val="3F4140B4"/>
    <w:rsid w:val="3F43173A"/>
    <w:rsid w:val="3F877D8F"/>
    <w:rsid w:val="3F9139AD"/>
    <w:rsid w:val="3FAF1D15"/>
    <w:rsid w:val="3FBD4959"/>
    <w:rsid w:val="3FCB1EEC"/>
    <w:rsid w:val="3FCD7F00"/>
    <w:rsid w:val="3FDFB051"/>
    <w:rsid w:val="3FED1D39"/>
    <w:rsid w:val="3FFF20B3"/>
    <w:rsid w:val="400141B7"/>
    <w:rsid w:val="40032049"/>
    <w:rsid w:val="40124984"/>
    <w:rsid w:val="40201A50"/>
    <w:rsid w:val="40307D52"/>
    <w:rsid w:val="403E4DBF"/>
    <w:rsid w:val="40442975"/>
    <w:rsid w:val="405B0584"/>
    <w:rsid w:val="40647F02"/>
    <w:rsid w:val="406835CB"/>
    <w:rsid w:val="407856CA"/>
    <w:rsid w:val="40806DBD"/>
    <w:rsid w:val="408F2CC6"/>
    <w:rsid w:val="4098608C"/>
    <w:rsid w:val="40A2014F"/>
    <w:rsid w:val="40AC43A4"/>
    <w:rsid w:val="40B44059"/>
    <w:rsid w:val="40BD6488"/>
    <w:rsid w:val="40C60C7C"/>
    <w:rsid w:val="40CC5B1A"/>
    <w:rsid w:val="41174D77"/>
    <w:rsid w:val="41364669"/>
    <w:rsid w:val="41545FF1"/>
    <w:rsid w:val="4174619E"/>
    <w:rsid w:val="417863CD"/>
    <w:rsid w:val="418A540F"/>
    <w:rsid w:val="41B81A4B"/>
    <w:rsid w:val="41CB60F4"/>
    <w:rsid w:val="41D63219"/>
    <w:rsid w:val="41F00EBF"/>
    <w:rsid w:val="421637D4"/>
    <w:rsid w:val="42367B8F"/>
    <w:rsid w:val="42430868"/>
    <w:rsid w:val="424D59C6"/>
    <w:rsid w:val="42875F49"/>
    <w:rsid w:val="42CC379C"/>
    <w:rsid w:val="42D15BE8"/>
    <w:rsid w:val="42D259CD"/>
    <w:rsid w:val="430E203F"/>
    <w:rsid w:val="43175D05"/>
    <w:rsid w:val="431E5D7A"/>
    <w:rsid w:val="432013FB"/>
    <w:rsid w:val="432E60A8"/>
    <w:rsid w:val="43314424"/>
    <w:rsid w:val="43364B9B"/>
    <w:rsid w:val="43406531"/>
    <w:rsid w:val="434331FA"/>
    <w:rsid w:val="435C4504"/>
    <w:rsid w:val="436113EA"/>
    <w:rsid w:val="43841533"/>
    <w:rsid w:val="438B33AE"/>
    <w:rsid w:val="438E0CDB"/>
    <w:rsid w:val="43A079C1"/>
    <w:rsid w:val="43C62ADF"/>
    <w:rsid w:val="43E279FF"/>
    <w:rsid w:val="43E702A1"/>
    <w:rsid w:val="43F92F27"/>
    <w:rsid w:val="44094740"/>
    <w:rsid w:val="441E7344"/>
    <w:rsid w:val="442F4789"/>
    <w:rsid w:val="44392250"/>
    <w:rsid w:val="44690CC8"/>
    <w:rsid w:val="446C2AA4"/>
    <w:rsid w:val="447A5EDE"/>
    <w:rsid w:val="448A4A98"/>
    <w:rsid w:val="449B3BBD"/>
    <w:rsid w:val="44BB35ED"/>
    <w:rsid w:val="44D505C5"/>
    <w:rsid w:val="451E2EFD"/>
    <w:rsid w:val="451F5984"/>
    <w:rsid w:val="45276081"/>
    <w:rsid w:val="45340FC1"/>
    <w:rsid w:val="4536CA47"/>
    <w:rsid w:val="4545457C"/>
    <w:rsid w:val="455029A9"/>
    <w:rsid w:val="45705A68"/>
    <w:rsid w:val="457C4AD7"/>
    <w:rsid w:val="45A324DE"/>
    <w:rsid w:val="45BE209F"/>
    <w:rsid w:val="45DF0C0C"/>
    <w:rsid w:val="45EE4AA8"/>
    <w:rsid w:val="45EE672D"/>
    <w:rsid w:val="46036575"/>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C333E"/>
    <w:rsid w:val="4713610D"/>
    <w:rsid w:val="472520BD"/>
    <w:rsid w:val="47315579"/>
    <w:rsid w:val="47370D5C"/>
    <w:rsid w:val="474D343B"/>
    <w:rsid w:val="4770372A"/>
    <w:rsid w:val="478C4FF0"/>
    <w:rsid w:val="47943893"/>
    <w:rsid w:val="47A33AD8"/>
    <w:rsid w:val="47A9447F"/>
    <w:rsid w:val="47AB4803"/>
    <w:rsid w:val="47AF314A"/>
    <w:rsid w:val="47DF6F1B"/>
    <w:rsid w:val="47E84AB8"/>
    <w:rsid w:val="47F06738"/>
    <w:rsid w:val="48292150"/>
    <w:rsid w:val="48292D00"/>
    <w:rsid w:val="482B6AA8"/>
    <w:rsid w:val="48306AE6"/>
    <w:rsid w:val="48362813"/>
    <w:rsid w:val="48362B8F"/>
    <w:rsid w:val="487840D4"/>
    <w:rsid w:val="489C465D"/>
    <w:rsid w:val="48BB2874"/>
    <w:rsid w:val="48DA700F"/>
    <w:rsid w:val="48E70868"/>
    <w:rsid w:val="49003648"/>
    <w:rsid w:val="490078D6"/>
    <w:rsid w:val="492A5852"/>
    <w:rsid w:val="49336729"/>
    <w:rsid w:val="49422133"/>
    <w:rsid w:val="49481F51"/>
    <w:rsid w:val="49503781"/>
    <w:rsid w:val="495C44D4"/>
    <w:rsid w:val="498D71F3"/>
    <w:rsid w:val="49B1277C"/>
    <w:rsid w:val="49B32963"/>
    <w:rsid w:val="49B35C2C"/>
    <w:rsid w:val="49BE2795"/>
    <w:rsid w:val="49CE2C0E"/>
    <w:rsid w:val="49D93B21"/>
    <w:rsid w:val="49ED435B"/>
    <w:rsid w:val="49F477F7"/>
    <w:rsid w:val="4A003368"/>
    <w:rsid w:val="4A045A8C"/>
    <w:rsid w:val="4A1173C4"/>
    <w:rsid w:val="4A154026"/>
    <w:rsid w:val="4A175A72"/>
    <w:rsid w:val="4A38281D"/>
    <w:rsid w:val="4A447A5F"/>
    <w:rsid w:val="4A5633ED"/>
    <w:rsid w:val="4A5C1498"/>
    <w:rsid w:val="4A8608FF"/>
    <w:rsid w:val="4A885261"/>
    <w:rsid w:val="4A9341AD"/>
    <w:rsid w:val="4AA56943"/>
    <w:rsid w:val="4AB640D1"/>
    <w:rsid w:val="4AD80E43"/>
    <w:rsid w:val="4AFC731C"/>
    <w:rsid w:val="4B0E631E"/>
    <w:rsid w:val="4B1C6789"/>
    <w:rsid w:val="4B232D48"/>
    <w:rsid w:val="4B297309"/>
    <w:rsid w:val="4B2F5EF1"/>
    <w:rsid w:val="4B610E18"/>
    <w:rsid w:val="4B7A2A77"/>
    <w:rsid w:val="4B7F4FD3"/>
    <w:rsid w:val="4B865E4D"/>
    <w:rsid w:val="4B9A7792"/>
    <w:rsid w:val="4BA142DC"/>
    <w:rsid w:val="4BB134C2"/>
    <w:rsid w:val="4BC64F54"/>
    <w:rsid w:val="4BD00E7B"/>
    <w:rsid w:val="4BDA233F"/>
    <w:rsid w:val="4BE11388"/>
    <w:rsid w:val="4BF17575"/>
    <w:rsid w:val="4BFFD9EC"/>
    <w:rsid w:val="4C196BFC"/>
    <w:rsid w:val="4C1B55F9"/>
    <w:rsid w:val="4C1D57B6"/>
    <w:rsid w:val="4C2F3138"/>
    <w:rsid w:val="4C2F44B9"/>
    <w:rsid w:val="4C4C1930"/>
    <w:rsid w:val="4C617F2E"/>
    <w:rsid w:val="4C64768C"/>
    <w:rsid w:val="4C727777"/>
    <w:rsid w:val="4C794241"/>
    <w:rsid w:val="4C9E7C7A"/>
    <w:rsid w:val="4CC129DC"/>
    <w:rsid w:val="4CF60AD0"/>
    <w:rsid w:val="4CFD27AB"/>
    <w:rsid w:val="4D0B785E"/>
    <w:rsid w:val="4D114375"/>
    <w:rsid w:val="4D235B56"/>
    <w:rsid w:val="4D3F4CEF"/>
    <w:rsid w:val="4D565BDF"/>
    <w:rsid w:val="4D764D27"/>
    <w:rsid w:val="4DA97155"/>
    <w:rsid w:val="4DB4080A"/>
    <w:rsid w:val="4DB53F90"/>
    <w:rsid w:val="4DD374A0"/>
    <w:rsid w:val="4DD96EF4"/>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FE010D"/>
    <w:rsid w:val="4F027246"/>
    <w:rsid w:val="4F2B0742"/>
    <w:rsid w:val="4F2C30D4"/>
    <w:rsid w:val="4F462F16"/>
    <w:rsid w:val="4F5F81FA"/>
    <w:rsid w:val="4F653279"/>
    <w:rsid w:val="4F685B2A"/>
    <w:rsid w:val="4F687CA9"/>
    <w:rsid w:val="4F6B4FCC"/>
    <w:rsid w:val="4FC5614B"/>
    <w:rsid w:val="4FCB274B"/>
    <w:rsid w:val="4FCC44FB"/>
    <w:rsid w:val="4FCE28F9"/>
    <w:rsid w:val="4FCE781C"/>
    <w:rsid w:val="4FD21ED3"/>
    <w:rsid w:val="4FD34A84"/>
    <w:rsid w:val="4FE331CA"/>
    <w:rsid w:val="50004F60"/>
    <w:rsid w:val="50152642"/>
    <w:rsid w:val="5028210C"/>
    <w:rsid w:val="50297B01"/>
    <w:rsid w:val="50304284"/>
    <w:rsid w:val="504F44E7"/>
    <w:rsid w:val="50633B3F"/>
    <w:rsid w:val="506604BA"/>
    <w:rsid w:val="50722108"/>
    <w:rsid w:val="507363BF"/>
    <w:rsid w:val="507C2279"/>
    <w:rsid w:val="50930348"/>
    <w:rsid w:val="50951339"/>
    <w:rsid w:val="509E66BF"/>
    <w:rsid w:val="50A11AA3"/>
    <w:rsid w:val="50CA6EAA"/>
    <w:rsid w:val="50D27A0A"/>
    <w:rsid w:val="50E872C0"/>
    <w:rsid w:val="50FF7595"/>
    <w:rsid w:val="51186F2A"/>
    <w:rsid w:val="512F14C2"/>
    <w:rsid w:val="513A2BE3"/>
    <w:rsid w:val="51417175"/>
    <w:rsid w:val="514D38CD"/>
    <w:rsid w:val="518538E8"/>
    <w:rsid w:val="518C2832"/>
    <w:rsid w:val="51AD1BB3"/>
    <w:rsid w:val="51CC12AA"/>
    <w:rsid w:val="51D06AC2"/>
    <w:rsid w:val="51DE47BD"/>
    <w:rsid w:val="51FB1F66"/>
    <w:rsid w:val="52092C75"/>
    <w:rsid w:val="52145553"/>
    <w:rsid w:val="52160374"/>
    <w:rsid w:val="52210F7E"/>
    <w:rsid w:val="52217BBB"/>
    <w:rsid w:val="52465006"/>
    <w:rsid w:val="524D6727"/>
    <w:rsid w:val="52514B61"/>
    <w:rsid w:val="525F05B8"/>
    <w:rsid w:val="52641A60"/>
    <w:rsid w:val="52647DDB"/>
    <w:rsid w:val="526D7F2B"/>
    <w:rsid w:val="527010B5"/>
    <w:rsid w:val="52797078"/>
    <w:rsid w:val="527C619D"/>
    <w:rsid w:val="52800362"/>
    <w:rsid w:val="528B57FF"/>
    <w:rsid w:val="52CA77C1"/>
    <w:rsid w:val="52CC2E2D"/>
    <w:rsid w:val="52D74002"/>
    <w:rsid w:val="52E52C2B"/>
    <w:rsid w:val="52E706B0"/>
    <w:rsid w:val="52F6649B"/>
    <w:rsid w:val="530731A9"/>
    <w:rsid w:val="530B0A16"/>
    <w:rsid w:val="533031A8"/>
    <w:rsid w:val="53354C48"/>
    <w:rsid w:val="5358440D"/>
    <w:rsid w:val="5362482F"/>
    <w:rsid w:val="5375181F"/>
    <w:rsid w:val="53832FC7"/>
    <w:rsid w:val="538C3048"/>
    <w:rsid w:val="53B53BCA"/>
    <w:rsid w:val="53BA69C7"/>
    <w:rsid w:val="53C66688"/>
    <w:rsid w:val="53D129A5"/>
    <w:rsid w:val="54027A3D"/>
    <w:rsid w:val="540E3026"/>
    <w:rsid w:val="540F1649"/>
    <w:rsid w:val="542B1000"/>
    <w:rsid w:val="542E3D8B"/>
    <w:rsid w:val="54323AE7"/>
    <w:rsid w:val="543C6793"/>
    <w:rsid w:val="54736410"/>
    <w:rsid w:val="54795B98"/>
    <w:rsid w:val="547A71A6"/>
    <w:rsid w:val="548B6133"/>
    <w:rsid w:val="549878E0"/>
    <w:rsid w:val="54A068BF"/>
    <w:rsid w:val="54D00696"/>
    <w:rsid w:val="54D20F09"/>
    <w:rsid w:val="54D73949"/>
    <w:rsid w:val="54E8113A"/>
    <w:rsid w:val="54F315A0"/>
    <w:rsid w:val="54F70F58"/>
    <w:rsid w:val="54FB4913"/>
    <w:rsid w:val="550C22CB"/>
    <w:rsid w:val="552E4B10"/>
    <w:rsid w:val="5531351D"/>
    <w:rsid w:val="55321CBF"/>
    <w:rsid w:val="555923B6"/>
    <w:rsid w:val="55723899"/>
    <w:rsid w:val="55833BB3"/>
    <w:rsid w:val="559007F2"/>
    <w:rsid w:val="559D532A"/>
    <w:rsid w:val="559F3F84"/>
    <w:rsid w:val="559F6615"/>
    <w:rsid w:val="55AE5055"/>
    <w:rsid w:val="55BD10AA"/>
    <w:rsid w:val="55C02F7D"/>
    <w:rsid w:val="55C45892"/>
    <w:rsid w:val="55D87C51"/>
    <w:rsid w:val="55E0250C"/>
    <w:rsid w:val="55FC10F6"/>
    <w:rsid w:val="55FF309C"/>
    <w:rsid w:val="560960F4"/>
    <w:rsid w:val="560D13FF"/>
    <w:rsid w:val="56384344"/>
    <w:rsid w:val="56407F58"/>
    <w:rsid w:val="56637EEB"/>
    <w:rsid w:val="56657AFF"/>
    <w:rsid w:val="567A4719"/>
    <w:rsid w:val="56882188"/>
    <w:rsid w:val="569FE9AA"/>
    <w:rsid w:val="56A42EFF"/>
    <w:rsid w:val="56C60B1B"/>
    <w:rsid w:val="56CE6199"/>
    <w:rsid w:val="56D67A3A"/>
    <w:rsid w:val="56DA134A"/>
    <w:rsid w:val="56DA1EDA"/>
    <w:rsid w:val="56F42ED2"/>
    <w:rsid w:val="570E062D"/>
    <w:rsid w:val="572D6163"/>
    <w:rsid w:val="57386B76"/>
    <w:rsid w:val="573C6D11"/>
    <w:rsid w:val="574A3A8D"/>
    <w:rsid w:val="575649E4"/>
    <w:rsid w:val="575F5961"/>
    <w:rsid w:val="576704A9"/>
    <w:rsid w:val="577328B1"/>
    <w:rsid w:val="57766966"/>
    <w:rsid w:val="577779A4"/>
    <w:rsid w:val="577D7A9C"/>
    <w:rsid w:val="577F2164"/>
    <w:rsid w:val="578770C2"/>
    <w:rsid w:val="57887C2D"/>
    <w:rsid w:val="57AB05F5"/>
    <w:rsid w:val="57BA4236"/>
    <w:rsid w:val="57BB2CF9"/>
    <w:rsid w:val="57C46B26"/>
    <w:rsid w:val="57C57B84"/>
    <w:rsid w:val="57C957E0"/>
    <w:rsid w:val="57CD4BB7"/>
    <w:rsid w:val="57E4573A"/>
    <w:rsid w:val="57FB3962"/>
    <w:rsid w:val="58116040"/>
    <w:rsid w:val="58225E85"/>
    <w:rsid w:val="582A7332"/>
    <w:rsid w:val="582C4CEB"/>
    <w:rsid w:val="58386028"/>
    <w:rsid w:val="583A35CC"/>
    <w:rsid w:val="583C43C5"/>
    <w:rsid w:val="583F25E8"/>
    <w:rsid w:val="584624D1"/>
    <w:rsid w:val="5856016B"/>
    <w:rsid w:val="58607C16"/>
    <w:rsid w:val="58931150"/>
    <w:rsid w:val="589C780E"/>
    <w:rsid w:val="58A12453"/>
    <w:rsid w:val="58BB2538"/>
    <w:rsid w:val="58BB43ED"/>
    <w:rsid w:val="58BD45E1"/>
    <w:rsid w:val="58CE5E3E"/>
    <w:rsid w:val="58DC4A95"/>
    <w:rsid w:val="58E53494"/>
    <w:rsid w:val="59053B5E"/>
    <w:rsid w:val="59436497"/>
    <w:rsid w:val="594A0A1F"/>
    <w:rsid w:val="594E0191"/>
    <w:rsid w:val="59531CE9"/>
    <w:rsid w:val="597F3CD5"/>
    <w:rsid w:val="59C106EE"/>
    <w:rsid w:val="59CB15D9"/>
    <w:rsid w:val="59EF5B57"/>
    <w:rsid w:val="5A035BC8"/>
    <w:rsid w:val="5A0462BB"/>
    <w:rsid w:val="5A0600DB"/>
    <w:rsid w:val="5A10754C"/>
    <w:rsid w:val="5A1173EF"/>
    <w:rsid w:val="5A172017"/>
    <w:rsid w:val="5A176AE4"/>
    <w:rsid w:val="5A23402C"/>
    <w:rsid w:val="5A2D32C4"/>
    <w:rsid w:val="5A3B6715"/>
    <w:rsid w:val="5A4C4AFC"/>
    <w:rsid w:val="5A5708CA"/>
    <w:rsid w:val="5A673A41"/>
    <w:rsid w:val="5A6E14F9"/>
    <w:rsid w:val="5A76432B"/>
    <w:rsid w:val="5A8032B2"/>
    <w:rsid w:val="5A96525B"/>
    <w:rsid w:val="5A9E48A8"/>
    <w:rsid w:val="5AA95C4D"/>
    <w:rsid w:val="5AC8101E"/>
    <w:rsid w:val="5AD47C48"/>
    <w:rsid w:val="5AFA611E"/>
    <w:rsid w:val="5AFE695B"/>
    <w:rsid w:val="5B0071A9"/>
    <w:rsid w:val="5B0E1342"/>
    <w:rsid w:val="5B197E3E"/>
    <w:rsid w:val="5B276294"/>
    <w:rsid w:val="5B2F4088"/>
    <w:rsid w:val="5B4120BC"/>
    <w:rsid w:val="5B486682"/>
    <w:rsid w:val="5B7C3E8B"/>
    <w:rsid w:val="5B7F4D23"/>
    <w:rsid w:val="5B931A5F"/>
    <w:rsid w:val="5B962ECF"/>
    <w:rsid w:val="5BA8515B"/>
    <w:rsid w:val="5BCF36E5"/>
    <w:rsid w:val="5BD37F8B"/>
    <w:rsid w:val="5BD54D17"/>
    <w:rsid w:val="5BDF0C9F"/>
    <w:rsid w:val="5BEA53DB"/>
    <w:rsid w:val="5BF205F9"/>
    <w:rsid w:val="5BFA33BB"/>
    <w:rsid w:val="5C03646F"/>
    <w:rsid w:val="5C090C9A"/>
    <w:rsid w:val="5C1325CC"/>
    <w:rsid w:val="5C150BC7"/>
    <w:rsid w:val="5C175CAB"/>
    <w:rsid w:val="5C1C4C86"/>
    <w:rsid w:val="5C232E88"/>
    <w:rsid w:val="5C316B42"/>
    <w:rsid w:val="5C495C8F"/>
    <w:rsid w:val="5C4D5AB6"/>
    <w:rsid w:val="5C520167"/>
    <w:rsid w:val="5C5D5C03"/>
    <w:rsid w:val="5C7C21EE"/>
    <w:rsid w:val="5C8A685A"/>
    <w:rsid w:val="5CAB3E27"/>
    <w:rsid w:val="5CB75132"/>
    <w:rsid w:val="5CC9559C"/>
    <w:rsid w:val="5D0B11D5"/>
    <w:rsid w:val="5D1E6D1F"/>
    <w:rsid w:val="5D243D32"/>
    <w:rsid w:val="5D264906"/>
    <w:rsid w:val="5D2A2DD2"/>
    <w:rsid w:val="5D2E7321"/>
    <w:rsid w:val="5D3F5D03"/>
    <w:rsid w:val="5D426C92"/>
    <w:rsid w:val="5D610403"/>
    <w:rsid w:val="5D6E6BA0"/>
    <w:rsid w:val="5D8309BE"/>
    <w:rsid w:val="5D851FBD"/>
    <w:rsid w:val="5D8D7F9C"/>
    <w:rsid w:val="5DBA44C8"/>
    <w:rsid w:val="5DCE0823"/>
    <w:rsid w:val="5DDB7C6D"/>
    <w:rsid w:val="5DE258C5"/>
    <w:rsid w:val="5DE3698F"/>
    <w:rsid w:val="5DE9492E"/>
    <w:rsid w:val="5DF855E3"/>
    <w:rsid w:val="5DFE0C63"/>
    <w:rsid w:val="5DFF57B7"/>
    <w:rsid w:val="5E193D20"/>
    <w:rsid w:val="5E237FB0"/>
    <w:rsid w:val="5E284486"/>
    <w:rsid w:val="5E35775F"/>
    <w:rsid w:val="5E4539E6"/>
    <w:rsid w:val="5E483CCE"/>
    <w:rsid w:val="5E4F7C3E"/>
    <w:rsid w:val="5E7E3530"/>
    <w:rsid w:val="5E8F1E81"/>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6F5F49"/>
    <w:rsid w:val="5F707C37"/>
    <w:rsid w:val="5F7E0234"/>
    <w:rsid w:val="5F82153A"/>
    <w:rsid w:val="5F8B6BDE"/>
    <w:rsid w:val="5F944528"/>
    <w:rsid w:val="5F9FA36B"/>
    <w:rsid w:val="5FA51876"/>
    <w:rsid w:val="5FB3405B"/>
    <w:rsid w:val="5FBE41D0"/>
    <w:rsid w:val="5FD55057"/>
    <w:rsid w:val="5FDE3E9A"/>
    <w:rsid w:val="5FF0322F"/>
    <w:rsid w:val="5FFA226D"/>
    <w:rsid w:val="5FFB295B"/>
    <w:rsid w:val="5FFBEA83"/>
    <w:rsid w:val="60116091"/>
    <w:rsid w:val="601B7E39"/>
    <w:rsid w:val="602865AF"/>
    <w:rsid w:val="603C534C"/>
    <w:rsid w:val="60400BF0"/>
    <w:rsid w:val="60414505"/>
    <w:rsid w:val="6048008F"/>
    <w:rsid w:val="60723731"/>
    <w:rsid w:val="60785A6B"/>
    <w:rsid w:val="607B387F"/>
    <w:rsid w:val="607C6223"/>
    <w:rsid w:val="60B266BA"/>
    <w:rsid w:val="60D33281"/>
    <w:rsid w:val="60FB4822"/>
    <w:rsid w:val="60FD1DE9"/>
    <w:rsid w:val="61176C1A"/>
    <w:rsid w:val="6140228C"/>
    <w:rsid w:val="61546BBA"/>
    <w:rsid w:val="615E0514"/>
    <w:rsid w:val="61601B08"/>
    <w:rsid w:val="6163419B"/>
    <w:rsid w:val="616828E2"/>
    <w:rsid w:val="6175499D"/>
    <w:rsid w:val="618C38D3"/>
    <w:rsid w:val="61CA14D3"/>
    <w:rsid w:val="61D10E64"/>
    <w:rsid w:val="61D651F9"/>
    <w:rsid w:val="61E02DAC"/>
    <w:rsid w:val="61E7115C"/>
    <w:rsid w:val="62037E7B"/>
    <w:rsid w:val="62324E61"/>
    <w:rsid w:val="623D1D75"/>
    <w:rsid w:val="626B054B"/>
    <w:rsid w:val="62731173"/>
    <w:rsid w:val="627D0EAE"/>
    <w:rsid w:val="627D0F0C"/>
    <w:rsid w:val="62AF39BF"/>
    <w:rsid w:val="62D55D1A"/>
    <w:rsid w:val="62E219AE"/>
    <w:rsid w:val="62F11BBE"/>
    <w:rsid w:val="62F11FCB"/>
    <w:rsid w:val="631A4BA2"/>
    <w:rsid w:val="632B13DC"/>
    <w:rsid w:val="633579E3"/>
    <w:rsid w:val="63402B17"/>
    <w:rsid w:val="63486CC7"/>
    <w:rsid w:val="634D7A80"/>
    <w:rsid w:val="6350605D"/>
    <w:rsid w:val="63570D4F"/>
    <w:rsid w:val="635E0F3D"/>
    <w:rsid w:val="637E4FF0"/>
    <w:rsid w:val="637F7F04"/>
    <w:rsid w:val="63942CCD"/>
    <w:rsid w:val="639B3FC9"/>
    <w:rsid w:val="63C05976"/>
    <w:rsid w:val="63C86CFA"/>
    <w:rsid w:val="63D623B2"/>
    <w:rsid w:val="63E00632"/>
    <w:rsid w:val="63E41EF8"/>
    <w:rsid w:val="63F15196"/>
    <w:rsid w:val="64103E1C"/>
    <w:rsid w:val="642C7A1C"/>
    <w:rsid w:val="64403E24"/>
    <w:rsid w:val="644417BE"/>
    <w:rsid w:val="644C3FF3"/>
    <w:rsid w:val="644E387F"/>
    <w:rsid w:val="646933B1"/>
    <w:rsid w:val="64851666"/>
    <w:rsid w:val="649D1A1E"/>
    <w:rsid w:val="64A350CE"/>
    <w:rsid w:val="64B838A5"/>
    <w:rsid w:val="64BC1D6F"/>
    <w:rsid w:val="64BD7D1A"/>
    <w:rsid w:val="64C762CD"/>
    <w:rsid w:val="64F30A4B"/>
    <w:rsid w:val="64F4163A"/>
    <w:rsid w:val="64FB1B95"/>
    <w:rsid w:val="64FF4279"/>
    <w:rsid w:val="65003476"/>
    <w:rsid w:val="65051A72"/>
    <w:rsid w:val="65062204"/>
    <w:rsid w:val="653359FA"/>
    <w:rsid w:val="6548480B"/>
    <w:rsid w:val="65485F42"/>
    <w:rsid w:val="6558194B"/>
    <w:rsid w:val="655C27DB"/>
    <w:rsid w:val="656B19E1"/>
    <w:rsid w:val="65B059DA"/>
    <w:rsid w:val="65D0103F"/>
    <w:rsid w:val="65E5538A"/>
    <w:rsid w:val="65EE2245"/>
    <w:rsid w:val="65EFA0D2"/>
    <w:rsid w:val="65FA0C86"/>
    <w:rsid w:val="65FD3A76"/>
    <w:rsid w:val="660E73B6"/>
    <w:rsid w:val="66183B89"/>
    <w:rsid w:val="661C16B0"/>
    <w:rsid w:val="665D4D15"/>
    <w:rsid w:val="666B40A1"/>
    <w:rsid w:val="666C58EA"/>
    <w:rsid w:val="667514BC"/>
    <w:rsid w:val="667C127C"/>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919E0"/>
    <w:rsid w:val="679A1306"/>
    <w:rsid w:val="67CDCE48"/>
    <w:rsid w:val="67CF0E30"/>
    <w:rsid w:val="67E524DE"/>
    <w:rsid w:val="67E90436"/>
    <w:rsid w:val="6812607A"/>
    <w:rsid w:val="682B41DA"/>
    <w:rsid w:val="684A728B"/>
    <w:rsid w:val="68602195"/>
    <w:rsid w:val="688C7D72"/>
    <w:rsid w:val="691A16FE"/>
    <w:rsid w:val="691A2777"/>
    <w:rsid w:val="691F0CB5"/>
    <w:rsid w:val="691F37A5"/>
    <w:rsid w:val="692302F8"/>
    <w:rsid w:val="692519C7"/>
    <w:rsid w:val="694E72F1"/>
    <w:rsid w:val="69563C12"/>
    <w:rsid w:val="69601B80"/>
    <w:rsid w:val="696273CC"/>
    <w:rsid w:val="69793BA2"/>
    <w:rsid w:val="69871792"/>
    <w:rsid w:val="699C507C"/>
    <w:rsid w:val="69A037F9"/>
    <w:rsid w:val="69C65FFE"/>
    <w:rsid w:val="69D95735"/>
    <w:rsid w:val="69DD3BEC"/>
    <w:rsid w:val="69EC69F7"/>
    <w:rsid w:val="6A0C3890"/>
    <w:rsid w:val="6A265F03"/>
    <w:rsid w:val="6A3B77F3"/>
    <w:rsid w:val="6A3F73CE"/>
    <w:rsid w:val="6A460A7A"/>
    <w:rsid w:val="6A4C7395"/>
    <w:rsid w:val="6A572ABF"/>
    <w:rsid w:val="6A584B38"/>
    <w:rsid w:val="6A6179B3"/>
    <w:rsid w:val="6A6D269D"/>
    <w:rsid w:val="6A7DFC06"/>
    <w:rsid w:val="6A87428E"/>
    <w:rsid w:val="6A874AA8"/>
    <w:rsid w:val="6A8F0512"/>
    <w:rsid w:val="6A976378"/>
    <w:rsid w:val="6AA55079"/>
    <w:rsid w:val="6AAD5248"/>
    <w:rsid w:val="6AB56452"/>
    <w:rsid w:val="6ABB4E2C"/>
    <w:rsid w:val="6ACF578F"/>
    <w:rsid w:val="6ADF2754"/>
    <w:rsid w:val="6AEF7A56"/>
    <w:rsid w:val="6B292598"/>
    <w:rsid w:val="6B354780"/>
    <w:rsid w:val="6B470615"/>
    <w:rsid w:val="6B5E1012"/>
    <w:rsid w:val="6B6E7A8A"/>
    <w:rsid w:val="6B701F8A"/>
    <w:rsid w:val="6B7A0BBB"/>
    <w:rsid w:val="6B8616EB"/>
    <w:rsid w:val="6B9D798C"/>
    <w:rsid w:val="6BAF371F"/>
    <w:rsid w:val="6BC71348"/>
    <w:rsid w:val="6BC87F6C"/>
    <w:rsid w:val="6BE92141"/>
    <w:rsid w:val="6C090B05"/>
    <w:rsid w:val="6C2D30F2"/>
    <w:rsid w:val="6C3C4E4A"/>
    <w:rsid w:val="6C506B3E"/>
    <w:rsid w:val="6C747438"/>
    <w:rsid w:val="6C752A69"/>
    <w:rsid w:val="6C7F629D"/>
    <w:rsid w:val="6C8A0478"/>
    <w:rsid w:val="6C8F50C7"/>
    <w:rsid w:val="6C970F4F"/>
    <w:rsid w:val="6CA66243"/>
    <w:rsid w:val="6CBF5376"/>
    <w:rsid w:val="6CC255DF"/>
    <w:rsid w:val="6CC265FC"/>
    <w:rsid w:val="6CCA59DA"/>
    <w:rsid w:val="6CDA6271"/>
    <w:rsid w:val="6CE141AB"/>
    <w:rsid w:val="6CE74BF9"/>
    <w:rsid w:val="6CF4763F"/>
    <w:rsid w:val="6CF521E3"/>
    <w:rsid w:val="6D313483"/>
    <w:rsid w:val="6D38141A"/>
    <w:rsid w:val="6D4856DD"/>
    <w:rsid w:val="6D553FBF"/>
    <w:rsid w:val="6D5E201C"/>
    <w:rsid w:val="6D695347"/>
    <w:rsid w:val="6D6E5582"/>
    <w:rsid w:val="6D7F17CD"/>
    <w:rsid w:val="6D8030A2"/>
    <w:rsid w:val="6D8609F1"/>
    <w:rsid w:val="6D8C28AC"/>
    <w:rsid w:val="6D963E3F"/>
    <w:rsid w:val="6D9A5C6B"/>
    <w:rsid w:val="6DE85C9A"/>
    <w:rsid w:val="6DF545B2"/>
    <w:rsid w:val="6DFB1388"/>
    <w:rsid w:val="6E031D07"/>
    <w:rsid w:val="6E292877"/>
    <w:rsid w:val="6E2A6B30"/>
    <w:rsid w:val="6E630E54"/>
    <w:rsid w:val="6E650422"/>
    <w:rsid w:val="6E665EE6"/>
    <w:rsid w:val="6E7372CF"/>
    <w:rsid w:val="6E7E2567"/>
    <w:rsid w:val="6E8607EC"/>
    <w:rsid w:val="6E9B6C29"/>
    <w:rsid w:val="6EC5035F"/>
    <w:rsid w:val="6EDB620F"/>
    <w:rsid w:val="6EDC149F"/>
    <w:rsid w:val="6EDF148B"/>
    <w:rsid w:val="6EDFF65A"/>
    <w:rsid w:val="6EE47C22"/>
    <w:rsid w:val="6EEE0AB3"/>
    <w:rsid w:val="6F0F36D4"/>
    <w:rsid w:val="6F1C2869"/>
    <w:rsid w:val="6F264C76"/>
    <w:rsid w:val="6F3E73AD"/>
    <w:rsid w:val="6F621577"/>
    <w:rsid w:val="6F6B60F5"/>
    <w:rsid w:val="6F8036EC"/>
    <w:rsid w:val="6F914114"/>
    <w:rsid w:val="6F9F4EBA"/>
    <w:rsid w:val="6FAE1EFD"/>
    <w:rsid w:val="6FB44E15"/>
    <w:rsid w:val="6FBFE7A2"/>
    <w:rsid w:val="6FD4676B"/>
    <w:rsid w:val="6FD867C1"/>
    <w:rsid w:val="6FF036F6"/>
    <w:rsid w:val="6FF76256"/>
    <w:rsid w:val="6FF84047"/>
    <w:rsid w:val="6FFE4FED"/>
    <w:rsid w:val="6FFF442E"/>
    <w:rsid w:val="701640C3"/>
    <w:rsid w:val="70221C74"/>
    <w:rsid w:val="702B4CA8"/>
    <w:rsid w:val="703E08A5"/>
    <w:rsid w:val="704768DE"/>
    <w:rsid w:val="70874FC3"/>
    <w:rsid w:val="70880060"/>
    <w:rsid w:val="708F29D8"/>
    <w:rsid w:val="70935481"/>
    <w:rsid w:val="709B7D36"/>
    <w:rsid w:val="70A33DCF"/>
    <w:rsid w:val="70A41616"/>
    <w:rsid w:val="70C75C49"/>
    <w:rsid w:val="70D256F5"/>
    <w:rsid w:val="70EA4B5A"/>
    <w:rsid w:val="70FE5EC3"/>
    <w:rsid w:val="71264748"/>
    <w:rsid w:val="713A1BE3"/>
    <w:rsid w:val="7168027F"/>
    <w:rsid w:val="71815A96"/>
    <w:rsid w:val="7185508C"/>
    <w:rsid w:val="718A3557"/>
    <w:rsid w:val="718E6821"/>
    <w:rsid w:val="719218CD"/>
    <w:rsid w:val="7195140E"/>
    <w:rsid w:val="719C3C19"/>
    <w:rsid w:val="71A20CAD"/>
    <w:rsid w:val="71DB12C0"/>
    <w:rsid w:val="71EF4453"/>
    <w:rsid w:val="71F36EB1"/>
    <w:rsid w:val="720C3BED"/>
    <w:rsid w:val="7215661E"/>
    <w:rsid w:val="72232AC3"/>
    <w:rsid w:val="723932AD"/>
    <w:rsid w:val="723F2389"/>
    <w:rsid w:val="724E591C"/>
    <w:rsid w:val="72591107"/>
    <w:rsid w:val="726D1A27"/>
    <w:rsid w:val="72837FB3"/>
    <w:rsid w:val="728B683A"/>
    <w:rsid w:val="72AF312B"/>
    <w:rsid w:val="72D53B48"/>
    <w:rsid w:val="72DC528A"/>
    <w:rsid w:val="72E05F51"/>
    <w:rsid w:val="72F3797D"/>
    <w:rsid w:val="73147496"/>
    <w:rsid w:val="73150860"/>
    <w:rsid w:val="732D00A1"/>
    <w:rsid w:val="733F3663"/>
    <w:rsid w:val="7340275D"/>
    <w:rsid w:val="735241E8"/>
    <w:rsid w:val="73680F71"/>
    <w:rsid w:val="736C20ED"/>
    <w:rsid w:val="737F24B3"/>
    <w:rsid w:val="738B4A50"/>
    <w:rsid w:val="739255B0"/>
    <w:rsid w:val="7397230A"/>
    <w:rsid w:val="73A04BD2"/>
    <w:rsid w:val="73A3445C"/>
    <w:rsid w:val="73BC53B2"/>
    <w:rsid w:val="73CC344D"/>
    <w:rsid w:val="73D272B0"/>
    <w:rsid w:val="73E22169"/>
    <w:rsid w:val="73E63E70"/>
    <w:rsid w:val="73ED71E2"/>
    <w:rsid w:val="73F10759"/>
    <w:rsid w:val="73F921F5"/>
    <w:rsid w:val="74395419"/>
    <w:rsid w:val="74547BEE"/>
    <w:rsid w:val="74746D7C"/>
    <w:rsid w:val="749D7028"/>
    <w:rsid w:val="74A2256D"/>
    <w:rsid w:val="74AA43DB"/>
    <w:rsid w:val="74AC24F5"/>
    <w:rsid w:val="74B60A2F"/>
    <w:rsid w:val="74C1723C"/>
    <w:rsid w:val="74C3110D"/>
    <w:rsid w:val="74DB0DB6"/>
    <w:rsid w:val="74DF7BAB"/>
    <w:rsid w:val="74E729C3"/>
    <w:rsid w:val="74F12022"/>
    <w:rsid w:val="751D462F"/>
    <w:rsid w:val="75216E5D"/>
    <w:rsid w:val="753701F3"/>
    <w:rsid w:val="755456FF"/>
    <w:rsid w:val="755505AF"/>
    <w:rsid w:val="755F550A"/>
    <w:rsid w:val="75711F18"/>
    <w:rsid w:val="757D1AC1"/>
    <w:rsid w:val="759A27A6"/>
    <w:rsid w:val="75A037A5"/>
    <w:rsid w:val="75BB5BEE"/>
    <w:rsid w:val="75D06C6C"/>
    <w:rsid w:val="75E2742A"/>
    <w:rsid w:val="75E7565C"/>
    <w:rsid w:val="75E76425"/>
    <w:rsid w:val="75F4604D"/>
    <w:rsid w:val="760247AD"/>
    <w:rsid w:val="760250D2"/>
    <w:rsid w:val="760636A0"/>
    <w:rsid w:val="760F184D"/>
    <w:rsid w:val="76113A18"/>
    <w:rsid w:val="761F225E"/>
    <w:rsid w:val="762A5FF2"/>
    <w:rsid w:val="763046B6"/>
    <w:rsid w:val="76320F51"/>
    <w:rsid w:val="76373D34"/>
    <w:rsid w:val="764C2CB4"/>
    <w:rsid w:val="764C773E"/>
    <w:rsid w:val="765C39CA"/>
    <w:rsid w:val="76821E25"/>
    <w:rsid w:val="768F20DB"/>
    <w:rsid w:val="76A1125A"/>
    <w:rsid w:val="76AB0C14"/>
    <w:rsid w:val="76E01454"/>
    <w:rsid w:val="76EC329E"/>
    <w:rsid w:val="76EF1998"/>
    <w:rsid w:val="770F5577"/>
    <w:rsid w:val="771C5ED1"/>
    <w:rsid w:val="775E4133"/>
    <w:rsid w:val="77636631"/>
    <w:rsid w:val="77661A0F"/>
    <w:rsid w:val="77727A5A"/>
    <w:rsid w:val="777D07EB"/>
    <w:rsid w:val="779B611E"/>
    <w:rsid w:val="779C103C"/>
    <w:rsid w:val="77CDB32D"/>
    <w:rsid w:val="77D60618"/>
    <w:rsid w:val="77DD4857"/>
    <w:rsid w:val="77ED7D94"/>
    <w:rsid w:val="77EF2309"/>
    <w:rsid w:val="77FB9E89"/>
    <w:rsid w:val="77FC7D69"/>
    <w:rsid w:val="77FF4DFE"/>
    <w:rsid w:val="78125987"/>
    <w:rsid w:val="78174746"/>
    <w:rsid w:val="781751F3"/>
    <w:rsid w:val="782E281E"/>
    <w:rsid w:val="786243F7"/>
    <w:rsid w:val="78647781"/>
    <w:rsid w:val="78717535"/>
    <w:rsid w:val="78743F67"/>
    <w:rsid w:val="788855CA"/>
    <w:rsid w:val="7889382D"/>
    <w:rsid w:val="78A2331B"/>
    <w:rsid w:val="78AE9EC6"/>
    <w:rsid w:val="78BF3336"/>
    <w:rsid w:val="78DC3232"/>
    <w:rsid w:val="78E53671"/>
    <w:rsid w:val="78EE0A60"/>
    <w:rsid w:val="791003AF"/>
    <w:rsid w:val="792D7EFF"/>
    <w:rsid w:val="793A3738"/>
    <w:rsid w:val="79460EDE"/>
    <w:rsid w:val="794A63C6"/>
    <w:rsid w:val="794F055C"/>
    <w:rsid w:val="795A0FA1"/>
    <w:rsid w:val="7976773A"/>
    <w:rsid w:val="798028DB"/>
    <w:rsid w:val="798F237E"/>
    <w:rsid w:val="799B7A09"/>
    <w:rsid w:val="79A40AEF"/>
    <w:rsid w:val="79A93B7F"/>
    <w:rsid w:val="79B00CFE"/>
    <w:rsid w:val="79BB7457"/>
    <w:rsid w:val="79C43F43"/>
    <w:rsid w:val="79C72E91"/>
    <w:rsid w:val="79D87A55"/>
    <w:rsid w:val="79E7DAF1"/>
    <w:rsid w:val="79EA261C"/>
    <w:rsid w:val="79F31B43"/>
    <w:rsid w:val="79FD66BF"/>
    <w:rsid w:val="7A0B3584"/>
    <w:rsid w:val="7A2F70C4"/>
    <w:rsid w:val="7A372826"/>
    <w:rsid w:val="7A3B0D2D"/>
    <w:rsid w:val="7A451348"/>
    <w:rsid w:val="7A4610EA"/>
    <w:rsid w:val="7A492843"/>
    <w:rsid w:val="7A4A7061"/>
    <w:rsid w:val="7A4D46B1"/>
    <w:rsid w:val="7A522490"/>
    <w:rsid w:val="7A6348BA"/>
    <w:rsid w:val="7A6B26F7"/>
    <w:rsid w:val="7A74492B"/>
    <w:rsid w:val="7A8B398C"/>
    <w:rsid w:val="7A9654D2"/>
    <w:rsid w:val="7AC436AA"/>
    <w:rsid w:val="7AD6527E"/>
    <w:rsid w:val="7ADA256C"/>
    <w:rsid w:val="7ADC658F"/>
    <w:rsid w:val="7AE04774"/>
    <w:rsid w:val="7AE3081A"/>
    <w:rsid w:val="7AE37010"/>
    <w:rsid w:val="7AEB4E93"/>
    <w:rsid w:val="7AF764FA"/>
    <w:rsid w:val="7AFD3857"/>
    <w:rsid w:val="7AFF2D44"/>
    <w:rsid w:val="7B09782A"/>
    <w:rsid w:val="7B0A17DB"/>
    <w:rsid w:val="7B304435"/>
    <w:rsid w:val="7B3B07F5"/>
    <w:rsid w:val="7B5D1B94"/>
    <w:rsid w:val="7B5E7BA1"/>
    <w:rsid w:val="7B7840FC"/>
    <w:rsid w:val="7B7BF887"/>
    <w:rsid w:val="7B8D438C"/>
    <w:rsid w:val="7BA50D4D"/>
    <w:rsid w:val="7BCF4F4A"/>
    <w:rsid w:val="7BDB3521"/>
    <w:rsid w:val="7BE04399"/>
    <w:rsid w:val="7BEA728A"/>
    <w:rsid w:val="7BFDB82E"/>
    <w:rsid w:val="7C0B5A94"/>
    <w:rsid w:val="7C1C423A"/>
    <w:rsid w:val="7C7E4C0A"/>
    <w:rsid w:val="7CB30080"/>
    <w:rsid w:val="7CB97792"/>
    <w:rsid w:val="7CC51228"/>
    <w:rsid w:val="7CD8312B"/>
    <w:rsid w:val="7CF40A25"/>
    <w:rsid w:val="7CF770C4"/>
    <w:rsid w:val="7D39266F"/>
    <w:rsid w:val="7D39EE1D"/>
    <w:rsid w:val="7D3C4634"/>
    <w:rsid w:val="7D406813"/>
    <w:rsid w:val="7D41687E"/>
    <w:rsid w:val="7D464F92"/>
    <w:rsid w:val="7D4A18A6"/>
    <w:rsid w:val="7D5B405C"/>
    <w:rsid w:val="7D6C5EC3"/>
    <w:rsid w:val="7D8F021D"/>
    <w:rsid w:val="7DA309E3"/>
    <w:rsid w:val="7DB3E95D"/>
    <w:rsid w:val="7DB70D15"/>
    <w:rsid w:val="7DC5442D"/>
    <w:rsid w:val="7DE72850"/>
    <w:rsid w:val="7DF8495E"/>
    <w:rsid w:val="7DFF2780"/>
    <w:rsid w:val="7E0265B5"/>
    <w:rsid w:val="7E070AD1"/>
    <w:rsid w:val="7E190A95"/>
    <w:rsid w:val="7E270BC4"/>
    <w:rsid w:val="7E36036B"/>
    <w:rsid w:val="7E56114F"/>
    <w:rsid w:val="7E5A1313"/>
    <w:rsid w:val="7E5F2A98"/>
    <w:rsid w:val="7E5FF638"/>
    <w:rsid w:val="7E6422AE"/>
    <w:rsid w:val="7E706A12"/>
    <w:rsid w:val="7E8161FD"/>
    <w:rsid w:val="7E955F38"/>
    <w:rsid w:val="7EC87A85"/>
    <w:rsid w:val="7ECB3E04"/>
    <w:rsid w:val="7ED16786"/>
    <w:rsid w:val="7EDED010"/>
    <w:rsid w:val="7EF17A1B"/>
    <w:rsid w:val="7EF83E2F"/>
    <w:rsid w:val="7F1C70D5"/>
    <w:rsid w:val="7F340717"/>
    <w:rsid w:val="7F4D216F"/>
    <w:rsid w:val="7F4D29DE"/>
    <w:rsid w:val="7F4F1CA8"/>
    <w:rsid w:val="7F7E910D"/>
    <w:rsid w:val="7F865FB7"/>
    <w:rsid w:val="7F873E53"/>
    <w:rsid w:val="7F8A1CB4"/>
    <w:rsid w:val="7F8A4EF6"/>
    <w:rsid w:val="7F8D3F7F"/>
    <w:rsid w:val="7F9D49AE"/>
    <w:rsid w:val="7FA72FCA"/>
    <w:rsid w:val="7FB42A25"/>
    <w:rsid w:val="7FB73567"/>
    <w:rsid w:val="7FBE63AE"/>
    <w:rsid w:val="7FC16F99"/>
    <w:rsid w:val="7FC65BA0"/>
    <w:rsid w:val="7FCE26FC"/>
    <w:rsid w:val="7FD02699"/>
    <w:rsid w:val="7FD762D3"/>
    <w:rsid w:val="7FDD0EBC"/>
    <w:rsid w:val="7FF049B3"/>
    <w:rsid w:val="7FF0A5AD"/>
    <w:rsid w:val="7FF6C123"/>
    <w:rsid w:val="9FDB3E36"/>
    <w:rsid w:val="A7DACCC7"/>
    <w:rsid w:val="A93B2335"/>
    <w:rsid w:val="ADF1E103"/>
    <w:rsid w:val="B67D29B4"/>
    <w:rsid w:val="B77D099E"/>
    <w:rsid w:val="B77EA007"/>
    <w:rsid w:val="B7FF6681"/>
    <w:rsid w:val="BB9D2EDC"/>
    <w:rsid w:val="BBD3E738"/>
    <w:rsid w:val="BBFE23C8"/>
    <w:rsid w:val="BBFFD766"/>
    <w:rsid w:val="BCEDF9BF"/>
    <w:rsid w:val="BD7F5E86"/>
    <w:rsid w:val="BDFF5B70"/>
    <w:rsid w:val="BFEF96EA"/>
    <w:rsid w:val="BFF5F37A"/>
    <w:rsid w:val="BFFBB8CE"/>
    <w:rsid w:val="CBD6B819"/>
    <w:rsid w:val="CFFD4C72"/>
    <w:rsid w:val="D0EF625B"/>
    <w:rsid w:val="D13F09E9"/>
    <w:rsid w:val="D50B7146"/>
    <w:rsid w:val="D6C84715"/>
    <w:rsid w:val="D6FF90FA"/>
    <w:rsid w:val="DBFE5D14"/>
    <w:rsid w:val="DC7F729B"/>
    <w:rsid w:val="DCDBE12D"/>
    <w:rsid w:val="DEC92CAA"/>
    <w:rsid w:val="E7F8E2EE"/>
    <w:rsid w:val="EB56DC06"/>
    <w:rsid w:val="EB7F0473"/>
    <w:rsid w:val="EDFF6760"/>
    <w:rsid w:val="EE3F9636"/>
    <w:rsid w:val="EFDE8E12"/>
    <w:rsid w:val="EFFF2A57"/>
    <w:rsid w:val="F6FFB352"/>
    <w:rsid w:val="F79FB7EB"/>
    <w:rsid w:val="FAFD49A4"/>
    <w:rsid w:val="FBBF3BBD"/>
    <w:rsid w:val="FBCA80C6"/>
    <w:rsid w:val="FBFA814F"/>
    <w:rsid w:val="FCAB4684"/>
    <w:rsid w:val="FD5F3F65"/>
    <w:rsid w:val="FD7D09F9"/>
    <w:rsid w:val="FDF776F1"/>
    <w:rsid w:val="FDFEBE9C"/>
    <w:rsid w:val="FF3B989A"/>
    <w:rsid w:val="FFAF9DF4"/>
    <w:rsid w:val="FFC9A3EF"/>
    <w:rsid w:val="FFFF53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1"/>
    <w:basedOn w:val="1"/>
    <w:next w:val="1"/>
    <w:autoRedefine/>
    <w:qFormat/>
    <w:uiPriority w:val="0"/>
    <w:pPr>
      <w:spacing w:line="560" w:lineRule="exact"/>
      <w:jc w:val="left"/>
      <w:outlineLvl w:val="0"/>
    </w:pPr>
    <w:rPr>
      <w:rFonts w:ascii="宋体" w:hAnsi="宋体"/>
      <w:b/>
      <w:bCs/>
      <w:color w:val="auto"/>
      <w:sz w:val="28"/>
      <w:szCs w:val="28"/>
    </w:rPr>
  </w:style>
  <w:style w:type="paragraph" w:styleId="4">
    <w:name w:val="heading 2"/>
    <w:basedOn w:val="1"/>
    <w:next w:val="1"/>
    <w:autoRedefine/>
    <w:qFormat/>
    <w:uiPriority w:val="0"/>
    <w:pPr>
      <w:spacing w:line="560" w:lineRule="exact"/>
      <w:ind w:firstLine="482" w:firstLineChars="200"/>
      <w:jc w:val="left"/>
      <w:outlineLvl w:val="1"/>
    </w:pPr>
    <w:rPr>
      <w:rFonts w:ascii="宋体" w:hAnsi="宋体"/>
      <w:b/>
      <w:bCs/>
      <w:color w:val="auto"/>
      <w:sz w:val="24"/>
      <w:szCs w:val="24"/>
    </w:rPr>
  </w:style>
  <w:style w:type="paragraph" w:styleId="5">
    <w:name w:val="heading 3"/>
    <w:basedOn w:val="1"/>
    <w:next w:val="1"/>
    <w:link w:val="67"/>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cs="Arial"/>
      <w:b/>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ind w:firstLine="425" w:firstLineChars="177"/>
    </w:pPr>
    <w:rPr>
      <w:kern w:val="1"/>
    </w:rPr>
  </w:style>
  <w:style w:type="paragraph" w:styleId="7">
    <w:name w:val="toc 7"/>
    <w:basedOn w:val="1"/>
    <w:next w:val="1"/>
    <w:autoRedefine/>
    <w:unhideWhenUsed/>
    <w:qFormat/>
    <w:uiPriority w:val="39"/>
    <w:pPr>
      <w:ind w:left="2520" w:leftChars="1200"/>
    </w:pPr>
    <w:rPr>
      <w:rFonts w:cs="Times New Roman"/>
      <w:color w:val="auto"/>
      <w:kern w:val="2"/>
    </w:rPr>
  </w:style>
  <w:style w:type="paragraph" w:styleId="8">
    <w:name w:val="index 8"/>
    <w:basedOn w:val="1"/>
    <w:next w:val="1"/>
    <w:autoRedefine/>
    <w:unhideWhenUsed/>
    <w:qFormat/>
    <w:uiPriority w:val="99"/>
    <w:pPr>
      <w:ind w:left="1400" w:leftChars="1400"/>
    </w:pPr>
  </w:style>
  <w:style w:type="paragraph" w:styleId="9">
    <w:name w:val="Normal Indent"/>
    <w:basedOn w:val="1"/>
    <w:autoRedefine/>
    <w:qFormat/>
    <w:uiPriority w:val="99"/>
    <w:pPr>
      <w:ind w:firstLine="420" w:firstLineChars="200"/>
    </w:pPr>
    <w:rPr>
      <w:rFonts w:ascii="Times New Roman" w:hAnsi="Times New Roman" w:cs="Times New Roman"/>
      <w:szCs w:val="24"/>
    </w:rPr>
  </w:style>
  <w:style w:type="paragraph" w:styleId="10">
    <w:name w:val="Document Map"/>
    <w:basedOn w:val="1"/>
    <w:autoRedefine/>
    <w:qFormat/>
    <w:uiPriority w:val="0"/>
    <w:pPr>
      <w:shd w:val="clear" w:color="000000" w:fill="00007F"/>
    </w:pPr>
    <w:rPr>
      <w:kern w:val="1"/>
      <w:szCs w:val="24"/>
      <w:lang w:val="zh-CN"/>
    </w:rPr>
  </w:style>
  <w:style w:type="paragraph" w:styleId="11">
    <w:name w:val="annotation text"/>
    <w:basedOn w:val="1"/>
    <w:link w:val="40"/>
    <w:autoRedefine/>
    <w:qFormat/>
    <w:uiPriority w:val="0"/>
    <w:pPr>
      <w:jc w:val="left"/>
    </w:pPr>
    <w:rPr>
      <w:sz w:val="20"/>
      <w:szCs w:val="24"/>
      <w:lang w:val="zh-CN"/>
    </w:rPr>
  </w:style>
  <w:style w:type="paragraph" w:styleId="12">
    <w:name w:val="Body Text 3"/>
    <w:basedOn w:val="1"/>
    <w:autoRedefine/>
    <w:qFormat/>
    <w:uiPriority w:val="0"/>
    <w:rPr>
      <w:rFonts w:ascii="宋体" w:hAnsi="宋体" w:cs="宋体"/>
      <w:sz w:val="24"/>
      <w:szCs w:val="20"/>
    </w:rPr>
  </w:style>
  <w:style w:type="paragraph" w:styleId="13">
    <w:name w:val="Block Text"/>
    <w:basedOn w:val="1"/>
    <w:autoRedefine/>
    <w:qFormat/>
    <w:uiPriority w:val="0"/>
    <w:pPr>
      <w:spacing w:before="120" w:after="120" w:line="360" w:lineRule="auto"/>
      <w:ind w:left="57" w:right="57" w:firstLine="468"/>
    </w:pPr>
    <w:rPr>
      <w:rFonts w:ascii="Arial" w:hAnsi="Arial" w:cs="Arial"/>
      <w:kern w:val="1"/>
      <w:sz w:val="24"/>
      <w:szCs w:val="20"/>
    </w:rPr>
  </w:style>
  <w:style w:type="paragraph" w:styleId="14">
    <w:name w:val="toc 5"/>
    <w:basedOn w:val="1"/>
    <w:next w:val="1"/>
    <w:autoRedefine/>
    <w:unhideWhenUsed/>
    <w:qFormat/>
    <w:uiPriority w:val="39"/>
    <w:pPr>
      <w:ind w:left="1680" w:leftChars="800"/>
    </w:pPr>
    <w:rPr>
      <w:rFonts w:cs="Times New Roman"/>
      <w:color w:val="auto"/>
      <w:kern w:val="2"/>
    </w:rPr>
  </w:style>
  <w:style w:type="paragraph" w:styleId="15">
    <w:name w:val="toc 3"/>
    <w:basedOn w:val="1"/>
    <w:next w:val="1"/>
    <w:autoRedefine/>
    <w:unhideWhenUsed/>
    <w:qFormat/>
    <w:uiPriority w:val="39"/>
    <w:pPr>
      <w:ind w:left="840" w:leftChars="400"/>
    </w:pPr>
  </w:style>
  <w:style w:type="paragraph" w:styleId="16">
    <w:name w:val="Plain Text"/>
    <w:basedOn w:val="1"/>
    <w:link w:val="52"/>
    <w:autoRedefine/>
    <w:qFormat/>
    <w:uiPriority w:val="0"/>
    <w:pPr>
      <w:spacing w:line="560" w:lineRule="exact"/>
      <w:ind w:firstLine="200" w:firstLineChars="100"/>
    </w:pPr>
    <w:rPr>
      <w:rFonts w:ascii="宋体" w:hAnsi="宋体" w:cs="Courier New"/>
      <w:sz w:val="20"/>
      <w:szCs w:val="20"/>
      <w:lang w:val="zh-CN"/>
    </w:rPr>
  </w:style>
  <w:style w:type="paragraph" w:styleId="17">
    <w:name w:val="toc 8"/>
    <w:basedOn w:val="1"/>
    <w:next w:val="1"/>
    <w:autoRedefine/>
    <w:unhideWhenUsed/>
    <w:qFormat/>
    <w:uiPriority w:val="39"/>
    <w:pPr>
      <w:ind w:left="2940" w:leftChars="1400"/>
    </w:pPr>
    <w:rPr>
      <w:rFonts w:cs="Times New Roman"/>
      <w:color w:val="auto"/>
      <w:kern w:val="2"/>
    </w:rPr>
  </w:style>
  <w:style w:type="paragraph" w:styleId="18">
    <w:name w:val="Body Text Indent 2"/>
    <w:basedOn w:val="1"/>
    <w:autoRedefine/>
    <w:qFormat/>
    <w:uiPriority w:val="0"/>
    <w:pPr>
      <w:spacing w:after="120" w:line="480" w:lineRule="auto"/>
      <w:ind w:left="420"/>
    </w:pPr>
    <w:rPr>
      <w:sz w:val="20"/>
      <w:szCs w:val="24"/>
    </w:rPr>
  </w:style>
  <w:style w:type="paragraph" w:styleId="19">
    <w:name w:val="Balloon Text"/>
    <w:basedOn w:val="1"/>
    <w:autoRedefine/>
    <w:qFormat/>
    <w:uiPriority w:val="0"/>
    <w:rPr>
      <w:kern w:val="1"/>
      <w:sz w:val="18"/>
      <w:szCs w:val="18"/>
      <w:lang w:val="zh-CN"/>
    </w:rPr>
  </w:style>
  <w:style w:type="paragraph" w:styleId="20">
    <w:name w:val="footer"/>
    <w:basedOn w:val="1"/>
    <w:link w:val="83"/>
    <w:autoRedefine/>
    <w:qFormat/>
    <w:uiPriority w:val="0"/>
    <w:pPr>
      <w:tabs>
        <w:tab w:val="center" w:pos="4153"/>
        <w:tab w:val="right" w:pos="8306"/>
      </w:tabs>
      <w:jc w:val="left"/>
    </w:pPr>
    <w:rPr>
      <w:rFonts w:cs="Times New Roman"/>
      <w:color w:val="auto"/>
      <w:sz w:val="18"/>
      <w:szCs w:val="24"/>
    </w:rPr>
  </w:style>
  <w:style w:type="paragraph" w:styleId="21">
    <w:name w:val="header"/>
    <w:basedOn w:val="1"/>
    <w:autoRedefine/>
    <w:qFormat/>
    <w:uiPriority w:val="0"/>
    <w:pPr>
      <w:pBdr>
        <w:bottom w:val="single" w:color="000000" w:sz="6" w:space="1"/>
      </w:pBdr>
      <w:tabs>
        <w:tab w:val="center" w:pos="4153"/>
        <w:tab w:val="right" w:pos="8306"/>
      </w:tabs>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cs="Times New Roman"/>
      <w:b/>
      <w:caps/>
      <w:kern w:val="1"/>
      <w:sz w:val="20"/>
      <w:szCs w:val="20"/>
    </w:rPr>
  </w:style>
  <w:style w:type="paragraph" w:styleId="23">
    <w:name w:val="toc 4"/>
    <w:basedOn w:val="1"/>
    <w:next w:val="1"/>
    <w:autoRedefine/>
    <w:unhideWhenUsed/>
    <w:qFormat/>
    <w:uiPriority w:val="39"/>
    <w:pPr>
      <w:ind w:left="1260" w:leftChars="600"/>
    </w:pPr>
    <w:rPr>
      <w:rFonts w:cs="Times New Roman"/>
      <w:color w:val="auto"/>
      <w:kern w:val="2"/>
    </w:rPr>
  </w:style>
  <w:style w:type="paragraph" w:styleId="24">
    <w:name w:val="toc 6"/>
    <w:basedOn w:val="1"/>
    <w:next w:val="1"/>
    <w:unhideWhenUsed/>
    <w:qFormat/>
    <w:uiPriority w:val="39"/>
    <w:pPr>
      <w:ind w:left="2100" w:leftChars="1000"/>
    </w:pPr>
    <w:rPr>
      <w:rFonts w:cs="Times New Roman"/>
      <w:color w:val="auto"/>
      <w:kern w:val="2"/>
    </w:r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rPr>
      <w:rFonts w:cs="Times New Roman"/>
      <w:color w:val="auto"/>
      <w:kern w:val="2"/>
    </w:rPr>
  </w:style>
  <w:style w:type="paragraph" w:styleId="27">
    <w:name w:val="Body Text 2"/>
    <w:basedOn w:val="1"/>
    <w:qFormat/>
    <w:uiPriority w:val="0"/>
    <w:pPr>
      <w:spacing w:after="120" w:line="480" w:lineRule="auto"/>
    </w:pPr>
    <w:rPr>
      <w:sz w:val="20"/>
      <w:szCs w:val="24"/>
    </w:rPr>
  </w:style>
  <w:style w:type="paragraph" w:styleId="28">
    <w:name w:val="Normal (Web)"/>
    <w:basedOn w:val="1"/>
    <w:unhideWhenUsed/>
    <w:qFormat/>
    <w:uiPriority w:val="99"/>
    <w:rPr>
      <w:sz w:val="24"/>
    </w:rPr>
  </w:style>
  <w:style w:type="paragraph" w:styleId="29">
    <w:name w:val="annotation subject"/>
    <w:basedOn w:val="11"/>
    <w:next w:val="11"/>
    <w:qFormat/>
    <w:uiPriority w:val="0"/>
    <w:rPr>
      <w:b/>
      <w:kern w:val="1"/>
      <w:sz w:val="21"/>
      <w:szCs w:val="22"/>
    </w:rPr>
  </w:style>
  <w:style w:type="paragraph" w:styleId="30">
    <w:name w:val="Body Text First Indent"/>
    <w:basedOn w:val="2"/>
    <w:link w:val="61"/>
    <w:qFormat/>
    <w:uiPriority w:val="0"/>
    <w:pPr>
      <w:spacing w:line="312" w:lineRule="auto"/>
      <w:ind w:firstLine="420"/>
    </w:pPr>
  </w:style>
  <w:style w:type="table" w:styleId="32">
    <w:name w:val="Table Grid"/>
    <w:basedOn w:val="3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rPr>
  </w:style>
  <w:style w:type="character" w:styleId="35">
    <w:name w:val="page number"/>
    <w:qFormat/>
    <w:uiPriority w:val="0"/>
  </w:style>
  <w:style w:type="character" w:styleId="36">
    <w:name w:val="Hyperlink"/>
    <w:unhideWhenUsed/>
    <w:qFormat/>
    <w:uiPriority w:val="99"/>
    <w:rPr>
      <w:color w:val="0000FF"/>
      <w:u w:val="single"/>
    </w:rPr>
  </w:style>
  <w:style w:type="character" w:styleId="37">
    <w:name w:val="annotation reference"/>
    <w:qFormat/>
    <w:uiPriority w:val="0"/>
    <w:rPr>
      <w:sz w:val="21"/>
      <w:szCs w:val="21"/>
    </w:rPr>
  </w:style>
  <w:style w:type="paragraph" w:customStyle="1" w:styleId="38">
    <w:name w:val="修订1"/>
    <w:qFormat/>
    <w:uiPriority w:val="0"/>
    <w:rPr>
      <w:rFonts w:ascii="Calibri" w:hAnsi="Calibri" w:eastAsia="宋体" w:cs="Calibri"/>
      <w:color w:val="000000"/>
      <w:kern w:val="1"/>
      <w:sz w:val="21"/>
      <w:szCs w:val="22"/>
      <w:lang w:val="en-US" w:eastAsia="zh-CN" w:bidi="ar-SA"/>
    </w:rPr>
  </w:style>
  <w:style w:type="character" w:customStyle="1" w:styleId="39">
    <w:name w:val="页脚 Char1"/>
    <w:qFormat/>
    <w:uiPriority w:val="0"/>
    <w:rPr>
      <w:kern w:val="2"/>
      <w:sz w:val="18"/>
      <w:szCs w:val="18"/>
    </w:rPr>
  </w:style>
  <w:style w:type="character" w:customStyle="1" w:styleId="40">
    <w:name w:val="批注文字 字符"/>
    <w:link w:val="11"/>
    <w:qFormat/>
    <w:uiPriority w:val="0"/>
    <w:rPr>
      <w:rFonts w:ascii="Calibri" w:hAnsi="Calibri" w:cs="Calibri"/>
      <w:color w:val="000000"/>
      <w:szCs w:val="24"/>
      <w:lang w:val="zh-CN"/>
    </w:rPr>
  </w:style>
  <w:style w:type="paragraph" w:customStyle="1" w:styleId="41">
    <w:name w:val="标题 2 New"/>
    <w:basedOn w:val="42"/>
    <w:next w:val="42"/>
    <w:qFormat/>
    <w:uiPriority w:val="0"/>
    <w:pPr>
      <w:keepNext/>
      <w:keepLines/>
      <w:spacing w:line="413" w:lineRule="auto"/>
      <w:outlineLvl w:val="1"/>
    </w:pPr>
    <w:rPr>
      <w:rFonts w:ascii="Arial" w:hAnsi="Arial" w:eastAsia="黑体" w:cs="Arial"/>
      <w:b/>
      <w:sz w:val="32"/>
      <w:szCs w:val="32"/>
    </w:rPr>
  </w:style>
  <w:style w:type="paragraph" w:customStyle="1" w:styleId="42">
    <w:name w:val="正文 New"/>
    <w:next w:val="43"/>
    <w:qFormat/>
    <w:uiPriority w:val="0"/>
    <w:pPr>
      <w:widowControl w:val="0"/>
      <w:jc w:val="both"/>
    </w:pPr>
    <w:rPr>
      <w:rFonts w:ascii="Calibri" w:hAnsi="Calibri" w:eastAsia="宋体" w:cs="Calibri"/>
      <w:color w:val="000000"/>
      <w:sz w:val="21"/>
      <w:szCs w:val="22"/>
      <w:lang w:val="en-US" w:eastAsia="zh-CN" w:bidi="ar-SA"/>
    </w:rPr>
  </w:style>
  <w:style w:type="paragraph" w:customStyle="1" w:styleId="43">
    <w:name w:val="纯文本1"/>
    <w:basedOn w:val="42"/>
    <w:qFormat/>
    <w:uiPriority w:val="0"/>
    <w:rPr>
      <w:rFonts w:ascii="宋体" w:hAnsi="宋体" w:cs="Courier New"/>
      <w:sz w:val="20"/>
      <w:szCs w:val="20"/>
      <w:lang w:val="zh-CN"/>
    </w:rPr>
  </w:style>
  <w:style w:type="paragraph" w:customStyle="1" w:styleId="44">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character" w:customStyle="1" w:styleId="45">
    <w:name w:val="apple-converted-space"/>
    <w:qFormat/>
    <w:uiPriority w:val="0"/>
  </w:style>
  <w:style w:type="character" w:customStyle="1" w:styleId="46">
    <w:name w:val="批注框文本 Char"/>
    <w:qFormat/>
    <w:uiPriority w:val="0"/>
    <w:rPr>
      <w:kern w:val="1"/>
      <w:sz w:val="18"/>
      <w:szCs w:val="18"/>
    </w:rPr>
  </w:style>
  <w:style w:type="character" w:customStyle="1" w:styleId="47">
    <w:name w:val="font01"/>
    <w:qFormat/>
    <w:uiPriority w:val="0"/>
    <w:rPr>
      <w:rFonts w:ascii="Times New Roman" w:hAnsi="Times New Roman" w:cs="Times New Roman"/>
      <w:color w:val="000000"/>
      <w:sz w:val="20"/>
      <w:szCs w:val="20"/>
    </w:rPr>
  </w:style>
  <w:style w:type="character" w:customStyle="1" w:styleId="48">
    <w:name w:val="font21"/>
    <w:qFormat/>
    <w:uiPriority w:val="0"/>
    <w:rPr>
      <w:rFonts w:ascii="宋体" w:hAnsi="宋体" w:eastAsia="宋体" w:cs="宋体"/>
      <w:color w:val="000000"/>
      <w:sz w:val="24"/>
      <w:szCs w:val="24"/>
      <w:u w:val="none"/>
    </w:rPr>
  </w:style>
  <w:style w:type="paragraph" w:customStyle="1" w:styleId="49">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50">
    <w:name w:val="标题 1 New"/>
    <w:basedOn w:val="42"/>
    <w:next w:val="42"/>
    <w:qFormat/>
    <w:uiPriority w:val="0"/>
    <w:pPr>
      <w:keepNext/>
      <w:keepLines/>
      <w:spacing w:line="576" w:lineRule="auto"/>
      <w:outlineLvl w:val="0"/>
    </w:pPr>
    <w:rPr>
      <w:b/>
      <w:sz w:val="44"/>
      <w:szCs w:val="44"/>
    </w:rPr>
  </w:style>
  <w:style w:type="paragraph" w:customStyle="1" w:styleId="51">
    <w:name w:val="文二"/>
    <w:basedOn w:val="1"/>
    <w:qFormat/>
    <w:uiPriority w:val="0"/>
    <w:pPr>
      <w:jc w:val="left"/>
    </w:pPr>
    <w:rPr>
      <w:rFonts w:ascii="宋体" w:hAnsi="宋体" w:cs="宋体"/>
      <w:kern w:val="1"/>
      <w:szCs w:val="21"/>
    </w:rPr>
  </w:style>
  <w:style w:type="character" w:customStyle="1" w:styleId="52">
    <w:name w:val="纯文本 字符"/>
    <w:link w:val="16"/>
    <w:qFormat/>
    <w:uiPriority w:val="0"/>
    <w:rPr>
      <w:rFonts w:ascii="宋体" w:hAnsi="宋体" w:cs="Courier New"/>
      <w:color w:val="000000"/>
      <w:lang w:val="zh-CN"/>
    </w:rPr>
  </w:style>
  <w:style w:type="paragraph" w:customStyle="1" w:styleId="53">
    <w:name w:val="列出段落1"/>
    <w:basedOn w:val="1"/>
    <w:qFormat/>
    <w:uiPriority w:val="0"/>
    <w:pPr>
      <w:ind w:firstLine="420"/>
    </w:pPr>
    <w:rPr>
      <w:kern w:val="1"/>
      <w:szCs w:val="24"/>
    </w:rPr>
  </w:style>
  <w:style w:type="paragraph" w:customStyle="1" w:styleId="54">
    <w:name w:val="正文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TOC 标题1"/>
    <w:basedOn w:val="3"/>
    <w:next w:val="1"/>
    <w:unhideWhenUsed/>
    <w:qFormat/>
    <w:uiPriority w:val="39"/>
    <w:pPr>
      <w:widowControl/>
      <w:spacing w:before="480" w:line="276" w:lineRule="auto"/>
      <w:outlineLvl w:val="9"/>
    </w:pPr>
    <w:rPr>
      <w:rFonts w:ascii="Cambria" w:hAnsi="Cambria" w:cs="Times New Roman"/>
      <w:bCs w:val="0"/>
      <w:color w:val="366091"/>
    </w:rPr>
  </w:style>
  <w:style w:type="paragraph" w:customStyle="1" w:styleId="56">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57">
    <w:name w:val="paragraph"/>
    <w:basedOn w:val="1"/>
    <w:semiHidden/>
    <w:qFormat/>
    <w:uiPriority w:val="0"/>
    <w:pPr>
      <w:widowControl/>
      <w:spacing w:before="100" w:beforeAutospacing="1" w:after="100" w:afterAutospacing="1"/>
      <w:jc w:val="left"/>
    </w:pPr>
    <w:rPr>
      <w:rFonts w:ascii="等线" w:hAnsi="等线" w:eastAsia="等线" w:cs="Times New Roman"/>
      <w:color w:val="auto"/>
      <w:sz w:val="24"/>
      <w:szCs w:val="24"/>
    </w:rPr>
  </w:style>
  <w:style w:type="paragraph" w:customStyle="1" w:styleId="58">
    <w:name w:val="正题"/>
    <w:basedOn w:val="59"/>
    <w:next w:val="59"/>
    <w:autoRedefine/>
    <w:qFormat/>
    <w:uiPriority w:val="0"/>
    <w:pPr>
      <w:ind w:firstLine="0"/>
      <w:jc w:val="center"/>
    </w:pPr>
    <w:rPr>
      <w:rFonts w:eastAsia="黑体"/>
      <w:b/>
      <w:sz w:val="36"/>
      <w:szCs w:val="36"/>
    </w:rPr>
  </w:style>
  <w:style w:type="paragraph" w:customStyle="1" w:styleId="59">
    <w:name w:val="文一"/>
    <w:basedOn w:val="1"/>
    <w:qFormat/>
    <w:uiPriority w:val="0"/>
    <w:pPr>
      <w:spacing w:line="360" w:lineRule="auto"/>
      <w:ind w:firstLine="200"/>
    </w:pPr>
    <w:rPr>
      <w:spacing w:val="4"/>
      <w:sz w:val="24"/>
      <w:szCs w:val="24"/>
    </w:rPr>
  </w:style>
  <w:style w:type="paragraph" w:customStyle="1" w:styleId="60">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61">
    <w:name w:val="正文首行缩进 字符"/>
    <w:link w:val="30"/>
    <w:qFormat/>
    <w:uiPriority w:val="0"/>
    <w:rPr>
      <w:rFonts w:ascii="Calibri" w:hAnsi="Calibri" w:cs="Calibri"/>
      <w:color w:val="000000"/>
      <w:kern w:val="1"/>
      <w:sz w:val="21"/>
      <w:szCs w:val="22"/>
    </w:rPr>
  </w:style>
  <w:style w:type="paragraph" w:customStyle="1" w:styleId="62">
    <w:name w:val="首行缩进两字"/>
    <w:basedOn w:val="1"/>
    <w:link w:val="63"/>
    <w:qFormat/>
    <w:uiPriority w:val="0"/>
    <w:pPr>
      <w:ind w:firstLine="549" w:firstLineChars="200"/>
      <w:jc w:val="left"/>
    </w:pPr>
    <w:rPr>
      <w:rFonts w:ascii="宋体" w:hAnsi="宋体" w:cs="Times New Roman"/>
      <w:sz w:val="28"/>
      <w:szCs w:val="20"/>
    </w:rPr>
  </w:style>
  <w:style w:type="character" w:customStyle="1" w:styleId="63">
    <w:name w:val="首行缩进两字 Char1"/>
    <w:link w:val="62"/>
    <w:qFormat/>
    <w:locked/>
    <w:uiPriority w:val="0"/>
    <w:rPr>
      <w:rFonts w:ascii="宋体" w:hAnsi="宋体"/>
      <w:color w:val="000000"/>
      <w:sz w:val="28"/>
    </w:rPr>
  </w:style>
  <w:style w:type="character" w:customStyle="1" w:styleId="64">
    <w:name w:val="标题 2 Char"/>
    <w:qFormat/>
    <w:uiPriority w:val="0"/>
    <w:rPr>
      <w:rFonts w:ascii="Arial" w:hAnsi="Arial" w:eastAsia="黑体"/>
      <w:b/>
      <w:kern w:val="0"/>
      <w:sz w:val="32"/>
      <w:szCs w:val="32"/>
    </w:rPr>
  </w:style>
  <w:style w:type="paragraph" w:customStyle="1" w:styleId="65">
    <w:name w:val="发文落款"/>
    <w:basedOn w:val="66"/>
    <w:qFormat/>
    <w:uiPriority w:val="0"/>
    <w:pPr>
      <w:ind w:left="4094" w:right="607" w:firstLine="0"/>
      <w:jc w:val="center"/>
    </w:pPr>
  </w:style>
  <w:style w:type="paragraph" w:customStyle="1" w:styleId="66">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character" w:customStyle="1" w:styleId="67">
    <w:name w:val="标题 3 字符"/>
    <w:link w:val="5"/>
    <w:qFormat/>
    <w:uiPriority w:val="0"/>
    <w:rPr>
      <w:rFonts w:ascii="黑体" w:hAnsi="黑体" w:eastAsia="黑体" w:cs="宋体"/>
      <w:color w:val="000000"/>
      <w:sz w:val="28"/>
      <w:szCs w:val="28"/>
    </w:rPr>
  </w:style>
  <w:style w:type="paragraph" w:customStyle="1" w:styleId="68">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69">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70">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character" w:customStyle="1" w:styleId="71">
    <w:name w:val="批注文字 Char"/>
    <w:qFormat/>
    <w:uiPriority w:val="99"/>
    <w:rPr>
      <w:szCs w:val="24"/>
    </w:rPr>
  </w:style>
  <w:style w:type="paragraph" w:customStyle="1" w:styleId="72">
    <w:name w:val="p0"/>
    <w:basedOn w:val="1"/>
    <w:qFormat/>
    <w:uiPriority w:val="0"/>
    <w:pPr>
      <w:widowControl/>
      <w:spacing w:before="100" w:beforeAutospacing="1" w:after="100" w:afterAutospacing="1"/>
      <w:jc w:val="left"/>
    </w:pPr>
    <w:rPr>
      <w:rFonts w:ascii="宋体" w:hAnsi="宋体" w:cs="宋体"/>
      <w:color w:val="auto"/>
      <w:sz w:val="24"/>
      <w:szCs w:val="24"/>
    </w:rPr>
  </w:style>
  <w:style w:type="paragraph" w:customStyle="1" w:styleId="73">
    <w:name w:val="样式1"/>
    <w:basedOn w:val="1"/>
    <w:next w:val="6"/>
    <w:qFormat/>
    <w:uiPriority w:val="0"/>
    <w:pPr>
      <w:spacing w:line="360" w:lineRule="auto"/>
      <w:ind w:firstLine="420"/>
    </w:pPr>
    <w:rPr>
      <w:rFonts w:ascii="宋体" w:hAnsi="宋体" w:cs="宋体"/>
      <w:kern w:val="1"/>
      <w:szCs w:val="21"/>
    </w:rPr>
  </w:style>
  <w:style w:type="character" w:customStyle="1" w:styleId="74">
    <w:name w:val="纯文本 Char"/>
    <w:qFormat/>
    <w:uiPriority w:val="0"/>
    <w:rPr>
      <w:rFonts w:ascii="宋体" w:hAnsi="宋体"/>
    </w:rPr>
  </w:style>
  <w:style w:type="character" w:customStyle="1" w:styleId="75">
    <w:name w:val="NormalCharacter"/>
    <w:autoRedefine/>
    <w:semiHidden/>
    <w:qFormat/>
    <w:uiPriority w:val="0"/>
  </w:style>
  <w:style w:type="paragraph" w:customStyle="1" w:styleId="76">
    <w:name w:val="样式 宋体 行距: 1.5 倍行距"/>
    <w:basedOn w:val="1"/>
    <w:autoRedefine/>
    <w:qFormat/>
    <w:uiPriority w:val="0"/>
    <w:pPr>
      <w:jc w:val="center"/>
    </w:pPr>
    <w:rPr>
      <w:rFonts w:ascii="Times New Roman" w:hAnsi="Times New Roman"/>
      <w:b/>
    </w:rPr>
  </w:style>
  <w:style w:type="character" w:customStyle="1" w:styleId="77">
    <w:name w:val="ql-underline-dotted"/>
    <w:basedOn w:val="33"/>
    <w:qFormat/>
    <w:uiPriority w:val="0"/>
  </w:style>
  <w:style w:type="character" w:customStyle="1" w:styleId="78">
    <w:name w:val="_Style 8"/>
    <w:qFormat/>
    <w:uiPriority w:val="0"/>
    <w:rPr>
      <w:smallCaps/>
      <w:color w:val="C0504D"/>
      <w:u w:val="single"/>
    </w:rPr>
  </w:style>
  <w:style w:type="paragraph" w:customStyle="1" w:styleId="79">
    <w:name w:val="_Style 6"/>
    <w:basedOn w:val="1"/>
    <w:next w:val="80"/>
    <w:qFormat/>
    <w:uiPriority w:val="34"/>
    <w:pPr>
      <w:adjustRightInd w:val="0"/>
      <w:snapToGrid w:val="0"/>
      <w:spacing w:line="312" w:lineRule="auto"/>
      <w:ind w:firstLine="420" w:firstLineChars="200"/>
    </w:pPr>
    <w:rPr>
      <w:rFonts w:ascii="Times New Roman" w:hAnsi="Times New Roman" w:cs="Times New Roman"/>
      <w:kern w:val="2"/>
      <w:sz w:val="20"/>
      <w:szCs w:val="20"/>
    </w:rPr>
  </w:style>
  <w:style w:type="paragraph" w:styleId="80">
    <w:name w:val="List Paragraph"/>
    <w:basedOn w:val="1"/>
    <w:qFormat/>
    <w:uiPriority w:val="99"/>
    <w:pPr>
      <w:ind w:firstLine="420" w:firstLineChars="200"/>
    </w:pPr>
  </w:style>
  <w:style w:type="character" w:customStyle="1" w:styleId="81">
    <w:name w:val="文档结构图 Char1"/>
    <w:qFormat/>
    <w:uiPriority w:val="0"/>
    <w:rPr>
      <w:rFonts w:ascii="宋体" w:hAnsi="宋体"/>
      <w:kern w:val="1"/>
      <w:sz w:val="18"/>
      <w:szCs w:val="18"/>
    </w:rPr>
  </w:style>
  <w:style w:type="paragraph" w:customStyle="1" w:styleId="82">
    <w:name w:val="正文 New New"/>
    <w:basedOn w:val="1"/>
    <w:autoRedefine/>
    <w:qFormat/>
    <w:uiPriority w:val="0"/>
    <w:rPr>
      <w:rFonts w:ascii="Times New Roman" w:hAnsi="Times New Roman" w:cs="Times New Roman"/>
      <w:kern w:val="2"/>
      <w:szCs w:val="24"/>
    </w:rPr>
  </w:style>
  <w:style w:type="character" w:customStyle="1" w:styleId="83">
    <w:name w:val="页脚 字符"/>
    <w:link w:val="20"/>
    <w:qFormat/>
    <w:uiPriority w:val="0"/>
    <w:rPr>
      <w:sz w:val="18"/>
      <w:szCs w:val="24"/>
    </w:rPr>
  </w:style>
  <w:style w:type="paragraph" w:customStyle="1" w:styleId="84">
    <w:name w:val="纯文本11"/>
    <w:basedOn w:val="42"/>
    <w:qFormat/>
    <w:uiPriority w:val="0"/>
    <w:rPr>
      <w:rFonts w:ascii="宋体" w:hAnsi="宋体" w:cs="Courier New"/>
      <w:sz w:val="20"/>
      <w:szCs w:val="20"/>
      <w:lang w:val="zh-CN"/>
    </w:rPr>
  </w:style>
  <w:style w:type="paragraph" w:customStyle="1" w:styleId="85">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86">
    <w:name w:val="_Style 72"/>
    <w:unhideWhenUsed/>
    <w:qFormat/>
    <w:uiPriority w:val="99"/>
    <w:rPr>
      <w:rFonts w:ascii="Calibri" w:hAnsi="Calibri" w:eastAsia="宋体" w:cs="Calibri"/>
      <w:color w:val="000000"/>
      <w:sz w:val="21"/>
      <w:szCs w:val="22"/>
      <w:lang w:val="en-US" w:eastAsia="zh-CN" w:bidi="ar-SA"/>
    </w:rPr>
  </w:style>
  <w:style w:type="paragraph" w:customStyle="1" w:styleId="87">
    <w:name w:val="普通(网站)1"/>
    <w:basedOn w:val="1"/>
    <w:qFormat/>
    <w:uiPriority w:val="0"/>
    <w:pPr>
      <w:spacing w:before="100" w:beforeAutospacing="1" w:after="100" w:afterAutospacing="1"/>
    </w:pPr>
    <w:rPr>
      <w:rFonts w:ascii="宋体" w:hAnsi="宋体" w:cs="宋体"/>
      <w:sz w:val="24"/>
      <w:szCs w:val="24"/>
    </w:rPr>
  </w:style>
  <w:style w:type="character" w:customStyle="1" w:styleId="88">
    <w:name w:val="批注主题 Char"/>
    <w:qFormat/>
    <w:uiPriority w:val="0"/>
    <w:rPr>
      <w:b/>
      <w:kern w:val="1"/>
      <w:sz w:val="21"/>
      <w:szCs w:val="22"/>
    </w:rPr>
  </w:style>
  <w:style w:type="character" w:customStyle="1" w:styleId="89">
    <w:name w:val="cf01"/>
    <w:basedOn w:val="33"/>
    <w:qFormat/>
    <w:uiPriority w:val="0"/>
    <w:rPr>
      <w:rFonts w:hint="eastAsia" w:ascii="Microsoft YaHei UI" w:hAnsi="Microsoft YaHei UI" w:eastAsia="Microsoft YaHei UI"/>
      <w:sz w:val="18"/>
      <w:szCs w:val="18"/>
      <w:shd w:val="clear" w:color="auto" w:fill="FFFF00"/>
    </w:rPr>
  </w:style>
  <w:style w:type="paragraph" w:customStyle="1" w:styleId="90">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91">
    <w:name w:val="_Style 1"/>
    <w:basedOn w:val="1"/>
    <w:qFormat/>
    <w:uiPriority w:val="0"/>
    <w:rPr>
      <w:kern w:val="1"/>
      <w:sz w:val="20"/>
      <w:szCs w:val="20"/>
    </w:rPr>
  </w:style>
  <w:style w:type="character" w:customStyle="1" w:styleId="92">
    <w:name w:val="文档结构图 Char"/>
    <w:qFormat/>
    <w:uiPriority w:val="0"/>
    <w:rPr>
      <w:kern w:val="1"/>
      <w:sz w:val="21"/>
      <w:szCs w:val="24"/>
      <w:shd w:val="clear" w:color="auto" w:fill="00007F"/>
    </w:rPr>
  </w:style>
  <w:style w:type="paragraph" w:customStyle="1" w:styleId="93">
    <w:name w:val="表头"/>
    <w:basedOn w:val="1"/>
    <w:qFormat/>
    <w:uiPriority w:val="0"/>
    <w:pPr>
      <w:spacing w:line="360" w:lineRule="auto"/>
      <w:jc w:val="center"/>
    </w:pPr>
    <w:rPr>
      <w:rFonts w:ascii="黑体" w:hAnsi="黑体" w:eastAsia="黑体" w:cs="Times New Roman"/>
      <w:sz w:val="24"/>
      <w:szCs w:val="20"/>
    </w:rPr>
  </w:style>
  <w:style w:type="paragraph" w:customStyle="1" w:styleId="94">
    <w:name w:val="修订2"/>
    <w:hidden/>
    <w:semiHidden/>
    <w:qFormat/>
    <w:uiPriority w:val="99"/>
    <w:rPr>
      <w:rFonts w:ascii="Calibri" w:hAnsi="Calibri" w:eastAsia="宋体" w:cs="Calibri"/>
      <w:color w:val="000000"/>
      <w:sz w:val="21"/>
      <w:szCs w:val="22"/>
      <w:lang w:val="en-US" w:eastAsia="zh-CN" w:bidi="ar-SA"/>
    </w:rPr>
  </w:style>
  <w:style w:type="character" w:customStyle="1" w:styleId="95">
    <w:name w:val="15"/>
    <w:basedOn w:val="33"/>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20367</Words>
  <Characters>21915</Characters>
  <Lines>192</Lines>
  <Paragraphs>54</Paragraphs>
  <TotalTime>18</TotalTime>
  <ScaleCrop>false</ScaleCrop>
  <LinksUpToDate>false</LinksUpToDate>
  <CharactersWithSpaces>22086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2025-08-27T01:02:00Z</dcterms:created>
  <dc:creator>user</dc:creator>
  <cp:lastModifiedBy>An</cp:lastModifiedBy>
  <cp:lastPrinted>2024-12-19T10:06:00Z</cp:lastPrinted>
  <dcterms:modified xsi:type="dcterms:W3CDTF">2025-08-28T09:58:44Z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D457E417FD6ED4EEFD9BAD6812F48C01_43</vt:lpwstr>
  </property>
  <property fmtid="{D5CDD505-2E9C-101B-9397-08002B2CF9AE}" pid="4" name="KSOTemplateDocerSaveRecord">
    <vt:lpwstr>eyJoZGlkIjoiMDEwYzI2ZTI4MDA0ODg3MjA0ZTYxNTVhYzAzYTY5OTkiLCJ1c2VySWQiOiIzNjQxMjMwNTgifQ==</vt:lpwstr>
  </property>
</Properties>
</file>