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C01EA">
      <w:pPr>
        <w:pStyle w:val="14"/>
        <w:spacing w:line="360" w:lineRule="auto"/>
        <w:jc w:val="center"/>
        <w:rPr>
          <w:rFonts w:hint="default" w:eastAsia="宋体" w:cs="宋体"/>
          <w:b/>
          <w:color w:val="auto"/>
          <w:sz w:val="44"/>
          <w:szCs w:val="44"/>
          <w:highlight w:val="none"/>
          <w:u w:val="none"/>
          <w:lang w:val="en-US" w:eastAsia="zh-CN"/>
        </w:rPr>
      </w:pPr>
      <w:r>
        <w:rPr>
          <w:rFonts w:hint="eastAsia" w:eastAsia="宋体" w:cs="宋体"/>
          <w:b/>
          <w:color w:val="auto"/>
          <w:sz w:val="44"/>
          <w:szCs w:val="44"/>
          <w:highlight w:val="none"/>
          <w:u w:val="none"/>
          <w:lang w:eastAsia="zh-CN"/>
        </w:rPr>
        <w:t>黄埔区城中村、老旧小区雨污分流改造工程--117中学教师楼等8个合同红线范围外新增建设内容施工总承包</w:t>
      </w:r>
    </w:p>
    <w:p w14:paraId="68CD52F8">
      <w:pPr>
        <w:pStyle w:val="14"/>
        <w:spacing w:line="360" w:lineRule="auto"/>
        <w:jc w:val="center"/>
        <w:rPr>
          <w:rFonts w:hint="eastAsia" w:eastAsia="宋体" w:cs="宋体"/>
          <w:b/>
          <w:color w:val="auto"/>
          <w:sz w:val="44"/>
          <w:szCs w:val="44"/>
          <w:highlight w:val="none"/>
          <w:u w:val="none"/>
        </w:rPr>
      </w:pPr>
    </w:p>
    <w:p w14:paraId="51DCEDC9">
      <w:pPr>
        <w:pStyle w:val="14"/>
        <w:spacing w:line="360" w:lineRule="auto"/>
        <w:jc w:val="center"/>
        <w:rPr>
          <w:rFonts w:hint="eastAsia" w:eastAsia="宋体" w:cs="宋体"/>
          <w:b/>
          <w:color w:val="auto"/>
          <w:sz w:val="44"/>
          <w:szCs w:val="44"/>
          <w:highlight w:val="none"/>
        </w:rPr>
      </w:pPr>
    </w:p>
    <w:p w14:paraId="3653BA6D">
      <w:pPr>
        <w:pStyle w:val="14"/>
        <w:spacing w:line="360" w:lineRule="auto"/>
        <w:jc w:val="center"/>
        <w:rPr>
          <w:rFonts w:hint="eastAsia" w:eastAsia="宋体" w:cs="宋体"/>
          <w:b/>
          <w:color w:val="auto"/>
          <w:sz w:val="44"/>
          <w:szCs w:val="44"/>
          <w:highlight w:val="none"/>
        </w:rPr>
      </w:pPr>
    </w:p>
    <w:p w14:paraId="768D534D">
      <w:pPr>
        <w:pStyle w:val="14"/>
        <w:spacing w:line="360" w:lineRule="auto"/>
        <w:jc w:val="center"/>
        <w:rPr>
          <w:rFonts w:hint="eastAsia" w:eastAsia="宋体" w:cs="宋体"/>
          <w:b/>
          <w:color w:val="auto"/>
          <w:sz w:val="44"/>
          <w:szCs w:val="44"/>
          <w:highlight w:val="none"/>
        </w:rPr>
      </w:pPr>
    </w:p>
    <w:p w14:paraId="406D76D5">
      <w:pPr>
        <w:spacing w:line="360" w:lineRule="auto"/>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14:paraId="561E2B61">
      <w:pPr>
        <w:pStyle w:val="14"/>
        <w:spacing w:line="360" w:lineRule="auto"/>
        <w:jc w:val="center"/>
        <w:rPr>
          <w:rFonts w:hint="eastAsia" w:eastAsia="宋体" w:cs="宋体"/>
          <w:b/>
          <w:color w:val="auto"/>
          <w:sz w:val="44"/>
          <w:szCs w:val="44"/>
          <w:highlight w:val="none"/>
        </w:rPr>
      </w:pPr>
    </w:p>
    <w:p w14:paraId="0BEF6C6B">
      <w:pPr>
        <w:pStyle w:val="14"/>
        <w:spacing w:line="360" w:lineRule="auto"/>
        <w:jc w:val="center"/>
        <w:rPr>
          <w:rFonts w:hint="eastAsia" w:eastAsia="宋体" w:cs="宋体"/>
          <w:b/>
          <w:color w:val="auto"/>
          <w:sz w:val="44"/>
          <w:szCs w:val="44"/>
          <w:highlight w:val="none"/>
        </w:rPr>
      </w:pPr>
    </w:p>
    <w:p w14:paraId="067A83FB">
      <w:pPr>
        <w:widowControl/>
        <w:spacing w:line="480"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招标人：</w:t>
      </w:r>
      <w:r>
        <w:rPr>
          <w:rFonts w:hint="eastAsia" w:ascii="宋体" w:hAnsi="宋体" w:cs="宋体"/>
          <w:color w:val="auto"/>
          <w:sz w:val="30"/>
          <w:szCs w:val="30"/>
          <w:highlight w:val="none"/>
          <w:u w:val="single"/>
          <w:lang w:eastAsia="zh-CN"/>
        </w:rPr>
        <w:t>广州开发区财政投资建设项目管理中心</w:t>
      </w:r>
      <w:r>
        <w:rPr>
          <w:rFonts w:hint="eastAsia" w:ascii="宋体" w:hAnsi="宋体" w:cs="宋体"/>
          <w:color w:val="auto"/>
          <w:sz w:val="30"/>
          <w:szCs w:val="30"/>
          <w:highlight w:val="none"/>
        </w:rPr>
        <w:t>（盖单位章）</w:t>
      </w:r>
    </w:p>
    <w:p w14:paraId="479B740D">
      <w:pPr>
        <w:widowControl/>
        <w:spacing w:line="480"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代建单位：</w:t>
      </w:r>
      <w:r>
        <w:rPr>
          <w:rFonts w:hint="eastAsia" w:ascii="宋体" w:hAnsi="宋体" w:cs="宋体"/>
          <w:color w:val="auto"/>
          <w:sz w:val="30"/>
          <w:szCs w:val="30"/>
          <w:highlight w:val="none"/>
          <w:u w:val="single"/>
        </w:rPr>
        <w:t>广州高新建设开发集团有限公司</w:t>
      </w:r>
      <w:r>
        <w:rPr>
          <w:rFonts w:hint="eastAsia" w:ascii="宋体" w:hAnsi="宋体" w:cs="宋体"/>
          <w:color w:val="auto"/>
          <w:sz w:val="30"/>
          <w:szCs w:val="30"/>
          <w:highlight w:val="none"/>
        </w:rPr>
        <w:t>（盖单位章）</w:t>
      </w:r>
    </w:p>
    <w:p w14:paraId="38BB9CDB">
      <w:pPr>
        <w:widowControl/>
        <w:spacing w:line="480"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招标代理：</w:t>
      </w:r>
      <w:r>
        <w:rPr>
          <w:rFonts w:hint="eastAsia" w:ascii="宋体" w:hAnsi="宋体" w:cs="宋体"/>
          <w:color w:val="auto"/>
          <w:sz w:val="30"/>
          <w:szCs w:val="30"/>
          <w:highlight w:val="none"/>
          <w:u w:val="single"/>
          <w:lang w:eastAsia="zh-CN"/>
        </w:rPr>
        <w:t>广州筑正工程建设管理有限公司</w:t>
      </w:r>
      <w:r>
        <w:rPr>
          <w:rFonts w:hint="eastAsia" w:ascii="宋体" w:hAnsi="宋体" w:cs="宋体"/>
          <w:color w:val="auto"/>
          <w:sz w:val="30"/>
          <w:szCs w:val="30"/>
          <w:highlight w:val="none"/>
        </w:rPr>
        <w:t>（盖单位章）</w:t>
      </w:r>
    </w:p>
    <w:p w14:paraId="7D695A67">
      <w:pPr>
        <w:widowControl/>
        <w:spacing w:line="360" w:lineRule="auto"/>
        <w:ind w:left="0" w:leftChars="0" w:firstLine="0" w:firstLineChars="0"/>
        <w:jc w:val="center"/>
        <w:rPr>
          <w:rFonts w:hint="eastAsia" w:ascii="宋体" w:hAnsi="宋体" w:cs="宋体"/>
          <w:color w:val="auto"/>
          <w:sz w:val="24"/>
          <w:szCs w:val="24"/>
          <w:highlight w:val="none"/>
        </w:rPr>
      </w:pPr>
      <w:r>
        <w:rPr>
          <w:rFonts w:hint="eastAsia" w:ascii="宋体" w:hAnsi="宋体" w:cs="宋体"/>
          <w:color w:val="auto"/>
          <w:sz w:val="30"/>
          <w:szCs w:val="30"/>
          <w:highlight w:val="none"/>
          <w:u w:val="single"/>
        </w:rPr>
        <w:t>202</w:t>
      </w:r>
      <w:r>
        <w:rPr>
          <w:rFonts w:hint="eastAsia" w:ascii="宋体" w:hAnsi="宋体" w:cs="宋体"/>
          <w:color w:val="auto"/>
          <w:sz w:val="30"/>
          <w:szCs w:val="30"/>
          <w:highlight w:val="none"/>
          <w:u w:val="single"/>
          <w:lang w:val="en-US" w:eastAsia="zh-CN"/>
        </w:rPr>
        <w:t>5</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rPr>
        <w:t>0</w:t>
      </w:r>
      <w:r>
        <w:rPr>
          <w:rFonts w:hint="eastAsia" w:ascii="宋体" w:hAnsi="宋体" w:cs="宋体"/>
          <w:color w:val="auto"/>
          <w:sz w:val="30"/>
          <w:szCs w:val="30"/>
          <w:highlight w:val="none"/>
          <w:u w:val="single"/>
          <w:lang w:val="en-US" w:eastAsia="zh-CN"/>
        </w:rPr>
        <w:t>8</w:t>
      </w:r>
      <w:r>
        <w:rPr>
          <w:rFonts w:hint="eastAsia" w:ascii="宋体" w:hAnsi="宋体" w:cs="宋体"/>
          <w:color w:val="auto"/>
          <w:sz w:val="30"/>
          <w:szCs w:val="30"/>
          <w:highlight w:val="none"/>
        </w:rPr>
        <w:t>月</w:t>
      </w:r>
    </w:p>
    <w:p w14:paraId="58C63122">
      <w:pPr>
        <w:widowControl/>
        <w:tabs>
          <w:tab w:val="left" w:pos="851"/>
        </w:tabs>
        <w:spacing w:line="360" w:lineRule="auto"/>
        <w:ind w:left="482"/>
        <w:jc w:val="left"/>
        <w:rPr>
          <w:rFonts w:hint="eastAsia" w:ascii="宋体" w:hAnsi="宋体" w:cs="宋体"/>
          <w:color w:val="auto"/>
          <w:sz w:val="24"/>
          <w:szCs w:val="24"/>
          <w:highlight w:val="none"/>
        </w:rPr>
      </w:pPr>
    </w:p>
    <w:p w14:paraId="2344662E">
      <w:pPr>
        <w:pStyle w:val="21"/>
        <w:pageBreakBefore/>
        <w:jc w:val="center"/>
        <w:rPr>
          <w:rFonts w:hint="eastAsia" w:ascii="宋体" w:hAnsi="宋体" w:cs="宋体"/>
          <w:b/>
          <w:bCs/>
          <w:color w:val="auto"/>
          <w:highlight w:val="none"/>
          <w:lang w:val="zh-CN"/>
        </w:rPr>
        <w:sectPr>
          <w:headerReference r:id="rId3" w:type="default"/>
          <w:footerReference r:id="rId4"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0"/>
          <w:cols w:space="720" w:num="1"/>
          <w:docGrid w:linePitch="312" w:charSpace="0"/>
        </w:sectPr>
      </w:pPr>
    </w:p>
    <w:p w14:paraId="405E1501">
      <w:pPr>
        <w:pStyle w:val="21"/>
        <w:pageBreakBefore/>
        <w:jc w:val="center"/>
        <w:rPr>
          <w:rFonts w:hint="eastAsia" w:ascii="宋体" w:hAnsi="宋体" w:cs="宋体"/>
          <w:b/>
          <w:bCs/>
          <w:color w:val="auto"/>
          <w:highlight w:val="none"/>
        </w:rPr>
      </w:pPr>
      <w:r>
        <w:rPr>
          <w:rFonts w:hint="eastAsia" w:ascii="宋体" w:hAnsi="宋体" w:cs="宋体"/>
          <w:b/>
          <w:bCs/>
          <w:color w:val="auto"/>
          <w:highlight w:val="none"/>
          <w:lang w:val="zh-CN"/>
        </w:rPr>
        <w:t>目</w:t>
      </w:r>
      <w:r>
        <w:rPr>
          <w:rFonts w:hint="eastAsia" w:ascii="宋体" w:hAnsi="宋体" w:cs="宋体"/>
          <w:b/>
          <w:bCs/>
          <w:color w:val="auto"/>
          <w:highlight w:val="none"/>
        </w:rPr>
        <w:t xml:space="preserve"> </w:t>
      </w:r>
      <w:r>
        <w:rPr>
          <w:rFonts w:hint="eastAsia" w:ascii="宋体" w:hAnsi="宋体" w:cs="宋体"/>
          <w:b/>
          <w:bCs/>
          <w:color w:val="auto"/>
          <w:highlight w:val="none"/>
          <w:lang w:val="zh-CN"/>
        </w:rPr>
        <w:t>录</w:t>
      </w:r>
      <w:bookmarkStart w:id="739" w:name="_GoBack"/>
      <w:bookmarkEnd w:id="739"/>
    </w:p>
    <w:p w14:paraId="68CABB19">
      <w:pPr>
        <w:pStyle w:val="2"/>
        <w:spacing w:line="288" w:lineRule="auto"/>
        <w:rPr>
          <w:rFonts w:hint="eastAsia" w:ascii="宋体" w:hAnsi="宋体" w:cs="宋体"/>
          <w:color w:val="auto"/>
          <w:sz w:val="24"/>
          <w:szCs w:val="24"/>
          <w:highlight w:val="none"/>
        </w:rPr>
      </w:pPr>
    </w:p>
    <w:p w14:paraId="7E8B0944">
      <w:pPr>
        <w:pStyle w:val="2"/>
        <w:pageBreakBefore w:val="0"/>
        <w:widowControl w:val="0"/>
        <w:tabs>
          <w:tab w:val="right" w:leader="dot" w:pos="9026"/>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_Toc17514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_Toc17514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DF5578B">
      <w:pPr>
        <w:pStyle w:val="2"/>
        <w:pageBreakBefore w:val="0"/>
        <w:widowControl w:val="0"/>
        <w:tabs>
          <w:tab w:val="right" w:leader="dot" w:pos="9026"/>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_Toc11864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_Toc11864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A472BD3">
      <w:pPr>
        <w:pStyle w:val="10"/>
        <w:pageBreakBefore w:val="0"/>
        <w:widowControl w:val="0"/>
        <w:tabs>
          <w:tab w:val="right" w:leader="dot" w:pos="902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_Toc31613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_Toc31613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6FCC988">
      <w:pPr>
        <w:pStyle w:val="10"/>
        <w:pageBreakBefore w:val="0"/>
        <w:widowControl w:val="0"/>
        <w:tabs>
          <w:tab w:val="right" w:leader="dot" w:pos="902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_Toc29811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投标人须知</w:t>
      </w:r>
      <w:r>
        <w:rPr>
          <w:rFonts w:hint="eastAsia" w:ascii="宋体" w:hAnsi="宋体" w:eastAsia="宋体" w:cs="宋体"/>
          <w:sz w:val="24"/>
          <w:szCs w:val="24"/>
          <w:highlight w:val="none"/>
        </w:rPr>
        <w:t>修改表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_Toc29811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49C566E">
      <w:pPr>
        <w:pStyle w:val="10"/>
        <w:pageBreakBefore w:val="0"/>
        <w:widowControl w:val="0"/>
        <w:tabs>
          <w:tab w:val="right" w:leader="dot" w:pos="902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_Toc9427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投标人须知</w:t>
      </w:r>
      <w:r>
        <w:rPr>
          <w:rFonts w:hint="eastAsia" w:ascii="宋体" w:hAnsi="宋体" w:eastAsia="宋体" w:cs="宋体"/>
          <w:sz w:val="24"/>
          <w:szCs w:val="24"/>
          <w:highlight w:val="none"/>
        </w:rPr>
        <w:t>通用条款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_Toc9427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1C3B972">
      <w:pPr>
        <w:pStyle w:val="2"/>
        <w:pageBreakBefore w:val="0"/>
        <w:widowControl w:val="0"/>
        <w:tabs>
          <w:tab w:val="right" w:leader="dot" w:pos="9026"/>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_Toc1868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评标及定标办法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_Toc1868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4912D17">
      <w:pPr>
        <w:pStyle w:val="10"/>
        <w:pageBreakBefore w:val="0"/>
        <w:widowControl w:val="0"/>
        <w:tabs>
          <w:tab w:val="right" w:leader="dot" w:pos="902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_Toc10637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一、评标及定标办法修改表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_Toc10637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32E0A4B">
      <w:pPr>
        <w:pStyle w:val="10"/>
        <w:pageBreakBefore w:val="0"/>
        <w:widowControl w:val="0"/>
        <w:tabs>
          <w:tab w:val="right" w:leader="dot" w:pos="9026"/>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二、评标及定标办法通用条款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_Toc1132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9A96791">
      <w:pPr>
        <w:pStyle w:val="2"/>
        <w:pageBreakBefore w:val="0"/>
        <w:widowControl w:val="0"/>
        <w:tabs>
          <w:tab w:val="right" w:leader="dot" w:pos="9026"/>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_Toc15164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第四章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_Toc15164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38067F6">
      <w:pPr>
        <w:pStyle w:val="2"/>
        <w:pageBreakBefore w:val="0"/>
        <w:widowControl w:val="0"/>
        <w:tabs>
          <w:tab w:val="right" w:leader="dot" w:pos="9026"/>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_Toc9085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 xml:space="preserve">第六章 </w:t>
      </w:r>
      <w:r>
        <w:rPr>
          <w:rFonts w:hint="eastAsia" w:ascii="宋体" w:hAnsi="宋体" w:eastAsia="宋体" w:cs="宋体"/>
          <w:sz w:val="24"/>
          <w:szCs w:val="24"/>
          <w:highlight w:val="none"/>
        </w:rPr>
        <w:t>图纸（招标图纸）</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_Toc9085 \h </w:instrText>
      </w:r>
      <w:r>
        <w:rPr>
          <w:rFonts w:hint="eastAsia" w:ascii="宋体" w:hAnsi="宋体" w:eastAsia="宋体" w:cs="宋体"/>
          <w:sz w:val="24"/>
          <w:szCs w:val="24"/>
        </w:rPr>
        <w:fldChar w:fldCharType="separate"/>
      </w:r>
      <w:r>
        <w:rPr>
          <w:rFonts w:hint="eastAsia" w:ascii="宋体" w:hAnsi="宋体" w:eastAsia="宋体" w:cs="宋体"/>
          <w:sz w:val="24"/>
          <w:szCs w:val="24"/>
        </w:rPr>
        <w:t>142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68AF580">
      <w:pPr>
        <w:pStyle w:val="2"/>
        <w:pageBreakBefore w:val="0"/>
        <w:widowControl w:val="0"/>
        <w:tabs>
          <w:tab w:val="right" w:leader="dot" w:pos="9026"/>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第七章 技术标准和要求（合同技术条款）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 \h </w:instrText>
      </w:r>
      <w:r>
        <w:rPr>
          <w:rFonts w:hint="eastAsia" w:ascii="宋体" w:hAnsi="宋体" w:eastAsia="宋体" w:cs="宋体"/>
          <w:sz w:val="24"/>
          <w:szCs w:val="24"/>
        </w:rPr>
        <w:fldChar w:fldCharType="separate"/>
      </w:r>
      <w:r>
        <w:rPr>
          <w:rFonts w:hint="eastAsia" w:ascii="宋体" w:hAnsi="宋体" w:eastAsia="宋体" w:cs="宋体"/>
          <w:sz w:val="24"/>
          <w:szCs w:val="24"/>
        </w:rPr>
        <w:t>143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7CEE351">
      <w:pPr>
        <w:pStyle w:val="2"/>
        <w:pageBreakBefore w:val="0"/>
        <w:widowControl w:val="0"/>
        <w:tabs>
          <w:tab w:val="right" w:leader="dot" w:pos="9026"/>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_Toc15291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第八章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_Toc15291 \h </w:instrText>
      </w:r>
      <w:r>
        <w:rPr>
          <w:rFonts w:hint="eastAsia" w:ascii="宋体" w:hAnsi="宋体" w:eastAsia="宋体" w:cs="宋体"/>
          <w:sz w:val="24"/>
          <w:szCs w:val="24"/>
        </w:rPr>
        <w:fldChar w:fldCharType="separate"/>
      </w:r>
      <w:r>
        <w:rPr>
          <w:rFonts w:hint="eastAsia" w:ascii="宋体" w:hAnsi="宋体" w:eastAsia="宋体" w:cs="宋体"/>
          <w:sz w:val="24"/>
          <w:szCs w:val="24"/>
        </w:rPr>
        <w:t>144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6D209A1">
      <w:pPr>
        <w:pStyle w:val="2"/>
        <w:pageBreakBefore w:val="0"/>
        <w:widowControl w:val="0"/>
        <w:tabs>
          <w:tab w:val="right" w:leader="dot" w:pos="9026"/>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_Toc26227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第九章 否决性条款汇总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_Toc26227 \h </w:instrText>
      </w:r>
      <w:r>
        <w:rPr>
          <w:rFonts w:hint="eastAsia" w:ascii="宋体" w:hAnsi="宋体" w:eastAsia="宋体" w:cs="宋体"/>
          <w:sz w:val="24"/>
          <w:szCs w:val="24"/>
        </w:rPr>
        <w:fldChar w:fldCharType="separate"/>
      </w:r>
      <w:r>
        <w:rPr>
          <w:rFonts w:hint="eastAsia" w:ascii="宋体" w:hAnsi="宋体" w:eastAsia="宋体" w:cs="宋体"/>
          <w:sz w:val="24"/>
          <w:szCs w:val="24"/>
        </w:rPr>
        <w:t>184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1F326BC">
      <w:pPr>
        <w:pStyle w:val="2"/>
        <w:pageBreakBefore w:val="0"/>
        <w:widowControl w:val="0"/>
        <w:tabs>
          <w:tab w:val="right" w:leader="dot" w:pos="9026"/>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_Toc8222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第十章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最高投标限价（招标控制价）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_Toc8222 \h </w:instrText>
      </w:r>
      <w:r>
        <w:rPr>
          <w:rFonts w:hint="eastAsia" w:ascii="宋体" w:hAnsi="宋体" w:eastAsia="宋体" w:cs="宋体"/>
          <w:sz w:val="24"/>
          <w:szCs w:val="24"/>
        </w:rPr>
        <w:fldChar w:fldCharType="separate"/>
      </w:r>
      <w:r>
        <w:rPr>
          <w:rFonts w:hint="eastAsia" w:ascii="宋体" w:hAnsi="宋体" w:eastAsia="宋体" w:cs="宋体"/>
          <w:sz w:val="24"/>
          <w:szCs w:val="24"/>
        </w:rPr>
        <w:t>186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9EBD488">
      <w:pPr>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color w:val="auto"/>
          <w:sz w:val="24"/>
          <w:szCs w:val="28"/>
          <w:highlight w:val="none"/>
        </w:rPr>
      </w:pPr>
      <w:r>
        <w:rPr>
          <w:rFonts w:hint="eastAsia" w:ascii="宋体" w:hAnsi="宋体" w:eastAsia="宋体" w:cs="宋体"/>
          <w:color w:val="auto"/>
          <w:sz w:val="24"/>
          <w:szCs w:val="24"/>
          <w:highlight w:val="none"/>
        </w:rPr>
        <w:fldChar w:fldCharType="end"/>
      </w:r>
    </w:p>
    <w:p w14:paraId="5CCE0383">
      <w:pPr>
        <w:pStyle w:val="4"/>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40"/>
          <w:szCs w:val="40"/>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bookmarkStart w:id="0" w:name="_Toc17450712"/>
      <w:bookmarkEnd w:id="0"/>
      <w:bookmarkStart w:id="1" w:name="_Toc17556774"/>
      <w:bookmarkEnd w:id="1"/>
      <w:bookmarkStart w:id="2" w:name="_Toc17451194"/>
      <w:bookmarkEnd w:id="2"/>
      <w:bookmarkStart w:id="3" w:name="_Toc17450711"/>
      <w:bookmarkEnd w:id="3"/>
      <w:bookmarkStart w:id="4" w:name="_Toc17450790"/>
      <w:bookmarkEnd w:id="4"/>
      <w:bookmarkStart w:id="5" w:name="_Toc17451090"/>
      <w:bookmarkEnd w:id="5"/>
      <w:bookmarkStart w:id="6" w:name="_Toc17451195"/>
      <w:bookmarkEnd w:id="6"/>
      <w:bookmarkStart w:id="7" w:name="_Toc17556866"/>
      <w:bookmarkEnd w:id="7"/>
      <w:bookmarkStart w:id="8" w:name="_Toc17451196"/>
      <w:bookmarkEnd w:id="8"/>
      <w:bookmarkStart w:id="9" w:name="_Toc17450710"/>
      <w:bookmarkEnd w:id="9"/>
      <w:bookmarkStart w:id="10" w:name="_Toc17556867"/>
      <w:bookmarkEnd w:id="10"/>
      <w:bookmarkStart w:id="11" w:name="_Toc17451091"/>
      <w:bookmarkEnd w:id="11"/>
      <w:bookmarkStart w:id="12" w:name="_Toc17450792"/>
      <w:bookmarkEnd w:id="12"/>
      <w:bookmarkStart w:id="13" w:name="_Toc17451092"/>
      <w:bookmarkEnd w:id="13"/>
      <w:bookmarkStart w:id="14" w:name="_Toc17556865"/>
      <w:bookmarkEnd w:id="14"/>
      <w:bookmarkStart w:id="15" w:name="_Toc17450791"/>
      <w:bookmarkEnd w:id="15"/>
      <w:bookmarkStart w:id="16" w:name="_Toc17451098"/>
      <w:bookmarkStart w:id="17" w:name="_Toc17454919"/>
      <w:bookmarkStart w:id="18" w:name="_Toc17452661"/>
      <w:bookmarkStart w:id="19" w:name="_Toc17454868"/>
      <w:bookmarkStart w:id="20" w:name="_Toc17556873"/>
      <w:bookmarkStart w:id="21" w:name="_Toc17451620"/>
      <w:bookmarkStart w:id="22" w:name="_Toc17451575"/>
    </w:p>
    <w:p w14:paraId="1D018ECB">
      <w:pPr>
        <w:pStyle w:val="4"/>
        <w:rPr>
          <w:rFonts w:hint="eastAsia" w:ascii="宋体" w:hAnsi="宋体" w:eastAsia="宋体" w:cs="宋体"/>
          <w:color w:val="auto"/>
          <w:highlight w:val="none"/>
        </w:rPr>
      </w:pPr>
      <w:bookmarkStart w:id="23" w:name="_Toc17514"/>
      <w:r>
        <w:rPr>
          <w:rFonts w:hint="eastAsia" w:ascii="宋体" w:hAnsi="宋体" w:eastAsia="宋体" w:cs="宋体"/>
          <w:b/>
          <w:bCs/>
          <w:color w:val="auto"/>
          <w:sz w:val="32"/>
          <w:szCs w:val="32"/>
          <w:highlight w:val="none"/>
        </w:rPr>
        <w:t>第一章 招标公告</w:t>
      </w:r>
      <w:bookmarkEnd w:id="16"/>
      <w:bookmarkEnd w:id="17"/>
      <w:bookmarkEnd w:id="18"/>
      <w:bookmarkEnd w:id="19"/>
      <w:bookmarkEnd w:id="20"/>
      <w:bookmarkEnd w:id="21"/>
      <w:bookmarkEnd w:id="22"/>
      <w:bookmarkEnd w:id="23"/>
    </w:p>
    <w:p w14:paraId="2A0F63C0">
      <w:pPr>
        <w:widowControl/>
        <w:jc w:val="center"/>
        <w:rPr>
          <w:rFonts w:hint="eastAsia" w:ascii="宋体" w:hAnsi="宋体" w:cs="宋体"/>
          <w:b/>
          <w:color w:val="auto"/>
          <w:sz w:val="24"/>
          <w:szCs w:val="24"/>
          <w:highlight w:val="none"/>
          <w:u w:val="single"/>
        </w:rPr>
      </w:pPr>
      <w:r>
        <w:rPr>
          <w:rFonts w:hint="eastAsia" w:eastAsia="宋体" w:cs="宋体"/>
          <w:b/>
          <w:color w:val="auto"/>
          <w:sz w:val="32"/>
          <w:szCs w:val="32"/>
          <w:highlight w:val="none"/>
          <w:lang w:eastAsia="zh-CN"/>
        </w:rPr>
        <w:t>（</w:t>
      </w:r>
      <w:r>
        <w:rPr>
          <w:rFonts w:hint="eastAsia" w:eastAsia="宋体" w:cs="宋体"/>
          <w:b/>
          <w:color w:val="auto"/>
          <w:sz w:val="32"/>
          <w:szCs w:val="32"/>
          <w:highlight w:val="none"/>
          <w:lang w:val="en-US" w:eastAsia="zh-CN"/>
        </w:rPr>
        <w:t>另册</w:t>
      </w:r>
      <w:r>
        <w:rPr>
          <w:rFonts w:hint="eastAsia" w:eastAsia="宋体" w:cs="宋体"/>
          <w:b/>
          <w:color w:val="auto"/>
          <w:sz w:val="32"/>
          <w:szCs w:val="32"/>
          <w:highlight w:val="none"/>
          <w:lang w:eastAsia="zh-CN"/>
        </w:rPr>
        <w:t>）</w:t>
      </w:r>
    </w:p>
    <w:p w14:paraId="3FBC133E">
      <w:pPr>
        <w:spacing w:line="360" w:lineRule="auto"/>
        <w:jc w:val="center"/>
        <w:outlineLvl w:val="1"/>
        <w:rPr>
          <w:rFonts w:ascii="黑体" w:hAnsi="黑体" w:eastAsia="黑体"/>
          <w:color w:val="auto"/>
          <w:sz w:val="32"/>
          <w:szCs w:val="27"/>
          <w:highlight w:val="none"/>
        </w:rPr>
      </w:pPr>
      <w:r>
        <w:rPr>
          <w:rFonts w:hint="eastAsia" w:ascii="宋体" w:hAnsi="宋体" w:cs="宋体"/>
          <w:b/>
          <w:bCs/>
          <w:color w:val="auto"/>
          <w:sz w:val="30"/>
          <w:szCs w:val="30"/>
          <w:highlight w:val="none"/>
        </w:rPr>
        <w:br w:type="page"/>
      </w:r>
      <w:bookmarkStart w:id="24" w:name="_Toc17454869"/>
      <w:bookmarkStart w:id="25" w:name="_Toc2870"/>
      <w:bookmarkStart w:id="26" w:name="_Toc17452662"/>
      <w:bookmarkStart w:id="27" w:name="_Toc17556874"/>
      <w:bookmarkStart w:id="28" w:name="_Toc17451576"/>
      <w:bookmarkStart w:id="29" w:name="_Toc17454920"/>
      <w:bookmarkStart w:id="30" w:name="_Toc17451099"/>
      <w:bookmarkStart w:id="31" w:name="_Toc17451621"/>
      <w:bookmarkStart w:id="32" w:name="_Toc11864"/>
      <w:bookmarkStart w:id="33" w:name="_Toc221950008"/>
      <w:r>
        <w:rPr>
          <w:rFonts w:hint="eastAsia" w:ascii="黑体" w:hAnsi="黑体" w:eastAsia="黑体"/>
          <w:color w:val="auto"/>
          <w:sz w:val="32"/>
          <w:szCs w:val="27"/>
          <w:highlight w:val="none"/>
        </w:rPr>
        <w:t>第二章 投标</w:t>
      </w:r>
      <w:r>
        <w:rPr>
          <w:rFonts w:hint="eastAsia" w:ascii="黑体" w:hAnsi="黑体" w:eastAsia="黑体"/>
          <w:color w:val="auto"/>
          <w:sz w:val="32"/>
          <w:szCs w:val="27"/>
          <w:highlight w:val="none"/>
          <w:lang w:val="en-US" w:eastAsia="zh-CN"/>
        </w:rPr>
        <w:t>人</w:t>
      </w:r>
      <w:r>
        <w:rPr>
          <w:rFonts w:hint="eastAsia" w:ascii="黑体" w:hAnsi="黑体" w:eastAsia="黑体"/>
          <w:color w:val="auto"/>
          <w:sz w:val="32"/>
          <w:szCs w:val="27"/>
          <w:highlight w:val="none"/>
        </w:rPr>
        <w:t>须知</w:t>
      </w:r>
      <w:bookmarkEnd w:id="24"/>
      <w:bookmarkEnd w:id="25"/>
      <w:bookmarkEnd w:id="26"/>
      <w:bookmarkEnd w:id="27"/>
      <w:bookmarkEnd w:id="28"/>
      <w:bookmarkEnd w:id="29"/>
      <w:bookmarkEnd w:id="30"/>
      <w:bookmarkEnd w:id="31"/>
      <w:bookmarkEnd w:id="32"/>
    </w:p>
    <w:p w14:paraId="06A87100">
      <w:pPr>
        <w:spacing w:line="360" w:lineRule="auto"/>
        <w:jc w:val="center"/>
        <w:outlineLvl w:val="2"/>
        <w:rPr>
          <w:rFonts w:ascii="黑体" w:hAnsi="黑体" w:eastAsia="黑体"/>
          <w:color w:val="auto"/>
          <w:sz w:val="28"/>
          <w:szCs w:val="27"/>
          <w:highlight w:val="none"/>
        </w:rPr>
      </w:pPr>
      <w:bookmarkStart w:id="34" w:name="_Toc17451100"/>
      <w:bookmarkStart w:id="35" w:name="_Toc17452663"/>
      <w:bookmarkStart w:id="36" w:name="_Toc22785"/>
      <w:bookmarkStart w:id="37" w:name="_Toc17454870"/>
      <w:bookmarkStart w:id="38" w:name="_Toc17451577"/>
      <w:bookmarkStart w:id="39" w:name="_Toc17454921"/>
      <w:bookmarkStart w:id="40" w:name="_Toc17451622"/>
      <w:bookmarkStart w:id="41" w:name="_Toc17556875"/>
      <w:bookmarkStart w:id="42" w:name="_Toc31613"/>
      <w:r>
        <w:rPr>
          <w:rFonts w:hint="eastAsia" w:ascii="黑体" w:hAnsi="黑体" w:eastAsia="黑体"/>
          <w:color w:val="auto"/>
          <w:sz w:val="28"/>
          <w:szCs w:val="27"/>
          <w:highlight w:val="none"/>
        </w:rPr>
        <w:t>一、投标人须知前附表</w:t>
      </w:r>
      <w:bookmarkEnd w:id="33"/>
      <w:bookmarkEnd w:id="34"/>
      <w:bookmarkEnd w:id="35"/>
      <w:bookmarkEnd w:id="36"/>
      <w:bookmarkEnd w:id="37"/>
      <w:bookmarkEnd w:id="38"/>
      <w:bookmarkEnd w:id="39"/>
      <w:bookmarkEnd w:id="40"/>
      <w:bookmarkEnd w:id="41"/>
      <w:bookmarkEnd w:id="42"/>
    </w:p>
    <w:tbl>
      <w:tblPr>
        <w:tblStyle w:val="17"/>
        <w:tblW w:w="0" w:type="auto"/>
        <w:tblInd w:w="0" w:type="dxa"/>
        <w:tblLayout w:type="fixed"/>
        <w:tblCellMar>
          <w:top w:w="0" w:type="dxa"/>
          <w:left w:w="108" w:type="dxa"/>
          <w:bottom w:w="0" w:type="dxa"/>
          <w:right w:w="108" w:type="dxa"/>
        </w:tblCellMar>
      </w:tblPr>
      <w:tblGrid>
        <w:gridCol w:w="1298"/>
        <w:gridCol w:w="2192"/>
        <w:gridCol w:w="5038"/>
      </w:tblGrid>
      <w:tr w14:paraId="5455BA7A">
        <w:tblPrEx>
          <w:tblCellMar>
            <w:top w:w="0" w:type="dxa"/>
            <w:left w:w="108" w:type="dxa"/>
            <w:bottom w:w="0" w:type="dxa"/>
            <w:right w:w="108" w:type="dxa"/>
          </w:tblCellMar>
        </w:tblPrEx>
        <w:tc>
          <w:tcPr>
            <w:tcW w:w="1298" w:type="dxa"/>
            <w:tcBorders>
              <w:top w:val="single" w:color="auto" w:sz="4" w:space="0"/>
              <w:left w:val="single" w:color="auto" w:sz="4" w:space="0"/>
              <w:bottom w:val="single" w:color="auto" w:sz="4" w:space="0"/>
              <w:right w:val="single" w:color="auto" w:sz="4" w:space="0"/>
            </w:tcBorders>
            <w:noWrap w:val="0"/>
            <w:vAlign w:val="center"/>
          </w:tcPr>
          <w:p w14:paraId="08E8C5B1">
            <w:pPr>
              <w:spacing w:before="120" w:beforeLines="50" w:line="360" w:lineRule="auto"/>
              <w:contextualSpacing/>
              <w:jc w:val="center"/>
              <w:rPr>
                <w:b/>
                <w:color w:val="auto"/>
                <w:szCs w:val="21"/>
                <w:highlight w:val="none"/>
              </w:rPr>
            </w:pPr>
            <w:bookmarkStart w:id="43" w:name="_Toc221950009"/>
            <w:r>
              <w:rPr>
                <w:b/>
                <w:color w:val="auto"/>
                <w:szCs w:val="21"/>
                <w:highlight w:val="none"/>
              </w:rPr>
              <w:t>条款号</w:t>
            </w:r>
            <w:bookmarkEnd w:id="43"/>
          </w:p>
        </w:tc>
        <w:tc>
          <w:tcPr>
            <w:tcW w:w="2192" w:type="dxa"/>
            <w:tcBorders>
              <w:top w:val="single" w:color="auto" w:sz="4" w:space="0"/>
              <w:left w:val="single" w:color="auto" w:sz="4" w:space="0"/>
              <w:bottom w:val="single" w:color="auto" w:sz="4" w:space="0"/>
              <w:right w:val="single" w:color="auto" w:sz="4" w:space="0"/>
            </w:tcBorders>
            <w:noWrap w:val="0"/>
            <w:vAlign w:val="center"/>
          </w:tcPr>
          <w:p w14:paraId="5EEDB61C">
            <w:pPr>
              <w:spacing w:before="120" w:beforeLines="50" w:line="360" w:lineRule="auto"/>
              <w:contextualSpacing/>
              <w:jc w:val="center"/>
              <w:rPr>
                <w:b/>
                <w:color w:val="auto"/>
                <w:szCs w:val="21"/>
                <w:highlight w:val="none"/>
              </w:rPr>
            </w:pPr>
            <w:bookmarkStart w:id="44" w:name="_Toc221950010"/>
            <w:r>
              <w:rPr>
                <w:b/>
                <w:color w:val="auto"/>
                <w:szCs w:val="21"/>
                <w:highlight w:val="none"/>
              </w:rPr>
              <w:t>条款名称</w:t>
            </w:r>
            <w:bookmarkEnd w:id="44"/>
          </w:p>
        </w:tc>
        <w:tc>
          <w:tcPr>
            <w:tcW w:w="5038" w:type="dxa"/>
            <w:tcBorders>
              <w:top w:val="single" w:color="auto" w:sz="4" w:space="0"/>
              <w:left w:val="single" w:color="auto" w:sz="4" w:space="0"/>
              <w:bottom w:val="single" w:color="auto" w:sz="4" w:space="0"/>
              <w:right w:val="single" w:color="auto" w:sz="4" w:space="0"/>
            </w:tcBorders>
            <w:noWrap w:val="0"/>
            <w:vAlign w:val="center"/>
          </w:tcPr>
          <w:p w14:paraId="61CE102A">
            <w:pPr>
              <w:spacing w:before="120" w:beforeLines="50" w:line="360" w:lineRule="auto"/>
              <w:contextualSpacing/>
              <w:jc w:val="center"/>
              <w:rPr>
                <w:b/>
                <w:color w:val="auto"/>
                <w:szCs w:val="21"/>
                <w:highlight w:val="none"/>
              </w:rPr>
            </w:pPr>
            <w:bookmarkStart w:id="45" w:name="_Toc221950011"/>
            <w:r>
              <w:rPr>
                <w:b/>
                <w:color w:val="auto"/>
                <w:szCs w:val="21"/>
                <w:highlight w:val="none"/>
              </w:rPr>
              <w:t>编列内容</w:t>
            </w:r>
            <w:bookmarkEnd w:id="45"/>
          </w:p>
        </w:tc>
      </w:tr>
      <w:tr w14:paraId="79D0C0A5">
        <w:tblPrEx>
          <w:tblCellMar>
            <w:top w:w="0" w:type="dxa"/>
            <w:left w:w="108" w:type="dxa"/>
            <w:bottom w:w="0" w:type="dxa"/>
            <w:right w:w="108" w:type="dxa"/>
          </w:tblCellMar>
        </w:tblPrEx>
        <w:trPr>
          <w:trHeight w:val="315" w:hRule="atLeast"/>
        </w:trPr>
        <w:tc>
          <w:tcPr>
            <w:tcW w:w="1298" w:type="dxa"/>
            <w:vMerge w:val="restart"/>
            <w:tcBorders>
              <w:top w:val="single" w:color="auto" w:sz="4" w:space="0"/>
              <w:left w:val="single" w:color="auto" w:sz="4" w:space="0"/>
              <w:right w:val="single" w:color="auto" w:sz="4" w:space="0"/>
            </w:tcBorders>
            <w:noWrap w:val="0"/>
            <w:vAlign w:val="center"/>
          </w:tcPr>
          <w:p w14:paraId="3099779E">
            <w:pPr>
              <w:spacing w:before="120" w:beforeLines="50" w:line="360" w:lineRule="auto"/>
              <w:contextualSpacing/>
              <w:jc w:val="center"/>
              <w:rPr>
                <w:color w:val="auto"/>
                <w:szCs w:val="21"/>
                <w:highlight w:val="none"/>
              </w:rPr>
            </w:pPr>
            <w:bookmarkStart w:id="46" w:name="_Toc221950012"/>
            <w:r>
              <w:rPr>
                <w:color w:val="auto"/>
                <w:szCs w:val="21"/>
                <w:highlight w:val="none"/>
              </w:rPr>
              <w:t>1.1.2</w:t>
            </w:r>
            <w:bookmarkEnd w:id="46"/>
          </w:p>
        </w:tc>
        <w:tc>
          <w:tcPr>
            <w:tcW w:w="2192" w:type="dxa"/>
            <w:vMerge w:val="restart"/>
            <w:tcBorders>
              <w:top w:val="single" w:color="auto" w:sz="4" w:space="0"/>
              <w:left w:val="single" w:color="auto" w:sz="4" w:space="0"/>
              <w:right w:val="single" w:color="auto" w:sz="4" w:space="0"/>
            </w:tcBorders>
            <w:noWrap w:val="0"/>
            <w:vAlign w:val="center"/>
          </w:tcPr>
          <w:p w14:paraId="45562628">
            <w:pPr>
              <w:spacing w:before="120" w:beforeLines="50" w:line="360" w:lineRule="auto"/>
              <w:contextualSpacing/>
              <w:jc w:val="left"/>
              <w:rPr>
                <w:color w:val="auto"/>
                <w:szCs w:val="21"/>
                <w:highlight w:val="none"/>
              </w:rPr>
            </w:pPr>
            <w:bookmarkStart w:id="47" w:name="_Toc221950013"/>
            <w:r>
              <w:rPr>
                <w:color w:val="auto"/>
                <w:szCs w:val="21"/>
                <w:highlight w:val="none"/>
              </w:rPr>
              <w:t>招标人</w:t>
            </w:r>
            <w:bookmarkEnd w:id="47"/>
            <w:r>
              <w:rPr>
                <w:rFonts w:hint="eastAsia"/>
                <w:color w:val="auto"/>
                <w:szCs w:val="21"/>
                <w:highlight w:val="none"/>
                <w:lang w:val="en-US" w:eastAsia="zh-CN"/>
              </w:rPr>
              <w:t>及代建单位</w:t>
            </w:r>
            <w:r>
              <w:rPr>
                <w:rFonts w:hint="eastAsia"/>
                <w:color w:val="auto"/>
                <w:szCs w:val="21"/>
                <w:highlight w:val="none"/>
              </w:rPr>
              <w:t xml:space="preserve"> </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04C50AF5">
            <w:pPr>
              <w:spacing w:before="120" w:beforeLines="50" w:line="360" w:lineRule="auto"/>
              <w:contextualSpacing/>
              <w:rPr>
                <w:color w:val="auto"/>
                <w:szCs w:val="21"/>
                <w:highlight w:val="none"/>
              </w:rPr>
            </w:pPr>
            <w:r>
              <w:rPr>
                <w:rFonts w:hint="eastAsia"/>
                <w:color w:val="auto"/>
                <w:szCs w:val="21"/>
                <w:highlight w:val="none"/>
                <w:lang w:val="en-US" w:eastAsia="zh-CN"/>
              </w:rPr>
              <w:t>招标人</w:t>
            </w:r>
            <w:r>
              <w:rPr>
                <w:rFonts w:hint="eastAsia"/>
                <w:color w:val="auto"/>
                <w:szCs w:val="21"/>
                <w:highlight w:val="none"/>
              </w:rPr>
              <w:t>名称：广州开发区财政投资建设项目管理中心</w:t>
            </w:r>
          </w:p>
          <w:p w14:paraId="0F517B69">
            <w:pPr>
              <w:spacing w:before="120" w:beforeLines="50" w:line="360" w:lineRule="auto"/>
              <w:contextualSpacing/>
              <w:rPr>
                <w:color w:val="auto"/>
                <w:szCs w:val="21"/>
                <w:highlight w:val="none"/>
              </w:rPr>
            </w:pPr>
            <w:r>
              <w:rPr>
                <w:rFonts w:hint="eastAsia"/>
                <w:color w:val="auto"/>
                <w:szCs w:val="21"/>
                <w:highlight w:val="none"/>
              </w:rPr>
              <w:t>地址：广州市科学城创意大厦B2主楼三楼</w:t>
            </w:r>
          </w:p>
          <w:p w14:paraId="3A062F8B">
            <w:pPr>
              <w:spacing w:before="120" w:beforeLines="50" w:line="360" w:lineRule="auto"/>
              <w:contextualSpacing/>
              <w:rPr>
                <w:color w:val="auto"/>
                <w:szCs w:val="21"/>
                <w:highlight w:val="none"/>
              </w:rPr>
            </w:pPr>
            <w:r>
              <w:rPr>
                <w:rFonts w:hint="eastAsia"/>
                <w:color w:val="auto"/>
                <w:szCs w:val="21"/>
                <w:highlight w:val="none"/>
              </w:rPr>
              <w:t>联系人：张工</w:t>
            </w:r>
          </w:p>
          <w:p w14:paraId="27F32A9F">
            <w:pPr>
              <w:spacing w:before="120" w:beforeLines="50" w:line="360" w:lineRule="auto"/>
              <w:contextualSpacing/>
              <w:rPr>
                <w:color w:val="auto"/>
                <w:szCs w:val="21"/>
                <w:highlight w:val="none"/>
              </w:rPr>
            </w:pPr>
            <w:r>
              <w:rPr>
                <w:rFonts w:hint="eastAsia"/>
                <w:color w:val="auto"/>
                <w:szCs w:val="21"/>
                <w:highlight w:val="none"/>
              </w:rPr>
              <w:t>电话：020-28068874</w:t>
            </w:r>
          </w:p>
        </w:tc>
      </w:tr>
      <w:tr w14:paraId="780BC485">
        <w:tblPrEx>
          <w:tblCellMar>
            <w:top w:w="0" w:type="dxa"/>
            <w:left w:w="108" w:type="dxa"/>
            <w:bottom w:w="0" w:type="dxa"/>
            <w:right w:w="108" w:type="dxa"/>
          </w:tblCellMar>
        </w:tblPrEx>
        <w:trPr>
          <w:trHeight w:val="315" w:hRule="atLeast"/>
        </w:trPr>
        <w:tc>
          <w:tcPr>
            <w:tcW w:w="1298" w:type="dxa"/>
            <w:vMerge w:val="continue"/>
            <w:tcBorders>
              <w:left w:val="single" w:color="auto" w:sz="4" w:space="0"/>
              <w:bottom w:val="single" w:color="auto" w:sz="4" w:space="0"/>
              <w:right w:val="single" w:color="auto" w:sz="4" w:space="0"/>
            </w:tcBorders>
            <w:noWrap w:val="0"/>
            <w:vAlign w:val="center"/>
          </w:tcPr>
          <w:p w14:paraId="2EC76487">
            <w:pPr>
              <w:spacing w:before="120" w:beforeLines="50" w:line="360" w:lineRule="auto"/>
              <w:contextualSpacing/>
              <w:jc w:val="center"/>
              <w:rPr>
                <w:color w:val="auto"/>
                <w:szCs w:val="21"/>
                <w:highlight w:val="none"/>
              </w:rPr>
            </w:pPr>
            <w:bookmarkStart w:id="48" w:name="_Toc221950014"/>
          </w:p>
        </w:tc>
        <w:tc>
          <w:tcPr>
            <w:tcW w:w="2192" w:type="dxa"/>
            <w:vMerge w:val="continue"/>
            <w:tcBorders>
              <w:left w:val="single" w:color="auto" w:sz="4" w:space="0"/>
              <w:bottom w:val="single" w:color="auto" w:sz="4" w:space="0"/>
              <w:right w:val="single" w:color="auto" w:sz="4" w:space="0"/>
            </w:tcBorders>
            <w:noWrap w:val="0"/>
            <w:vAlign w:val="center"/>
          </w:tcPr>
          <w:p w14:paraId="5858EC34">
            <w:pPr>
              <w:spacing w:before="120" w:beforeLines="50" w:line="360" w:lineRule="auto"/>
              <w:contextualSpacing/>
              <w:jc w:val="left"/>
              <w:rPr>
                <w:color w:val="auto"/>
                <w:szCs w:val="21"/>
                <w:highlight w:val="none"/>
              </w:rPr>
            </w:pPr>
          </w:p>
        </w:tc>
        <w:tc>
          <w:tcPr>
            <w:tcW w:w="5038" w:type="dxa"/>
            <w:tcBorders>
              <w:top w:val="single" w:color="auto" w:sz="4" w:space="0"/>
              <w:left w:val="single" w:color="auto" w:sz="4" w:space="0"/>
              <w:bottom w:val="single" w:color="auto" w:sz="4" w:space="0"/>
              <w:right w:val="single" w:color="auto" w:sz="4" w:space="0"/>
            </w:tcBorders>
            <w:noWrap w:val="0"/>
            <w:vAlign w:val="center"/>
          </w:tcPr>
          <w:p w14:paraId="11ADDA1C">
            <w:pPr>
              <w:spacing w:before="120" w:beforeLines="50" w:line="360" w:lineRule="auto"/>
              <w:contextualSpacing/>
              <w:rPr>
                <w:color w:val="auto"/>
                <w:szCs w:val="21"/>
                <w:highlight w:val="none"/>
              </w:rPr>
            </w:pPr>
            <w:r>
              <w:rPr>
                <w:rFonts w:hint="eastAsia"/>
                <w:color w:val="auto"/>
                <w:szCs w:val="21"/>
                <w:highlight w:val="none"/>
                <w:lang w:val="en-US" w:eastAsia="zh-CN"/>
              </w:rPr>
              <w:t>代建单位</w:t>
            </w:r>
            <w:r>
              <w:rPr>
                <w:rFonts w:hint="eastAsia"/>
                <w:color w:val="auto"/>
                <w:szCs w:val="21"/>
                <w:highlight w:val="none"/>
              </w:rPr>
              <w:t>名称：广州高新建设开发集团有限公司</w:t>
            </w:r>
          </w:p>
          <w:p w14:paraId="050AAEB3">
            <w:pPr>
              <w:spacing w:before="120" w:beforeLines="50" w:line="360" w:lineRule="auto"/>
              <w:contextualSpacing/>
              <w:rPr>
                <w:color w:val="auto"/>
                <w:szCs w:val="21"/>
                <w:highlight w:val="none"/>
              </w:rPr>
            </w:pPr>
            <w:r>
              <w:rPr>
                <w:rFonts w:hint="eastAsia"/>
                <w:color w:val="auto"/>
                <w:szCs w:val="21"/>
                <w:highlight w:val="none"/>
              </w:rPr>
              <w:t>地址：广州市黄埔区开泰大道182号钧恒广场1号楼</w:t>
            </w:r>
          </w:p>
          <w:p w14:paraId="5381003D">
            <w:pPr>
              <w:spacing w:before="120" w:beforeLines="50" w:line="360" w:lineRule="auto"/>
              <w:contextualSpacing/>
              <w:rPr>
                <w:color w:val="auto"/>
                <w:szCs w:val="21"/>
                <w:highlight w:val="none"/>
              </w:rPr>
            </w:pPr>
            <w:r>
              <w:rPr>
                <w:rFonts w:hint="eastAsia"/>
                <w:color w:val="auto"/>
                <w:szCs w:val="21"/>
                <w:highlight w:val="none"/>
              </w:rPr>
              <w:t>联系人：</w:t>
            </w:r>
            <w:r>
              <w:rPr>
                <w:rFonts w:hint="eastAsia"/>
                <w:color w:val="auto"/>
                <w:szCs w:val="21"/>
                <w:highlight w:val="none"/>
                <w:lang w:val="en-US" w:eastAsia="zh-CN"/>
              </w:rPr>
              <w:t>王</w:t>
            </w:r>
            <w:r>
              <w:rPr>
                <w:rFonts w:hint="eastAsia"/>
                <w:color w:val="auto"/>
                <w:szCs w:val="21"/>
                <w:highlight w:val="none"/>
              </w:rPr>
              <w:t>工</w:t>
            </w:r>
          </w:p>
          <w:p w14:paraId="3E9B45E7">
            <w:pPr>
              <w:spacing w:before="120" w:beforeLines="50" w:line="360" w:lineRule="auto"/>
              <w:contextualSpacing/>
              <w:rPr>
                <w:rFonts w:hint="eastAsia"/>
                <w:color w:val="auto"/>
                <w:szCs w:val="21"/>
                <w:highlight w:val="none"/>
              </w:rPr>
            </w:pPr>
            <w:r>
              <w:rPr>
                <w:rFonts w:hint="eastAsia"/>
                <w:color w:val="auto"/>
                <w:szCs w:val="21"/>
                <w:highlight w:val="none"/>
              </w:rPr>
              <w:t>电话：020-66680035</w:t>
            </w:r>
          </w:p>
        </w:tc>
      </w:tr>
      <w:tr w14:paraId="2347DA05">
        <w:tblPrEx>
          <w:tblCellMar>
            <w:top w:w="0" w:type="dxa"/>
            <w:left w:w="108" w:type="dxa"/>
            <w:bottom w:w="0" w:type="dxa"/>
            <w:right w:w="108" w:type="dxa"/>
          </w:tblCellMar>
        </w:tblPrEx>
        <w:trPr>
          <w:trHeight w:val="49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40DC0491">
            <w:pPr>
              <w:spacing w:before="120" w:beforeLines="50" w:line="360" w:lineRule="auto"/>
              <w:contextualSpacing/>
              <w:jc w:val="center"/>
              <w:rPr>
                <w:color w:val="auto"/>
                <w:szCs w:val="21"/>
                <w:highlight w:val="none"/>
              </w:rPr>
            </w:pPr>
            <w:r>
              <w:rPr>
                <w:color w:val="auto"/>
                <w:szCs w:val="21"/>
                <w:highlight w:val="none"/>
              </w:rPr>
              <w:t>1.1.3</w:t>
            </w:r>
            <w:bookmarkEnd w:id="48"/>
          </w:p>
        </w:tc>
        <w:tc>
          <w:tcPr>
            <w:tcW w:w="2192" w:type="dxa"/>
            <w:tcBorders>
              <w:top w:val="single" w:color="auto" w:sz="4" w:space="0"/>
              <w:left w:val="single" w:color="auto" w:sz="4" w:space="0"/>
              <w:bottom w:val="single" w:color="auto" w:sz="4" w:space="0"/>
              <w:right w:val="single" w:color="auto" w:sz="4" w:space="0"/>
            </w:tcBorders>
            <w:noWrap w:val="0"/>
            <w:vAlign w:val="center"/>
          </w:tcPr>
          <w:p w14:paraId="3516BC31">
            <w:pPr>
              <w:spacing w:before="120" w:beforeLines="50" w:line="360" w:lineRule="auto"/>
              <w:contextualSpacing/>
              <w:jc w:val="left"/>
              <w:rPr>
                <w:color w:val="auto"/>
                <w:szCs w:val="21"/>
                <w:highlight w:val="none"/>
              </w:rPr>
            </w:pPr>
            <w:bookmarkStart w:id="49" w:name="_Toc221950015"/>
            <w:r>
              <w:rPr>
                <w:color w:val="auto"/>
                <w:szCs w:val="21"/>
                <w:highlight w:val="none"/>
              </w:rPr>
              <w:t>招标代理机构</w:t>
            </w:r>
            <w:bookmarkEnd w:id="49"/>
            <w:r>
              <w:rPr>
                <w:rFonts w:hint="eastAsia"/>
                <w:color w:val="auto"/>
                <w:szCs w:val="21"/>
                <w:highlight w:val="none"/>
              </w:rPr>
              <w:t xml:space="preserve"> </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5B08E3F3">
            <w:pPr>
              <w:spacing w:before="120" w:beforeLines="50" w:line="360" w:lineRule="auto"/>
              <w:contextualSpacing/>
              <w:rPr>
                <w:color w:val="auto"/>
                <w:szCs w:val="21"/>
                <w:highlight w:val="none"/>
              </w:rPr>
            </w:pPr>
            <w:r>
              <w:rPr>
                <w:rFonts w:hint="eastAsia"/>
                <w:color w:val="auto"/>
                <w:szCs w:val="21"/>
                <w:highlight w:val="none"/>
              </w:rPr>
              <w:t>名称：广州筑正工程建设管理有限公司</w:t>
            </w:r>
          </w:p>
          <w:p w14:paraId="22B67837">
            <w:pPr>
              <w:spacing w:before="120" w:beforeLines="50" w:line="360" w:lineRule="auto"/>
              <w:contextualSpacing/>
              <w:rPr>
                <w:color w:val="auto"/>
                <w:szCs w:val="21"/>
                <w:highlight w:val="none"/>
              </w:rPr>
            </w:pPr>
            <w:r>
              <w:rPr>
                <w:rFonts w:hint="eastAsia"/>
                <w:color w:val="auto"/>
                <w:szCs w:val="21"/>
                <w:highlight w:val="none"/>
              </w:rPr>
              <w:t>地址：广州市黄埔区水西路敏捷广场197号1801-1820房</w:t>
            </w:r>
          </w:p>
          <w:p w14:paraId="384F963D">
            <w:pPr>
              <w:spacing w:before="120" w:beforeLines="50" w:line="360" w:lineRule="auto"/>
              <w:contextualSpacing/>
              <w:rPr>
                <w:color w:val="auto"/>
                <w:szCs w:val="21"/>
                <w:highlight w:val="none"/>
              </w:rPr>
            </w:pPr>
            <w:r>
              <w:rPr>
                <w:rFonts w:hint="eastAsia"/>
                <w:color w:val="auto"/>
                <w:szCs w:val="21"/>
                <w:highlight w:val="none"/>
              </w:rPr>
              <w:t>联系人：余工</w:t>
            </w:r>
          </w:p>
          <w:p w14:paraId="7A7BC20D">
            <w:pPr>
              <w:spacing w:before="120" w:beforeLines="50" w:line="360" w:lineRule="auto"/>
              <w:contextualSpacing/>
              <w:rPr>
                <w:color w:val="auto"/>
                <w:szCs w:val="21"/>
                <w:highlight w:val="none"/>
              </w:rPr>
            </w:pPr>
            <w:r>
              <w:rPr>
                <w:rFonts w:hint="eastAsia"/>
                <w:color w:val="auto"/>
                <w:szCs w:val="21"/>
                <w:highlight w:val="none"/>
              </w:rPr>
              <w:t>电话：020-82165699-805</w:t>
            </w:r>
          </w:p>
        </w:tc>
      </w:tr>
      <w:tr w14:paraId="1DBE0940">
        <w:tblPrEx>
          <w:tblCellMar>
            <w:top w:w="0" w:type="dxa"/>
            <w:left w:w="108" w:type="dxa"/>
            <w:bottom w:w="0" w:type="dxa"/>
            <w:right w:w="108" w:type="dxa"/>
          </w:tblCellMar>
        </w:tblPrEx>
        <w:trPr>
          <w:trHeight w:val="450"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7BF612B0">
            <w:pPr>
              <w:spacing w:before="120" w:beforeLines="50" w:line="360" w:lineRule="auto"/>
              <w:contextualSpacing/>
              <w:jc w:val="center"/>
              <w:rPr>
                <w:color w:val="auto"/>
                <w:szCs w:val="21"/>
                <w:highlight w:val="none"/>
              </w:rPr>
            </w:pPr>
            <w:bookmarkStart w:id="50" w:name="_Toc221950016"/>
            <w:r>
              <w:rPr>
                <w:color w:val="auto"/>
                <w:szCs w:val="21"/>
                <w:highlight w:val="none"/>
              </w:rPr>
              <w:t>1.1.4</w:t>
            </w:r>
            <w:bookmarkEnd w:id="50"/>
          </w:p>
        </w:tc>
        <w:tc>
          <w:tcPr>
            <w:tcW w:w="2192" w:type="dxa"/>
            <w:tcBorders>
              <w:top w:val="single" w:color="auto" w:sz="4" w:space="0"/>
              <w:left w:val="single" w:color="auto" w:sz="4" w:space="0"/>
              <w:bottom w:val="single" w:color="auto" w:sz="4" w:space="0"/>
              <w:right w:val="single" w:color="auto" w:sz="4" w:space="0"/>
            </w:tcBorders>
            <w:noWrap w:val="0"/>
            <w:vAlign w:val="center"/>
          </w:tcPr>
          <w:p w14:paraId="57393F95">
            <w:pPr>
              <w:spacing w:before="120" w:beforeLines="50" w:line="360" w:lineRule="auto"/>
              <w:contextualSpacing/>
              <w:jc w:val="left"/>
              <w:rPr>
                <w:color w:val="auto"/>
                <w:szCs w:val="21"/>
                <w:highlight w:val="none"/>
              </w:rPr>
            </w:pPr>
            <w:bookmarkStart w:id="51" w:name="_Toc221950017"/>
            <w:r>
              <w:rPr>
                <w:color w:val="auto"/>
                <w:szCs w:val="21"/>
                <w:highlight w:val="none"/>
              </w:rPr>
              <w:t>项目名称</w:t>
            </w:r>
            <w:bookmarkEnd w:id="51"/>
          </w:p>
        </w:tc>
        <w:tc>
          <w:tcPr>
            <w:tcW w:w="5038" w:type="dxa"/>
            <w:tcBorders>
              <w:top w:val="single" w:color="auto" w:sz="4" w:space="0"/>
              <w:left w:val="single" w:color="auto" w:sz="4" w:space="0"/>
              <w:bottom w:val="single" w:color="auto" w:sz="4" w:space="0"/>
              <w:right w:val="single" w:color="auto" w:sz="4" w:space="0"/>
            </w:tcBorders>
            <w:noWrap w:val="0"/>
            <w:vAlign w:val="center"/>
          </w:tcPr>
          <w:p w14:paraId="636DC0B8">
            <w:pPr>
              <w:spacing w:before="120" w:beforeLines="50" w:line="360" w:lineRule="auto"/>
              <w:contextualSpacing/>
              <w:rPr>
                <w:rFonts w:hint="eastAsia" w:eastAsia="宋体"/>
                <w:color w:val="auto"/>
                <w:szCs w:val="21"/>
                <w:highlight w:val="none"/>
                <w:lang w:eastAsia="zh-CN"/>
              </w:rPr>
            </w:pPr>
            <w:r>
              <w:rPr>
                <w:rFonts w:hint="eastAsia"/>
                <w:color w:val="auto"/>
                <w:szCs w:val="21"/>
                <w:highlight w:val="none"/>
                <w:lang w:eastAsia="zh-CN"/>
              </w:rPr>
              <w:t>黄埔区城中村、老旧小区雨污分流改造工程--117中学教师楼等8个合同红线范围外新增建设内容施工总承包</w:t>
            </w:r>
          </w:p>
        </w:tc>
      </w:tr>
      <w:tr w14:paraId="7A2EC1F2">
        <w:tblPrEx>
          <w:tblCellMar>
            <w:top w:w="0" w:type="dxa"/>
            <w:left w:w="108" w:type="dxa"/>
            <w:bottom w:w="0" w:type="dxa"/>
            <w:right w:w="108" w:type="dxa"/>
          </w:tblCellMar>
        </w:tblPrEx>
        <w:trPr>
          <w:trHeight w:val="4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34770885">
            <w:pPr>
              <w:spacing w:before="120" w:beforeLines="50" w:line="360" w:lineRule="auto"/>
              <w:contextualSpacing/>
              <w:jc w:val="center"/>
              <w:rPr>
                <w:color w:val="auto"/>
                <w:szCs w:val="21"/>
                <w:highlight w:val="none"/>
              </w:rPr>
            </w:pPr>
            <w:bookmarkStart w:id="52" w:name="_Toc221950018"/>
            <w:r>
              <w:rPr>
                <w:color w:val="auto"/>
                <w:szCs w:val="21"/>
                <w:highlight w:val="none"/>
              </w:rPr>
              <w:t>1.1.5</w:t>
            </w:r>
            <w:bookmarkEnd w:id="52"/>
          </w:p>
        </w:tc>
        <w:tc>
          <w:tcPr>
            <w:tcW w:w="2192" w:type="dxa"/>
            <w:tcBorders>
              <w:top w:val="single" w:color="auto" w:sz="4" w:space="0"/>
              <w:left w:val="single" w:color="auto" w:sz="4" w:space="0"/>
              <w:bottom w:val="single" w:color="auto" w:sz="4" w:space="0"/>
              <w:right w:val="single" w:color="auto" w:sz="4" w:space="0"/>
            </w:tcBorders>
            <w:noWrap w:val="0"/>
            <w:vAlign w:val="center"/>
          </w:tcPr>
          <w:p w14:paraId="3F70FC62">
            <w:pPr>
              <w:spacing w:before="120" w:beforeLines="50" w:line="360" w:lineRule="auto"/>
              <w:contextualSpacing/>
              <w:jc w:val="left"/>
              <w:rPr>
                <w:color w:val="auto"/>
                <w:szCs w:val="21"/>
                <w:highlight w:val="none"/>
              </w:rPr>
            </w:pPr>
            <w:bookmarkStart w:id="53" w:name="_Toc221950019"/>
            <w:r>
              <w:rPr>
                <w:color w:val="auto"/>
                <w:szCs w:val="21"/>
                <w:highlight w:val="none"/>
              </w:rPr>
              <w:t>建设地点</w:t>
            </w:r>
            <w:bookmarkEnd w:id="53"/>
          </w:p>
        </w:tc>
        <w:tc>
          <w:tcPr>
            <w:tcW w:w="5038" w:type="dxa"/>
            <w:tcBorders>
              <w:top w:val="single" w:color="auto" w:sz="4" w:space="0"/>
              <w:left w:val="single" w:color="auto" w:sz="4" w:space="0"/>
              <w:bottom w:val="single" w:color="auto" w:sz="4" w:space="0"/>
              <w:right w:val="single" w:color="auto" w:sz="4" w:space="0"/>
            </w:tcBorders>
            <w:noWrap w:val="0"/>
            <w:vAlign w:val="center"/>
          </w:tcPr>
          <w:p w14:paraId="5202E99C">
            <w:pPr>
              <w:spacing w:before="120" w:beforeLines="50" w:line="360" w:lineRule="auto"/>
              <w:contextualSpacing/>
              <w:rPr>
                <w:color w:val="auto"/>
                <w:szCs w:val="21"/>
                <w:highlight w:val="none"/>
              </w:rPr>
            </w:pPr>
            <w:r>
              <w:rPr>
                <w:rFonts w:hint="eastAsia" w:ascii="宋体" w:hAnsi="宋体" w:cs="宋体"/>
                <w:bCs/>
                <w:color w:val="auto"/>
                <w:szCs w:val="21"/>
                <w:highlight w:val="none"/>
              </w:rPr>
              <w:t>详见招标公告。</w:t>
            </w:r>
          </w:p>
        </w:tc>
      </w:tr>
      <w:tr w14:paraId="3C25AF95">
        <w:tblPrEx>
          <w:tblCellMar>
            <w:top w:w="0" w:type="dxa"/>
            <w:left w:w="108" w:type="dxa"/>
            <w:bottom w:w="0" w:type="dxa"/>
            <w:right w:w="108" w:type="dxa"/>
          </w:tblCellMar>
        </w:tblPrEx>
        <w:tc>
          <w:tcPr>
            <w:tcW w:w="1298" w:type="dxa"/>
            <w:tcBorders>
              <w:top w:val="single" w:color="auto" w:sz="4" w:space="0"/>
              <w:left w:val="single" w:color="auto" w:sz="4" w:space="0"/>
              <w:bottom w:val="single" w:color="auto" w:sz="4" w:space="0"/>
              <w:right w:val="single" w:color="auto" w:sz="4" w:space="0"/>
            </w:tcBorders>
            <w:noWrap w:val="0"/>
            <w:vAlign w:val="center"/>
          </w:tcPr>
          <w:p w14:paraId="5AE421C4">
            <w:pPr>
              <w:spacing w:before="120" w:beforeLines="50" w:line="360" w:lineRule="auto"/>
              <w:contextualSpacing/>
              <w:jc w:val="center"/>
              <w:rPr>
                <w:color w:val="auto"/>
                <w:szCs w:val="21"/>
                <w:highlight w:val="none"/>
              </w:rPr>
            </w:pPr>
            <w:bookmarkStart w:id="54" w:name="_Toc221950030"/>
            <w:r>
              <w:rPr>
                <w:color w:val="auto"/>
                <w:szCs w:val="21"/>
                <w:highlight w:val="none"/>
              </w:rPr>
              <w:t>1.2.1</w:t>
            </w:r>
            <w:bookmarkEnd w:id="54"/>
          </w:p>
        </w:tc>
        <w:tc>
          <w:tcPr>
            <w:tcW w:w="2192" w:type="dxa"/>
            <w:tcBorders>
              <w:top w:val="single" w:color="auto" w:sz="4" w:space="0"/>
              <w:left w:val="single" w:color="auto" w:sz="4" w:space="0"/>
              <w:bottom w:val="single" w:color="auto" w:sz="4" w:space="0"/>
              <w:right w:val="single" w:color="auto" w:sz="4" w:space="0"/>
            </w:tcBorders>
            <w:noWrap w:val="0"/>
            <w:vAlign w:val="center"/>
          </w:tcPr>
          <w:p w14:paraId="623D7E01">
            <w:pPr>
              <w:spacing w:before="120" w:beforeLines="50" w:line="360" w:lineRule="auto"/>
              <w:contextualSpacing/>
              <w:jc w:val="left"/>
              <w:rPr>
                <w:color w:val="auto"/>
                <w:szCs w:val="21"/>
                <w:highlight w:val="none"/>
              </w:rPr>
            </w:pPr>
            <w:bookmarkStart w:id="55" w:name="_Toc221950031"/>
            <w:r>
              <w:rPr>
                <w:color w:val="auto"/>
                <w:szCs w:val="21"/>
                <w:highlight w:val="none"/>
              </w:rPr>
              <w:t>资金来源</w:t>
            </w:r>
            <w:bookmarkEnd w:id="55"/>
            <w:r>
              <w:rPr>
                <w:rFonts w:hint="eastAsia"/>
                <w:color w:val="auto"/>
                <w:szCs w:val="21"/>
                <w:highlight w:val="none"/>
              </w:rPr>
              <w:t>及比例</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028D9C8F">
            <w:pPr>
              <w:spacing w:before="120" w:beforeLines="50" w:line="360" w:lineRule="auto"/>
              <w:contextualSpacing/>
              <w:rPr>
                <w:color w:val="auto"/>
                <w:szCs w:val="21"/>
                <w:highlight w:val="none"/>
              </w:rPr>
            </w:pPr>
            <w:r>
              <w:rPr>
                <w:rFonts w:hint="eastAsia" w:ascii="宋体" w:hAnsi="宋体" w:cs="宋体"/>
                <w:bCs/>
                <w:color w:val="auto"/>
                <w:szCs w:val="21"/>
                <w:highlight w:val="none"/>
              </w:rPr>
              <w:t>详见招标公告。</w:t>
            </w:r>
          </w:p>
        </w:tc>
      </w:tr>
      <w:tr w14:paraId="02BA7228">
        <w:tblPrEx>
          <w:tblCellMar>
            <w:top w:w="0" w:type="dxa"/>
            <w:left w:w="108" w:type="dxa"/>
            <w:bottom w:w="0" w:type="dxa"/>
            <w:right w:w="108" w:type="dxa"/>
          </w:tblCellMar>
        </w:tblPrEx>
        <w:tc>
          <w:tcPr>
            <w:tcW w:w="1298" w:type="dxa"/>
            <w:tcBorders>
              <w:top w:val="single" w:color="auto" w:sz="4" w:space="0"/>
              <w:left w:val="single" w:color="auto" w:sz="4" w:space="0"/>
              <w:bottom w:val="single" w:color="auto" w:sz="4" w:space="0"/>
              <w:right w:val="single" w:color="auto" w:sz="4" w:space="0"/>
            </w:tcBorders>
            <w:noWrap w:val="0"/>
            <w:vAlign w:val="center"/>
          </w:tcPr>
          <w:p w14:paraId="5741EC04">
            <w:pPr>
              <w:spacing w:before="156" w:beforeLines="50" w:line="360" w:lineRule="auto"/>
              <w:contextualSpacing/>
              <w:jc w:val="center"/>
              <w:rPr>
                <w:color w:val="auto"/>
                <w:kern w:val="2"/>
                <w:sz w:val="21"/>
                <w:szCs w:val="21"/>
                <w:highlight w:val="none"/>
                <w:lang w:val="en-US" w:eastAsia="zh-CN" w:bidi="ar-SA"/>
              </w:rPr>
            </w:pPr>
            <w:bookmarkStart w:id="56" w:name="_Toc221950036"/>
            <w:r>
              <w:rPr>
                <w:rFonts w:hint="eastAsia"/>
                <w:color w:val="auto"/>
                <w:szCs w:val="21"/>
                <w:highlight w:val="none"/>
              </w:rPr>
              <w:t>1.2.2</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68392426">
            <w:pPr>
              <w:spacing w:before="156" w:beforeLines="50" w:line="360" w:lineRule="auto"/>
              <w:contextualSpacing/>
              <w:jc w:val="left"/>
              <w:rPr>
                <w:rFonts w:ascii="Times New Roman" w:hAnsi="Times New Roman"/>
                <w:color w:val="auto"/>
                <w:kern w:val="2"/>
                <w:sz w:val="21"/>
                <w:szCs w:val="21"/>
                <w:highlight w:val="none"/>
                <w:lang w:val="en-US" w:eastAsia="zh-CN" w:bidi="ar-SA"/>
              </w:rPr>
            </w:pPr>
            <w:r>
              <w:rPr>
                <w:rFonts w:hint="eastAsia"/>
                <w:color w:val="auto"/>
                <w:szCs w:val="21"/>
                <w:highlight w:val="none"/>
              </w:rPr>
              <w:t>资金落实情况</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76D99884">
            <w:pPr>
              <w:spacing w:before="156" w:beforeLines="50" w:line="360" w:lineRule="auto"/>
              <w:contextualSpacing/>
              <w:jc w:val="left"/>
              <w:rPr>
                <w:rFonts w:hint="default" w:eastAsia="宋体"/>
                <w:color w:val="auto"/>
                <w:kern w:val="2"/>
                <w:sz w:val="21"/>
                <w:szCs w:val="21"/>
                <w:highlight w:val="none"/>
                <w:lang w:val="en-US" w:eastAsia="zh-CN" w:bidi="ar-SA"/>
              </w:rPr>
            </w:pPr>
            <w:r>
              <w:rPr>
                <w:rFonts w:hint="eastAsia"/>
                <w:color w:val="auto"/>
                <w:szCs w:val="21"/>
                <w:highlight w:val="none"/>
                <w:lang w:eastAsia="zh-CN"/>
              </w:rPr>
              <w:t>资金来源已落实</w:t>
            </w:r>
          </w:p>
        </w:tc>
      </w:tr>
      <w:tr w14:paraId="502AB0A0">
        <w:tblPrEx>
          <w:tblCellMar>
            <w:top w:w="0" w:type="dxa"/>
            <w:left w:w="108" w:type="dxa"/>
            <w:bottom w:w="0" w:type="dxa"/>
            <w:right w:w="108" w:type="dxa"/>
          </w:tblCellMar>
        </w:tblPrEx>
        <w:tc>
          <w:tcPr>
            <w:tcW w:w="1298" w:type="dxa"/>
            <w:tcBorders>
              <w:top w:val="single" w:color="auto" w:sz="4" w:space="0"/>
              <w:left w:val="single" w:color="auto" w:sz="4" w:space="0"/>
              <w:bottom w:val="single" w:color="auto" w:sz="4" w:space="0"/>
              <w:right w:val="single" w:color="auto" w:sz="4" w:space="0"/>
            </w:tcBorders>
            <w:noWrap w:val="0"/>
            <w:vAlign w:val="center"/>
          </w:tcPr>
          <w:p w14:paraId="5879EBE6">
            <w:pPr>
              <w:spacing w:before="120" w:beforeLines="50" w:line="360" w:lineRule="auto"/>
              <w:contextualSpacing/>
              <w:jc w:val="center"/>
              <w:rPr>
                <w:color w:val="auto"/>
                <w:szCs w:val="21"/>
                <w:highlight w:val="none"/>
              </w:rPr>
            </w:pPr>
            <w:r>
              <w:rPr>
                <w:color w:val="auto"/>
                <w:szCs w:val="21"/>
                <w:highlight w:val="none"/>
              </w:rPr>
              <w:t>1.</w:t>
            </w:r>
            <w:r>
              <w:rPr>
                <w:rFonts w:hint="eastAsia"/>
                <w:color w:val="auto"/>
                <w:szCs w:val="21"/>
                <w:highlight w:val="none"/>
              </w:rPr>
              <w:t>3</w:t>
            </w:r>
            <w:r>
              <w:rPr>
                <w:color w:val="auto"/>
                <w:szCs w:val="21"/>
                <w:highlight w:val="none"/>
              </w:rPr>
              <w:t>.1</w:t>
            </w:r>
            <w:bookmarkEnd w:id="56"/>
          </w:p>
        </w:tc>
        <w:tc>
          <w:tcPr>
            <w:tcW w:w="2192" w:type="dxa"/>
            <w:tcBorders>
              <w:top w:val="single" w:color="auto" w:sz="4" w:space="0"/>
              <w:left w:val="single" w:color="auto" w:sz="4" w:space="0"/>
              <w:bottom w:val="single" w:color="auto" w:sz="4" w:space="0"/>
              <w:right w:val="single" w:color="auto" w:sz="4" w:space="0"/>
            </w:tcBorders>
            <w:noWrap w:val="0"/>
            <w:vAlign w:val="center"/>
          </w:tcPr>
          <w:p w14:paraId="2CAA7A19">
            <w:pPr>
              <w:spacing w:before="120" w:beforeLines="50" w:line="360" w:lineRule="auto"/>
              <w:contextualSpacing/>
              <w:jc w:val="left"/>
              <w:rPr>
                <w:color w:val="auto"/>
                <w:szCs w:val="21"/>
                <w:highlight w:val="none"/>
              </w:rPr>
            </w:pPr>
            <w:bookmarkStart w:id="57" w:name="_Toc221950037"/>
            <w:r>
              <w:rPr>
                <w:color w:val="auto"/>
                <w:szCs w:val="21"/>
                <w:highlight w:val="none"/>
              </w:rPr>
              <w:t>招标范围</w:t>
            </w:r>
            <w:bookmarkEnd w:id="57"/>
          </w:p>
        </w:tc>
        <w:tc>
          <w:tcPr>
            <w:tcW w:w="5038" w:type="dxa"/>
            <w:tcBorders>
              <w:top w:val="single" w:color="auto" w:sz="4" w:space="0"/>
              <w:left w:val="single" w:color="auto" w:sz="4" w:space="0"/>
              <w:bottom w:val="single" w:color="auto" w:sz="4" w:space="0"/>
              <w:right w:val="single" w:color="auto" w:sz="4" w:space="0"/>
            </w:tcBorders>
            <w:noWrap w:val="0"/>
            <w:vAlign w:val="center"/>
          </w:tcPr>
          <w:p w14:paraId="595E3ABB">
            <w:pPr>
              <w:spacing w:before="120" w:beforeLines="50" w:line="360" w:lineRule="auto"/>
              <w:contextualSpacing/>
              <w:rPr>
                <w:color w:val="auto"/>
                <w:szCs w:val="21"/>
                <w:highlight w:val="none"/>
              </w:rPr>
            </w:pPr>
            <w:r>
              <w:rPr>
                <w:rFonts w:hint="eastAsia" w:ascii="宋体" w:hAnsi="宋体" w:cs="宋体"/>
                <w:bCs/>
                <w:color w:val="auto"/>
                <w:szCs w:val="21"/>
                <w:highlight w:val="none"/>
              </w:rPr>
              <w:t>详见招标公告。</w:t>
            </w:r>
          </w:p>
        </w:tc>
      </w:tr>
      <w:tr w14:paraId="0043AFE4">
        <w:tblPrEx>
          <w:tblCellMar>
            <w:top w:w="0" w:type="dxa"/>
            <w:left w:w="108" w:type="dxa"/>
            <w:bottom w:w="0" w:type="dxa"/>
            <w:right w:w="108" w:type="dxa"/>
          </w:tblCellMar>
        </w:tblPrEx>
        <w:tc>
          <w:tcPr>
            <w:tcW w:w="1298" w:type="dxa"/>
            <w:tcBorders>
              <w:top w:val="single" w:color="auto" w:sz="4" w:space="0"/>
              <w:left w:val="single" w:color="auto" w:sz="4" w:space="0"/>
              <w:bottom w:val="single" w:color="auto" w:sz="4" w:space="0"/>
              <w:right w:val="single" w:color="auto" w:sz="4" w:space="0"/>
            </w:tcBorders>
            <w:noWrap w:val="0"/>
            <w:vAlign w:val="center"/>
          </w:tcPr>
          <w:p w14:paraId="17772542">
            <w:pPr>
              <w:spacing w:before="120" w:beforeLines="50" w:line="360" w:lineRule="auto"/>
              <w:contextualSpacing/>
              <w:jc w:val="center"/>
              <w:rPr>
                <w:color w:val="auto"/>
                <w:szCs w:val="21"/>
                <w:highlight w:val="none"/>
              </w:rPr>
            </w:pPr>
            <w:bookmarkStart w:id="58" w:name="_Toc221950038"/>
            <w:r>
              <w:rPr>
                <w:color w:val="auto"/>
                <w:szCs w:val="21"/>
                <w:highlight w:val="none"/>
              </w:rPr>
              <w:t>1.3.2</w:t>
            </w:r>
            <w:bookmarkEnd w:id="58"/>
          </w:p>
        </w:tc>
        <w:tc>
          <w:tcPr>
            <w:tcW w:w="2192" w:type="dxa"/>
            <w:tcBorders>
              <w:top w:val="single" w:color="auto" w:sz="4" w:space="0"/>
              <w:left w:val="single" w:color="auto" w:sz="4" w:space="0"/>
              <w:bottom w:val="single" w:color="auto" w:sz="4" w:space="0"/>
              <w:right w:val="single" w:color="auto" w:sz="4" w:space="0"/>
            </w:tcBorders>
            <w:noWrap w:val="0"/>
            <w:vAlign w:val="center"/>
          </w:tcPr>
          <w:p w14:paraId="2402A9BB">
            <w:pPr>
              <w:spacing w:before="120" w:beforeLines="50" w:line="360" w:lineRule="auto"/>
              <w:contextualSpacing/>
              <w:jc w:val="left"/>
              <w:rPr>
                <w:color w:val="auto"/>
                <w:szCs w:val="21"/>
                <w:highlight w:val="none"/>
              </w:rPr>
            </w:pPr>
            <w:bookmarkStart w:id="59" w:name="_Toc221950039"/>
            <w:r>
              <w:rPr>
                <w:color w:val="auto"/>
                <w:szCs w:val="21"/>
                <w:highlight w:val="none"/>
              </w:rPr>
              <w:t>计划工期</w:t>
            </w:r>
            <w:bookmarkEnd w:id="59"/>
          </w:p>
        </w:tc>
        <w:tc>
          <w:tcPr>
            <w:tcW w:w="5038" w:type="dxa"/>
            <w:tcBorders>
              <w:top w:val="single" w:color="auto" w:sz="4" w:space="0"/>
              <w:left w:val="single" w:color="auto" w:sz="4" w:space="0"/>
              <w:bottom w:val="single" w:color="auto" w:sz="4" w:space="0"/>
              <w:right w:val="single" w:color="auto" w:sz="4" w:space="0"/>
            </w:tcBorders>
            <w:noWrap w:val="0"/>
            <w:vAlign w:val="center"/>
          </w:tcPr>
          <w:p w14:paraId="46A2F5A6">
            <w:pPr>
              <w:spacing w:before="120" w:beforeLines="50" w:line="360" w:lineRule="auto"/>
              <w:contextualSpacing/>
              <w:rPr>
                <w:color w:val="auto"/>
                <w:szCs w:val="21"/>
                <w:highlight w:val="none"/>
              </w:rPr>
            </w:pPr>
            <w:bookmarkStart w:id="60" w:name="_Toc221950040"/>
            <w:r>
              <w:rPr>
                <w:color w:val="auto"/>
                <w:szCs w:val="21"/>
                <w:highlight w:val="none"/>
              </w:rPr>
              <w:t>计划工期：</w:t>
            </w:r>
            <w:r>
              <w:rPr>
                <w:color w:val="auto"/>
                <w:szCs w:val="21"/>
                <w:highlight w:val="none"/>
                <w:u w:val="single"/>
              </w:rPr>
              <w:t xml:space="preserve"> </w:t>
            </w:r>
            <w:r>
              <w:rPr>
                <w:rFonts w:hint="eastAsia"/>
                <w:color w:val="auto"/>
                <w:szCs w:val="21"/>
                <w:highlight w:val="none"/>
                <w:u w:val="single"/>
                <w:lang w:val="en-US" w:eastAsia="zh-CN"/>
              </w:rPr>
              <w:t>180</w:t>
            </w:r>
            <w:r>
              <w:rPr>
                <w:color w:val="auto"/>
                <w:szCs w:val="21"/>
                <w:highlight w:val="none"/>
                <w:u w:val="single"/>
              </w:rPr>
              <w:t xml:space="preserve"> </w:t>
            </w:r>
            <w:r>
              <w:rPr>
                <w:color w:val="auto"/>
                <w:szCs w:val="21"/>
                <w:highlight w:val="none"/>
              </w:rPr>
              <w:t>日历天</w:t>
            </w:r>
            <w:bookmarkEnd w:id="60"/>
          </w:p>
          <w:p w14:paraId="11EB499A">
            <w:pPr>
              <w:spacing w:before="120" w:beforeLines="50" w:line="360" w:lineRule="auto"/>
              <w:contextualSpacing/>
              <w:rPr>
                <w:color w:val="auto"/>
                <w:szCs w:val="21"/>
                <w:highlight w:val="none"/>
              </w:rPr>
            </w:pPr>
            <w:bookmarkStart w:id="61" w:name="_Toc221950041"/>
            <w:r>
              <w:rPr>
                <w:color w:val="auto"/>
                <w:szCs w:val="21"/>
                <w:highlight w:val="none"/>
              </w:rPr>
              <w:t>计划开工日期：</w:t>
            </w:r>
            <w:r>
              <w:rPr>
                <w:color w:val="auto"/>
                <w:szCs w:val="21"/>
                <w:highlight w:val="none"/>
                <w:u w:val="single"/>
              </w:rPr>
              <w:t xml:space="preserve">    </w:t>
            </w:r>
            <w:r>
              <w:rPr>
                <w:color w:val="auto"/>
                <w:szCs w:val="21"/>
                <w:highlight w:val="none"/>
              </w:rPr>
              <w:t xml:space="preserve">年 </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bookmarkEnd w:id="61"/>
          </w:p>
          <w:p w14:paraId="32C45368">
            <w:pPr>
              <w:spacing w:before="120" w:beforeLines="50" w:line="360" w:lineRule="auto"/>
              <w:contextualSpacing/>
              <w:rPr>
                <w:color w:val="auto"/>
                <w:szCs w:val="21"/>
                <w:highlight w:val="none"/>
              </w:rPr>
            </w:pPr>
            <w:bookmarkStart w:id="62" w:name="_Toc221950042"/>
            <w:r>
              <w:rPr>
                <w:color w:val="auto"/>
                <w:szCs w:val="21"/>
                <w:highlight w:val="none"/>
              </w:rPr>
              <w:t>计划</w:t>
            </w:r>
            <w:r>
              <w:rPr>
                <w:rFonts w:hint="eastAsia"/>
                <w:color w:val="auto"/>
                <w:szCs w:val="21"/>
                <w:highlight w:val="none"/>
              </w:rPr>
              <w:t>竣工</w:t>
            </w:r>
            <w:r>
              <w:rPr>
                <w:color w:val="auto"/>
                <w:szCs w:val="21"/>
                <w:highlight w:val="none"/>
              </w:rPr>
              <w:t>日期：</w:t>
            </w:r>
            <w:r>
              <w:rPr>
                <w:color w:val="auto"/>
                <w:szCs w:val="21"/>
                <w:highlight w:val="none"/>
                <w:u w:val="single"/>
              </w:rPr>
              <w:t xml:space="preserve">    </w:t>
            </w:r>
            <w:r>
              <w:rPr>
                <w:color w:val="auto"/>
                <w:szCs w:val="21"/>
                <w:highlight w:val="none"/>
              </w:rPr>
              <w:t xml:space="preserve">年 </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bookmarkEnd w:id="62"/>
          </w:p>
        </w:tc>
      </w:tr>
      <w:tr w14:paraId="47EAA5CC">
        <w:tblPrEx>
          <w:tblCellMar>
            <w:top w:w="0" w:type="dxa"/>
            <w:left w:w="108" w:type="dxa"/>
            <w:bottom w:w="0" w:type="dxa"/>
            <w:right w:w="108" w:type="dxa"/>
          </w:tblCellMar>
        </w:tblPrEx>
        <w:tc>
          <w:tcPr>
            <w:tcW w:w="1298" w:type="dxa"/>
            <w:tcBorders>
              <w:top w:val="single" w:color="auto" w:sz="4" w:space="0"/>
              <w:left w:val="single" w:color="auto" w:sz="4" w:space="0"/>
              <w:bottom w:val="single" w:color="auto" w:sz="4" w:space="0"/>
              <w:right w:val="single" w:color="auto" w:sz="4" w:space="0"/>
            </w:tcBorders>
            <w:noWrap w:val="0"/>
            <w:vAlign w:val="center"/>
          </w:tcPr>
          <w:p w14:paraId="20DD05F6">
            <w:pPr>
              <w:spacing w:before="120" w:beforeLines="50" w:line="360" w:lineRule="auto"/>
              <w:contextualSpacing/>
              <w:jc w:val="center"/>
              <w:rPr>
                <w:color w:val="auto"/>
                <w:szCs w:val="21"/>
                <w:highlight w:val="none"/>
              </w:rPr>
            </w:pPr>
            <w:bookmarkStart w:id="63" w:name="_Toc221950043"/>
            <w:r>
              <w:rPr>
                <w:color w:val="auto"/>
                <w:szCs w:val="21"/>
                <w:highlight w:val="none"/>
              </w:rPr>
              <w:t>1.3.3</w:t>
            </w:r>
            <w:bookmarkEnd w:id="63"/>
          </w:p>
        </w:tc>
        <w:tc>
          <w:tcPr>
            <w:tcW w:w="2192" w:type="dxa"/>
            <w:tcBorders>
              <w:top w:val="single" w:color="auto" w:sz="4" w:space="0"/>
              <w:left w:val="single" w:color="auto" w:sz="4" w:space="0"/>
              <w:bottom w:val="single" w:color="auto" w:sz="4" w:space="0"/>
              <w:right w:val="single" w:color="auto" w:sz="4" w:space="0"/>
            </w:tcBorders>
            <w:noWrap w:val="0"/>
            <w:vAlign w:val="center"/>
          </w:tcPr>
          <w:p w14:paraId="6526365C">
            <w:pPr>
              <w:spacing w:before="120" w:beforeLines="50" w:line="360" w:lineRule="auto"/>
              <w:contextualSpacing/>
              <w:jc w:val="left"/>
              <w:rPr>
                <w:color w:val="auto"/>
                <w:szCs w:val="21"/>
                <w:highlight w:val="none"/>
              </w:rPr>
            </w:pPr>
            <w:bookmarkStart w:id="64" w:name="_Toc221950044"/>
            <w:r>
              <w:rPr>
                <w:color w:val="auto"/>
                <w:szCs w:val="21"/>
                <w:highlight w:val="none"/>
              </w:rPr>
              <w:t>质量要求</w:t>
            </w:r>
            <w:bookmarkEnd w:id="64"/>
          </w:p>
        </w:tc>
        <w:tc>
          <w:tcPr>
            <w:tcW w:w="5038" w:type="dxa"/>
            <w:tcBorders>
              <w:top w:val="single" w:color="auto" w:sz="4" w:space="0"/>
              <w:left w:val="single" w:color="auto" w:sz="4" w:space="0"/>
              <w:bottom w:val="single" w:color="auto" w:sz="4" w:space="0"/>
              <w:right w:val="single" w:color="auto" w:sz="4" w:space="0"/>
            </w:tcBorders>
            <w:noWrap w:val="0"/>
            <w:vAlign w:val="center"/>
          </w:tcPr>
          <w:p w14:paraId="4CD86BBA">
            <w:pPr>
              <w:spacing w:before="120" w:beforeLines="50" w:line="360" w:lineRule="auto"/>
              <w:contextualSpacing/>
              <w:rPr>
                <w:color w:val="auto"/>
                <w:szCs w:val="21"/>
                <w:highlight w:val="none"/>
              </w:rPr>
            </w:pPr>
            <w:r>
              <w:rPr>
                <w:rFonts w:hint="eastAsia" w:ascii="宋体" w:hAnsi="宋体"/>
                <w:color w:val="auto"/>
                <w:szCs w:val="21"/>
                <w:highlight w:val="none"/>
                <w:lang w:eastAsia="zh-CN"/>
              </w:rPr>
              <w:t>☑</w:t>
            </w:r>
            <w:r>
              <w:rPr>
                <w:rFonts w:hint="eastAsia"/>
                <w:color w:val="auto"/>
                <w:szCs w:val="21"/>
                <w:highlight w:val="none"/>
              </w:rPr>
              <w:t>合格</w:t>
            </w:r>
            <w:r>
              <w:rPr>
                <w:rFonts w:hint="eastAsia" w:ascii="宋体" w:hAnsi="宋体"/>
                <w:color w:val="auto"/>
                <w:szCs w:val="21"/>
                <w:highlight w:val="none"/>
              </w:rPr>
              <w:t>□</w:t>
            </w:r>
            <w:r>
              <w:rPr>
                <w:rFonts w:hint="eastAsia"/>
                <w:color w:val="auto"/>
                <w:szCs w:val="21"/>
                <w:highlight w:val="none"/>
              </w:rPr>
              <w:t>优良</w:t>
            </w:r>
          </w:p>
        </w:tc>
      </w:tr>
      <w:tr w14:paraId="1E321F30">
        <w:tblPrEx>
          <w:tblCellMar>
            <w:top w:w="0" w:type="dxa"/>
            <w:left w:w="108" w:type="dxa"/>
            <w:bottom w:w="0" w:type="dxa"/>
            <w:right w:w="108" w:type="dxa"/>
          </w:tblCellMar>
        </w:tblPrEx>
        <w:tc>
          <w:tcPr>
            <w:tcW w:w="1298" w:type="dxa"/>
            <w:tcBorders>
              <w:top w:val="single" w:color="auto" w:sz="4" w:space="0"/>
              <w:left w:val="single" w:color="auto" w:sz="4" w:space="0"/>
              <w:bottom w:val="single" w:color="auto" w:sz="4" w:space="0"/>
              <w:right w:val="single" w:color="auto" w:sz="4" w:space="0"/>
            </w:tcBorders>
            <w:noWrap w:val="0"/>
            <w:vAlign w:val="center"/>
          </w:tcPr>
          <w:p w14:paraId="63C3709F">
            <w:pPr>
              <w:spacing w:before="120" w:beforeLines="50" w:line="360" w:lineRule="auto"/>
              <w:contextualSpacing/>
              <w:jc w:val="center"/>
              <w:rPr>
                <w:color w:val="auto"/>
                <w:szCs w:val="21"/>
                <w:highlight w:val="none"/>
              </w:rPr>
            </w:pPr>
            <w:r>
              <w:rPr>
                <w:rFonts w:hint="eastAsia"/>
                <w:color w:val="auto"/>
                <w:szCs w:val="21"/>
                <w:highlight w:val="none"/>
              </w:rPr>
              <w:t>1.3.4</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28D9ADDE">
            <w:pPr>
              <w:spacing w:before="120" w:beforeLines="50" w:line="360" w:lineRule="auto"/>
              <w:contextualSpacing/>
              <w:rPr>
                <w:color w:val="auto"/>
                <w:szCs w:val="21"/>
                <w:highlight w:val="none"/>
              </w:rPr>
            </w:pPr>
            <w:r>
              <w:rPr>
                <w:rFonts w:hint="eastAsia"/>
                <w:color w:val="auto"/>
                <w:szCs w:val="21"/>
                <w:highlight w:val="none"/>
              </w:rPr>
              <w:t>承包方式</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0E7952AE">
            <w:pPr>
              <w:pStyle w:val="8"/>
              <w:topLinePunct/>
              <w:spacing w:line="400" w:lineRule="exact"/>
              <w:rPr>
                <w:color w:val="auto"/>
                <w:kern w:val="2"/>
                <w:sz w:val="21"/>
                <w:szCs w:val="21"/>
                <w:highlight w:val="none"/>
                <w:lang w:val="en-US" w:eastAsia="zh-CN"/>
              </w:rPr>
            </w:pPr>
            <w:r>
              <w:rPr>
                <w:rFonts w:hint="eastAsia" w:ascii="宋体" w:hAnsi="宋体"/>
                <w:color w:val="auto"/>
                <w:kern w:val="2"/>
                <w:sz w:val="21"/>
                <w:szCs w:val="21"/>
                <w:highlight w:val="none"/>
                <w:lang w:val="en-US" w:eastAsia="zh-CN"/>
              </w:rPr>
              <w:t>□</w:t>
            </w:r>
            <w:r>
              <w:rPr>
                <w:rFonts w:hint="eastAsia"/>
                <w:color w:val="auto"/>
                <w:kern w:val="2"/>
                <w:sz w:val="21"/>
                <w:szCs w:val="21"/>
                <w:highlight w:val="none"/>
                <w:lang w:val="en-US" w:eastAsia="zh-CN"/>
              </w:rPr>
              <w:t>固定总价</w:t>
            </w:r>
          </w:p>
          <w:p w14:paraId="447E2454">
            <w:pPr>
              <w:pStyle w:val="8"/>
              <w:topLinePunct/>
              <w:spacing w:line="400" w:lineRule="exact"/>
              <w:rPr>
                <w:color w:val="auto"/>
                <w:kern w:val="2"/>
                <w:sz w:val="21"/>
                <w:szCs w:val="21"/>
                <w:highlight w:val="none"/>
                <w:lang w:val="en-US" w:eastAsia="zh-CN"/>
              </w:rPr>
            </w:pPr>
            <w:r>
              <w:rPr>
                <w:rFonts w:hint="eastAsia" w:ascii="宋体" w:hAnsi="宋体"/>
                <w:color w:val="auto"/>
                <w:kern w:val="2"/>
                <w:sz w:val="21"/>
                <w:szCs w:val="21"/>
                <w:highlight w:val="none"/>
                <w:lang w:val="en-US" w:eastAsia="zh-CN"/>
              </w:rPr>
              <w:t>□</w:t>
            </w:r>
            <w:r>
              <w:rPr>
                <w:rFonts w:hint="eastAsia"/>
                <w:color w:val="auto"/>
                <w:kern w:val="2"/>
                <w:sz w:val="21"/>
                <w:szCs w:val="21"/>
                <w:highlight w:val="none"/>
                <w:lang w:val="en-US" w:eastAsia="zh-CN"/>
              </w:rPr>
              <w:t>综合单价</w:t>
            </w:r>
          </w:p>
          <w:p w14:paraId="5280B5E8">
            <w:pPr>
              <w:spacing w:before="120" w:beforeLines="50" w:line="360" w:lineRule="auto"/>
              <w:contextualSpacing/>
              <w:rPr>
                <w:color w:val="auto"/>
                <w:szCs w:val="21"/>
                <w:highlight w:val="none"/>
              </w:rPr>
            </w:pPr>
            <w:r>
              <w:rPr>
                <w:rFonts w:hint="eastAsia" w:ascii="宋体" w:hAnsi="宋体"/>
                <w:color w:val="auto"/>
                <w:szCs w:val="21"/>
                <w:highlight w:val="none"/>
                <w:lang w:eastAsia="zh-CN"/>
              </w:rPr>
              <w:t>☑</w:t>
            </w:r>
            <w:r>
              <w:rPr>
                <w:rFonts w:hint="eastAsia"/>
                <w:color w:val="auto"/>
                <w:szCs w:val="21"/>
                <w:highlight w:val="none"/>
              </w:rPr>
              <w:t>其他：</w:t>
            </w:r>
            <w:r>
              <w:rPr>
                <w:rFonts w:hint="eastAsia" w:ascii="宋体" w:hAnsi="宋体" w:cs="宋体"/>
                <w:color w:val="auto"/>
                <w:szCs w:val="21"/>
                <w:highlight w:val="none"/>
                <w:u w:val="single"/>
              </w:rPr>
              <w:t>包工、包料、包工期、包质量、包安全、包文明施工、包验收、包保修、综合单价包干，措施项目费（除施工围蔽费用外）</w:t>
            </w:r>
            <w:r>
              <w:rPr>
                <w:rFonts w:hint="eastAsia" w:ascii="宋体" w:hAnsi="宋体" w:cs="宋体"/>
                <w:color w:val="auto"/>
                <w:szCs w:val="21"/>
                <w:highlight w:val="none"/>
                <w:u w:val="single"/>
                <w:lang w:eastAsia="zh-CN"/>
              </w:rPr>
              <w:t>包干</w:t>
            </w:r>
            <w:r>
              <w:rPr>
                <w:rFonts w:hint="eastAsia" w:ascii="宋体" w:hAnsi="宋体" w:cs="宋体"/>
                <w:color w:val="auto"/>
                <w:szCs w:val="21"/>
                <w:highlight w:val="none"/>
                <w:u w:val="single"/>
              </w:rPr>
              <w:t>，施工围蔽清单综合单价</w:t>
            </w:r>
            <w:r>
              <w:rPr>
                <w:rFonts w:hint="eastAsia" w:ascii="宋体" w:hAnsi="宋体" w:cs="宋体"/>
                <w:color w:val="auto"/>
                <w:szCs w:val="21"/>
                <w:highlight w:val="none"/>
                <w:u w:val="single"/>
                <w:lang w:eastAsia="zh-CN"/>
              </w:rPr>
              <w:t>包干</w:t>
            </w:r>
            <w:r>
              <w:rPr>
                <w:rFonts w:hint="eastAsia" w:ascii="宋体" w:hAnsi="宋体" w:cs="宋体"/>
                <w:color w:val="auto"/>
                <w:szCs w:val="21"/>
                <w:highlight w:val="none"/>
                <w:u w:val="single"/>
              </w:rPr>
              <w:t>，工程量按实计量。</w:t>
            </w:r>
          </w:p>
        </w:tc>
      </w:tr>
      <w:tr w14:paraId="48B9B83F">
        <w:tblPrEx>
          <w:tblCellMar>
            <w:top w:w="0" w:type="dxa"/>
            <w:left w:w="108" w:type="dxa"/>
            <w:bottom w:w="0" w:type="dxa"/>
            <w:right w:w="108" w:type="dxa"/>
          </w:tblCellMar>
        </w:tblPrEx>
        <w:trPr>
          <w:trHeight w:val="1692" w:hRule="atLeast"/>
        </w:trPr>
        <w:tc>
          <w:tcPr>
            <w:tcW w:w="1298" w:type="dxa"/>
            <w:tcBorders>
              <w:top w:val="single" w:color="auto" w:sz="4" w:space="0"/>
              <w:left w:val="single" w:color="auto" w:sz="4" w:space="0"/>
              <w:right w:val="single" w:color="auto" w:sz="4" w:space="0"/>
            </w:tcBorders>
            <w:noWrap w:val="0"/>
            <w:vAlign w:val="center"/>
          </w:tcPr>
          <w:p w14:paraId="09235C7B">
            <w:pPr>
              <w:spacing w:before="120" w:beforeLines="50" w:line="360" w:lineRule="auto"/>
              <w:contextualSpacing/>
              <w:jc w:val="center"/>
              <w:rPr>
                <w:color w:val="auto"/>
                <w:szCs w:val="21"/>
                <w:highlight w:val="none"/>
              </w:rPr>
            </w:pPr>
            <w:bookmarkStart w:id="65" w:name="_Toc221950045"/>
            <w:r>
              <w:rPr>
                <w:rFonts w:hint="eastAsia"/>
                <w:color w:val="auto"/>
                <w:szCs w:val="21"/>
                <w:highlight w:val="none"/>
              </w:rPr>
              <w:t>1.4.1</w:t>
            </w:r>
            <w:bookmarkEnd w:id="65"/>
          </w:p>
        </w:tc>
        <w:tc>
          <w:tcPr>
            <w:tcW w:w="2192" w:type="dxa"/>
            <w:tcBorders>
              <w:top w:val="single" w:color="auto" w:sz="4" w:space="0"/>
              <w:left w:val="single" w:color="auto" w:sz="4" w:space="0"/>
              <w:right w:val="single" w:color="auto" w:sz="4" w:space="0"/>
            </w:tcBorders>
            <w:noWrap w:val="0"/>
            <w:vAlign w:val="center"/>
          </w:tcPr>
          <w:p w14:paraId="401F5F6D">
            <w:pPr>
              <w:spacing w:before="120" w:beforeLines="50" w:line="360" w:lineRule="auto"/>
              <w:contextualSpacing/>
              <w:jc w:val="left"/>
              <w:rPr>
                <w:rFonts w:ascii="宋体" w:hAnsi="宋体"/>
                <w:color w:val="auto"/>
                <w:szCs w:val="21"/>
                <w:highlight w:val="none"/>
              </w:rPr>
            </w:pPr>
            <w:bookmarkStart w:id="66" w:name="_Toc221950046"/>
            <w:r>
              <w:rPr>
                <w:rFonts w:hint="eastAsia" w:ascii="宋体" w:hAnsi="宋体"/>
                <w:color w:val="auto"/>
                <w:szCs w:val="21"/>
                <w:highlight w:val="none"/>
              </w:rPr>
              <w:t>投标人资质条件、能力、信誉</w:t>
            </w:r>
            <w:bookmarkEnd w:id="66"/>
            <w:r>
              <w:rPr>
                <w:rFonts w:hint="eastAsia" w:ascii="宋体" w:hAnsi="宋体"/>
                <w:color w:val="auto"/>
                <w:szCs w:val="21"/>
                <w:highlight w:val="none"/>
              </w:rPr>
              <w:t>（须同招标公告一致）</w:t>
            </w:r>
          </w:p>
        </w:tc>
        <w:tc>
          <w:tcPr>
            <w:tcW w:w="5038" w:type="dxa"/>
            <w:tcBorders>
              <w:top w:val="single" w:color="auto" w:sz="4" w:space="0"/>
              <w:left w:val="single" w:color="auto" w:sz="4" w:space="0"/>
              <w:right w:val="single" w:color="auto" w:sz="4" w:space="0"/>
            </w:tcBorders>
            <w:noWrap w:val="0"/>
            <w:vAlign w:val="center"/>
          </w:tcPr>
          <w:p w14:paraId="021EBCA5">
            <w:pPr>
              <w:spacing w:before="120" w:beforeLines="50" w:line="360" w:lineRule="auto"/>
              <w:contextualSpacing/>
              <w:rPr>
                <w:b w:val="0"/>
                <w:bCs/>
                <w:color w:val="auto"/>
                <w:sz w:val="21"/>
                <w:szCs w:val="21"/>
                <w:highlight w:val="none"/>
              </w:rPr>
            </w:pPr>
            <w:r>
              <w:rPr>
                <w:rFonts w:hint="eastAsia" w:ascii="宋体" w:hAnsi="宋体" w:eastAsia="宋体" w:cs="宋体"/>
                <w:color w:val="auto"/>
                <w:szCs w:val="21"/>
                <w:highlight w:val="none"/>
                <w:u w:val="single"/>
              </w:rPr>
              <w:t>详见</w:t>
            </w:r>
            <w:r>
              <w:rPr>
                <w:rFonts w:hint="eastAsia" w:ascii="宋体" w:hAnsi="宋体" w:eastAsia="宋体" w:cs="宋体"/>
                <w:color w:val="auto"/>
                <w:szCs w:val="21"/>
                <w:highlight w:val="none"/>
                <w:u w:val="single"/>
                <w:lang w:eastAsia="zh-CN"/>
              </w:rPr>
              <w:t>本项目</w:t>
            </w:r>
            <w:r>
              <w:rPr>
                <w:rFonts w:hint="eastAsia" w:ascii="宋体" w:hAnsi="宋体" w:eastAsia="宋体" w:cs="宋体"/>
                <w:color w:val="auto"/>
                <w:szCs w:val="21"/>
                <w:highlight w:val="none"/>
                <w:u w:val="single"/>
              </w:rPr>
              <w:t>招标公告</w:t>
            </w:r>
          </w:p>
        </w:tc>
      </w:tr>
      <w:tr w14:paraId="730A6444">
        <w:tblPrEx>
          <w:tblCellMar>
            <w:top w:w="0" w:type="dxa"/>
            <w:left w:w="108" w:type="dxa"/>
            <w:bottom w:w="0" w:type="dxa"/>
            <w:right w:w="108" w:type="dxa"/>
          </w:tblCellMar>
        </w:tblPrEx>
        <w:trPr>
          <w:trHeight w:val="450"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1FB561B8">
            <w:pPr>
              <w:spacing w:before="120" w:beforeLines="50" w:line="360" w:lineRule="auto"/>
              <w:contextualSpacing/>
              <w:jc w:val="center"/>
              <w:rPr>
                <w:color w:val="auto"/>
                <w:szCs w:val="21"/>
                <w:highlight w:val="none"/>
              </w:rPr>
            </w:pPr>
            <w:r>
              <w:rPr>
                <w:rFonts w:hint="eastAsia"/>
                <w:color w:val="auto"/>
                <w:szCs w:val="21"/>
                <w:highlight w:val="none"/>
              </w:rPr>
              <w:t>1.4.2</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44CE8959">
            <w:pPr>
              <w:spacing w:before="120" w:beforeLines="50" w:line="360" w:lineRule="auto"/>
              <w:contextualSpacing/>
              <w:jc w:val="left"/>
              <w:rPr>
                <w:color w:val="auto"/>
                <w:szCs w:val="21"/>
                <w:highlight w:val="none"/>
              </w:rPr>
            </w:pPr>
            <w:r>
              <w:rPr>
                <w:rFonts w:hint="eastAsia"/>
                <w:color w:val="auto"/>
                <w:szCs w:val="21"/>
                <w:highlight w:val="none"/>
              </w:rPr>
              <w:t>是否接受联合体投标</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3BF7D17B">
            <w:pPr>
              <w:spacing w:before="120" w:beforeLines="50" w:line="360" w:lineRule="auto"/>
              <w:contextualSpacing/>
              <w:rPr>
                <w:color w:val="auto"/>
                <w:szCs w:val="21"/>
                <w:highlight w:val="none"/>
              </w:rPr>
            </w:pPr>
            <w:r>
              <w:rPr>
                <w:rFonts w:hint="eastAsia" w:ascii="宋体" w:hAnsi="宋体"/>
                <w:color w:val="auto"/>
                <w:szCs w:val="21"/>
                <w:highlight w:val="none"/>
              </w:rPr>
              <w:t>□不接受</w:t>
            </w:r>
          </w:p>
          <w:p w14:paraId="0E7E0E48">
            <w:pPr>
              <w:spacing w:before="120" w:beforeLines="50" w:line="360" w:lineRule="auto"/>
              <w:contextualSpacing/>
              <w:rPr>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接受，应满足下列要求：</w:t>
            </w:r>
            <w:r>
              <w:rPr>
                <w:rFonts w:hint="eastAsia" w:ascii="宋体" w:hAnsi="宋体" w:cs="宋体"/>
                <w:color w:val="auto"/>
                <w:szCs w:val="21"/>
                <w:highlight w:val="none"/>
                <w:u w:val="single"/>
                <w:lang w:val="en-US" w:eastAsia="zh-CN"/>
              </w:rPr>
              <w:t>符合第二章“投标人须知”第1.4.2项规定</w:t>
            </w:r>
          </w:p>
        </w:tc>
      </w:tr>
      <w:tr w14:paraId="3C796EBB">
        <w:tblPrEx>
          <w:tblCellMar>
            <w:top w:w="0" w:type="dxa"/>
            <w:left w:w="108" w:type="dxa"/>
            <w:bottom w:w="0" w:type="dxa"/>
            <w:right w:w="108" w:type="dxa"/>
          </w:tblCellMar>
        </w:tblPrEx>
        <w:trPr>
          <w:trHeight w:val="70" w:hRule="atLeast"/>
        </w:trPr>
        <w:tc>
          <w:tcPr>
            <w:tcW w:w="1298" w:type="dxa"/>
            <w:tcBorders>
              <w:top w:val="single" w:color="auto" w:sz="4" w:space="0"/>
              <w:left w:val="single" w:color="auto" w:sz="4" w:space="0"/>
              <w:right w:val="single" w:color="auto" w:sz="4" w:space="0"/>
            </w:tcBorders>
            <w:noWrap w:val="0"/>
            <w:vAlign w:val="center"/>
          </w:tcPr>
          <w:p w14:paraId="6C25F43A">
            <w:pPr>
              <w:spacing w:before="120" w:beforeLines="50" w:line="360" w:lineRule="auto"/>
              <w:contextualSpacing/>
              <w:jc w:val="center"/>
              <w:rPr>
                <w:color w:val="auto"/>
                <w:szCs w:val="21"/>
                <w:highlight w:val="none"/>
              </w:rPr>
            </w:pPr>
          </w:p>
        </w:tc>
        <w:tc>
          <w:tcPr>
            <w:tcW w:w="2192" w:type="dxa"/>
            <w:tcBorders>
              <w:top w:val="single" w:color="auto" w:sz="4" w:space="0"/>
              <w:left w:val="single" w:color="auto" w:sz="4" w:space="0"/>
              <w:right w:val="single" w:color="auto" w:sz="4" w:space="0"/>
            </w:tcBorders>
            <w:noWrap w:val="0"/>
            <w:vAlign w:val="center"/>
          </w:tcPr>
          <w:p w14:paraId="614B3BF0">
            <w:pPr>
              <w:spacing w:before="120" w:beforeLines="50" w:line="360" w:lineRule="auto"/>
              <w:contextualSpacing/>
              <w:jc w:val="left"/>
              <w:rPr>
                <w:color w:val="auto"/>
                <w:szCs w:val="21"/>
                <w:highlight w:val="none"/>
              </w:rPr>
            </w:pPr>
            <w:r>
              <w:rPr>
                <w:rFonts w:hint="eastAsia"/>
                <w:color w:val="auto"/>
                <w:szCs w:val="21"/>
                <w:highlight w:val="none"/>
              </w:rPr>
              <w:t>资格审查方式</w:t>
            </w:r>
          </w:p>
        </w:tc>
        <w:tc>
          <w:tcPr>
            <w:tcW w:w="5038" w:type="dxa"/>
            <w:tcBorders>
              <w:top w:val="single" w:color="auto" w:sz="4" w:space="0"/>
              <w:left w:val="single" w:color="auto" w:sz="4" w:space="0"/>
              <w:right w:val="single" w:color="auto" w:sz="4" w:space="0"/>
            </w:tcBorders>
            <w:noWrap w:val="0"/>
            <w:vAlign w:val="center"/>
          </w:tcPr>
          <w:p w14:paraId="0853177A">
            <w:pPr>
              <w:pStyle w:val="8"/>
              <w:topLinePunct/>
              <w:spacing w:before="120" w:beforeLines="50" w:after="0" w:line="360" w:lineRule="auto"/>
              <w:contextualSpacing/>
              <w:rPr>
                <w:color w:val="auto"/>
                <w:kern w:val="2"/>
                <w:sz w:val="21"/>
                <w:szCs w:val="21"/>
                <w:highlight w:val="none"/>
                <w:lang w:val="en-US" w:eastAsia="zh-CN"/>
              </w:rPr>
            </w:pPr>
            <w:r>
              <w:rPr>
                <w:rFonts w:hint="eastAsia" w:ascii="宋体" w:hAnsi="宋体" w:cs="宋体"/>
                <w:color w:val="auto"/>
                <w:kern w:val="2"/>
                <w:sz w:val="21"/>
                <w:szCs w:val="21"/>
                <w:highlight w:val="none"/>
              </w:rPr>
              <w:t>电子化资格后审。</w:t>
            </w:r>
          </w:p>
        </w:tc>
      </w:tr>
      <w:tr w14:paraId="785DE154">
        <w:tblPrEx>
          <w:tblCellMar>
            <w:top w:w="0" w:type="dxa"/>
            <w:left w:w="108" w:type="dxa"/>
            <w:bottom w:w="0" w:type="dxa"/>
            <w:right w:w="108" w:type="dxa"/>
          </w:tblCellMar>
        </w:tblPrEx>
        <w:trPr>
          <w:trHeight w:val="70" w:hRule="atLeast"/>
        </w:trPr>
        <w:tc>
          <w:tcPr>
            <w:tcW w:w="1298" w:type="dxa"/>
            <w:tcBorders>
              <w:top w:val="single" w:color="auto" w:sz="4" w:space="0"/>
              <w:left w:val="single" w:color="auto" w:sz="4" w:space="0"/>
              <w:right w:val="single" w:color="auto" w:sz="4" w:space="0"/>
            </w:tcBorders>
            <w:noWrap w:val="0"/>
            <w:vAlign w:val="center"/>
          </w:tcPr>
          <w:p w14:paraId="5A6AC9F0">
            <w:pPr>
              <w:spacing w:line="440" w:lineRule="exact"/>
              <w:jc w:val="center"/>
              <w:rPr>
                <w:color w:val="auto"/>
                <w:szCs w:val="21"/>
                <w:highlight w:val="none"/>
              </w:rPr>
            </w:pPr>
            <w:r>
              <w:rPr>
                <w:color w:val="auto"/>
                <w:szCs w:val="21"/>
                <w:highlight w:val="none"/>
              </w:rPr>
              <w:t>1.</w:t>
            </w:r>
            <w:r>
              <w:rPr>
                <w:rFonts w:hint="eastAsia"/>
                <w:color w:val="auto"/>
                <w:szCs w:val="21"/>
                <w:highlight w:val="none"/>
              </w:rPr>
              <w:t>9</w:t>
            </w:r>
            <w:r>
              <w:rPr>
                <w:color w:val="auto"/>
                <w:szCs w:val="21"/>
                <w:highlight w:val="none"/>
              </w:rPr>
              <w:t>.1</w:t>
            </w:r>
          </w:p>
        </w:tc>
        <w:tc>
          <w:tcPr>
            <w:tcW w:w="2192" w:type="dxa"/>
            <w:tcBorders>
              <w:top w:val="single" w:color="auto" w:sz="4" w:space="0"/>
              <w:left w:val="single" w:color="auto" w:sz="4" w:space="0"/>
              <w:right w:val="single" w:color="auto" w:sz="4" w:space="0"/>
            </w:tcBorders>
            <w:noWrap w:val="0"/>
            <w:vAlign w:val="center"/>
          </w:tcPr>
          <w:p w14:paraId="0D229FA2">
            <w:pPr>
              <w:spacing w:line="440" w:lineRule="exact"/>
              <w:rPr>
                <w:color w:val="auto"/>
                <w:szCs w:val="21"/>
                <w:highlight w:val="none"/>
              </w:rPr>
            </w:pPr>
            <w:r>
              <w:rPr>
                <w:rFonts w:hint="eastAsia"/>
                <w:color w:val="auto"/>
                <w:szCs w:val="21"/>
                <w:highlight w:val="none"/>
              </w:rPr>
              <w:t>踏勘现场</w:t>
            </w:r>
          </w:p>
        </w:tc>
        <w:tc>
          <w:tcPr>
            <w:tcW w:w="5038" w:type="dxa"/>
            <w:tcBorders>
              <w:top w:val="single" w:color="auto" w:sz="4" w:space="0"/>
              <w:left w:val="single" w:color="auto" w:sz="4" w:space="0"/>
              <w:right w:val="single" w:color="auto" w:sz="4" w:space="0"/>
            </w:tcBorders>
            <w:noWrap w:val="0"/>
            <w:vAlign w:val="center"/>
          </w:tcPr>
          <w:p w14:paraId="00861A2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招标人不集中组织，由投标人自行踏勘；</w:t>
            </w:r>
          </w:p>
          <w:p w14:paraId="666EF13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自公告发布之日起具备现场踏勘条件</w:t>
            </w:r>
            <w:r>
              <w:rPr>
                <w:rFonts w:hint="eastAsia" w:ascii="宋体" w:hAnsi="宋体" w:cs="宋体"/>
                <w:color w:val="auto"/>
                <w:szCs w:val="21"/>
                <w:highlight w:val="none"/>
              </w:rPr>
              <w:t>；</w:t>
            </w:r>
          </w:p>
          <w:p w14:paraId="191C64EA">
            <w:pPr>
              <w:spacing w:line="440" w:lineRule="exact"/>
              <w:rPr>
                <w:color w:val="auto"/>
                <w:szCs w:val="21"/>
                <w:highlight w:val="none"/>
              </w:rPr>
            </w:pPr>
            <w:r>
              <w:rPr>
                <w:rFonts w:hint="eastAsia" w:ascii="宋体" w:hAnsi="宋体" w:cs="宋体"/>
                <w:color w:val="auto"/>
                <w:szCs w:val="21"/>
                <w:highlight w:val="none"/>
              </w:rPr>
              <w:t>现场详细地点：</w:t>
            </w:r>
            <w:r>
              <w:rPr>
                <w:rFonts w:hint="eastAsia" w:ascii="宋体" w:hAnsi="宋体" w:cs="宋体"/>
                <w:color w:val="auto"/>
                <w:szCs w:val="21"/>
                <w:highlight w:val="none"/>
                <w:u w:val="single"/>
                <w:lang w:val="en-US" w:eastAsia="zh-CN"/>
              </w:rPr>
              <w:t>广州市黄埔区</w:t>
            </w:r>
            <w:r>
              <w:rPr>
                <w:rFonts w:hint="eastAsia" w:ascii="宋体" w:hAnsi="宋体" w:cs="宋体"/>
                <w:color w:val="auto"/>
                <w:szCs w:val="21"/>
                <w:highlight w:val="none"/>
              </w:rPr>
              <w:t>。</w:t>
            </w:r>
          </w:p>
        </w:tc>
      </w:tr>
      <w:tr w14:paraId="1D3BC43A">
        <w:tblPrEx>
          <w:tblCellMar>
            <w:top w:w="0" w:type="dxa"/>
            <w:left w:w="108" w:type="dxa"/>
            <w:bottom w:w="0" w:type="dxa"/>
            <w:right w:w="108" w:type="dxa"/>
          </w:tblCellMar>
        </w:tblPrEx>
        <w:trPr>
          <w:trHeight w:val="4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714FA35B">
            <w:pPr>
              <w:spacing w:before="120" w:beforeLines="50" w:line="360" w:lineRule="auto"/>
              <w:contextualSpacing/>
              <w:jc w:val="center"/>
              <w:rPr>
                <w:color w:val="auto"/>
                <w:szCs w:val="21"/>
                <w:highlight w:val="none"/>
              </w:rPr>
            </w:pPr>
            <w:r>
              <w:rPr>
                <w:rFonts w:hint="eastAsia"/>
                <w:color w:val="auto"/>
                <w:szCs w:val="21"/>
                <w:highlight w:val="none"/>
              </w:rPr>
              <w:t>1.11</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67A283A6">
            <w:pPr>
              <w:spacing w:before="120" w:beforeLines="50" w:line="360" w:lineRule="auto"/>
              <w:contextualSpacing/>
              <w:jc w:val="left"/>
              <w:rPr>
                <w:color w:val="auto"/>
                <w:szCs w:val="21"/>
                <w:highlight w:val="none"/>
              </w:rPr>
            </w:pPr>
            <w:r>
              <w:rPr>
                <w:rFonts w:hint="eastAsia"/>
                <w:color w:val="auto"/>
                <w:szCs w:val="21"/>
                <w:highlight w:val="none"/>
              </w:rPr>
              <w:t>偏离</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44CF1E0C">
            <w:pPr>
              <w:spacing w:before="120" w:beforeLines="50"/>
              <w:contextualSpacing/>
              <w:rPr>
                <w:rFonts w:hint="eastAsia"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eastAsia="zh-CN"/>
              </w:rPr>
              <w:t>☑</w:t>
            </w:r>
            <w:r>
              <w:rPr>
                <w:rFonts w:hint="eastAsia" w:ascii="Times New Roman" w:hAnsi="Times New Roman" w:eastAsia="宋体" w:cs="Times New Roman"/>
                <w:b/>
                <w:color w:val="auto"/>
                <w:sz w:val="21"/>
                <w:szCs w:val="21"/>
                <w:highlight w:val="none"/>
              </w:rPr>
              <w:t>不允许</w:t>
            </w:r>
          </w:p>
          <w:p w14:paraId="0815F875">
            <w:pPr>
              <w:spacing w:before="120" w:beforeLines="50" w:line="360" w:lineRule="auto"/>
              <w:contextualSpacing/>
              <w:rPr>
                <w:color w:val="auto"/>
                <w:szCs w:val="21"/>
                <w:highlight w:val="none"/>
              </w:rPr>
            </w:pPr>
            <w:r>
              <w:rPr>
                <w:rFonts w:ascii="Times New Roman"/>
                <w:b/>
                <w:color w:val="auto"/>
                <w:sz w:val="32"/>
                <w:szCs w:val="32"/>
                <w:highlight w:val="none"/>
              </w:rPr>
              <w:t>□</w:t>
            </w:r>
            <w:r>
              <w:rPr>
                <w:rFonts w:hint="eastAsia"/>
                <w:b/>
                <w:color w:val="auto"/>
                <w:szCs w:val="21"/>
                <w:highlight w:val="none"/>
              </w:rPr>
              <w:t>允许。</w:t>
            </w:r>
            <w:r>
              <w:rPr>
                <w:rFonts w:hint="eastAsia"/>
                <w:color w:val="auto"/>
                <w:szCs w:val="21"/>
                <w:highlight w:val="none"/>
              </w:rPr>
              <w:t>偏离允许幅度及其处理方法：_</w:t>
            </w:r>
            <w:r>
              <w:rPr>
                <w:color w:val="auto"/>
                <w:szCs w:val="21"/>
                <w:highlight w:val="none"/>
              </w:rPr>
              <w:t>_____________</w:t>
            </w:r>
          </w:p>
        </w:tc>
      </w:tr>
      <w:tr w14:paraId="7AC9A5C5">
        <w:tblPrEx>
          <w:tblCellMar>
            <w:top w:w="0" w:type="dxa"/>
            <w:left w:w="108" w:type="dxa"/>
            <w:bottom w:w="0" w:type="dxa"/>
            <w:right w:w="108" w:type="dxa"/>
          </w:tblCellMar>
        </w:tblPrEx>
        <w:trPr>
          <w:trHeight w:val="450"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2DA68F71">
            <w:pPr>
              <w:spacing w:before="120" w:beforeLines="50" w:line="360" w:lineRule="auto"/>
              <w:contextualSpacing/>
              <w:jc w:val="center"/>
              <w:rPr>
                <w:color w:val="auto"/>
                <w:szCs w:val="21"/>
                <w:highlight w:val="none"/>
              </w:rPr>
            </w:pPr>
            <w:r>
              <w:rPr>
                <w:rFonts w:hint="eastAsia"/>
                <w:color w:val="auto"/>
                <w:szCs w:val="21"/>
                <w:highlight w:val="none"/>
              </w:rPr>
              <w:t>2.2</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59CD0E38">
            <w:pPr>
              <w:spacing w:before="120" w:beforeLines="50" w:line="360" w:lineRule="auto"/>
              <w:contextualSpacing/>
              <w:jc w:val="left"/>
              <w:rPr>
                <w:color w:val="auto"/>
                <w:szCs w:val="21"/>
                <w:highlight w:val="none"/>
              </w:rPr>
            </w:pPr>
            <w:r>
              <w:rPr>
                <w:rFonts w:hint="eastAsia"/>
                <w:color w:val="auto"/>
                <w:szCs w:val="21"/>
                <w:highlight w:val="none"/>
              </w:rPr>
              <w:t>招标答疑</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2C6F4176">
            <w:pPr>
              <w:spacing w:before="156" w:beforeLines="50" w:line="360" w:lineRule="auto"/>
              <w:contextualSpacing/>
              <w:rPr>
                <w:rFonts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olor w:val="auto"/>
                <w:szCs w:val="21"/>
                <w:highlight w:val="none"/>
                <w:lang w:val="en-US" w:eastAsia="zh-CN"/>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时前；</w:t>
            </w:r>
          </w:p>
          <w:p w14:paraId="4627FA78">
            <w:pPr>
              <w:spacing w:before="156" w:beforeLines="50" w:line="360" w:lineRule="auto"/>
              <w:contextualSpacing/>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lang w:eastAsia="zh-CN"/>
              </w:rPr>
              <w:t>广州交易集团有限公司（广州公共资源交易中心）网站</w:t>
            </w:r>
            <w:r>
              <w:rPr>
                <w:rFonts w:hint="eastAsia" w:ascii="宋体" w:hAnsi="宋体"/>
                <w:color w:val="auto"/>
                <w:szCs w:val="21"/>
                <w:highlight w:val="none"/>
              </w:rPr>
              <w:t>提交。</w:t>
            </w:r>
          </w:p>
          <w:p w14:paraId="6FF44322">
            <w:pPr>
              <w:spacing w:before="120" w:beforeLines="50" w:line="360" w:lineRule="auto"/>
              <w:contextualSpacing/>
              <w:rPr>
                <w:color w:val="auto"/>
                <w:szCs w:val="21"/>
                <w:highlight w:val="none"/>
              </w:rPr>
            </w:pPr>
            <w:r>
              <w:rPr>
                <w:rFonts w:hint="eastAsia" w:ascii="宋体" w:hAnsi="宋体"/>
                <w:color w:val="auto"/>
                <w:szCs w:val="21"/>
                <w:highlight w:val="none"/>
              </w:rPr>
              <w:t>具体要求：按照</w:t>
            </w:r>
            <w:r>
              <w:rPr>
                <w:rFonts w:hint="eastAsia" w:ascii="宋体" w:hAnsi="宋体"/>
                <w:color w:val="auto"/>
                <w:szCs w:val="21"/>
                <w:highlight w:val="none"/>
                <w:lang w:eastAsia="zh-CN"/>
              </w:rPr>
              <w:t>广州交易集团有限公司（广州公共资源交易中心）网站</w:t>
            </w:r>
            <w:r>
              <w:rPr>
                <w:rFonts w:hint="eastAsia" w:ascii="宋体" w:hAnsi="宋体"/>
                <w:color w:val="auto"/>
                <w:szCs w:val="21"/>
                <w:highlight w:val="none"/>
              </w:rPr>
              <w:t>关于全流程电子化项目的相关指南进行操作，提问一律不得署名。</w:t>
            </w:r>
          </w:p>
        </w:tc>
      </w:tr>
      <w:tr w14:paraId="2DC98747">
        <w:tblPrEx>
          <w:tblCellMar>
            <w:top w:w="0" w:type="dxa"/>
            <w:left w:w="108" w:type="dxa"/>
            <w:bottom w:w="0" w:type="dxa"/>
            <w:right w:w="108" w:type="dxa"/>
          </w:tblCellMar>
        </w:tblPrEx>
        <w:trPr>
          <w:trHeight w:val="748"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157F9481">
            <w:pPr>
              <w:spacing w:before="120" w:beforeLines="50" w:line="360" w:lineRule="auto"/>
              <w:contextualSpacing/>
              <w:jc w:val="center"/>
              <w:rPr>
                <w:rFonts w:hint="eastAsia"/>
                <w:color w:val="auto"/>
                <w:szCs w:val="21"/>
                <w:highlight w:val="none"/>
              </w:rPr>
            </w:pPr>
            <w:r>
              <w:rPr>
                <w:rFonts w:hint="eastAsia"/>
                <w:color w:val="auto"/>
                <w:szCs w:val="21"/>
                <w:highlight w:val="none"/>
              </w:rPr>
              <w:t>2.3</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48D46878">
            <w:pPr>
              <w:spacing w:before="120" w:beforeLines="50" w:line="360" w:lineRule="auto"/>
              <w:contextualSpacing/>
              <w:jc w:val="left"/>
              <w:rPr>
                <w:rFonts w:hint="eastAsia"/>
                <w:color w:val="auto"/>
                <w:szCs w:val="21"/>
                <w:highlight w:val="none"/>
              </w:rPr>
            </w:pPr>
            <w:r>
              <w:rPr>
                <w:rFonts w:hint="eastAsia"/>
                <w:color w:val="auto"/>
                <w:szCs w:val="21"/>
                <w:highlight w:val="none"/>
              </w:rPr>
              <w:t>招标文件</w:t>
            </w:r>
            <w:r>
              <w:rPr>
                <w:rFonts w:hint="eastAsia"/>
                <w:color w:val="auto"/>
                <w:szCs w:val="21"/>
                <w:highlight w:val="none"/>
                <w:lang w:eastAsia="zh-CN"/>
              </w:rPr>
              <w:t>的</w:t>
            </w:r>
            <w:r>
              <w:rPr>
                <w:rFonts w:hint="eastAsia"/>
                <w:color w:val="auto"/>
                <w:szCs w:val="21"/>
                <w:highlight w:val="none"/>
              </w:rPr>
              <w:t>澄清和修改</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19584C2F">
            <w:pPr>
              <w:spacing w:before="120" w:beforeLines="50" w:line="360" w:lineRule="auto"/>
              <w:contextualSpacing/>
              <w:rPr>
                <w:rFonts w:hint="eastAsia" w:ascii="宋体" w:hAnsi="宋体"/>
                <w:color w:val="auto"/>
                <w:szCs w:val="21"/>
                <w:highlight w:val="none"/>
              </w:rPr>
            </w:pPr>
            <w:r>
              <w:rPr>
                <w:rFonts w:hint="eastAsia" w:ascii="宋体" w:hAnsi="宋体"/>
                <w:color w:val="auto"/>
                <w:szCs w:val="21"/>
                <w:highlight w:val="none"/>
              </w:rPr>
              <w:t>招标文件的修改期限：在投标截止时间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 xml:space="preserve"> </w:t>
            </w:r>
            <w:r>
              <w:rPr>
                <w:rFonts w:hint="eastAsia" w:ascii="宋体" w:hAnsi="宋体"/>
                <w:color w:val="auto"/>
                <w:szCs w:val="21"/>
                <w:highlight w:val="none"/>
              </w:rPr>
              <w:t>天前</w:t>
            </w:r>
          </w:p>
        </w:tc>
      </w:tr>
      <w:tr w14:paraId="1E7EC9BB">
        <w:tblPrEx>
          <w:tblCellMar>
            <w:top w:w="0" w:type="dxa"/>
            <w:left w:w="108" w:type="dxa"/>
            <w:bottom w:w="0" w:type="dxa"/>
            <w:right w:w="108" w:type="dxa"/>
          </w:tblCellMar>
        </w:tblPrEx>
        <w:trPr>
          <w:trHeight w:val="465"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219A0D6E">
            <w:pPr>
              <w:spacing w:before="120" w:beforeLines="50" w:line="360" w:lineRule="auto"/>
              <w:contextualSpacing/>
              <w:jc w:val="center"/>
              <w:rPr>
                <w:color w:val="auto"/>
                <w:szCs w:val="21"/>
                <w:highlight w:val="none"/>
              </w:rPr>
            </w:pPr>
            <w:r>
              <w:rPr>
                <w:rFonts w:hint="eastAsia"/>
                <w:color w:val="auto"/>
                <w:szCs w:val="21"/>
                <w:highlight w:val="none"/>
              </w:rPr>
              <w:t>3.1</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6171F140">
            <w:pPr>
              <w:spacing w:before="120" w:beforeLines="50" w:line="360" w:lineRule="auto"/>
              <w:contextualSpacing/>
              <w:jc w:val="left"/>
              <w:rPr>
                <w:color w:val="auto"/>
                <w:szCs w:val="21"/>
                <w:highlight w:val="none"/>
              </w:rPr>
            </w:pPr>
            <w:r>
              <w:rPr>
                <w:rFonts w:hint="eastAsia"/>
                <w:color w:val="auto"/>
                <w:szCs w:val="21"/>
                <w:highlight w:val="none"/>
              </w:rPr>
              <w:t>投标文件的组成</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51C793B2">
            <w:pPr>
              <w:spacing w:before="120" w:beforeLines="50" w:line="360" w:lineRule="auto"/>
              <w:contextualSpacing/>
              <w:rPr>
                <w:rFonts w:hint="eastAsia"/>
                <w:color w:val="auto"/>
                <w:szCs w:val="21"/>
                <w:highlight w:val="none"/>
              </w:rPr>
            </w:pPr>
            <w:r>
              <w:rPr>
                <w:rFonts w:hint="eastAsia" w:ascii="宋体" w:hAnsi="宋体"/>
                <w:color w:val="auto"/>
                <w:szCs w:val="21"/>
                <w:highlight w:val="none"/>
                <w:u w:val="single"/>
              </w:rPr>
              <w:t>详见正文3.1 投标文件的组成</w:t>
            </w:r>
            <w:r>
              <w:rPr>
                <w:rFonts w:hint="eastAsia" w:ascii="宋体" w:hAnsi="宋体"/>
                <w:color w:val="auto"/>
                <w:szCs w:val="21"/>
                <w:highlight w:val="none"/>
              </w:rPr>
              <w:t>。</w:t>
            </w:r>
          </w:p>
        </w:tc>
      </w:tr>
      <w:tr w14:paraId="0C4C8F35">
        <w:tblPrEx>
          <w:tblCellMar>
            <w:top w:w="0" w:type="dxa"/>
            <w:left w:w="108" w:type="dxa"/>
            <w:bottom w:w="0" w:type="dxa"/>
            <w:right w:w="108" w:type="dxa"/>
          </w:tblCellMar>
        </w:tblPrEx>
        <w:trPr>
          <w:trHeight w:val="429"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69C9AC99">
            <w:pPr>
              <w:spacing w:before="120" w:beforeLines="50" w:line="360" w:lineRule="auto"/>
              <w:contextualSpacing/>
              <w:jc w:val="center"/>
              <w:rPr>
                <w:color w:val="auto"/>
                <w:szCs w:val="21"/>
                <w:highlight w:val="none"/>
              </w:rPr>
            </w:pPr>
            <w:r>
              <w:rPr>
                <w:rFonts w:hint="eastAsia"/>
                <w:color w:val="auto"/>
                <w:szCs w:val="21"/>
                <w:highlight w:val="none"/>
              </w:rPr>
              <w:t>3.2.3</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6694B3D1">
            <w:pPr>
              <w:spacing w:before="120" w:beforeLines="50" w:line="360" w:lineRule="auto"/>
              <w:contextualSpacing/>
              <w:jc w:val="left"/>
              <w:rPr>
                <w:color w:val="auto"/>
                <w:szCs w:val="21"/>
                <w:highlight w:val="none"/>
              </w:rPr>
            </w:pPr>
            <w:r>
              <w:rPr>
                <w:rFonts w:hint="eastAsia"/>
                <w:color w:val="auto"/>
                <w:szCs w:val="21"/>
                <w:highlight w:val="none"/>
              </w:rPr>
              <w:t>最高投标限价</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16F43BF9">
            <w:pPr>
              <w:spacing w:before="120" w:beforeLines="50"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本工程最高投标限价为人</w:t>
            </w:r>
            <w:r>
              <w:rPr>
                <w:rFonts w:hint="eastAsia" w:ascii="宋体" w:hAnsi="宋体" w:cs="宋体"/>
                <w:color w:val="auto"/>
                <w:szCs w:val="21"/>
                <w:highlight w:val="none"/>
                <w:lang w:eastAsia="zh-CN"/>
              </w:rPr>
              <w:t>民币</w:t>
            </w:r>
            <w:r>
              <w:rPr>
                <w:rFonts w:hint="eastAsia" w:ascii="宋体" w:hAnsi="宋体" w:cs="宋体"/>
                <w:color w:val="auto"/>
                <w:szCs w:val="21"/>
                <w:highlight w:val="none"/>
              </w:rPr>
              <w:t>（¥</w:t>
            </w:r>
            <w:r>
              <w:rPr>
                <w:rFonts w:hint="eastAsia" w:ascii="宋体" w:hAnsi="宋体" w:cs="宋体"/>
                <w:color w:val="auto"/>
                <w:highlight w:val="none"/>
                <w:u w:val="single"/>
                <w:lang w:val="en-US" w:eastAsia="zh-CN"/>
              </w:rPr>
              <w:t>19438485.11</w:t>
            </w:r>
            <w:r>
              <w:rPr>
                <w:rFonts w:hint="eastAsia" w:ascii="宋体" w:hAnsi="宋体" w:cs="宋体"/>
                <w:color w:val="auto"/>
                <w:szCs w:val="21"/>
                <w:highlight w:val="none"/>
              </w:rPr>
              <w:t>元）</w:t>
            </w:r>
          </w:p>
          <w:p w14:paraId="2FB77DAF">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本工程投标总价应包含</w:t>
            </w:r>
            <w:r>
              <w:rPr>
                <w:rFonts w:hint="eastAsia" w:ascii="宋体" w:hAnsi="宋体" w:cs="宋体"/>
                <w:color w:val="auto"/>
                <w:highlight w:val="none"/>
              </w:rPr>
              <w:t>绿色施工安全防护措施费</w:t>
            </w:r>
            <w:r>
              <w:rPr>
                <w:rFonts w:hint="eastAsia" w:ascii="宋体" w:hAnsi="宋体" w:cs="宋体"/>
                <w:color w:val="auto"/>
                <w:highlight w:val="none"/>
                <w:lang w:val="en-US" w:eastAsia="zh-CN"/>
              </w:rPr>
              <w:t>及</w:t>
            </w:r>
            <w:r>
              <w:rPr>
                <w:rFonts w:hint="eastAsia" w:ascii="宋体" w:hAnsi="宋体" w:cs="宋体"/>
                <w:color w:val="auto"/>
                <w:highlight w:val="none"/>
              </w:rPr>
              <w:t>安全生产措施费</w:t>
            </w:r>
            <w:r>
              <w:rPr>
                <w:rFonts w:hint="eastAsia" w:ascii="宋体" w:hAnsi="宋体" w:cs="宋体"/>
                <w:color w:val="auto"/>
                <w:szCs w:val="21"/>
                <w:highlight w:val="none"/>
              </w:rPr>
              <w:t>、暂列金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暂估价</w:t>
            </w:r>
            <w:r>
              <w:rPr>
                <w:rFonts w:hint="eastAsia" w:ascii="宋体" w:hAnsi="宋体" w:cs="宋体"/>
                <w:color w:val="auto"/>
                <w:szCs w:val="21"/>
                <w:highlight w:val="none"/>
              </w:rPr>
              <w:t>等非竞争性费用。其中</w:t>
            </w:r>
            <w:r>
              <w:rPr>
                <w:rFonts w:hint="eastAsia" w:ascii="宋体" w:hAnsi="宋体" w:cs="宋体"/>
                <w:color w:val="auto"/>
                <w:highlight w:val="none"/>
              </w:rPr>
              <w:t>绿色施工安全防护措施费</w:t>
            </w:r>
            <w:r>
              <w:rPr>
                <w:rFonts w:hint="eastAsia" w:ascii="宋体" w:hAnsi="宋体" w:cs="宋体"/>
                <w:color w:val="auto"/>
                <w:highlight w:val="none"/>
                <w:lang w:val="en-US" w:eastAsia="zh-CN"/>
              </w:rPr>
              <w:t>及</w:t>
            </w:r>
            <w:r>
              <w:rPr>
                <w:rFonts w:hint="eastAsia" w:ascii="宋体" w:hAnsi="宋体" w:cs="宋体"/>
                <w:color w:val="auto"/>
                <w:highlight w:val="none"/>
              </w:rPr>
              <w:t>安全生产措施费</w:t>
            </w:r>
            <w:r>
              <w:rPr>
                <w:rFonts w:hint="eastAsia" w:ascii="宋体" w:hAnsi="宋体" w:cs="宋体"/>
                <w:color w:val="auto"/>
                <w:highlight w:val="none"/>
                <w:lang w:val="en-US" w:eastAsia="zh-CN"/>
              </w:rPr>
              <w:t>为</w:t>
            </w:r>
            <w:r>
              <w:rPr>
                <w:rFonts w:hint="eastAsia" w:ascii="宋体" w:hAnsi="宋体" w:cs="宋体"/>
                <w:color w:val="auto"/>
                <w:highlight w:val="none"/>
                <w:u w:val="single"/>
                <w:lang w:val="en-US" w:eastAsia="zh-CN"/>
              </w:rPr>
              <w:t>819671.06</w:t>
            </w:r>
            <w:r>
              <w:rPr>
                <w:rFonts w:hint="eastAsia" w:ascii="宋体" w:hAnsi="宋体" w:cs="宋体"/>
                <w:color w:val="auto"/>
                <w:szCs w:val="21"/>
                <w:highlight w:val="none"/>
              </w:rPr>
              <w:t>元，暂列金为：</w:t>
            </w:r>
            <w:r>
              <w:rPr>
                <w:rFonts w:hint="eastAsia" w:ascii="宋体" w:hAnsi="宋体" w:cs="宋体"/>
                <w:color w:val="auto"/>
                <w:highlight w:val="none"/>
                <w:u w:val="single"/>
                <w:lang w:val="en-US" w:eastAsia="zh-CN"/>
              </w:rPr>
              <w:t xml:space="preserve"> 1456343.21 </w:t>
            </w:r>
            <w:r>
              <w:rPr>
                <w:rFonts w:hint="eastAsia" w:ascii="宋体" w:hAnsi="宋体" w:cs="宋体"/>
                <w:color w:val="auto"/>
                <w:szCs w:val="21"/>
                <w:highlight w:val="none"/>
              </w:rPr>
              <w:t>元，暂</w:t>
            </w:r>
            <w:r>
              <w:rPr>
                <w:rFonts w:hint="eastAsia" w:ascii="宋体" w:hAnsi="宋体" w:cs="宋体"/>
                <w:color w:val="auto"/>
                <w:szCs w:val="21"/>
                <w:highlight w:val="none"/>
                <w:lang w:val="en-US" w:eastAsia="zh-CN"/>
              </w:rPr>
              <w:t>估价</w:t>
            </w:r>
            <w:r>
              <w:rPr>
                <w:rFonts w:hint="eastAsia" w:ascii="宋体" w:hAnsi="宋体" w:cs="宋体"/>
                <w:color w:val="auto"/>
                <w:szCs w:val="21"/>
                <w:highlight w:val="none"/>
              </w:rPr>
              <w:t>为：</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（未按招标文件规定的金额填写的，由评标委员会按照招标文件规定的金额进行修正）</w:t>
            </w:r>
          </w:p>
          <w:p w14:paraId="7DB1D2AB">
            <w:pPr>
              <w:spacing w:before="120" w:beforeLines="50" w:line="360" w:lineRule="auto"/>
              <w:ind w:firstLine="420" w:firstLineChars="200"/>
              <w:contextualSpacing/>
              <w:rPr>
                <w:color w:val="auto"/>
                <w:szCs w:val="21"/>
                <w:highlight w:val="none"/>
              </w:rPr>
            </w:pPr>
            <w:r>
              <w:rPr>
                <w:rFonts w:hint="eastAsia" w:ascii="宋体" w:hAnsi="宋体" w:cs="宋体"/>
                <w:color w:val="auto"/>
                <w:szCs w:val="21"/>
                <w:highlight w:val="none"/>
                <w:u w:val="single"/>
              </w:rPr>
              <w:t>其他详见招标控制价公布函，投标总价超过最高投标限价的投标文件将被拒绝。</w:t>
            </w:r>
          </w:p>
        </w:tc>
      </w:tr>
      <w:tr w14:paraId="3E282CCA">
        <w:tblPrEx>
          <w:tblCellMar>
            <w:top w:w="0" w:type="dxa"/>
            <w:left w:w="108" w:type="dxa"/>
            <w:bottom w:w="0" w:type="dxa"/>
            <w:right w:w="108" w:type="dxa"/>
          </w:tblCellMar>
        </w:tblPrEx>
        <w:trPr>
          <w:trHeight w:val="429"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09B7B042">
            <w:pPr>
              <w:spacing w:before="120" w:beforeLines="50" w:line="360" w:lineRule="auto"/>
              <w:contextualSpacing/>
              <w:jc w:val="center"/>
              <w:rPr>
                <w:rFonts w:hint="eastAsia"/>
                <w:color w:val="auto"/>
                <w:szCs w:val="21"/>
                <w:highlight w:val="none"/>
              </w:rPr>
            </w:pPr>
            <w:r>
              <w:rPr>
                <w:rFonts w:hint="eastAsia"/>
                <w:color w:val="auto"/>
                <w:szCs w:val="21"/>
                <w:highlight w:val="none"/>
              </w:rPr>
              <w:t>3.2.4</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016B655B">
            <w:pPr>
              <w:spacing w:before="120" w:beforeLines="50" w:line="360" w:lineRule="auto"/>
              <w:contextualSpacing/>
              <w:jc w:val="left"/>
              <w:rPr>
                <w:rFonts w:hint="eastAsia"/>
                <w:color w:val="auto"/>
                <w:szCs w:val="21"/>
                <w:highlight w:val="none"/>
              </w:rPr>
            </w:pPr>
            <w:r>
              <w:rPr>
                <w:rFonts w:hint="eastAsia" w:ascii="宋体" w:hAnsi="宋体"/>
                <w:color w:val="auto"/>
                <w:szCs w:val="21"/>
                <w:highlight w:val="none"/>
              </w:rPr>
              <w:t>成本警示价</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4B90CF8B">
            <w:pPr>
              <w:spacing w:line="360" w:lineRule="auto"/>
              <w:ind w:firstLine="0" w:firstLineChars="0"/>
              <w:contextualSpacing/>
              <w:rPr>
                <w:rFonts w:hint="eastAsia"/>
                <w:color w:val="auto"/>
                <w:highlight w:val="none"/>
                <w:u w:val="none"/>
                <w:lang w:eastAsia="zh-CN"/>
              </w:rPr>
            </w:pPr>
            <w:r>
              <w:rPr>
                <w:rFonts w:hint="eastAsia"/>
                <w:color w:val="auto"/>
                <w:highlight w:val="none"/>
                <w:u w:val="none"/>
              </w:rPr>
              <w:t>□</w:t>
            </w:r>
            <w:r>
              <w:rPr>
                <w:rFonts w:hint="eastAsia"/>
                <w:color w:val="auto"/>
                <w:highlight w:val="none"/>
                <w:u w:val="none"/>
                <w:lang w:eastAsia="zh-CN"/>
              </w:rPr>
              <w:t>无</w:t>
            </w:r>
          </w:p>
          <w:p w14:paraId="288639A2">
            <w:pPr>
              <w:spacing w:line="360" w:lineRule="auto"/>
              <w:ind w:firstLine="0" w:firstLineChars="0"/>
              <w:contextualSpacing/>
              <w:rPr>
                <w:rFonts w:hint="eastAsia" w:ascii="宋体" w:hAnsi="宋体" w:eastAsia="宋体"/>
                <w:color w:val="auto"/>
                <w:szCs w:val="21"/>
                <w:highlight w:val="none"/>
                <w:lang w:eastAsia="zh-CN"/>
              </w:rPr>
            </w:pPr>
            <w:r>
              <w:rPr>
                <w:rFonts w:hint="eastAsia"/>
                <w:color w:val="auto"/>
                <w:highlight w:val="none"/>
                <w:u w:val="none"/>
                <w:lang w:eastAsia="zh-CN"/>
              </w:rPr>
              <w:t>☑有，</w:t>
            </w:r>
            <w:r>
              <w:rPr>
                <w:rFonts w:hint="eastAsia" w:ascii="宋体" w:hAnsi="宋体" w:cs="宋体"/>
                <w:color w:val="auto"/>
                <w:szCs w:val="21"/>
                <w:highlight w:val="none"/>
                <w:u w:val="none"/>
              </w:rPr>
              <w:t>成本警示价为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17934100.57</w:t>
            </w:r>
            <w:r>
              <w:rPr>
                <w:rFonts w:hint="eastAsia" w:ascii="宋体" w:hAnsi="宋体" w:cs="宋体"/>
                <w:color w:val="auto"/>
                <w:szCs w:val="21"/>
                <w:highlight w:val="none"/>
                <w:u w:val="none"/>
              </w:rPr>
              <w:t>元。</w:t>
            </w:r>
          </w:p>
        </w:tc>
      </w:tr>
      <w:tr w14:paraId="7FD0675F">
        <w:tblPrEx>
          <w:tblCellMar>
            <w:top w:w="0" w:type="dxa"/>
            <w:left w:w="108" w:type="dxa"/>
            <w:bottom w:w="0" w:type="dxa"/>
            <w:right w:w="108" w:type="dxa"/>
          </w:tblCellMar>
        </w:tblPrEx>
        <w:trPr>
          <w:trHeight w:val="70" w:hRule="atLeast"/>
        </w:trPr>
        <w:tc>
          <w:tcPr>
            <w:tcW w:w="1298" w:type="dxa"/>
            <w:tcBorders>
              <w:top w:val="single" w:color="auto" w:sz="4" w:space="0"/>
              <w:left w:val="single" w:color="auto" w:sz="4" w:space="0"/>
              <w:right w:val="single" w:color="auto" w:sz="4" w:space="0"/>
            </w:tcBorders>
            <w:noWrap w:val="0"/>
            <w:vAlign w:val="center"/>
          </w:tcPr>
          <w:p w14:paraId="3D9A63EF">
            <w:pPr>
              <w:spacing w:before="120" w:beforeLines="50" w:line="360" w:lineRule="auto"/>
              <w:contextualSpacing/>
              <w:jc w:val="center"/>
              <w:rPr>
                <w:color w:val="auto"/>
                <w:szCs w:val="21"/>
                <w:highlight w:val="none"/>
              </w:rPr>
            </w:pPr>
            <w:bookmarkStart w:id="67" w:name="_Toc221950062"/>
            <w:r>
              <w:rPr>
                <w:color w:val="auto"/>
                <w:szCs w:val="21"/>
                <w:highlight w:val="none"/>
              </w:rPr>
              <w:t>3.3</w:t>
            </w:r>
            <w:r>
              <w:rPr>
                <w:rFonts w:hint="eastAsia"/>
                <w:color w:val="auto"/>
                <w:szCs w:val="21"/>
                <w:highlight w:val="none"/>
              </w:rPr>
              <w:t>.1</w:t>
            </w:r>
            <w:bookmarkEnd w:id="67"/>
          </w:p>
        </w:tc>
        <w:tc>
          <w:tcPr>
            <w:tcW w:w="2192" w:type="dxa"/>
            <w:tcBorders>
              <w:top w:val="single" w:color="auto" w:sz="4" w:space="0"/>
              <w:left w:val="single" w:color="auto" w:sz="4" w:space="0"/>
              <w:right w:val="single" w:color="auto" w:sz="4" w:space="0"/>
            </w:tcBorders>
            <w:noWrap w:val="0"/>
            <w:vAlign w:val="center"/>
          </w:tcPr>
          <w:p w14:paraId="0FB9E8F8">
            <w:pPr>
              <w:spacing w:before="120" w:beforeLines="50" w:line="360" w:lineRule="auto"/>
              <w:contextualSpacing/>
              <w:jc w:val="left"/>
              <w:rPr>
                <w:color w:val="auto"/>
                <w:szCs w:val="21"/>
                <w:highlight w:val="none"/>
              </w:rPr>
            </w:pPr>
            <w:r>
              <w:rPr>
                <w:rFonts w:hint="eastAsia"/>
                <w:color w:val="auto"/>
                <w:szCs w:val="21"/>
                <w:highlight w:val="none"/>
              </w:rPr>
              <w:t>投标有效期</w:t>
            </w:r>
          </w:p>
        </w:tc>
        <w:tc>
          <w:tcPr>
            <w:tcW w:w="5038" w:type="dxa"/>
            <w:tcBorders>
              <w:top w:val="single" w:color="auto" w:sz="4" w:space="0"/>
              <w:left w:val="single" w:color="auto" w:sz="4" w:space="0"/>
              <w:right w:val="single" w:color="auto" w:sz="4" w:space="0"/>
            </w:tcBorders>
            <w:noWrap w:val="0"/>
            <w:vAlign w:val="center"/>
          </w:tcPr>
          <w:p w14:paraId="3DF56B36">
            <w:pPr>
              <w:pStyle w:val="8"/>
              <w:topLinePunct/>
              <w:spacing w:before="120" w:beforeLines="50" w:after="0" w:line="360" w:lineRule="auto"/>
              <w:contextualSpacing/>
              <w:rPr>
                <w:color w:val="auto"/>
                <w:kern w:val="2"/>
                <w:sz w:val="21"/>
                <w:szCs w:val="21"/>
                <w:highlight w:val="none"/>
                <w:lang w:val="en-US" w:eastAsia="zh-CN"/>
              </w:rPr>
            </w:pPr>
            <w:r>
              <w:rPr>
                <w:rFonts w:hint="eastAsia" w:ascii="宋体" w:hAnsi="宋体" w:cs="宋体"/>
                <w:color w:val="auto"/>
                <w:kern w:val="2"/>
                <w:sz w:val="21"/>
                <w:szCs w:val="21"/>
                <w:highlight w:val="none"/>
                <w:u w:val="single"/>
                <w:lang w:val="en-US" w:eastAsia="zh-CN"/>
              </w:rPr>
              <w:t>90</w:t>
            </w:r>
            <w:r>
              <w:rPr>
                <w:rFonts w:hint="eastAsia" w:ascii="宋体" w:hAnsi="宋体" w:cs="宋体"/>
                <w:color w:val="auto"/>
                <w:kern w:val="2"/>
                <w:sz w:val="21"/>
                <w:szCs w:val="21"/>
                <w:highlight w:val="none"/>
              </w:rPr>
              <w:t>日历天（从投标截止之日计起）</w:t>
            </w:r>
            <w:r>
              <w:rPr>
                <w:rFonts w:hint="eastAsia" w:ascii="宋体" w:hAnsi="宋体" w:cs="宋体"/>
                <w:color w:val="auto"/>
                <w:kern w:val="2"/>
                <w:sz w:val="21"/>
                <w:szCs w:val="21"/>
                <w:highlight w:val="none"/>
                <w:u w:val="single"/>
              </w:rPr>
              <w:t>如投标有效期内发生异议或投诉的，则投标有效期自动延长至异议或投诉处理结束后90日历天。中标人的投标有效期自动延期至合同履行完毕。</w:t>
            </w:r>
          </w:p>
        </w:tc>
      </w:tr>
      <w:tr w14:paraId="1F01F8D5">
        <w:tblPrEx>
          <w:tblCellMar>
            <w:top w:w="0" w:type="dxa"/>
            <w:left w:w="108" w:type="dxa"/>
            <w:bottom w:w="0" w:type="dxa"/>
            <w:right w:w="108" w:type="dxa"/>
          </w:tblCellMar>
        </w:tblPrEx>
        <w:tc>
          <w:tcPr>
            <w:tcW w:w="1298" w:type="dxa"/>
            <w:tcBorders>
              <w:top w:val="single" w:color="auto" w:sz="4" w:space="0"/>
              <w:left w:val="single" w:color="auto" w:sz="4" w:space="0"/>
              <w:bottom w:val="single" w:color="auto" w:sz="4" w:space="0"/>
              <w:right w:val="single" w:color="auto" w:sz="4" w:space="0"/>
            </w:tcBorders>
            <w:noWrap w:val="0"/>
            <w:vAlign w:val="center"/>
          </w:tcPr>
          <w:p w14:paraId="0C3D412F">
            <w:pPr>
              <w:spacing w:before="120" w:beforeLines="50" w:line="360" w:lineRule="auto"/>
              <w:contextualSpacing/>
              <w:jc w:val="center"/>
              <w:rPr>
                <w:rFonts w:hint="default" w:eastAsia="宋体"/>
                <w:color w:val="auto"/>
                <w:szCs w:val="21"/>
                <w:highlight w:val="none"/>
                <w:lang w:val="en-US" w:eastAsia="zh-CN"/>
              </w:rPr>
            </w:pPr>
            <w:bookmarkStart w:id="68" w:name="_Toc221950064"/>
            <w:r>
              <w:rPr>
                <w:color w:val="auto"/>
                <w:szCs w:val="21"/>
                <w:highlight w:val="none"/>
              </w:rPr>
              <w:t>3.4</w:t>
            </w:r>
            <w:bookmarkEnd w:id="68"/>
            <w:r>
              <w:rPr>
                <w:rFonts w:hint="eastAsia"/>
                <w:color w:val="auto"/>
                <w:szCs w:val="21"/>
                <w:highlight w:val="none"/>
                <w:lang w:val="en-US" w:eastAsia="zh-CN"/>
              </w:rPr>
              <w:t>.1</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4AC6168B">
            <w:pPr>
              <w:spacing w:before="120" w:beforeLines="50" w:line="360" w:lineRule="auto"/>
              <w:contextualSpacing/>
              <w:jc w:val="left"/>
              <w:rPr>
                <w:color w:val="auto"/>
                <w:szCs w:val="21"/>
                <w:highlight w:val="none"/>
              </w:rPr>
            </w:pPr>
            <w:bookmarkStart w:id="69" w:name="_Toc221950065"/>
            <w:r>
              <w:rPr>
                <w:color w:val="auto"/>
                <w:szCs w:val="21"/>
                <w:highlight w:val="none"/>
              </w:rPr>
              <w:t>投标保证金</w:t>
            </w:r>
            <w:bookmarkEnd w:id="69"/>
          </w:p>
        </w:tc>
        <w:tc>
          <w:tcPr>
            <w:tcW w:w="5038" w:type="dxa"/>
            <w:tcBorders>
              <w:top w:val="single" w:color="auto" w:sz="4" w:space="0"/>
              <w:left w:val="single" w:color="auto" w:sz="4" w:space="0"/>
              <w:bottom w:val="single" w:color="auto" w:sz="4" w:space="0"/>
              <w:right w:val="single" w:color="auto" w:sz="4" w:space="0"/>
            </w:tcBorders>
            <w:noWrap w:val="0"/>
            <w:vAlign w:val="center"/>
          </w:tcPr>
          <w:p w14:paraId="48BCC9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4904159B">
            <w:pPr>
              <w:spacing w:line="360" w:lineRule="auto"/>
              <w:rPr>
                <w:rFonts w:hint="eastAsia"/>
                <w:color w:val="auto"/>
                <w:highlight w:val="none"/>
              </w:rPr>
            </w:pPr>
            <w:r>
              <w:rPr>
                <w:rFonts w:hint="eastAsia"/>
                <w:color w:val="auto"/>
                <w:highlight w:val="none"/>
                <w:lang w:eastAsia="zh-CN"/>
              </w:rPr>
              <w:t>☑</w:t>
            </w:r>
            <w:r>
              <w:rPr>
                <w:rFonts w:hint="eastAsia"/>
                <w:color w:val="auto"/>
                <w:highlight w:val="none"/>
              </w:rPr>
              <w:t>不要求</w:t>
            </w:r>
          </w:p>
          <w:p w14:paraId="0EA11FC2">
            <w:pPr>
              <w:spacing w:before="0" w:beforeLines="0" w:line="360" w:lineRule="auto"/>
              <w:rPr>
                <w:color w:val="auto"/>
                <w:szCs w:val="21"/>
                <w:highlight w:val="none"/>
              </w:rPr>
            </w:pPr>
            <w:r>
              <w:rPr>
                <w:rFonts w:hint="eastAsia" w:ascii="宋体" w:hAnsi="宋体"/>
                <w:color w:val="auto"/>
                <w:szCs w:val="21"/>
                <w:highlight w:val="none"/>
              </w:rPr>
              <w:t>□要求，</w:t>
            </w:r>
            <w:r>
              <w:rPr>
                <w:rFonts w:hint="eastAsia" w:ascii="宋体" w:hAnsi="宋体"/>
                <w:color w:val="auto"/>
                <w:szCs w:val="21"/>
                <w:highlight w:val="none"/>
                <w:u w:val="single"/>
                <w:lang w:val="en-US" w:eastAsia="zh-CN"/>
              </w:rPr>
              <w:t xml:space="preserve"> / </w:t>
            </w:r>
            <w:r>
              <w:rPr>
                <w:rFonts w:hint="eastAsia" w:ascii="宋体" w:hAnsi="宋体" w:cs="宋体"/>
                <w:color w:val="auto"/>
                <w:szCs w:val="21"/>
                <w:highlight w:val="none"/>
                <w:u w:val="none"/>
                <w:lang w:eastAsia="zh-CN" w:bidi="ar"/>
              </w:rPr>
              <w:t>。</w:t>
            </w:r>
          </w:p>
        </w:tc>
      </w:tr>
      <w:tr w14:paraId="5D93195B">
        <w:tblPrEx>
          <w:tblCellMar>
            <w:top w:w="0" w:type="dxa"/>
            <w:left w:w="108" w:type="dxa"/>
            <w:bottom w:w="0" w:type="dxa"/>
            <w:right w:w="108" w:type="dxa"/>
          </w:tblCellMar>
        </w:tblPrEx>
        <w:trPr>
          <w:trHeight w:val="70" w:hRule="atLeast"/>
        </w:trPr>
        <w:tc>
          <w:tcPr>
            <w:tcW w:w="1298" w:type="dxa"/>
            <w:tcBorders>
              <w:top w:val="single" w:color="auto" w:sz="4" w:space="0"/>
              <w:left w:val="single" w:color="auto" w:sz="4" w:space="0"/>
              <w:right w:val="single" w:color="auto" w:sz="4" w:space="0"/>
            </w:tcBorders>
            <w:noWrap w:val="0"/>
            <w:vAlign w:val="center"/>
          </w:tcPr>
          <w:p w14:paraId="3AD25AA9">
            <w:pPr>
              <w:spacing w:before="120" w:beforeLines="50" w:line="360" w:lineRule="auto"/>
              <w:contextualSpacing/>
              <w:jc w:val="center"/>
              <w:rPr>
                <w:rFonts w:hint="eastAsia" w:eastAsia="宋体"/>
                <w:color w:val="auto"/>
                <w:szCs w:val="21"/>
                <w:highlight w:val="none"/>
                <w:lang w:eastAsia="zh-CN"/>
              </w:rPr>
            </w:pPr>
            <w:r>
              <w:rPr>
                <w:color w:val="auto"/>
                <w:szCs w:val="21"/>
                <w:highlight w:val="none"/>
              </w:rPr>
              <w:t>3.</w:t>
            </w:r>
            <w:r>
              <w:rPr>
                <w:rFonts w:hint="eastAsia"/>
                <w:color w:val="auto"/>
                <w:szCs w:val="21"/>
                <w:highlight w:val="none"/>
              </w:rPr>
              <w:t>6</w:t>
            </w:r>
            <w:r>
              <w:rPr>
                <w:color w:val="auto"/>
                <w:szCs w:val="21"/>
                <w:highlight w:val="none"/>
              </w:rPr>
              <w:t>.</w:t>
            </w:r>
            <w:r>
              <w:rPr>
                <w:rFonts w:hint="eastAsia"/>
                <w:color w:val="auto"/>
                <w:szCs w:val="21"/>
                <w:highlight w:val="none"/>
                <w:lang w:val="en-US" w:eastAsia="zh-CN"/>
              </w:rPr>
              <w:t>1</w:t>
            </w:r>
          </w:p>
        </w:tc>
        <w:tc>
          <w:tcPr>
            <w:tcW w:w="2192" w:type="dxa"/>
            <w:tcBorders>
              <w:top w:val="single" w:color="auto" w:sz="4" w:space="0"/>
              <w:left w:val="single" w:color="auto" w:sz="4" w:space="0"/>
              <w:right w:val="single" w:color="auto" w:sz="4" w:space="0"/>
            </w:tcBorders>
            <w:noWrap w:val="0"/>
            <w:vAlign w:val="center"/>
          </w:tcPr>
          <w:p w14:paraId="3111EA03">
            <w:pPr>
              <w:spacing w:before="120" w:beforeLines="50" w:line="360" w:lineRule="auto"/>
              <w:contextualSpacing/>
              <w:jc w:val="left"/>
              <w:rPr>
                <w:color w:val="auto"/>
                <w:szCs w:val="21"/>
                <w:highlight w:val="none"/>
              </w:rPr>
            </w:pPr>
            <w:r>
              <w:rPr>
                <w:color w:val="auto"/>
                <w:szCs w:val="21"/>
                <w:highlight w:val="none"/>
              </w:rPr>
              <w:t>签字或盖章要求</w:t>
            </w:r>
          </w:p>
        </w:tc>
        <w:tc>
          <w:tcPr>
            <w:tcW w:w="5038" w:type="dxa"/>
            <w:tcBorders>
              <w:top w:val="single" w:color="auto" w:sz="4" w:space="0"/>
              <w:left w:val="single" w:color="auto" w:sz="4" w:space="0"/>
              <w:right w:val="single" w:color="auto" w:sz="4" w:space="0"/>
            </w:tcBorders>
            <w:noWrap w:val="0"/>
            <w:vAlign w:val="center"/>
          </w:tcPr>
          <w:p w14:paraId="4BC993A5">
            <w:pPr>
              <w:pStyle w:val="8"/>
              <w:topLinePunct/>
              <w:spacing w:before="120" w:beforeLines="50" w:after="0" w:line="360" w:lineRule="auto"/>
              <w:contextualSpacing/>
              <w:jc w:val="left"/>
              <w:rPr>
                <w:color w:val="auto"/>
                <w:kern w:val="2"/>
                <w:sz w:val="21"/>
                <w:szCs w:val="21"/>
                <w:highlight w:val="none"/>
                <w:lang w:val="en-US" w:eastAsia="zh-CN"/>
              </w:rPr>
            </w:pPr>
            <w:r>
              <w:rPr>
                <w:rFonts w:hint="eastAsia" w:ascii="宋体" w:hAnsi="宋体" w:cs="宋体"/>
                <w:color w:val="auto"/>
                <w:kern w:val="2"/>
                <w:sz w:val="21"/>
                <w:szCs w:val="21"/>
                <w:highlight w:val="none"/>
              </w:rPr>
              <w:t>投标文件格式规定盖单位章的页面必须盖单位章，规定法定代表人或授权委托人、项目负责人和技术负责人签字的页面必须签字。签字必须由本人在规定页面手写签名</w:t>
            </w:r>
            <w:r>
              <w:rPr>
                <w:rFonts w:hint="eastAsia" w:ascii="宋体" w:hAnsi="宋体" w:cs="宋体"/>
                <w:color w:val="auto"/>
                <w:sz w:val="21"/>
                <w:szCs w:val="21"/>
                <w:highlight w:val="none"/>
              </w:rPr>
              <w:t>或签章，或</w:t>
            </w:r>
            <w:r>
              <w:rPr>
                <w:rFonts w:hint="eastAsia" w:hAnsi="宋体" w:cs="宋体"/>
                <w:color w:val="auto"/>
                <w:sz w:val="21"/>
                <w:szCs w:val="21"/>
                <w:highlight w:val="none"/>
                <w:u w:val="single"/>
              </w:rPr>
              <w:t>加盖个人电子印章</w:t>
            </w:r>
            <w:r>
              <w:rPr>
                <w:rFonts w:hint="eastAsia" w:ascii="宋体" w:hAnsi="宋体" w:cs="宋体"/>
                <w:color w:val="auto"/>
                <w:kern w:val="2"/>
                <w:sz w:val="21"/>
                <w:szCs w:val="21"/>
                <w:highlight w:val="none"/>
              </w:rPr>
              <w:t>后扫描上传</w:t>
            </w:r>
            <w:r>
              <w:rPr>
                <w:rFonts w:hint="eastAsia"/>
                <w:color w:val="auto"/>
                <w:kern w:val="2"/>
                <w:sz w:val="21"/>
                <w:szCs w:val="21"/>
                <w:highlight w:val="none"/>
                <w:lang w:val="en-US"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color w:val="auto"/>
                <w:kern w:val="2"/>
                <w:sz w:val="21"/>
                <w:szCs w:val="21"/>
                <w:highlight w:val="none"/>
                <w:lang w:val="en-US" w:eastAsia="zh-CN"/>
              </w:rPr>
              <w:t>）</w:t>
            </w:r>
            <w:r>
              <w:rPr>
                <w:rFonts w:hint="eastAsia" w:ascii="宋体" w:hAnsi="宋体" w:cs="宋体"/>
                <w:color w:val="auto"/>
                <w:kern w:val="2"/>
                <w:sz w:val="21"/>
                <w:szCs w:val="21"/>
                <w:highlight w:val="none"/>
              </w:rPr>
              <w:t>。</w:t>
            </w:r>
          </w:p>
        </w:tc>
      </w:tr>
      <w:tr w14:paraId="084D68C0">
        <w:tblPrEx>
          <w:tblCellMar>
            <w:top w:w="0" w:type="dxa"/>
            <w:left w:w="108" w:type="dxa"/>
            <w:bottom w:w="0" w:type="dxa"/>
            <w:right w:w="108" w:type="dxa"/>
          </w:tblCellMar>
        </w:tblPrEx>
        <w:tc>
          <w:tcPr>
            <w:tcW w:w="1298" w:type="dxa"/>
            <w:tcBorders>
              <w:top w:val="single" w:color="auto" w:sz="4" w:space="0"/>
              <w:left w:val="single" w:color="auto" w:sz="4" w:space="0"/>
              <w:bottom w:val="single" w:color="auto" w:sz="4" w:space="0"/>
              <w:right w:val="single" w:color="auto" w:sz="4" w:space="0"/>
            </w:tcBorders>
            <w:noWrap w:val="0"/>
            <w:vAlign w:val="center"/>
          </w:tcPr>
          <w:p w14:paraId="1B6EC08B">
            <w:pPr>
              <w:spacing w:before="120" w:beforeLines="50" w:line="360" w:lineRule="auto"/>
              <w:contextualSpacing/>
              <w:jc w:val="center"/>
              <w:rPr>
                <w:color w:val="auto"/>
                <w:szCs w:val="21"/>
                <w:highlight w:val="none"/>
              </w:rPr>
            </w:pPr>
            <w:r>
              <w:rPr>
                <w:rFonts w:hint="eastAsia"/>
                <w:color w:val="auto"/>
                <w:szCs w:val="21"/>
                <w:highlight w:val="none"/>
              </w:rPr>
              <w:t>4.1.1</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4DB53E05">
            <w:pPr>
              <w:spacing w:before="120" w:beforeLines="50" w:line="360" w:lineRule="auto"/>
              <w:contextualSpacing/>
              <w:jc w:val="left"/>
              <w:rPr>
                <w:color w:val="auto"/>
                <w:szCs w:val="21"/>
                <w:highlight w:val="none"/>
              </w:rPr>
            </w:pPr>
            <w:r>
              <w:rPr>
                <w:rFonts w:hint="eastAsia"/>
                <w:color w:val="auto"/>
                <w:szCs w:val="21"/>
                <w:highlight w:val="none"/>
              </w:rPr>
              <w:t>投标文件份数</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193E2964">
            <w:pPr>
              <w:spacing w:before="120" w:beforeLines="50" w:line="360" w:lineRule="auto"/>
              <w:contextualSpacing/>
              <w:rPr>
                <w:color w:val="auto"/>
                <w:szCs w:val="21"/>
                <w:highlight w:val="none"/>
              </w:rPr>
            </w:pPr>
            <w:r>
              <w:rPr>
                <w:rFonts w:hint="eastAsia"/>
                <w:color w:val="auto"/>
                <w:szCs w:val="21"/>
                <w:highlight w:val="none"/>
              </w:rPr>
              <w:t>投标文件为含电子签章的加密电子投标文件</w:t>
            </w:r>
            <w:r>
              <w:rPr>
                <w:color w:val="auto"/>
                <w:szCs w:val="21"/>
                <w:highlight w:val="none"/>
              </w:rPr>
              <w:t>1</w:t>
            </w:r>
            <w:r>
              <w:rPr>
                <w:rFonts w:hint="eastAsia"/>
                <w:color w:val="auto"/>
                <w:szCs w:val="21"/>
                <w:highlight w:val="none"/>
              </w:rPr>
              <w:t>套。</w:t>
            </w:r>
          </w:p>
        </w:tc>
      </w:tr>
      <w:tr w14:paraId="0714499A">
        <w:tblPrEx>
          <w:tblCellMar>
            <w:top w:w="0" w:type="dxa"/>
            <w:left w:w="108" w:type="dxa"/>
            <w:bottom w:w="0" w:type="dxa"/>
            <w:right w:w="108" w:type="dxa"/>
          </w:tblCellMar>
        </w:tblPrEx>
        <w:tc>
          <w:tcPr>
            <w:tcW w:w="1298" w:type="dxa"/>
            <w:tcBorders>
              <w:top w:val="single" w:color="auto" w:sz="4" w:space="0"/>
              <w:left w:val="single" w:color="auto" w:sz="4" w:space="0"/>
              <w:bottom w:val="single" w:color="auto" w:sz="4" w:space="0"/>
              <w:right w:val="single" w:color="auto" w:sz="4" w:space="0"/>
            </w:tcBorders>
            <w:noWrap w:val="0"/>
            <w:vAlign w:val="center"/>
          </w:tcPr>
          <w:p w14:paraId="6075733A">
            <w:pPr>
              <w:spacing w:before="120" w:beforeLines="50" w:line="360" w:lineRule="auto"/>
              <w:contextualSpacing/>
              <w:jc w:val="center"/>
              <w:rPr>
                <w:color w:val="auto"/>
                <w:szCs w:val="21"/>
                <w:highlight w:val="none"/>
              </w:rPr>
            </w:pPr>
            <w:bookmarkStart w:id="70" w:name="_Toc221950069"/>
            <w:r>
              <w:rPr>
                <w:color w:val="auto"/>
                <w:szCs w:val="21"/>
                <w:highlight w:val="none"/>
              </w:rPr>
              <w:t>4.2.</w:t>
            </w:r>
            <w:bookmarkEnd w:id="70"/>
            <w:r>
              <w:rPr>
                <w:rFonts w:hint="eastAsia"/>
                <w:color w:val="auto"/>
                <w:szCs w:val="21"/>
                <w:highlight w:val="none"/>
              </w:rPr>
              <w:t>1</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251940F1">
            <w:pPr>
              <w:spacing w:before="120" w:beforeLines="50" w:line="360" w:lineRule="auto"/>
              <w:contextualSpacing/>
              <w:jc w:val="left"/>
              <w:rPr>
                <w:color w:val="auto"/>
                <w:szCs w:val="21"/>
                <w:highlight w:val="none"/>
              </w:rPr>
            </w:pPr>
            <w:r>
              <w:rPr>
                <w:rFonts w:hint="eastAsia"/>
                <w:color w:val="auto"/>
                <w:szCs w:val="21"/>
                <w:highlight w:val="none"/>
              </w:rPr>
              <w:t>投标文件的递交时间和地点</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7E4A1A1C">
            <w:pPr>
              <w:spacing w:before="120" w:beforeLines="50" w:line="360" w:lineRule="auto"/>
              <w:contextualSpacing/>
              <w:rPr>
                <w:color w:val="auto"/>
                <w:szCs w:val="21"/>
                <w:highlight w:val="none"/>
              </w:rPr>
            </w:pPr>
            <w:r>
              <w:rPr>
                <w:rFonts w:hint="eastAsia"/>
                <w:color w:val="auto"/>
                <w:szCs w:val="21"/>
                <w:highlight w:val="none"/>
              </w:rPr>
              <w:t>1、递交方式：网上递交投标文件</w:t>
            </w:r>
          </w:p>
          <w:p w14:paraId="4A96ABFD">
            <w:pPr>
              <w:spacing w:before="120" w:beforeLines="50" w:line="360" w:lineRule="auto"/>
              <w:contextualSpacing/>
              <w:rPr>
                <w:color w:val="auto"/>
                <w:szCs w:val="21"/>
                <w:highlight w:val="none"/>
              </w:rPr>
            </w:pPr>
            <w:r>
              <w:rPr>
                <w:rFonts w:hint="eastAsia"/>
                <w:color w:val="auto"/>
                <w:szCs w:val="21"/>
                <w:highlight w:val="none"/>
              </w:rPr>
              <w:t>2、文件的递交截止时间：____年</w:t>
            </w:r>
            <w:r>
              <w:rPr>
                <w:color w:val="auto"/>
                <w:szCs w:val="21"/>
                <w:highlight w:val="none"/>
              </w:rPr>
              <w:t>__</w:t>
            </w:r>
            <w:r>
              <w:rPr>
                <w:rFonts w:hint="eastAsia"/>
                <w:color w:val="auto"/>
                <w:szCs w:val="21"/>
                <w:highlight w:val="none"/>
              </w:rPr>
              <w:t>月</w:t>
            </w:r>
            <w:r>
              <w:rPr>
                <w:color w:val="auto"/>
                <w:szCs w:val="21"/>
                <w:highlight w:val="none"/>
              </w:rPr>
              <w:t>__</w:t>
            </w:r>
            <w:r>
              <w:rPr>
                <w:rFonts w:hint="eastAsia"/>
                <w:color w:val="auto"/>
                <w:szCs w:val="21"/>
                <w:highlight w:val="none"/>
              </w:rPr>
              <w:t xml:space="preserve">日 </w:t>
            </w:r>
            <w:r>
              <w:rPr>
                <w:color w:val="auto"/>
                <w:szCs w:val="21"/>
                <w:highlight w:val="none"/>
              </w:rPr>
              <w:t>__</w:t>
            </w:r>
            <w:r>
              <w:rPr>
                <w:rFonts w:hint="eastAsia"/>
                <w:color w:val="auto"/>
                <w:szCs w:val="21"/>
                <w:highlight w:val="none"/>
              </w:rPr>
              <w:t>时</w:t>
            </w:r>
            <w:r>
              <w:rPr>
                <w:color w:val="auto"/>
                <w:szCs w:val="21"/>
                <w:highlight w:val="none"/>
              </w:rPr>
              <w:t>__</w:t>
            </w:r>
            <w:r>
              <w:rPr>
                <w:rFonts w:hint="eastAsia"/>
                <w:color w:val="auto"/>
                <w:szCs w:val="21"/>
                <w:highlight w:val="none"/>
              </w:rPr>
              <w:t>分。</w:t>
            </w:r>
          </w:p>
          <w:p w14:paraId="1BEC6496">
            <w:pPr>
              <w:spacing w:before="120" w:beforeLines="50" w:line="360" w:lineRule="auto"/>
              <w:contextualSpacing/>
              <w:rPr>
                <w:rFonts w:hint="eastAsia"/>
                <w:color w:val="auto"/>
                <w:szCs w:val="21"/>
                <w:highlight w:val="none"/>
              </w:rPr>
            </w:pPr>
            <w:r>
              <w:rPr>
                <w:rFonts w:hint="eastAsia"/>
                <w:color w:val="auto"/>
                <w:szCs w:val="21"/>
                <w:highlight w:val="none"/>
              </w:rPr>
              <w:t>（</w:t>
            </w:r>
            <w:r>
              <w:rPr>
                <w:rFonts w:hint="eastAsia"/>
                <w:color w:val="auto"/>
                <w:szCs w:val="21"/>
                <w:highlight w:val="none"/>
                <w:u w:val="single"/>
                <w:lang w:val="en-US" w:eastAsia="zh-CN"/>
              </w:rPr>
              <w:t>详见广州交易集团有限公司（广州公共资源交易中心）网站日程安排时间</w:t>
            </w:r>
            <w:r>
              <w:rPr>
                <w:rFonts w:hint="eastAsia"/>
                <w:color w:val="auto"/>
                <w:szCs w:val="21"/>
                <w:highlight w:val="none"/>
              </w:rPr>
              <w:t>）</w:t>
            </w:r>
          </w:p>
          <w:p w14:paraId="23370A33">
            <w:pPr>
              <w:spacing w:before="120" w:beforeLines="50" w:line="360" w:lineRule="auto"/>
              <w:contextualSpacing/>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、递交投标文件备用光盘时间：____年____月____日____时____分至____年____月____日____时____分；递交地点：____。(建议安排在投标文件截止时间前 15 分钟至投标文件截止时间）</w:t>
            </w:r>
          </w:p>
          <w:p w14:paraId="37A914E1">
            <w:pPr>
              <w:spacing w:before="120" w:beforeLines="50" w:line="360" w:lineRule="auto"/>
              <w:contextualSpacing/>
              <w:rPr>
                <w:color w:val="auto"/>
                <w:szCs w:val="21"/>
                <w:highlight w:val="none"/>
              </w:rPr>
            </w:pPr>
            <w:r>
              <w:rPr>
                <w:rFonts w:hint="eastAsia"/>
                <w:color w:val="auto"/>
                <w:szCs w:val="21"/>
                <w:highlight w:val="none"/>
                <w:lang w:val="en-US" w:eastAsia="zh-CN"/>
              </w:rPr>
              <w:t>4</w:t>
            </w:r>
            <w:r>
              <w:rPr>
                <w:rFonts w:hint="eastAsia"/>
                <w:color w:val="auto"/>
                <w:szCs w:val="21"/>
                <w:highlight w:val="none"/>
              </w:rPr>
              <w:t>、上述时间是否有改变，请密切留意招标答疑纪要的相关信息。</w:t>
            </w:r>
          </w:p>
        </w:tc>
      </w:tr>
      <w:tr w14:paraId="3E240C17">
        <w:tblPrEx>
          <w:tblCellMar>
            <w:top w:w="0" w:type="dxa"/>
            <w:left w:w="108" w:type="dxa"/>
            <w:bottom w:w="0" w:type="dxa"/>
            <w:right w:w="108" w:type="dxa"/>
          </w:tblCellMar>
        </w:tblPrEx>
        <w:tc>
          <w:tcPr>
            <w:tcW w:w="1298" w:type="dxa"/>
            <w:tcBorders>
              <w:top w:val="single" w:color="auto" w:sz="4" w:space="0"/>
              <w:left w:val="single" w:color="auto" w:sz="4" w:space="0"/>
              <w:bottom w:val="single" w:color="auto" w:sz="4" w:space="0"/>
              <w:right w:val="single" w:color="auto" w:sz="4" w:space="0"/>
            </w:tcBorders>
            <w:noWrap w:val="0"/>
            <w:vAlign w:val="center"/>
          </w:tcPr>
          <w:p w14:paraId="46092EA7">
            <w:pPr>
              <w:spacing w:before="120" w:beforeLines="50" w:line="360" w:lineRule="auto"/>
              <w:contextualSpacing/>
              <w:jc w:val="center"/>
              <w:rPr>
                <w:color w:val="auto"/>
                <w:szCs w:val="21"/>
                <w:highlight w:val="none"/>
              </w:rPr>
            </w:pPr>
            <w:r>
              <w:rPr>
                <w:rFonts w:hint="eastAsia"/>
                <w:color w:val="auto"/>
                <w:szCs w:val="21"/>
                <w:highlight w:val="none"/>
              </w:rPr>
              <w:t>4.7</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1280523C">
            <w:pPr>
              <w:spacing w:before="120" w:beforeLines="50" w:line="360" w:lineRule="auto"/>
              <w:contextualSpacing/>
              <w:jc w:val="left"/>
              <w:rPr>
                <w:rFonts w:hint="eastAsia"/>
                <w:color w:val="auto"/>
                <w:szCs w:val="21"/>
                <w:highlight w:val="none"/>
              </w:rPr>
            </w:pPr>
            <w:r>
              <w:rPr>
                <w:rFonts w:hint="eastAsia"/>
                <w:color w:val="auto"/>
                <w:szCs w:val="21"/>
                <w:highlight w:val="none"/>
              </w:rPr>
              <w:t>投标文件的解密</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5F692794">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在投标截止时间后</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rPr>
              <w:t>小时内，投标人通过</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cs="宋体"/>
                <w:color w:val="auto"/>
                <w:sz w:val="21"/>
                <w:szCs w:val="21"/>
                <w:highlight w:val="none"/>
                <w:lang w:eastAsia="zh-CN"/>
              </w:rPr>
              <w:t>网站</w:t>
            </w:r>
            <w:r>
              <w:rPr>
                <w:rFonts w:hint="eastAsia" w:ascii="宋体" w:hAnsi="宋体" w:cs="宋体"/>
                <w:color w:val="auto"/>
                <w:sz w:val="21"/>
                <w:szCs w:val="21"/>
                <w:highlight w:val="none"/>
              </w:rPr>
              <w:t>对已递交的电子投标文件进行解密。</w:t>
            </w:r>
          </w:p>
          <w:p w14:paraId="687C0DE3">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2、提交投标文件光盘备用</w:t>
            </w:r>
          </w:p>
          <w:p w14:paraId="58C3D546">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E59AC4F">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3、补救方案</w:t>
            </w:r>
          </w:p>
          <w:p w14:paraId="2BDDE9C9">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（1）投标文件解密失败的补救方案：</w:t>
            </w:r>
          </w:p>
          <w:p w14:paraId="03A8B299">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83C0895">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（2）评标时突发情况的补救方案</w:t>
            </w:r>
          </w:p>
          <w:p w14:paraId="1B253DD1">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14:paraId="5117E191">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（3）除发生上述情况外，开标评标均以投标人通过交易平台网上递交的电子投标文件为准。</w:t>
            </w:r>
          </w:p>
        </w:tc>
      </w:tr>
      <w:tr w14:paraId="0F281A70">
        <w:tblPrEx>
          <w:tblCellMar>
            <w:top w:w="0" w:type="dxa"/>
            <w:left w:w="108" w:type="dxa"/>
            <w:bottom w:w="0" w:type="dxa"/>
            <w:right w:w="108" w:type="dxa"/>
          </w:tblCellMar>
        </w:tblPrEx>
        <w:trPr>
          <w:trHeight w:val="880" w:hRule="atLeast"/>
        </w:trPr>
        <w:tc>
          <w:tcPr>
            <w:tcW w:w="1298" w:type="dxa"/>
            <w:tcBorders>
              <w:top w:val="single" w:color="auto" w:sz="4" w:space="0"/>
              <w:left w:val="single" w:color="auto" w:sz="4" w:space="0"/>
              <w:right w:val="single" w:color="auto" w:sz="4" w:space="0"/>
            </w:tcBorders>
            <w:noWrap w:val="0"/>
            <w:vAlign w:val="center"/>
          </w:tcPr>
          <w:p w14:paraId="77B4F992">
            <w:pPr>
              <w:spacing w:before="120" w:beforeLines="50" w:line="360" w:lineRule="auto"/>
              <w:contextualSpacing/>
              <w:jc w:val="center"/>
              <w:rPr>
                <w:color w:val="auto"/>
                <w:szCs w:val="21"/>
                <w:highlight w:val="none"/>
              </w:rPr>
            </w:pPr>
            <w:bookmarkStart w:id="71" w:name="_Toc221950071"/>
            <w:r>
              <w:rPr>
                <w:color w:val="auto"/>
                <w:szCs w:val="21"/>
                <w:highlight w:val="none"/>
              </w:rPr>
              <w:t>5.1</w:t>
            </w:r>
            <w:bookmarkEnd w:id="71"/>
          </w:p>
        </w:tc>
        <w:tc>
          <w:tcPr>
            <w:tcW w:w="2192" w:type="dxa"/>
            <w:tcBorders>
              <w:top w:val="single" w:color="auto" w:sz="4" w:space="0"/>
              <w:left w:val="single" w:color="auto" w:sz="4" w:space="0"/>
              <w:right w:val="single" w:color="auto" w:sz="4" w:space="0"/>
            </w:tcBorders>
            <w:noWrap w:val="0"/>
            <w:vAlign w:val="center"/>
          </w:tcPr>
          <w:p w14:paraId="2657B68F">
            <w:pPr>
              <w:spacing w:before="120" w:beforeLines="50" w:line="360" w:lineRule="auto"/>
              <w:contextualSpacing/>
              <w:jc w:val="left"/>
              <w:rPr>
                <w:color w:val="auto"/>
                <w:szCs w:val="21"/>
                <w:highlight w:val="none"/>
              </w:rPr>
            </w:pPr>
            <w:bookmarkStart w:id="72" w:name="_Toc221950072"/>
            <w:r>
              <w:rPr>
                <w:rFonts w:hint="eastAsia"/>
                <w:color w:val="auto"/>
                <w:szCs w:val="21"/>
                <w:highlight w:val="none"/>
              </w:rPr>
              <w:t>开标时间和地点</w:t>
            </w:r>
            <w:bookmarkEnd w:id="72"/>
          </w:p>
        </w:tc>
        <w:tc>
          <w:tcPr>
            <w:tcW w:w="5038" w:type="dxa"/>
            <w:tcBorders>
              <w:top w:val="single" w:color="auto" w:sz="4" w:space="0"/>
              <w:left w:val="single" w:color="auto" w:sz="4" w:space="0"/>
              <w:right w:val="single" w:color="auto" w:sz="4" w:space="0"/>
            </w:tcBorders>
            <w:noWrap w:val="0"/>
            <w:vAlign w:val="center"/>
          </w:tcPr>
          <w:p w14:paraId="6884F0C2">
            <w:pPr>
              <w:spacing w:before="120" w:beforeLines="50" w:line="360" w:lineRule="auto"/>
              <w:contextualSpacing/>
              <w:rPr>
                <w:color w:val="auto"/>
                <w:szCs w:val="21"/>
                <w:highlight w:val="none"/>
              </w:rPr>
            </w:pPr>
            <w:r>
              <w:rPr>
                <w:rFonts w:hint="eastAsia"/>
                <w:color w:val="auto"/>
                <w:szCs w:val="21"/>
                <w:highlight w:val="none"/>
              </w:rPr>
              <w:t>1、开标开始时间：____年__月</w:t>
            </w:r>
            <w:r>
              <w:rPr>
                <w:color w:val="auto"/>
                <w:szCs w:val="21"/>
                <w:highlight w:val="none"/>
              </w:rPr>
              <w:t>__</w:t>
            </w:r>
            <w:r>
              <w:rPr>
                <w:rFonts w:hint="eastAsia"/>
                <w:color w:val="auto"/>
                <w:szCs w:val="21"/>
                <w:highlight w:val="none"/>
              </w:rPr>
              <w:t xml:space="preserve">日 </w:t>
            </w:r>
            <w:r>
              <w:rPr>
                <w:color w:val="auto"/>
                <w:szCs w:val="21"/>
                <w:highlight w:val="none"/>
              </w:rPr>
              <w:t>__</w:t>
            </w:r>
            <w:r>
              <w:rPr>
                <w:rFonts w:hint="eastAsia"/>
                <w:color w:val="auto"/>
                <w:szCs w:val="21"/>
                <w:highlight w:val="none"/>
              </w:rPr>
              <w:t>时</w:t>
            </w:r>
            <w:r>
              <w:rPr>
                <w:color w:val="auto"/>
                <w:szCs w:val="21"/>
                <w:highlight w:val="none"/>
              </w:rPr>
              <w:t>__</w:t>
            </w:r>
            <w:r>
              <w:rPr>
                <w:rFonts w:hint="eastAsia"/>
                <w:color w:val="auto"/>
                <w:szCs w:val="21"/>
                <w:highlight w:val="none"/>
              </w:rPr>
              <w:t>分</w:t>
            </w:r>
          </w:p>
          <w:p w14:paraId="01E64FEF">
            <w:pPr>
              <w:spacing w:before="120" w:beforeLines="50" w:line="360" w:lineRule="auto"/>
              <w:contextualSpacing/>
              <w:rPr>
                <w:rFonts w:hint="eastAsia"/>
                <w:color w:val="auto"/>
                <w:szCs w:val="21"/>
                <w:highlight w:val="none"/>
              </w:rPr>
            </w:pPr>
            <w:r>
              <w:rPr>
                <w:rFonts w:hint="eastAsia"/>
                <w:color w:val="auto"/>
                <w:szCs w:val="21"/>
                <w:highlight w:val="none"/>
              </w:rPr>
              <w:t>2、地点：</w:t>
            </w:r>
            <w:r>
              <w:rPr>
                <w:rFonts w:hint="eastAsia"/>
                <w:color w:val="auto"/>
                <w:szCs w:val="21"/>
                <w:highlight w:val="none"/>
                <w:lang w:eastAsia="zh-CN"/>
              </w:rPr>
              <w:t>广州交易集团有限公司（广州公共资源交易中心）</w:t>
            </w:r>
            <w:r>
              <w:rPr>
                <w:rFonts w:hint="eastAsia"/>
                <w:color w:val="auto"/>
                <w:szCs w:val="21"/>
                <w:highlight w:val="none"/>
              </w:rPr>
              <w:t>开标室。</w:t>
            </w:r>
          </w:p>
          <w:p w14:paraId="3EE2828B">
            <w:pPr>
              <w:spacing w:before="120" w:beforeLines="50" w:line="360" w:lineRule="auto"/>
              <w:contextualSpacing/>
              <w:rPr>
                <w:color w:val="auto"/>
                <w:highlight w:val="none"/>
              </w:rPr>
            </w:pPr>
            <w:r>
              <w:rPr>
                <w:rFonts w:hint="eastAsia" w:ascii="Calibri" w:hAnsi="Calibri" w:eastAsia="宋体" w:cs="Times New Roman"/>
                <w:bCs w:val="0"/>
                <w:color w:val="auto"/>
                <w:kern w:val="2"/>
                <w:sz w:val="21"/>
                <w:szCs w:val="21"/>
                <w:highlight w:val="none"/>
              </w:rPr>
              <w:t>开标时，投标人代表有权参加现场开标或</w:t>
            </w:r>
            <w:r>
              <w:rPr>
                <w:rFonts w:hint="eastAsia" w:ascii="Calibri" w:hAnsi="Calibri" w:eastAsia="宋体" w:cs="Times New Roman"/>
                <w:b w:val="0"/>
                <w:bCs w:val="0"/>
                <w:color w:val="auto"/>
                <w:kern w:val="2"/>
                <w:sz w:val="21"/>
                <w:szCs w:val="21"/>
                <w:highlight w:val="none"/>
              </w:rPr>
              <w:t>在线开标</w:t>
            </w:r>
            <w:r>
              <w:rPr>
                <w:rFonts w:hint="eastAsia" w:ascii="Calibri" w:hAnsi="Calibri" w:eastAsia="宋体" w:cs="Times New Roman"/>
                <w:bCs w:val="0"/>
                <w:color w:val="auto"/>
                <w:kern w:val="2"/>
                <w:sz w:val="21"/>
                <w:szCs w:val="21"/>
                <w:highlight w:val="none"/>
              </w:rPr>
              <w:t>，也可以自主决定不参加开标</w:t>
            </w:r>
            <w:r>
              <w:rPr>
                <w:rFonts w:hint="eastAsia" w:eastAsia="宋体" w:cs="Times New Roman"/>
                <w:bCs w:val="0"/>
                <w:color w:val="auto"/>
                <w:kern w:val="2"/>
                <w:sz w:val="21"/>
                <w:szCs w:val="21"/>
                <w:highlight w:val="none"/>
                <w:lang w:eastAsia="zh-CN"/>
              </w:rPr>
              <w:t>，</w:t>
            </w:r>
            <w:r>
              <w:rPr>
                <w:rFonts w:hint="eastAsia" w:eastAsia="宋体" w:cs="Times New Roman"/>
                <w:color w:val="auto"/>
                <w:sz w:val="21"/>
                <w:szCs w:val="21"/>
                <w:highlight w:val="none"/>
                <w:lang w:eastAsia="zh-CN"/>
              </w:rPr>
              <w:t>投标人选择参加在线开标的，具</w:t>
            </w:r>
            <w:r>
              <w:rPr>
                <w:rFonts w:hint="eastAsia"/>
                <w:color w:val="auto"/>
                <w:sz w:val="21"/>
                <w:szCs w:val="21"/>
                <w:highlight w:val="none"/>
                <w:lang w:eastAsia="zh-CN"/>
              </w:rPr>
              <w:t>体按照交易平台相关指南进行操作。</w:t>
            </w:r>
          </w:p>
          <w:p w14:paraId="76F4A3E5">
            <w:pPr>
              <w:spacing w:before="120" w:beforeLines="50" w:line="360" w:lineRule="auto"/>
              <w:contextualSpacing/>
              <w:rPr>
                <w:color w:val="auto"/>
                <w:szCs w:val="21"/>
                <w:highlight w:val="none"/>
              </w:rPr>
            </w:pPr>
            <w:r>
              <w:rPr>
                <w:rFonts w:hint="eastAsia"/>
                <w:color w:val="auto"/>
                <w:szCs w:val="21"/>
                <w:highlight w:val="none"/>
              </w:rPr>
              <w:t>3、上述时间及地点是否有改变，请密切留意</w:t>
            </w:r>
            <w:r>
              <w:rPr>
                <w:rFonts w:hint="eastAsia"/>
                <w:color w:val="auto"/>
                <w:szCs w:val="21"/>
                <w:highlight w:val="none"/>
                <w:lang w:eastAsia="zh-CN"/>
              </w:rPr>
              <w:t>补充公告或</w:t>
            </w:r>
            <w:r>
              <w:rPr>
                <w:rFonts w:hint="eastAsia"/>
                <w:color w:val="auto"/>
                <w:szCs w:val="21"/>
                <w:highlight w:val="none"/>
              </w:rPr>
              <w:t>招标答疑纪要的相关信息。</w:t>
            </w:r>
          </w:p>
        </w:tc>
      </w:tr>
      <w:tr w14:paraId="359FECD7">
        <w:tblPrEx>
          <w:tblCellMar>
            <w:top w:w="0" w:type="dxa"/>
            <w:left w:w="108" w:type="dxa"/>
            <w:bottom w:w="0" w:type="dxa"/>
            <w:right w:w="108" w:type="dxa"/>
          </w:tblCellMar>
        </w:tblPrEx>
        <w:trPr>
          <w:trHeight w:val="634" w:hRule="atLeast"/>
        </w:trPr>
        <w:tc>
          <w:tcPr>
            <w:tcW w:w="1298" w:type="dxa"/>
            <w:tcBorders>
              <w:top w:val="single" w:color="auto" w:sz="4" w:space="0"/>
              <w:left w:val="single" w:color="auto" w:sz="4" w:space="0"/>
              <w:right w:val="single" w:color="auto" w:sz="4" w:space="0"/>
            </w:tcBorders>
            <w:noWrap w:val="0"/>
            <w:vAlign w:val="center"/>
          </w:tcPr>
          <w:p w14:paraId="265A1162">
            <w:pPr>
              <w:spacing w:before="120" w:beforeLines="50" w:line="360" w:lineRule="auto"/>
              <w:contextualSpacing/>
              <w:jc w:val="center"/>
              <w:rPr>
                <w:rFonts w:hint="default"/>
                <w:color w:val="auto"/>
                <w:szCs w:val="21"/>
                <w:highlight w:val="none"/>
                <w:lang w:val="en-US"/>
              </w:rPr>
            </w:pPr>
            <w:r>
              <w:rPr>
                <w:rFonts w:hint="eastAsia"/>
                <w:color w:val="auto"/>
                <w:szCs w:val="21"/>
                <w:highlight w:val="none"/>
                <w:lang w:val="en-US" w:eastAsia="zh-CN"/>
              </w:rPr>
              <w:t>6.3</w:t>
            </w:r>
          </w:p>
        </w:tc>
        <w:tc>
          <w:tcPr>
            <w:tcW w:w="2192" w:type="dxa"/>
            <w:tcBorders>
              <w:top w:val="single" w:color="auto" w:sz="4" w:space="0"/>
              <w:left w:val="single" w:color="auto" w:sz="4" w:space="0"/>
              <w:right w:val="single" w:color="auto" w:sz="4" w:space="0"/>
            </w:tcBorders>
            <w:noWrap w:val="0"/>
            <w:vAlign w:val="center"/>
          </w:tcPr>
          <w:p w14:paraId="636AC1B1">
            <w:pPr>
              <w:spacing w:before="120" w:beforeLines="50" w:line="360" w:lineRule="auto"/>
              <w:contextualSpacing/>
              <w:jc w:val="left"/>
              <w:rPr>
                <w:color w:val="auto"/>
                <w:szCs w:val="21"/>
                <w:highlight w:val="none"/>
              </w:rPr>
            </w:pPr>
            <w:r>
              <w:rPr>
                <w:rFonts w:hint="eastAsia"/>
                <w:color w:val="auto"/>
                <w:szCs w:val="21"/>
                <w:highlight w:val="none"/>
              </w:rPr>
              <w:t>开标评标办法</w:t>
            </w:r>
          </w:p>
        </w:tc>
        <w:tc>
          <w:tcPr>
            <w:tcW w:w="5038" w:type="dxa"/>
            <w:tcBorders>
              <w:top w:val="single" w:color="auto" w:sz="4" w:space="0"/>
              <w:left w:val="single" w:color="auto" w:sz="4" w:space="0"/>
              <w:right w:val="single" w:color="auto" w:sz="4" w:space="0"/>
            </w:tcBorders>
            <w:noWrap w:val="0"/>
            <w:vAlign w:val="center"/>
          </w:tcPr>
          <w:p w14:paraId="7F653FF8">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本项目采用</w:t>
            </w:r>
            <w:r>
              <w:rPr>
                <w:rFonts w:hint="eastAsia" w:ascii="宋体" w:hAnsi="宋体" w:cs="宋体"/>
                <w:b/>
                <w:bCs/>
                <w:color w:val="auto"/>
                <w:szCs w:val="21"/>
                <w:highlight w:val="none"/>
                <w:u w:val="single"/>
              </w:rPr>
              <w:t>评定分离</w:t>
            </w:r>
            <w:r>
              <w:rPr>
                <w:rFonts w:hint="eastAsia" w:ascii="宋体" w:hAnsi="宋体" w:cs="宋体"/>
                <w:color w:val="auto"/>
                <w:szCs w:val="21"/>
                <w:highlight w:val="none"/>
                <w:u w:val="single"/>
              </w:rPr>
              <w:t>办法，</w:t>
            </w:r>
          </w:p>
          <w:p w14:paraId="09E03CB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评标</w:t>
            </w:r>
            <w:r>
              <w:rPr>
                <w:rFonts w:hint="eastAsia" w:ascii="宋体" w:hAnsi="宋体"/>
                <w:color w:val="auto"/>
                <w:szCs w:val="21"/>
                <w:highlight w:val="none"/>
                <w:lang w:val="en-US" w:eastAsia="zh-CN"/>
              </w:rPr>
              <w:t>采用</w:t>
            </w:r>
            <w:r>
              <w:rPr>
                <w:rFonts w:hint="eastAsia" w:ascii="宋体" w:hAnsi="宋体"/>
                <w:color w:val="auto"/>
                <w:szCs w:val="21"/>
                <w:highlight w:val="none"/>
              </w:rPr>
              <w:t>：“有限数量制评审法”。</w:t>
            </w:r>
          </w:p>
          <w:p w14:paraId="005699D3">
            <w:pPr>
              <w:spacing w:line="360" w:lineRule="auto"/>
              <w:rPr>
                <w:rFonts w:hint="eastAsia" w:ascii="宋体" w:hAnsi="宋体"/>
                <w:color w:val="auto"/>
                <w:szCs w:val="21"/>
                <w:highlight w:val="none"/>
              </w:rPr>
            </w:pPr>
            <w:r>
              <w:rPr>
                <w:rFonts w:hint="eastAsia" w:ascii="宋体" w:hAnsi="宋体"/>
                <w:color w:val="auto"/>
                <w:szCs w:val="21"/>
                <w:highlight w:val="none"/>
              </w:rPr>
              <w:t>（1）当通过</w:t>
            </w:r>
            <w:r>
              <w:rPr>
                <w:rFonts w:hint="eastAsia" w:ascii="宋体" w:hAnsi="宋体"/>
                <w:color w:val="auto"/>
                <w:szCs w:val="21"/>
                <w:highlight w:val="none"/>
                <w:lang w:eastAsia="zh-CN"/>
              </w:rPr>
              <w:t>初步评审</w:t>
            </w:r>
            <w:r>
              <w:rPr>
                <w:rFonts w:hint="eastAsia" w:ascii="宋体" w:hAnsi="宋体"/>
                <w:color w:val="auto"/>
                <w:szCs w:val="21"/>
                <w:highlight w:val="none"/>
              </w:rPr>
              <w:t>的投标人数＜3家时，招标人应重新招标。</w:t>
            </w:r>
          </w:p>
          <w:p w14:paraId="6A591137">
            <w:pPr>
              <w:spacing w:line="360" w:lineRule="auto"/>
              <w:rPr>
                <w:rFonts w:hint="eastAsia" w:ascii="宋体" w:hAnsi="宋体"/>
                <w:color w:val="auto"/>
                <w:szCs w:val="21"/>
                <w:highlight w:val="none"/>
              </w:rPr>
            </w:pPr>
            <w:r>
              <w:rPr>
                <w:rFonts w:hint="eastAsia" w:ascii="宋体" w:hAnsi="宋体"/>
                <w:color w:val="auto"/>
                <w:szCs w:val="21"/>
                <w:highlight w:val="none"/>
              </w:rPr>
              <w:t>（2）当通过</w:t>
            </w:r>
            <w:r>
              <w:rPr>
                <w:rFonts w:hint="eastAsia" w:ascii="宋体" w:hAnsi="宋体"/>
                <w:color w:val="auto"/>
                <w:szCs w:val="21"/>
                <w:highlight w:val="none"/>
                <w:lang w:eastAsia="zh-CN"/>
              </w:rPr>
              <w:t>初步评审</w:t>
            </w:r>
            <w:r>
              <w:rPr>
                <w:rFonts w:hint="eastAsia" w:ascii="宋体" w:hAnsi="宋体"/>
                <w:color w:val="auto"/>
                <w:szCs w:val="21"/>
                <w:highlight w:val="none"/>
              </w:rPr>
              <w:t>的投标人数≥3家且≤5家时，则通过</w:t>
            </w:r>
            <w:r>
              <w:rPr>
                <w:rFonts w:hint="eastAsia" w:ascii="宋体" w:hAnsi="宋体"/>
                <w:color w:val="auto"/>
                <w:szCs w:val="21"/>
                <w:highlight w:val="none"/>
                <w:lang w:eastAsia="zh-CN"/>
              </w:rPr>
              <w:t>初步评审</w:t>
            </w:r>
            <w:r>
              <w:rPr>
                <w:rFonts w:hint="eastAsia" w:ascii="宋体" w:hAnsi="宋体"/>
                <w:color w:val="auto"/>
                <w:szCs w:val="21"/>
                <w:highlight w:val="none"/>
              </w:rPr>
              <w:t>的所有投标人</w:t>
            </w:r>
            <w:r>
              <w:rPr>
                <w:rFonts w:hint="eastAsia" w:ascii="宋体" w:hAnsi="宋体"/>
                <w:color w:val="auto"/>
                <w:szCs w:val="21"/>
                <w:highlight w:val="none"/>
                <w:lang w:val="en-US" w:eastAsia="zh-CN"/>
              </w:rPr>
              <w:t>推荐为合格中标候选人进入定标阶段</w:t>
            </w:r>
            <w:r>
              <w:rPr>
                <w:rFonts w:hint="eastAsia" w:ascii="宋体" w:hAnsi="宋体"/>
                <w:color w:val="auto"/>
                <w:szCs w:val="21"/>
                <w:highlight w:val="none"/>
              </w:rPr>
              <w:t>。</w:t>
            </w:r>
          </w:p>
          <w:p w14:paraId="2691D36B">
            <w:pPr>
              <w:spacing w:line="360" w:lineRule="auto"/>
              <w:rPr>
                <w:rFonts w:hint="eastAsia" w:ascii="宋体" w:hAnsi="宋体"/>
                <w:color w:val="auto"/>
                <w:szCs w:val="21"/>
                <w:highlight w:val="none"/>
              </w:rPr>
            </w:pPr>
            <w:r>
              <w:rPr>
                <w:rFonts w:hint="eastAsia" w:ascii="宋体" w:hAnsi="宋体"/>
                <w:color w:val="auto"/>
                <w:szCs w:val="21"/>
                <w:highlight w:val="none"/>
              </w:rPr>
              <w:t>（3）当通过</w:t>
            </w:r>
            <w:r>
              <w:rPr>
                <w:rFonts w:hint="eastAsia" w:ascii="宋体" w:hAnsi="宋体"/>
                <w:color w:val="auto"/>
                <w:szCs w:val="21"/>
                <w:highlight w:val="none"/>
                <w:lang w:eastAsia="zh-CN"/>
              </w:rPr>
              <w:t>初步评审</w:t>
            </w:r>
            <w:r>
              <w:rPr>
                <w:rFonts w:hint="eastAsia" w:ascii="宋体" w:hAnsi="宋体"/>
                <w:color w:val="auto"/>
                <w:szCs w:val="21"/>
                <w:highlight w:val="none"/>
              </w:rPr>
              <w:t>的投标人数＞5家时，则：</w:t>
            </w:r>
          </w:p>
          <w:p w14:paraId="4FB78A41">
            <w:pPr>
              <w:spacing w:line="360" w:lineRule="auto"/>
              <w:rPr>
                <w:rFonts w:hint="eastAsia" w:ascii="宋体" w:hAnsi="宋体"/>
                <w:color w:val="auto"/>
                <w:szCs w:val="21"/>
                <w:highlight w:val="none"/>
              </w:rPr>
            </w:pPr>
            <w:r>
              <w:rPr>
                <w:rFonts w:hint="eastAsia" w:ascii="宋体" w:hAnsi="宋体"/>
                <w:color w:val="auto"/>
                <w:szCs w:val="21"/>
                <w:highlight w:val="none"/>
              </w:rPr>
              <w:t>①若经评审的投标报价介于经评审的最低投标价（含本数）与工程</w:t>
            </w:r>
            <w:r>
              <w:rPr>
                <w:rFonts w:hint="eastAsia" w:ascii="宋体" w:hAnsi="宋体"/>
                <w:color w:val="auto"/>
                <w:szCs w:val="21"/>
                <w:highlight w:val="none"/>
                <w:lang w:eastAsia="zh-CN"/>
              </w:rPr>
              <w:t>成本警示价</w:t>
            </w:r>
            <w:r>
              <w:rPr>
                <w:rFonts w:hint="eastAsia" w:ascii="宋体" w:hAnsi="宋体"/>
                <w:color w:val="auto"/>
                <w:szCs w:val="21"/>
                <w:highlight w:val="none"/>
              </w:rPr>
              <w:t>（含本数）之间的数量≥5家时，则经评审的投标报价介于经评审的最低投标价（含本数）与工程</w:t>
            </w:r>
            <w:r>
              <w:rPr>
                <w:rFonts w:hint="eastAsia" w:ascii="宋体" w:hAnsi="宋体"/>
                <w:color w:val="auto"/>
                <w:szCs w:val="21"/>
                <w:highlight w:val="none"/>
                <w:lang w:eastAsia="zh-CN"/>
              </w:rPr>
              <w:t>成本警示价</w:t>
            </w:r>
            <w:r>
              <w:rPr>
                <w:rFonts w:hint="eastAsia" w:ascii="宋体" w:hAnsi="宋体"/>
                <w:color w:val="auto"/>
                <w:szCs w:val="21"/>
                <w:highlight w:val="none"/>
              </w:rPr>
              <w:t>（含本数）之间的投标人全部</w:t>
            </w:r>
            <w:r>
              <w:rPr>
                <w:rFonts w:hint="eastAsia" w:ascii="宋体" w:hAnsi="宋体"/>
                <w:color w:val="auto"/>
                <w:szCs w:val="21"/>
                <w:highlight w:val="none"/>
                <w:lang w:val="en-US" w:eastAsia="zh-CN"/>
              </w:rPr>
              <w:t>推荐为合格中标候选人进入定标阶段</w:t>
            </w:r>
            <w:r>
              <w:rPr>
                <w:rFonts w:hint="eastAsia" w:ascii="宋体" w:hAnsi="宋体"/>
                <w:color w:val="auto"/>
                <w:szCs w:val="21"/>
                <w:highlight w:val="none"/>
              </w:rPr>
              <w:t>；</w:t>
            </w:r>
          </w:p>
          <w:p w14:paraId="7C07FF2F">
            <w:pPr>
              <w:spacing w:line="360" w:lineRule="auto"/>
              <w:rPr>
                <w:rFonts w:hint="eastAsia" w:ascii="宋体" w:hAnsi="宋体"/>
                <w:color w:val="auto"/>
                <w:szCs w:val="21"/>
                <w:highlight w:val="none"/>
              </w:rPr>
            </w:pPr>
            <w:r>
              <w:rPr>
                <w:rFonts w:hint="eastAsia" w:ascii="宋体" w:hAnsi="宋体"/>
                <w:color w:val="auto"/>
                <w:szCs w:val="21"/>
                <w:highlight w:val="none"/>
              </w:rPr>
              <w:t>②若经评审的投标报价介于经评审的最低投标价（含本数）与工程</w:t>
            </w:r>
            <w:r>
              <w:rPr>
                <w:rFonts w:hint="eastAsia" w:ascii="宋体" w:hAnsi="宋体"/>
                <w:color w:val="auto"/>
                <w:szCs w:val="21"/>
                <w:highlight w:val="none"/>
                <w:lang w:eastAsia="zh-CN"/>
              </w:rPr>
              <w:t>成本警示价</w:t>
            </w:r>
            <w:r>
              <w:rPr>
                <w:rFonts w:hint="eastAsia" w:ascii="宋体" w:hAnsi="宋体"/>
                <w:color w:val="auto"/>
                <w:szCs w:val="21"/>
                <w:highlight w:val="none"/>
              </w:rPr>
              <w:t>（含本数）之间的数量＜5家时，则按经评审的投标报价由低到高选取5家不排序的合格中标候选人</w:t>
            </w:r>
            <w:r>
              <w:rPr>
                <w:rFonts w:hint="eastAsia" w:ascii="宋体" w:hAnsi="宋体"/>
                <w:color w:val="auto"/>
                <w:szCs w:val="21"/>
                <w:highlight w:val="none"/>
                <w:lang w:val="en-US" w:eastAsia="zh-CN"/>
              </w:rPr>
              <w:t>进入定标阶段</w:t>
            </w:r>
            <w:r>
              <w:rPr>
                <w:rFonts w:hint="eastAsia" w:ascii="宋体" w:hAnsi="宋体"/>
                <w:color w:val="auto"/>
                <w:szCs w:val="21"/>
                <w:highlight w:val="none"/>
              </w:rPr>
              <w:t>。</w:t>
            </w:r>
          </w:p>
          <w:p w14:paraId="52285A59">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注：</w:t>
            </w:r>
          </w:p>
          <w:p w14:paraId="59B55D60">
            <w:pPr>
              <w:spacing w:line="360" w:lineRule="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u w:val="none"/>
              </w:rPr>
              <w:t>进入定标阶段的合格中标候选人不排序【按统一社会信用代码后4位（除校验码外）大小排位，如统一社会信用代码后4位出现字母情况的，字母以“0”进行代替大小排位；如出现后4位（除校验码外）大小一致的，则随机排位</w:t>
            </w:r>
            <w:r>
              <w:rPr>
                <w:rFonts w:hint="eastAsia" w:ascii="宋体" w:hAnsi="宋体" w:eastAsia="宋体" w:cs="Times New Roman"/>
                <w:color w:val="auto"/>
                <w:szCs w:val="21"/>
                <w:highlight w:val="none"/>
                <w:lang w:val="en-US" w:eastAsia="zh-CN"/>
              </w:rPr>
              <w:t>。若为联合体投标，按联合体主办方的统一社会信用代码排序</w:t>
            </w:r>
            <w:r>
              <w:rPr>
                <w:rFonts w:hint="eastAsia" w:ascii="宋体" w:hAnsi="宋体" w:eastAsia="宋体" w:cs="宋体"/>
                <w:color w:val="auto"/>
                <w:szCs w:val="21"/>
                <w:highlight w:val="none"/>
                <w:u w:val="none"/>
              </w:rPr>
              <w:t>】。</w:t>
            </w:r>
          </w:p>
          <w:p w14:paraId="2A0E66A1">
            <w:pPr>
              <w:spacing w:line="360" w:lineRule="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w:t>
            </w:r>
            <w:r>
              <w:rPr>
                <w:rFonts w:hint="eastAsia" w:ascii="宋体" w:hAnsi="宋体"/>
                <w:color w:val="auto"/>
                <w:szCs w:val="21"/>
                <w:highlight w:val="none"/>
              </w:rPr>
              <w:t>若投标人经评审的价格相同，以企业信用评价分数高的排前；若价格、企业信用评价分数均相同，则对具有相同情况的投标人，按入围合格的中标候选人数量规定，由评标委员会采用记名投票方式，确定投标人的排序，并确定进入定标阶段的合格的中标候选人。</w:t>
            </w:r>
          </w:p>
          <w:p w14:paraId="7F86BC25">
            <w:p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记名投票方式确定排序的具体操作步骤为：由评标委员会对出现该情况的投标人采取记名投票的方式确定，按得票数高低进行排序，以得票数高的排前，根据得票数高低确定中标候选人排序。</w:t>
            </w:r>
          </w:p>
          <w:p w14:paraId="29598AE9">
            <w:p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评标办法选用：经评审的最低投标价法（二）（由招标人自行制定）</w:t>
            </w:r>
            <w:r>
              <w:rPr>
                <w:rFonts w:hint="eastAsia" w:ascii="宋体" w:hAnsi="宋体"/>
                <w:color w:val="auto"/>
                <w:szCs w:val="21"/>
                <w:highlight w:val="none"/>
                <w:lang w:eastAsia="zh-CN"/>
              </w:rPr>
              <w:t>。</w:t>
            </w:r>
            <w:r>
              <w:rPr>
                <w:rFonts w:hint="eastAsia" w:ascii="宋体" w:hAnsi="宋体"/>
                <w:color w:val="auto"/>
                <w:szCs w:val="21"/>
                <w:highlight w:val="none"/>
              </w:rPr>
              <w:t>具体内容如下：</w:t>
            </w:r>
          </w:p>
          <w:p w14:paraId="0F6E9EF7">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1、只有通过初步评审的投标人才能进入详细评审。通过投标人的信用情况[投标人的诚信评价总分取自本项目招标公告发布第1天所在季度的上一季度“广州市水务工程建设管理数字化监管平台”（http://112.94.68.142:8012/#/website）中的“企业诚信排名&gt;&gt;</w:t>
            </w:r>
            <w:r>
              <w:rPr>
                <w:rFonts w:hint="eastAsia" w:ascii="宋体" w:hAnsi="宋体"/>
                <w:b/>
                <w:bCs/>
                <w:color w:val="auto"/>
                <w:szCs w:val="21"/>
                <w:highlight w:val="none"/>
              </w:rPr>
              <w:t>施工—</w:t>
            </w:r>
            <w:r>
              <w:rPr>
                <w:rFonts w:hint="eastAsia" w:ascii="宋体" w:hAnsi="宋体"/>
                <w:b/>
                <w:bCs/>
                <w:color w:val="auto"/>
                <w:szCs w:val="21"/>
                <w:highlight w:val="none"/>
                <w:lang w:val="en-US" w:eastAsia="zh-CN"/>
              </w:rPr>
              <w:t>给排水</w:t>
            </w:r>
            <w:r>
              <w:rPr>
                <w:rFonts w:hint="eastAsia" w:ascii="宋体" w:hAnsi="宋体"/>
                <w:color w:val="auto"/>
                <w:szCs w:val="21"/>
                <w:highlight w:val="none"/>
              </w:rPr>
              <w:t>”中“诚信综合评价”分，未在监管平台录入企业信息的投标人其诚信评价总分取基准分，即 80分。]对投标报价进行折算，以经评审的最低投标价作为推荐中标候选人的依据。</w:t>
            </w:r>
          </w:p>
          <w:p w14:paraId="07CCD77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2、在评标评审完成后，评标委员会编写评标报告，推荐不超过5家（经评审的投标报价介于经评审的最低投标价（含本数）与工程</w:t>
            </w:r>
            <w:r>
              <w:rPr>
                <w:rFonts w:hint="eastAsia" w:ascii="宋体" w:hAnsi="宋体"/>
                <w:color w:val="auto"/>
                <w:szCs w:val="21"/>
                <w:highlight w:val="none"/>
                <w:lang w:eastAsia="zh-CN"/>
              </w:rPr>
              <w:t>成本警示价</w:t>
            </w:r>
            <w:r>
              <w:rPr>
                <w:rFonts w:hint="eastAsia" w:ascii="宋体" w:hAnsi="宋体"/>
                <w:color w:val="auto"/>
                <w:szCs w:val="21"/>
                <w:highlight w:val="none"/>
              </w:rPr>
              <w:t>（含本数）之间的投标人数量≥5家时除外）不排序的合格中标候选人进入定标阶段。</w:t>
            </w:r>
          </w:p>
        </w:tc>
      </w:tr>
      <w:tr w14:paraId="5F44507B">
        <w:tblPrEx>
          <w:tblCellMar>
            <w:top w:w="0" w:type="dxa"/>
            <w:left w:w="108" w:type="dxa"/>
            <w:bottom w:w="0" w:type="dxa"/>
            <w:right w:w="108" w:type="dxa"/>
          </w:tblCellMar>
        </w:tblPrEx>
        <w:trPr>
          <w:trHeight w:val="634" w:hRule="atLeast"/>
        </w:trPr>
        <w:tc>
          <w:tcPr>
            <w:tcW w:w="1298" w:type="dxa"/>
            <w:tcBorders>
              <w:top w:val="single" w:color="auto" w:sz="4" w:space="0"/>
              <w:left w:val="single" w:color="auto" w:sz="4" w:space="0"/>
              <w:right w:val="single" w:color="auto" w:sz="4" w:space="0"/>
            </w:tcBorders>
            <w:noWrap w:val="0"/>
            <w:vAlign w:val="center"/>
          </w:tcPr>
          <w:p w14:paraId="41D1DF2D">
            <w:pPr>
              <w:spacing w:before="120" w:beforeLines="50" w:line="360" w:lineRule="auto"/>
              <w:contextualSpacing/>
              <w:jc w:val="center"/>
              <w:rPr>
                <w:rFonts w:hint="eastAsia"/>
                <w:color w:val="auto"/>
                <w:szCs w:val="21"/>
                <w:highlight w:val="none"/>
                <w:lang w:val="en-US" w:eastAsia="zh-CN"/>
              </w:rPr>
            </w:pPr>
            <w:bookmarkStart w:id="73" w:name="_Toc221950075"/>
            <w:r>
              <w:rPr>
                <w:rFonts w:hint="eastAsia"/>
                <w:color w:val="auto"/>
                <w:szCs w:val="21"/>
                <w:highlight w:val="none"/>
                <w:lang w:val="en-US" w:eastAsia="zh-CN"/>
              </w:rPr>
              <w:t>6.4</w:t>
            </w:r>
          </w:p>
        </w:tc>
        <w:tc>
          <w:tcPr>
            <w:tcW w:w="2192" w:type="dxa"/>
            <w:tcBorders>
              <w:top w:val="single" w:color="auto" w:sz="4" w:space="0"/>
              <w:left w:val="single" w:color="auto" w:sz="4" w:space="0"/>
              <w:right w:val="single" w:color="auto" w:sz="4" w:space="0"/>
            </w:tcBorders>
            <w:noWrap w:val="0"/>
            <w:vAlign w:val="center"/>
          </w:tcPr>
          <w:p w14:paraId="6B1E9615">
            <w:pPr>
              <w:spacing w:line="360" w:lineRule="auto"/>
              <w:jc w:val="center"/>
              <w:rPr>
                <w:rFonts w:hint="eastAsia"/>
                <w:color w:val="auto"/>
                <w:szCs w:val="21"/>
                <w:highlight w:val="none"/>
              </w:rPr>
            </w:pPr>
            <w:r>
              <w:rPr>
                <w:rFonts w:hint="eastAsia"/>
                <w:color w:val="auto"/>
                <w:szCs w:val="21"/>
                <w:highlight w:val="none"/>
              </w:rPr>
              <w:t>定标</w:t>
            </w:r>
          </w:p>
        </w:tc>
        <w:tc>
          <w:tcPr>
            <w:tcW w:w="5038" w:type="dxa"/>
            <w:tcBorders>
              <w:top w:val="single" w:color="auto" w:sz="4" w:space="0"/>
              <w:left w:val="single" w:color="auto" w:sz="4" w:space="0"/>
              <w:right w:val="single" w:color="auto" w:sz="4" w:space="0"/>
            </w:tcBorders>
            <w:noWrap w:val="0"/>
            <w:vAlign w:val="center"/>
          </w:tcPr>
          <w:p w14:paraId="6F533DED">
            <w:pPr>
              <w:spacing w:line="360" w:lineRule="auto"/>
              <w:rPr>
                <w:rFonts w:ascii="宋体" w:hAnsi="宋体"/>
                <w:b/>
                <w:color w:val="auto"/>
                <w:szCs w:val="21"/>
                <w:highlight w:val="none"/>
              </w:rPr>
            </w:pPr>
            <w:r>
              <w:rPr>
                <w:rFonts w:ascii="宋体" w:hAnsi="宋体"/>
                <w:color w:val="auto"/>
                <w:szCs w:val="21"/>
                <w:highlight w:val="none"/>
              </w:rPr>
              <w:t>1.</w:t>
            </w:r>
            <w:r>
              <w:rPr>
                <w:rFonts w:hint="eastAsia" w:ascii="宋体" w:hAnsi="宋体"/>
                <w:color w:val="auto"/>
                <w:szCs w:val="21"/>
                <w:highlight w:val="none"/>
              </w:rPr>
              <w:t>定标办法评分法。</w:t>
            </w:r>
            <w:r>
              <w:rPr>
                <w:rFonts w:hint="eastAsia" w:ascii="宋体" w:hAnsi="宋体"/>
                <w:b/>
                <w:bCs/>
                <w:color w:val="auto"/>
                <w:szCs w:val="21"/>
                <w:highlight w:val="none"/>
              </w:rPr>
              <w:t>采用“方案因素+价格因素”其中总得分（100分）=方案因素得分（100分）×方案因素权重（70%）+价格因素得分（100分）×价格因素权重（30%）</w:t>
            </w:r>
            <w:r>
              <w:rPr>
                <w:rFonts w:hint="eastAsia" w:ascii="宋体" w:hAnsi="宋体"/>
                <w:b/>
                <w:color w:val="auto"/>
                <w:szCs w:val="21"/>
                <w:highlight w:val="none"/>
              </w:rPr>
              <w:t>。</w:t>
            </w:r>
          </w:p>
          <w:p w14:paraId="126B1E2E">
            <w:pPr>
              <w:spacing w:line="360" w:lineRule="auto"/>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定标因素：详见《定标因素表》。</w:t>
            </w:r>
          </w:p>
          <w:p w14:paraId="2744EFA5">
            <w:pPr>
              <w:spacing w:line="360" w:lineRule="auto"/>
              <w:contextualSpacing/>
              <w:rPr>
                <w:rFonts w:hint="eastAsia" w:ascii="宋体" w:hAnsi="宋体"/>
                <w:color w:val="auto"/>
                <w:szCs w:val="21"/>
                <w:highlight w:val="none"/>
              </w:rPr>
            </w:pPr>
            <w:r>
              <w:rPr>
                <w:rFonts w:hint="eastAsia"/>
                <w:color w:val="auto"/>
                <w:szCs w:val="21"/>
                <w:highlight w:val="none"/>
              </w:rPr>
              <w:t>详见招标文件第三章。</w:t>
            </w:r>
          </w:p>
        </w:tc>
      </w:tr>
      <w:tr w14:paraId="7CFC118C">
        <w:tblPrEx>
          <w:tblCellMar>
            <w:top w:w="0" w:type="dxa"/>
            <w:left w:w="108" w:type="dxa"/>
            <w:bottom w:w="0" w:type="dxa"/>
            <w:right w:w="108" w:type="dxa"/>
          </w:tblCellMar>
        </w:tblPrEx>
        <w:trPr>
          <w:trHeight w:val="505" w:hRule="atLeast"/>
        </w:trPr>
        <w:tc>
          <w:tcPr>
            <w:tcW w:w="1298" w:type="dxa"/>
            <w:tcBorders>
              <w:top w:val="single" w:color="auto" w:sz="4" w:space="0"/>
              <w:left w:val="single" w:color="auto" w:sz="4" w:space="0"/>
              <w:right w:val="single" w:color="auto" w:sz="4" w:space="0"/>
            </w:tcBorders>
            <w:noWrap w:val="0"/>
            <w:vAlign w:val="center"/>
          </w:tcPr>
          <w:p w14:paraId="0B6366C9">
            <w:pPr>
              <w:spacing w:before="120" w:beforeLines="50" w:line="360" w:lineRule="auto"/>
              <w:contextualSpacing/>
              <w:jc w:val="center"/>
              <w:rPr>
                <w:color w:val="auto"/>
                <w:szCs w:val="21"/>
                <w:highlight w:val="none"/>
              </w:rPr>
            </w:pPr>
            <w:r>
              <w:rPr>
                <w:color w:val="auto"/>
                <w:szCs w:val="21"/>
                <w:highlight w:val="none"/>
              </w:rPr>
              <w:t>6.1.1</w:t>
            </w:r>
            <w:bookmarkEnd w:id="73"/>
          </w:p>
        </w:tc>
        <w:tc>
          <w:tcPr>
            <w:tcW w:w="2192" w:type="dxa"/>
            <w:tcBorders>
              <w:top w:val="single" w:color="auto" w:sz="4" w:space="0"/>
              <w:left w:val="single" w:color="auto" w:sz="4" w:space="0"/>
              <w:right w:val="single" w:color="auto" w:sz="4" w:space="0"/>
            </w:tcBorders>
            <w:noWrap w:val="0"/>
            <w:vAlign w:val="center"/>
          </w:tcPr>
          <w:p w14:paraId="328B0476">
            <w:pPr>
              <w:spacing w:before="120" w:beforeLines="50" w:line="360" w:lineRule="auto"/>
              <w:contextualSpacing/>
              <w:jc w:val="left"/>
              <w:rPr>
                <w:color w:val="auto"/>
                <w:szCs w:val="21"/>
                <w:highlight w:val="none"/>
              </w:rPr>
            </w:pPr>
            <w:bookmarkStart w:id="74" w:name="_Toc221950076"/>
            <w:r>
              <w:rPr>
                <w:rFonts w:hint="eastAsia"/>
                <w:color w:val="auto"/>
                <w:szCs w:val="21"/>
                <w:highlight w:val="none"/>
              </w:rPr>
              <w:t>评标委员会的组建</w:t>
            </w:r>
            <w:bookmarkEnd w:id="74"/>
          </w:p>
        </w:tc>
        <w:tc>
          <w:tcPr>
            <w:tcW w:w="5038" w:type="dxa"/>
            <w:tcBorders>
              <w:top w:val="single" w:color="auto" w:sz="4" w:space="0"/>
              <w:left w:val="single" w:color="auto" w:sz="4" w:space="0"/>
              <w:right w:val="single" w:color="auto" w:sz="4" w:space="0"/>
            </w:tcBorders>
            <w:noWrap w:val="0"/>
            <w:vAlign w:val="center"/>
          </w:tcPr>
          <w:p w14:paraId="0CE9FE3D">
            <w:pPr>
              <w:spacing w:before="120" w:beforeLines="50" w:line="360" w:lineRule="auto"/>
              <w:contextualSpacing/>
              <w:rPr>
                <w:rFonts w:hint="eastAsia" w:ascii="宋体" w:hAnsi="宋体" w:cs="宋体"/>
                <w:color w:val="auto"/>
                <w:szCs w:val="21"/>
                <w:highlight w:val="none"/>
                <w:u w:val="single"/>
              </w:rPr>
            </w:pPr>
            <w:r>
              <w:rPr>
                <w:rFonts w:hint="eastAsia"/>
                <w:color w:val="auto"/>
                <w:szCs w:val="21"/>
                <w:highlight w:val="none"/>
              </w:rPr>
              <w:t>评标专家确定方式：</w:t>
            </w:r>
            <w:r>
              <w:rPr>
                <w:rFonts w:hint="eastAsia" w:ascii="宋体" w:hAnsi="宋体" w:cs="宋体"/>
                <w:color w:val="auto"/>
                <w:szCs w:val="21"/>
                <w:highlight w:val="none"/>
                <w:u w:val="single"/>
              </w:rPr>
              <w:t>由招标人依法组建。</w:t>
            </w:r>
          </w:p>
          <w:p w14:paraId="0A1E73D3">
            <w:pPr>
              <w:spacing w:before="120" w:beforeLines="50" w:line="360" w:lineRule="auto"/>
              <w:contextualSpacing/>
              <w:rPr>
                <w:rFonts w:hint="default" w:eastAsia="宋体"/>
                <w:color w:val="auto"/>
                <w:szCs w:val="21"/>
                <w:highlight w:val="none"/>
                <w:lang w:val="en-US" w:eastAsia="zh-CN"/>
              </w:rPr>
            </w:pPr>
            <w:r>
              <w:rPr>
                <w:rFonts w:hint="eastAsia" w:ascii="宋体" w:hAnsi="宋体" w:cs="宋体"/>
                <w:color w:val="auto"/>
                <w:szCs w:val="21"/>
                <w:highlight w:val="none"/>
                <w:u w:val="single"/>
              </w:rPr>
              <w:t>招标代理机构应严格按照《广东省政务服务和数据管理局关于印发广东省综合评标评审专家库评标专家劳务报酬管理办法的通知》（粤政数〔2025〕11 号）的规定向评标专家支付酬金，不得额外支付费用。评标专家对符合《广东省政务服务和数据管理局关于印发广东省综合评标评审专家库评标专家劳务报酬管理办法的通知》（粤政数〔2025〕11 号）的规定计取的专家报酬不得有异议。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如有最新规定按新规执行</w:t>
            </w:r>
            <w:r>
              <w:rPr>
                <w:rFonts w:hint="eastAsia" w:ascii="宋体" w:hAnsi="宋体" w:eastAsia="宋体" w:cs="宋体"/>
                <w:color w:val="auto"/>
                <w:sz w:val="21"/>
                <w:szCs w:val="21"/>
                <w:highlight w:val="none"/>
                <w:lang w:eastAsia="zh-CN"/>
              </w:rPr>
              <w:t>）</w:t>
            </w:r>
          </w:p>
        </w:tc>
      </w:tr>
      <w:tr w14:paraId="6230CE36">
        <w:tblPrEx>
          <w:tblCellMar>
            <w:top w:w="0" w:type="dxa"/>
            <w:left w:w="108" w:type="dxa"/>
            <w:bottom w:w="0" w:type="dxa"/>
            <w:right w:w="108" w:type="dxa"/>
          </w:tblCellMar>
        </w:tblPrEx>
        <w:trPr>
          <w:trHeight w:val="90" w:hRule="atLeast"/>
        </w:trPr>
        <w:tc>
          <w:tcPr>
            <w:tcW w:w="1298" w:type="dxa"/>
            <w:tcBorders>
              <w:top w:val="single" w:color="auto" w:sz="4" w:space="0"/>
              <w:left w:val="single" w:color="auto" w:sz="4" w:space="0"/>
              <w:right w:val="single" w:color="auto" w:sz="4" w:space="0"/>
            </w:tcBorders>
            <w:noWrap w:val="0"/>
            <w:vAlign w:val="center"/>
          </w:tcPr>
          <w:p w14:paraId="0FEF87D9">
            <w:pPr>
              <w:spacing w:before="120" w:beforeLines="50" w:line="360" w:lineRule="auto"/>
              <w:contextualSpacing/>
              <w:jc w:val="center"/>
              <w:rPr>
                <w:color w:val="auto"/>
                <w:szCs w:val="21"/>
                <w:highlight w:val="none"/>
              </w:rPr>
            </w:pPr>
            <w:r>
              <w:rPr>
                <w:rFonts w:hint="eastAsia"/>
                <w:color w:val="auto"/>
                <w:szCs w:val="21"/>
                <w:highlight w:val="none"/>
              </w:rPr>
              <w:t>7.2.1</w:t>
            </w:r>
          </w:p>
        </w:tc>
        <w:tc>
          <w:tcPr>
            <w:tcW w:w="2192" w:type="dxa"/>
            <w:tcBorders>
              <w:top w:val="single" w:color="auto" w:sz="4" w:space="0"/>
              <w:left w:val="single" w:color="auto" w:sz="4" w:space="0"/>
              <w:right w:val="single" w:color="auto" w:sz="4" w:space="0"/>
            </w:tcBorders>
            <w:noWrap w:val="0"/>
            <w:vAlign w:val="center"/>
          </w:tcPr>
          <w:p w14:paraId="4D1F3C2E">
            <w:pPr>
              <w:spacing w:before="120" w:beforeLines="50" w:line="360" w:lineRule="auto"/>
              <w:contextualSpacing/>
              <w:jc w:val="left"/>
              <w:rPr>
                <w:rFonts w:hint="eastAsia"/>
                <w:color w:val="auto"/>
                <w:szCs w:val="21"/>
                <w:highlight w:val="none"/>
              </w:rPr>
            </w:pPr>
            <w:r>
              <w:rPr>
                <w:rFonts w:hint="eastAsia"/>
                <w:color w:val="auto"/>
                <w:szCs w:val="21"/>
                <w:highlight w:val="none"/>
              </w:rPr>
              <w:t>中标候选人公示媒介</w:t>
            </w:r>
          </w:p>
        </w:tc>
        <w:tc>
          <w:tcPr>
            <w:tcW w:w="5038" w:type="dxa"/>
            <w:tcBorders>
              <w:top w:val="single" w:color="auto" w:sz="4" w:space="0"/>
              <w:left w:val="single" w:color="auto" w:sz="4" w:space="0"/>
              <w:right w:val="single" w:color="auto" w:sz="4" w:space="0"/>
            </w:tcBorders>
            <w:noWrap w:val="0"/>
            <w:vAlign w:val="center"/>
          </w:tcPr>
          <w:p w14:paraId="241211C6">
            <w:pPr>
              <w:spacing w:before="120" w:beforeLines="50" w:line="360" w:lineRule="auto"/>
              <w:contextualSpacing/>
              <w:rPr>
                <w:rFonts w:hint="eastAsia"/>
                <w:color w:val="auto"/>
                <w:szCs w:val="21"/>
                <w:highlight w:val="none"/>
              </w:rPr>
            </w:pPr>
            <w:r>
              <w:rPr>
                <w:rFonts w:hint="eastAsia" w:ascii="宋体" w:hAnsi="宋体" w:cs="宋体"/>
                <w:color w:val="auto"/>
                <w:szCs w:val="21"/>
                <w:highlight w:val="none"/>
                <w:u w:val="single"/>
                <w:lang w:val="zh-CN"/>
              </w:rPr>
              <w:t>广州交易集团有限公司（广州公共资源交易中心）网</w:t>
            </w:r>
            <w:r>
              <w:rPr>
                <w:rFonts w:hint="eastAsia" w:ascii="宋体" w:hAnsi="宋体" w:cs="宋体"/>
                <w:color w:val="auto"/>
                <w:szCs w:val="21"/>
                <w:highlight w:val="none"/>
                <w:u w:val="single"/>
                <w:lang w:val="en-US" w:eastAsia="zh-CN"/>
              </w:rPr>
              <w:t>站</w:t>
            </w:r>
            <w:r>
              <w:rPr>
                <w:rFonts w:hint="eastAsia" w:ascii="宋体" w:hAnsi="宋体" w:cs="宋体"/>
                <w:color w:val="auto"/>
                <w:szCs w:val="21"/>
                <w:highlight w:val="none"/>
                <w:u w:val="single"/>
                <w:lang w:val="zh-CN"/>
              </w:rPr>
              <w:t>、广东省招标投标监管网和</w:t>
            </w:r>
            <w:r>
              <w:rPr>
                <w:rFonts w:hint="eastAsia" w:ascii="宋体" w:hAnsi="宋体" w:cs="宋体"/>
                <w:color w:val="auto"/>
                <w:szCs w:val="21"/>
                <w:highlight w:val="none"/>
                <w:u w:val="single"/>
              </w:rPr>
              <w:t>中国招标投标公共服务平台</w:t>
            </w:r>
          </w:p>
        </w:tc>
      </w:tr>
      <w:tr w14:paraId="2A63102F">
        <w:tblPrEx>
          <w:tblCellMar>
            <w:top w:w="0" w:type="dxa"/>
            <w:left w:w="108" w:type="dxa"/>
            <w:bottom w:w="0" w:type="dxa"/>
            <w:right w:w="108" w:type="dxa"/>
          </w:tblCellMar>
        </w:tblPrEx>
        <w:trPr>
          <w:trHeight w:val="417"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0C3BF6CB">
            <w:pPr>
              <w:spacing w:before="120" w:beforeLines="50" w:line="360" w:lineRule="auto"/>
              <w:contextualSpacing/>
              <w:jc w:val="center"/>
              <w:rPr>
                <w:color w:val="auto"/>
                <w:szCs w:val="21"/>
                <w:highlight w:val="none"/>
              </w:rPr>
            </w:pPr>
            <w:bookmarkStart w:id="75" w:name="_Toc221950079"/>
            <w:r>
              <w:rPr>
                <w:color w:val="auto"/>
                <w:szCs w:val="21"/>
                <w:highlight w:val="none"/>
              </w:rPr>
              <w:t>7.</w:t>
            </w:r>
            <w:r>
              <w:rPr>
                <w:rFonts w:hint="eastAsia"/>
                <w:color w:val="auto"/>
                <w:szCs w:val="21"/>
                <w:highlight w:val="none"/>
              </w:rPr>
              <w:t>4</w:t>
            </w:r>
            <w:r>
              <w:rPr>
                <w:color w:val="auto"/>
                <w:szCs w:val="21"/>
                <w:highlight w:val="none"/>
              </w:rPr>
              <w:t>.1</w:t>
            </w:r>
            <w:bookmarkEnd w:id="75"/>
          </w:p>
        </w:tc>
        <w:tc>
          <w:tcPr>
            <w:tcW w:w="2192" w:type="dxa"/>
            <w:tcBorders>
              <w:top w:val="single" w:color="auto" w:sz="4" w:space="0"/>
              <w:left w:val="single" w:color="auto" w:sz="4" w:space="0"/>
              <w:bottom w:val="single" w:color="auto" w:sz="4" w:space="0"/>
              <w:right w:val="single" w:color="auto" w:sz="4" w:space="0"/>
            </w:tcBorders>
            <w:noWrap w:val="0"/>
            <w:vAlign w:val="center"/>
          </w:tcPr>
          <w:p w14:paraId="7118429D">
            <w:pPr>
              <w:spacing w:before="120" w:beforeLines="50" w:line="360" w:lineRule="auto"/>
              <w:contextualSpacing/>
              <w:jc w:val="left"/>
              <w:rPr>
                <w:color w:val="auto"/>
                <w:szCs w:val="21"/>
                <w:highlight w:val="none"/>
              </w:rPr>
            </w:pPr>
            <w:bookmarkStart w:id="76" w:name="_Toc221950080"/>
            <w:r>
              <w:rPr>
                <w:color w:val="auto"/>
                <w:szCs w:val="21"/>
                <w:highlight w:val="none"/>
              </w:rPr>
              <w:t>履约担保</w:t>
            </w:r>
            <w:bookmarkEnd w:id="76"/>
          </w:p>
        </w:tc>
        <w:tc>
          <w:tcPr>
            <w:tcW w:w="5038" w:type="dxa"/>
            <w:tcBorders>
              <w:top w:val="single" w:color="auto" w:sz="4" w:space="0"/>
              <w:left w:val="single" w:color="auto" w:sz="4" w:space="0"/>
              <w:bottom w:val="single" w:color="auto" w:sz="4" w:space="0"/>
              <w:right w:val="single" w:color="auto" w:sz="4" w:space="0"/>
            </w:tcBorders>
            <w:noWrap w:val="0"/>
            <w:vAlign w:val="center"/>
          </w:tcPr>
          <w:p w14:paraId="717F9417">
            <w:pPr>
              <w:spacing w:before="120" w:beforeLines="50"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☑要求，履约担保的形式：</w:t>
            </w:r>
            <w:r>
              <w:rPr>
                <w:rFonts w:hint="eastAsia" w:ascii="宋体" w:hAnsi="宋体" w:cs="宋体"/>
                <w:color w:val="auto"/>
                <w:szCs w:val="21"/>
                <w:highlight w:val="none"/>
                <w:u w:val="single"/>
                <w:lang w:val="en-US" w:eastAsia="zh-CN"/>
              </w:rPr>
              <w:t>详见合同约定</w:t>
            </w:r>
            <w:r>
              <w:rPr>
                <w:rFonts w:hint="eastAsia" w:ascii="宋体" w:hAnsi="宋体" w:cs="宋体"/>
                <w:color w:val="auto"/>
                <w:szCs w:val="21"/>
                <w:highlight w:val="none"/>
              </w:rPr>
              <w:t>；</w:t>
            </w:r>
          </w:p>
          <w:p w14:paraId="6F73E95C">
            <w:pPr>
              <w:spacing w:before="120" w:beforeLines="50"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履约担保的金额：</w:t>
            </w:r>
            <w:r>
              <w:rPr>
                <w:rFonts w:hint="eastAsia" w:ascii="宋体" w:hAnsi="宋体" w:cs="宋体"/>
                <w:color w:val="auto"/>
                <w:szCs w:val="21"/>
                <w:highlight w:val="none"/>
                <w:u w:val="single"/>
              </w:rPr>
              <w:t>中标价款的10%</w:t>
            </w:r>
            <w:r>
              <w:rPr>
                <w:rFonts w:hint="eastAsia" w:ascii="宋体" w:hAnsi="宋体" w:cs="宋体"/>
                <w:color w:val="auto"/>
                <w:szCs w:val="21"/>
                <w:highlight w:val="none"/>
              </w:rPr>
              <w:t>。</w:t>
            </w:r>
          </w:p>
          <w:p w14:paraId="36DB415D">
            <w:pPr>
              <w:spacing w:before="120" w:beforeLines="50" w:line="360" w:lineRule="auto"/>
              <w:contextualSpacing/>
              <w:rPr>
                <w:rFonts w:hint="eastAsia"/>
                <w:color w:val="auto"/>
                <w:szCs w:val="21"/>
                <w:highlight w:val="none"/>
                <w:lang w:eastAsia="zh-CN"/>
              </w:rPr>
            </w:pPr>
            <w:r>
              <w:rPr>
                <w:rFonts w:hint="eastAsia" w:ascii="宋体" w:hAnsi="宋体" w:cs="宋体"/>
                <w:color w:val="auto"/>
                <w:szCs w:val="21"/>
                <w:highlight w:val="none"/>
              </w:rPr>
              <w:t>□不要求</w:t>
            </w:r>
          </w:p>
        </w:tc>
      </w:tr>
      <w:tr w14:paraId="37793740">
        <w:tblPrEx>
          <w:tblCellMar>
            <w:top w:w="0" w:type="dxa"/>
            <w:left w:w="108" w:type="dxa"/>
            <w:bottom w:w="0" w:type="dxa"/>
            <w:right w:w="108" w:type="dxa"/>
          </w:tblCellMar>
        </w:tblPrEx>
        <w:trPr>
          <w:trHeight w:val="417"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1B1C2486">
            <w:pPr>
              <w:spacing w:before="120" w:beforeLines="50" w:line="360" w:lineRule="auto"/>
              <w:contextualSpacing/>
              <w:jc w:val="center"/>
              <w:rPr>
                <w:color w:val="auto"/>
                <w:szCs w:val="21"/>
                <w:highlight w:val="none"/>
              </w:rPr>
            </w:pPr>
          </w:p>
        </w:tc>
        <w:tc>
          <w:tcPr>
            <w:tcW w:w="2192" w:type="dxa"/>
            <w:tcBorders>
              <w:top w:val="single" w:color="auto" w:sz="4" w:space="0"/>
              <w:left w:val="single" w:color="auto" w:sz="4" w:space="0"/>
              <w:bottom w:val="single" w:color="auto" w:sz="4" w:space="0"/>
              <w:right w:val="single" w:color="auto" w:sz="4" w:space="0"/>
            </w:tcBorders>
            <w:noWrap w:val="0"/>
            <w:vAlign w:val="center"/>
          </w:tcPr>
          <w:p w14:paraId="35049E65">
            <w:pPr>
              <w:spacing w:before="120" w:beforeLines="50" w:line="360" w:lineRule="auto"/>
              <w:contextualSpacing/>
              <w:jc w:val="left"/>
              <w:rPr>
                <w:color w:val="auto"/>
                <w:szCs w:val="21"/>
                <w:highlight w:val="none"/>
              </w:rPr>
            </w:pPr>
            <w:r>
              <w:rPr>
                <w:rFonts w:hint="eastAsia"/>
                <w:color w:val="auto"/>
                <w:szCs w:val="21"/>
                <w:highlight w:val="none"/>
              </w:rPr>
              <w:t>分包</w:t>
            </w:r>
          </w:p>
        </w:tc>
        <w:tc>
          <w:tcPr>
            <w:tcW w:w="5038" w:type="dxa"/>
            <w:tcBorders>
              <w:top w:val="single" w:color="auto" w:sz="4" w:space="0"/>
              <w:left w:val="single" w:color="auto" w:sz="4" w:space="0"/>
              <w:bottom w:val="single" w:color="auto" w:sz="4" w:space="0"/>
              <w:right w:val="single" w:color="auto" w:sz="4" w:space="0"/>
            </w:tcBorders>
            <w:noWrap w:val="0"/>
            <w:vAlign w:val="center"/>
          </w:tcPr>
          <w:p w14:paraId="67CDD454">
            <w:pPr>
              <w:spacing w:before="120" w:beforeLines="50" w:line="360" w:lineRule="auto"/>
              <w:contextualSpacing/>
              <w:rPr>
                <w:rFonts w:hint="eastAsia" w:ascii="宋体" w:hAnsi="宋体" w:cs="宋体"/>
                <w:color w:val="auto"/>
                <w:szCs w:val="21"/>
                <w:highlight w:val="none"/>
                <w:lang w:val="zh-CN"/>
              </w:rPr>
            </w:pPr>
            <w:r>
              <w:rPr>
                <w:rFonts w:hint="eastAsia" w:ascii="宋体" w:hAnsi="宋体" w:cs="宋体"/>
                <w:color w:val="auto"/>
                <w:szCs w:val="21"/>
                <w:highlight w:val="none"/>
                <w:lang w:val="zh-CN"/>
              </w:rPr>
              <w:t>□不允许；</w:t>
            </w:r>
          </w:p>
          <w:p w14:paraId="767E5818">
            <w:pPr>
              <w:spacing w:before="120" w:beforeLines="50" w:line="360" w:lineRule="auto"/>
              <w:contextualSpacing/>
              <w:rPr>
                <w:rFonts w:hint="eastAsia" w:ascii="宋体" w:hAnsi="宋体" w:cs="宋体"/>
                <w:color w:val="auto"/>
                <w:szCs w:val="21"/>
                <w:highlight w:val="none"/>
                <w:lang w:val="zh-CN"/>
              </w:rPr>
            </w:pPr>
            <w:r>
              <w:rPr>
                <w:rFonts w:hint="eastAsia" w:ascii="宋体" w:hAnsi="宋体" w:cs="宋体"/>
                <w:color w:val="auto"/>
                <w:szCs w:val="21"/>
                <w:highlight w:val="none"/>
                <w:lang w:val="zh-CN"/>
              </w:rPr>
              <w:t>☑允许：分包内容要求：</w:t>
            </w:r>
            <w:r>
              <w:rPr>
                <w:rFonts w:hint="eastAsia" w:ascii="宋体" w:hAnsi="宋体" w:cs="宋体"/>
                <w:color w:val="auto"/>
                <w:szCs w:val="21"/>
                <w:highlight w:val="none"/>
                <w:lang w:val="en-US" w:eastAsia="zh-CN"/>
              </w:rPr>
              <w:t>依法分包，具体按照合同约定并经招标人同意</w:t>
            </w:r>
            <w:r>
              <w:rPr>
                <w:rFonts w:hint="eastAsia" w:ascii="宋体" w:hAnsi="宋体" w:cs="宋体"/>
                <w:color w:val="auto"/>
                <w:szCs w:val="21"/>
                <w:highlight w:val="none"/>
                <w:lang w:val="zh-CN"/>
              </w:rPr>
              <w:t>。</w:t>
            </w:r>
          </w:p>
          <w:p w14:paraId="58CB7AF7">
            <w:pPr>
              <w:spacing w:before="120" w:beforeLines="50" w:line="360" w:lineRule="auto"/>
              <w:ind w:firstLine="420" w:firstLineChars="200"/>
              <w:contextualSpacing/>
              <w:rPr>
                <w:rFonts w:hint="eastAsia" w:ascii="宋体" w:hAnsi="宋体" w:cs="宋体"/>
                <w:color w:val="auto"/>
                <w:szCs w:val="21"/>
                <w:highlight w:val="none"/>
                <w:lang w:val="zh-CN"/>
              </w:rPr>
            </w:pPr>
            <w:r>
              <w:rPr>
                <w:rFonts w:hint="eastAsia" w:ascii="宋体" w:hAnsi="宋体" w:cs="宋体"/>
                <w:color w:val="auto"/>
                <w:szCs w:val="21"/>
                <w:highlight w:val="none"/>
                <w:lang w:val="zh-CN"/>
              </w:rPr>
              <w:t>分包金额要求：</w:t>
            </w:r>
            <w:r>
              <w:rPr>
                <w:rFonts w:hint="eastAsia" w:ascii="宋体" w:hAnsi="宋体" w:cs="宋体"/>
                <w:color w:val="auto"/>
                <w:szCs w:val="21"/>
                <w:highlight w:val="none"/>
                <w:lang w:val="en-US" w:eastAsia="zh-CN"/>
              </w:rPr>
              <w:t>按照合同约定并经招标人同意</w:t>
            </w:r>
            <w:r>
              <w:rPr>
                <w:rFonts w:hint="eastAsia" w:ascii="宋体" w:hAnsi="宋体" w:cs="宋体"/>
                <w:color w:val="auto"/>
                <w:szCs w:val="21"/>
                <w:highlight w:val="none"/>
                <w:lang w:val="zh-CN"/>
              </w:rPr>
              <w:t>。</w:t>
            </w:r>
          </w:p>
          <w:p w14:paraId="1759705B">
            <w:pPr>
              <w:spacing w:before="120" w:beforeLines="50" w:line="360" w:lineRule="auto"/>
              <w:ind w:firstLine="420" w:firstLineChars="200"/>
              <w:contextualSpacing/>
              <w:rPr>
                <w:rFonts w:hint="eastAsia" w:ascii="宋体" w:hAnsi="宋体" w:cs="宋体"/>
                <w:color w:val="auto"/>
                <w:szCs w:val="21"/>
                <w:highlight w:val="none"/>
                <w:lang w:val="zh-CN"/>
              </w:rPr>
            </w:pPr>
            <w:r>
              <w:rPr>
                <w:rFonts w:hint="eastAsia" w:ascii="宋体" w:hAnsi="宋体" w:cs="宋体"/>
                <w:color w:val="auto"/>
                <w:szCs w:val="21"/>
                <w:highlight w:val="none"/>
                <w:lang w:val="zh-CN"/>
              </w:rPr>
              <w:t>对分包人的资质要求：</w:t>
            </w:r>
            <w:r>
              <w:rPr>
                <w:rFonts w:hint="eastAsia" w:ascii="宋体" w:hAnsi="宋体" w:cs="宋体"/>
                <w:color w:val="auto"/>
                <w:szCs w:val="21"/>
                <w:highlight w:val="none"/>
                <w:lang w:val="en-US" w:eastAsia="zh-CN"/>
              </w:rPr>
              <w:t>符合有关法律法规和文件规定，并不得再次分包</w:t>
            </w:r>
            <w:r>
              <w:rPr>
                <w:rFonts w:hint="eastAsia" w:ascii="宋体" w:hAnsi="宋体" w:cs="宋体"/>
                <w:color w:val="auto"/>
                <w:szCs w:val="21"/>
                <w:highlight w:val="none"/>
                <w:lang w:val="zh-CN"/>
              </w:rPr>
              <w:t>。</w:t>
            </w:r>
          </w:p>
          <w:p w14:paraId="5BB67C2A">
            <w:pPr>
              <w:spacing w:before="120" w:beforeLines="50" w:line="360" w:lineRule="auto"/>
              <w:ind w:firstLine="420" w:firstLineChars="200"/>
              <w:contextualSpacing/>
              <w:rPr>
                <w:rFonts w:hint="eastAsia" w:ascii="Calibri" w:hAnsi="Calibri" w:eastAsia="宋体" w:cs="Times New Roman"/>
                <w:b w:val="0"/>
                <w:bCs w:val="0"/>
                <w:color w:val="auto"/>
                <w:kern w:val="2"/>
                <w:sz w:val="21"/>
                <w:szCs w:val="24"/>
                <w:highlight w:val="none"/>
                <w:lang w:val="en-US" w:eastAsia="zh-CN" w:bidi="ar-SA"/>
              </w:rPr>
            </w:pPr>
            <w:r>
              <w:rPr>
                <w:rFonts w:hint="eastAsia" w:ascii="宋体" w:hAnsi="宋体" w:cs="宋体"/>
                <w:color w:val="auto"/>
                <w:szCs w:val="21"/>
                <w:highlight w:val="none"/>
                <w:lang w:val="zh-CN"/>
              </w:rPr>
              <w:t>对分包人的其他要求：</w:t>
            </w:r>
            <w:r>
              <w:rPr>
                <w:rFonts w:hint="eastAsia" w:ascii="宋体" w:hAnsi="宋体" w:cs="宋体"/>
                <w:color w:val="auto"/>
                <w:szCs w:val="21"/>
                <w:highlight w:val="none"/>
                <w:lang w:val="en-US" w:eastAsia="zh-CN"/>
              </w:rPr>
              <w:t>按合同约定</w:t>
            </w:r>
            <w:r>
              <w:rPr>
                <w:rFonts w:hint="eastAsia" w:ascii="宋体" w:hAnsi="宋体" w:cs="宋体"/>
                <w:color w:val="auto"/>
                <w:szCs w:val="21"/>
                <w:highlight w:val="none"/>
                <w:lang w:val="zh-CN"/>
              </w:rPr>
              <w:t>。</w:t>
            </w:r>
          </w:p>
        </w:tc>
      </w:tr>
      <w:tr w14:paraId="08830F42">
        <w:tblPrEx>
          <w:tblCellMar>
            <w:top w:w="0" w:type="dxa"/>
            <w:left w:w="108" w:type="dxa"/>
            <w:bottom w:w="0" w:type="dxa"/>
            <w:right w:w="108" w:type="dxa"/>
          </w:tblCellMar>
        </w:tblPrEx>
        <w:trPr>
          <w:trHeight w:val="379"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48952919">
            <w:pPr>
              <w:spacing w:before="120" w:beforeLines="50" w:line="360" w:lineRule="auto"/>
              <w:contextualSpacing/>
              <w:jc w:val="center"/>
              <w:rPr>
                <w:rFonts w:hint="eastAsia" w:eastAsia="宋体"/>
                <w:color w:val="auto"/>
                <w:szCs w:val="21"/>
                <w:highlight w:val="none"/>
                <w:lang w:val="en-US" w:eastAsia="zh-CN"/>
              </w:rPr>
            </w:pPr>
            <w:r>
              <w:rPr>
                <w:rFonts w:hint="eastAsia"/>
                <w:color w:val="auto"/>
                <w:szCs w:val="21"/>
                <w:highlight w:val="none"/>
              </w:rPr>
              <w:t>10</w:t>
            </w:r>
            <w:r>
              <w:rPr>
                <w:rFonts w:hint="eastAsia"/>
                <w:color w:val="auto"/>
                <w:szCs w:val="21"/>
                <w:highlight w:val="none"/>
                <w:lang w:val="en-US" w:eastAsia="zh-CN"/>
              </w:rPr>
              <w:t>.1</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4395967E">
            <w:pPr>
              <w:spacing w:before="120" w:beforeLines="50" w:line="360" w:lineRule="auto"/>
              <w:contextualSpacing/>
              <w:jc w:val="left"/>
              <w:rPr>
                <w:rFonts w:hint="eastAsia"/>
                <w:color w:val="auto"/>
                <w:szCs w:val="21"/>
                <w:highlight w:val="none"/>
              </w:rPr>
            </w:pPr>
            <w:r>
              <w:rPr>
                <w:rFonts w:hint="eastAsia"/>
                <w:color w:val="auto"/>
                <w:szCs w:val="21"/>
                <w:highlight w:val="none"/>
              </w:rPr>
              <w:t>需要补充的其他内容</w:t>
            </w:r>
          </w:p>
        </w:tc>
        <w:tc>
          <w:tcPr>
            <w:tcW w:w="50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7D276">
            <w:pPr>
              <w:keepNext w:val="0"/>
              <w:keepLines w:val="0"/>
              <w:pageBreakBefore w:val="0"/>
              <w:widowControl w:val="0"/>
              <w:numPr>
                <w:ilvl w:val="0"/>
                <w:numId w:val="0"/>
              </w:numPr>
              <w:tabs>
                <w:tab w:val="left" w:pos="312"/>
              </w:tabs>
              <w:kinsoku/>
              <w:wordWrap/>
              <w:overflowPunct/>
              <w:autoSpaceDE/>
              <w:autoSpaceDN/>
              <w:bidi w:val="0"/>
              <w:adjustRightInd/>
              <w:snapToGrid w:val="0"/>
              <w:spacing w:line="360" w:lineRule="auto"/>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lang w:val="en-US" w:eastAsia="zh-CN"/>
              </w:rPr>
              <w:t>工程预付款及进度款支付方式、合同价款调整、工程结算等详见第四章合同条款相关规定。</w:t>
            </w:r>
          </w:p>
          <w:p w14:paraId="45A29273">
            <w:pPr>
              <w:keepNext w:val="0"/>
              <w:keepLines w:val="0"/>
              <w:pageBreakBefore w:val="0"/>
              <w:widowControl w:val="0"/>
              <w:numPr>
                <w:ilvl w:val="0"/>
                <w:numId w:val="0"/>
              </w:numPr>
              <w:tabs>
                <w:tab w:val="left" w:pos="312"/>
              </w:tabs>
              <w:kinsoku/>
              <w:wordWrap/>
              <w:overflowPunct/>
              <w:autoSpaceDE/>
              <w:autoSpaceDN/>
              <w:bidi w:val="0"/>
              <w:adjustRightInd/>
              <w:snapToGrid w:val="0"/>
              <w:spacing w:line="360" w:lineRule="auto"/>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24519BBA">
            <w:pPr>
              <w:keepNext w:val="0"/>
              <w:keepLines w:val="0"/>
              <w:pageBreakBefore w:val="0"/>
              <w:widowControl w:val="0"/>
              <w:numPr>
                <w:ilvl w:val="0"/>
                <w:numId w:val="0"/>
              </w:numPr>
              <w:tabs>
                <w:tab w:val="left" w:pos="312"/>
              </w:tabs>
              <w:kinsoku/>
              <w:wordWrap/>
              <w:overflowPunct/>
              <w:autoSpaceDE/>
              <w:autoSpaceDN/>
              <w:bidi w:val="0"/>
              <w:adjustRightInd/>
              <w:snapToGrid w:val="0"/>
              <w:spacing w:line="360" w:lineRule="auto"/>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p w14:paraId="52537D71">
            <w:pPr>
              <w:spacing w:before="120" w:beforeLines="50" w:line="360" w:lineRule="auto"/>
              <w:contextualSpacing/>
              <w:jc w:val="left"/>
              <w:rPr>
                <w:rFonts w:hint="eastAsia" w:ascii="宋体" w:hAnsi="宋体" w:cs="宋体"/>
                <w:bCs/>
                <w:color w:val="auto"/>
                <w:kern w:val="0"/>
                <w:szCs w:val="21"/>
                <w:highlight w:val="none"/>
                <w:lang w:val="zh-CN"/>
              </w:rPr>
            </w:pPr>
            <w:r>
              <w:rPr>
                <w:rFonts w:hint="eastAsia" w:ascii="宋体" w:hAnsi="宋体" w:eastAsia="宋体" w:cs="宋体"/>
                <w:color w:val="auto"/>
                <w:szCs w:val="21"/>
                <w:highlight w:val="none"/>
                <w:lang w:val="en-US" w:eastAsia="zh-CN"/>
              </w:rPr>
              <w:t>4.</w:t>
            </w:r>
            <w:r>
              <w:rPr>
                <w:rFonts w:hint="eastAsia" w:ascii="宋体" w:hAnsi="宋体" w:cs="宋体"/>
                <w:bCs/>
                <w:color w:val="auto"/>
                <w:kern w:val="0"/>
                <w:szCs w:val="21"/>
                <w:highlight w:val="none"/>
                <w:lang w:val="zh-CN"/>
              </w:rPr>
              <w:t>中标后，中标人委派的项目负责人及技术负责人在合同工期内应严格履职，全程负责本工程的管理。如有违反，中标人应承担违约责任，承担中标价2%人/次（累计最高不超过200万元）的违约金，具体按招标文件的合同专用条款35.2.6执行。</w:t>
            </w:r>
          </w:p>
          <w:p w14:paraId="025FF184">
            <w:pPr>
              <w:spacing w:before="120" w:beforeLines="50" w:line="360" w:lineRule="auto"/>
              <w:contextualSpacing/>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0"/>
                <w:szCs w:val="21"/>
                <w:highlight w:val="none"/>
                <w:lang w:val="en-US" w:eastAsia="zh-CN"/>
              </w:rPr>
              <w:t>5.</w:t>
            </w:r>
            <w:r>
              <w:rPr>
                <w:rFonts w:hint="eastAsia" w:ascii="宋体" w:hAnsi="宋体" w:eastAsia="宋体" w:cs="宋体"/>
                <w:color w:val="auto"/>
                <w:szCs w:val="21"/>
                <w:highlight w:val="none"/>
              </w:rPr>
              <w:t>工程进度款中的工人工资款比例参照施工招标的《中标通知书》中单列的人工费金额除以中标金额计算。</w:t>
            </w:r>
          </w:p>
        </w:tc>
      </w:tr>
      <w:tr w14:paraId="26094BD1">
        <w:tblPrEx>
          <w:tblCellMar>
            <w:top w:w="0" w:type="dxa"/>
            <w:left w:w="108" w:type="dxa"/>
            <w:bottom w:w="0" w:type="dxa"/>
            <w:right w:w="108" w:type="dxa"/>
          </w:tblCellMar>
        </w:tblPrEx>
        <w:trPr>
          <w:trHeight w:val="379" w:hRule="atLeast"/>
        </w:trPr>
        <w:tc>
          <w:tcPr>
            <w:tcW w:w="1298" w:type="dxa"/>
            <w:tcBorders>
              <w:top w:val="single" w:color="auto" w:sz="4" w:space="0"/>
              <w:left w:val="single" w:color="auto" w:sz="4" w:space="0"/>
              <w:bottom w:val="single" w:color="auto" w:sz="4" w:space="0"/>
              <w:right w:val="single" w:color="auto" w:sz="4" w:space="0"/>
            </w:tcBorders>
            <w:noWrap w:val="0"/>
            <w:vAlign w:val="center"/>
          </w:tcPr>
          <w:p w14:paraId="575E1172">
            <w:pPr>
              <w:spacing w:before="120" w:beforeLines="50" w:line="360" w:lineRule="auto"/>
              <w:contextualSpacing/>
              <w:jc w:val="center"/>
              <w:rPr>
                <w:rFonts w:hint="eastAsia"/>
                <w:color w:val="auto"/>
                <w:szCs w:val="21"/>
                <w:highlight w:val="none"/>
              </w:rPr>
            </w:pPr>
          </w:p>
        </w:tc>
        <w:tc>
          <w:tcPr>
            <w:tcW w:w="2192" w:type="dxa"/>
            <w:tcBorders>
              <w:top w:val="single" w:color="auto" w:sz="4" w:space="0"/>
              <w:left w:val="single" w:color="auto" w:sz="4" w:space="0"/>
              <w:bottom w:val="single" w:color="auto" w:sz="4" w:space="0"/>
              <w:right w:val="single" w:color="auto" w:sz="4" w:space="0"/>
            </w:tcBorders>
            <w:noWrap w:val="0"/>
            <w:vAlign w:val="center"/>
          </w:tcPr>
          <w:p w14:paraId="6AE7856D">
            <w:pPr>
              <w:spacing w:before="120" w:beforeLines="50" w:line="360" w:lineRule="auto"/>
              <w:contextualSpacing/>
              <w:jc w:val="center"/>
              <w:rPr>
                <w:rFonts w:hint="eastAsia"/>
                <w:color w:val="auto"/>
                <w:szCs w:val="21"/>
                <w:highlight w:val="none"/>
              </w:rPr>
            </w:pPr>
            <w:r>
              <w:rPr>
                <w:rFonts w:hint="eastAsia" w:ascii="宋体" w:hAnsi="宋体" w:eastAsia="宋体" w:cs="宋体"/>
                <w:color w:val="auto"/>
                <w:szCs w:val="21"/>
                <w:highlight w:val="none"/>
                <w:lang w:val="en-US" w:eastAsia="zh-CN"/>
              </w:rPr>
              <w:t>项目负责人管理</w:t>
            </w:r>
          </w:p>
        </w:tc>
        <w:tc>
          <w:tcPr>
            <w:tcW w:w="50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8CA88">
            <w:pPr>
              <w:spacing w:before="120" w:beforeLines="50" w:line="360" w:lineRule="auto"/>
              <w:contextualSpacing/>
              <w:jc w:val="left"/>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rPr>
              <w:t>本工程的项目负责人管理执行《广州市住房和城乡建设局关于加强建筑工程项目负责人管理的通知》（穗建规字〔2025〕9 号）相关规定。</w:t>
            </w:r>
          </w:p>
        </w:tc>
      </w:tr>
    </w:tbl>
    <w:p w14:paraId="379A331E">
      <w:pPr>
        <w:widowControl/>
        <w:jc w:val="left"/>
        <w:rPr>
          <w:rFonts w:ascii="宋体" w:hAnsi="宋体"/>
          <w:b/>
          <w:color w:val="auto"/>
          <w:sz w:val="24"/>
          <w:szCs w:val="24"/>
          <w:highlight w:val="none"/>
          <w:u w:val="single"/>
        </w:rPr>
      </w:pPr>
      <w:r>
        <w:rPr>
          <w:rFonts w:ascii="宋体" w:hAnsi="宋体"/>
          <w:b/>
          <w:color w:val="auto"/>
          <w:sz w:val="24"/>
          <w:highlight w:val="none"/>
        </w:rPr>
        <w:br w:type="page"/>
      </w:r>
    </w:p>
    <w:p w14:paraId="6ADA621F">
      <w:pPr>
        <w:spacing w:line="360" w:lineRule="auto"/>
        <w:jc w:val="center"/>
        <w:outlineLvl w:val="2"/>
        <w:rPr>
          <w:rFonts w:ascii="黑体" w:hAnsi="黑体" w:eastAsia="黑体"/>
          <w:color w:val="auto"/>
          <w:sz w:val="28"/>
          <w:szCs w:val="27"/>
          <w:highlight w:val="none"/>
        </w:rPr>
      </w:pPr>
      <w:bookmarkStart w:id="77" w:name="_Toc17451101"/>
      <w:bookmarkStart w:id="78" w:name="_Toc17454922"/>
      <w:bookmarkStart w:id="79" w:name="_Toc13227"/>
      <w:bookmarkStart w:id="80" w:name="_Toc17454871"/>
      <w:bookmarkStart w:id="81" w:name="_Toc17451578"/>
      <w:bookmarkStart w:id="82" w:name="_Toc262229161"/>
      <w:bookmarkStart w:id="83" w:name="_Toc17452664"/>
      <w:bookmarkStart w:id="84" w:name="_Toc17556876"/>
      <w:bookmarkStart w:id="85" w:name="_Toc17451623"/>
      <w:bookmarkStart w:id="86" w:name="_Toc29811"/>
      <w:r>
        <w:rPr>
          <w:rFonts w:hint="eastAsia" w:ascii="黑体" w:hAnsi="黑体" w:eastAsia="黑体"/>
          <w:color w:val="auto"/>
          <w:sz w:val="28"/>
          <w:szCs w:val="27"/>
          <w:highlight w:val="none"/>
        </w:rPr>
        <w:t>二、</w:t>
      </w:r>
      <w:r>
        <w:rPr>
          <w:rFonts w:hint="eastAsia" w:ascii="黑体" w:hAnsi="黑体" w:eastAsia="黑体"/>
          <w:color w:val="auto"/>
          <w:sz w:val="28"/>
          <w:szCs w:val="27"/>
          <w:highlight w:val="none"/>
          <w:lang w:eastAsia="zh-CN"/>
        </w:rPr>
        <w:t>投标人须知</w:t>
      </w:r>
      <w:r>
        <w:rPr>
          <w:rFonts w:hint="eastAsia" w:ascii="黑体" w:hAnsi="黑体" w:eastAsia="黑体"/>
          <w:color w:val="auto"/>
          <w:sz w:val="28"/>
          <w:szCs w:val="27"/>
          <w:highlight w:val="none"/>
        </w:rPr>
        <w:t>修改表</w:t>
      </w:r>
      <w:bookmarkEnd w:id="77"/>
      <w:bookmarkEnd w:id="78"/>
      <w:bookmarkEnd w:id="79"/>
      <w:bookmarkEnd w:id="80"/>
      <w:bookmarkEnd w:id="81"/>
      <w:bookmarkEnd w:id="82"/>
      <w:bookmarkEnd w:id="83"/>
      <w:bookmarkEnd w:id="84"/>
      <w:bookmarkEnd w:id="85"/>
      <w:bookmarkEnd w:id="86"/>
    </w:p>
    <w:p w14:paraId="1DE052EE">
      <w:pPr>
        <w:pStyle w:val="16"/>
        <w:spacing w:line="360" w:lineRule="auto"/>
        <w:rPr>
          <w:rFonts w:ascii="宋体" w:hAnsi="宋体" w:eastAsia="宋体"/>
          <w:b/>
          <w:color w:val="auto"/>
          <w:sz w:val="24"/>
          <w:szCs w:val="24"/>
          <w:highlight w:val="none"/>
          <w:lang w:eastAsia="zh-CN"/>
        </w:rPr>
      </w:pPr>
      <w:r>
        <w:rPr>
          <w:rFonts w:hint="eastAsia" w:ascii="宋体" w:hAnsi="宋体" w:eastAsia="宋体"/>
          <w:b/>
          <w:color w:val="auto"/>
          <w:sz w:val="24"/>
          <w:szCs w:val="24"/>
          <w:highlight w:val="none"/>
        </w:rPr>
        <w:t>本</w:t>
      </w:r>
      <w:r>
        <w:rPr>
          <w:rFonts w:hint="eastAsia" w:ascii="宋体" w:hAnsi="宋体" w:eastAsia="宋体"/>
          <w:b/>
          <w:color w:val="auto"/>
          <w:sz w:val="24"/>
          <w:szCs w:val="24"/>
          <w:highlight w:val="none"/>
          <w:lang w:eastAsia="zh-CN"/>
        </w:rPr>
        <w:t>投标人须知</w:t>
      </w:r>
      <w:r>
        <w:rPr>
          <w:rFonts w:hint="eastAsia" w:ascii="宋体" w:hAnsi="宋体" w:eastAsia="宋体"/>
          <w:b/>
          <w:color w:val="auto"/>
          <w:sz w:val="24"/>
          <w:szCs w:val="24"/>
          <w:highlight w:val="none"/>
        </w:rPr>
        <w:t>使用</w:t>
      </w:r>
      <w:r>
        <w:rPr>
          <w:rFonts w:hint="eastAsia" w:ascii="仿宋_GB2312" w:hAnsi="宋体" w:eastAsia="仿宋_GB2312"/>
          <w:b/>
          <w:color w:val="auto"/>
          <w:sz w:val="24"/>
          <w:szCs w:val="24"/>
          <w:highlight w:val="none"/>
        </w:rPr>
        <w:t>SWZB20</w:t>
      </w:r>
      <w:r>
        <w:rPr>
          <w:rFonts w:hint="eastAsia" w:ascii="仿宋_GB2312" w:hAnsi="宋体" w:eastAsia="仿宋_GB2312"/>
          <w:b/>
          <w:color w:val="auto"/>
          <w:sz w:val="24"/>
          <w:szCs w:val="24"/>
          <w:highlight w:val="none"/>
          <w:lang w:val="en-US" w:eastAsia="zh-CN"/>
        </w:rPr>
        <w:t>24</w:t>
      </w:r>
      <w:r>
        <w:rPr>
          <w:rFonts w:hint="eastAsia" w:ascii="仿宋_GB2312" w:hAnsi="宋体" w:eastAsia="仿宋_GB2312"/>
          <w:b/>
          <w:color w:val="auto"/>
          <w:sz w:val="24"/>
          <w:szCs w:val="24"/>
          <w:highlight w:val="none"/>
        </w:rPr>
        <w:t>-01</w:t>
      </w:r>
      <w:r>
        <w:rPr>
          <w:rFonts w:hint="eastAsia" w:ascii="宋体" w:hAnsi="宋体" w:eastAsia="宋体"/>
          <w:b/>
          <w:color w:val="auto"/>
          <w:sz w:val="24"/>
          <w:szCs w:val="24"/>
          <w:highlight w:val="none"/>
        </w:rPr>
        <w:t>招标文件范本的</w:t>
      </w:r>
      <w:r>
        <w:rPr>
          <w:rFonts w:hint="eastAsia" w:ascii="宋体" w:hAnsi="宋体" w:eastAsia="宋体"/>
          <w:b/>
          <w:color w:val="auto"/>
          <w:sz w:val="24"/>
          <w:szCs w:val="24"/>
          <w:highlight w:val="none"/>
          <w:lang w:eastAsia="zh-CN"/>
        </w:rPr>
        <w:t>投标人须知</w:t>
      </w:r>
      <w:r>
        <w:rPr>
          <w:rFonts w:hint="eastAsia" w:ascii="宋体" w:hAnsi="宋体" w:eastAsia="宋体"/>
          <w:b/>
          <w:color w:val="auto"/>
          <w:sz w:val="24"/>
          <w:szCs w:val="24"/>
          <w:highlight w:val="none"/>
        </w:rPr>
        <w:t>通用条款，与该通用条款不同之处，均在本表中列明，并以现文为准，原文不再有效。</w:t>
      </w:r>
    </w:p>
    <w:p w14:paraId="7D2B8C19">
      <w:pP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条款号：2.1.1             修改类型：修改</w:t>
      </w:r>
    </w:p>
    <w:p w14:paraId="7B3D367A">
      <w:pPr>
        <w:spacing w:line="360" w:lineRule="auto"/>
        <w:ind w:firstLine="482" w:firstLineChars="200"/>
        <w:rPr>
          <w:rFonts w:ascii="宋体" w:hAnsi="宋体"/>
          <w:bCs/>
          <w:color w:val="auto"/>
          <w:sz w:val="24"/>
          <w:highlight w:val="none"/>
        </w:rPr>
      </w:pPr>
      <w:r>
        <w:rPr>
          <w:rFonts w:hint="eastAsia" w:ascii="宋体" w:hAnsi="宋体" w:cs="宋体"/>
          <w:b/>
          <w:bCs/>
          <w:color w:val="auto"/>
          <w:sz w:val="24"/>
          <w:szCs w:val="24"/>
          <w:highlight w:val="none"/>
        </w:rPr>
        <w:t>原文：</w:t>
      </w:r>
      <w:r>
        <w:rPr>
          <w:rFonts w:hint="eastAsia" w:ascii="宋体" w:hAnsi="宋体"/>
          <w:bCs/>
          <w:color w:val="auto"/>
          <w:sz w:val="24"/>
          <w:highlight w:val="none"/>
        </w:rPr>
        <w:t>2.1.1</w:t>
      </w:r>
      <w:r>
        <w:rPr>
          <w:rFonts w:hint="eastAsia" w:ascii="宋体" w:hAnsi="宋体"/>
          <w:color w:val="auto"/>
          <w:sz w:val="24"/>
          <w:highlight w:val="none"/>
        </w:rPr>
        <w:t>本招标文件包括下列文件，以及所有按本须知第7条发出的澄清或修改和按本须知第8条发出的招标答疑会会议纪要：</w:t>
      </w:r>
    </w:p>
    <w:p w14:paraId="3668A5D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（1）招标公告；</w:t>
      </w:r>
    </w:p>
    <w:p w14:paraId="6A33088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（2）投标人须知；</w:t>
      </w:r>
    </w:p>
    <w:p w14:paraId="5711BC0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（3）评标办法；</w:t>
      </w:r>
    </w:p>
    <w:p w14:paraId="6DEBFBED">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（4）合同条款及格式；</w:t>
      </w:r>
    </w:p>
    <w:p w14:paraId="799CC05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（5）工程量清单（采用综合评估法三的，应为与最高投标限价相对应的已标价工程量清单）；  </w:t>
      </w:r>
    </w:p>
    <w:p w14:paraId="30C653F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（6）图纸； </w:t>
      </w:r>
    </w:p>
    <w:p w14:paraId="667F4B5E">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（7）技术标准和要求； </w:t>
      </w:r>
    </w:p>
    <w:p w14:paraId="76569D20">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（8）投标文件格式；</w:t>
      </w:r>
    </w:p>
    <w:p w14:paraId="78E1DE08">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否决性条款汇总</w:t>
      </w:r>
      <w:r>
        <w:rPr>
          <w:rFonts w:hint="eastAsia" w:ascii="宋体" w:hAnsi="宋体"/>
          <w:bCs/>
          <w:color w:val="auto"/>
          <w:sz w:val="24"/>
          <w:highlight w:val="none"/>
          <w:lang w:eastAsia="zh-CN"/>
        </w:rPr>
        <w:t>。</w:t>
      </w:r>
    </w:p>
    <w:p w14:paraId="72D96F96">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（10）</w:t>
      </w:r>
      <w:r>
        <w:rPr>
          <w:rFonts w:hint="eastAsia" w:ascii="宋体" w:hAnsi="宋体"/>
          <w:bCs/>
          <w:color w:val="auto"/>
          <w:sz w:val="24"/>
          <w:szCs w:val="24"/>
          <w:highlight w:val="none"/>
        </w:rPr>
        <w:t>最高投标限价（招标控制价）</w:t>
      </w:r>
      <w:r>
        <w:rPr>
          <w:rFonts w:hint="eastAsia" w:ascii="宋体" w:hAnsi="宋体"/>
          <w:bCs/>
          <w:color w:val="auto"/>
          <w:sz w:val="24"/>
          <w:highlight w:val="none"/>
        </w:rPr>
        <w:t>。</w:t>
      </w:r>
    </w:p>
    <w:p w14:paraId="27A62FFC">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（11）投标人须知前附表规定的其他材料。</w:t>
      </w:r>
    </w:p>
    <w:p w14:paraId="1731A958">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注：招标人应在技术条件（工程建设标准）中明确施工现场建筑垃圾源头减量的具体要求和建筑垃圾综合利用产品的使用要求。</w:t>
      </w:r>
    </w:p>
    <w:p w14:paraId="37CDE183">
      <w:pPr>
        <w:spacing w:line="360" w:lineRule="auto"/>
        <w:ind w:firstLine="482" w:firstLineChars="200"/>
        <w:rPr>
          <w:rFonts w:ascii="宋体" w:hAnsi="宋体"/>
          <w:bCs/>
          <w:color w:val="auto"/>
          <w:sz w:val="24"/>
          <w:highlight w:val="none"/>
        </w:rPr>
      </w:pPr>
      <w:r>
        <w:rPr>
          <w:rFonts w:hint="eastAsia" w:ascii="宋体" w:hAnsi="宋体" w:cs="宋体"/>
          <w:b/>
          <w:bCs/>
          <w:color w:val="auto"/>
          <w:sz w:val="24"/>
          <w:szCs w:val="24"/>
          <w:highlight w:val="none"/>
        </w:rPr>
        <w:t>现文：</w:t>
      </w:r>
      <w:r>
        <w:rPr>
          <w:rFonts w:hint="eastAsia" w:ascii="宋体" w:hAnsi="宋体"/>
          <w:bCs/>
          <w:color w:val="auto"/>
          <w:sz w:val="24"/>
          <w:highlight w:val="none"/>
        </w:rPr>
        <w:t>2.1.1</w:t>
      </w:r>
      <w:r>
        <w:rPr>
          <w:rFonts w:hint="eastAsia" w:ascii="宋体" w:hAnsi="宋体"/>
          <w:color w:val="auto"/>
          <w:sz w:val="24"/>
          <w:highlight w:val="none"/>
        </w:rPr>
        <w:t>本招标文件包括下列文件，以及所有按本须知第7条发出的澄清或修改和按本须知第8条发出的招标答疑会会议纪要：</w:t>
      </w:r>
    </w:p>
    <w:p w14:paraId="61286EA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（1）招标公告；</w:t>
      </w:r>
    </w:p>
    <w:p w14:paraId="7529804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（2）投标人须知；</w:t>
      </w:r>
    </w:p>
    <w:p w14:paraId="6DF8C93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（3）评标</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定标</w:t>
      </w:r>
      <w:r>
        <w:rPr>
          <w:rFonts w:hint="eastAsia" w:ascii="宋体" w:hAnsi="宋体"/>
          <w:bCs/>
          <w:color w:val="auto"/>
          <w:sz w:val="24"/>
          <w:highlight w:val="none"/>
        </w:rPr>
        <w:t>办法；</w:t>
      </w:r>
    </w:p>
    <w:p w14:paraId="32A678BA">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（4）合同条款及格式；</w:t>
      </w:r>
    </w:p>
    <w:p w14:paraId="052ED68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（5）工程量清单</w:t>
      </w:r>
      <w:r>
        <w:rPr>
          <w:rFonts w:hint="eastAsia" w:ascii="宋体" w:hAnsi="宋体"/>
          <w:bCs/>
          <w:strike w:val="0"/>
          <w:color w:val="auto"/>
          <w:sz w:val="24"/>
          <w:highlight w:val="none"/>
          <w:u w:val="single"/>
          <w:lang w:eastAsia="zh-CN"/>
        </w:rPr>
        <w:t>（</w:t>
      </w:r>
      <w:r>
        <w:rPr>
          <w:rFonts w:hint="eastAsia" w:ascii="宋体" w:hAnsi="宋体"/>
          <w:bCs/>
          <w:strike w:val="0"/>
          <w:color w:val="auto"/>
          <w:sz w:val="24"/>
          <w:highlight w:val="none"/>
          <w:u w:val="single"/>
          <w:lang w:val="en-US" w:eastAsia="zh-CN"/>
        </w:rPr>
        <w:t>另册</w:t>
      </w:r>
      <w:r>
        <w:rPr>
          <w:rFonts w:hint="eastAsia" w:ascii="宋体" w:hAnsi="宋体"/>
          <w:bCs/>
          <w:strike w:val="0"/>
          <w:color w:val="auto"/>
          <w:sz w:val="24"/>
          <w:highlight w:val="none"/>
          <w:u w:val="single"/>
          <w:lang w:eastAsia="zh-CN"/>
        </w:rPr>
        <w:t>）</w:t>
      </w:r>
      <w:r>
        <w:rPr>
          <w:rFonts w:hint="eastAsia" w:ascii="宋体" w:hAnsi="宋体"/>
          <w:bCs/>
          <w:color w:val="auto"/>
          <w:sz w:val="24"/>
          <w:highlight w:val="none"/>
        </w:rPr>
        <w:t>；</w:t>
      </w:r>
    </w:p>
    <w:p w14:paraId="1BE144A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（6）图纸</w:t>
      </w:r>
      <w:r>
        <w:rPr>
          <w:rFonts w:hint="eastAsia" w:ascii="宋体" w:hAnsi="宋体"/>
          <w:bCs/>
          <w:color w:val="auto"/>
          <w:sz w:val="24"/>
          <w:highlight w:val="none"/>
          <w:u w:val="single"/>
          <w:lang w:eastAsia="zh-CN"/>
        </w:rPr>
        <w:t>（</w:t>
      </w:r>
      <w:r>
        <w:rPr>
          <w:rFonts w:hint="eastAsia" w:ascii="宋体" w:hAnsi="宋体"/>
          <w:bCs/>
          <w:color w:val="auto"/>
          <w:sz w:val="24"/>
          <w:highlight w:val="none"/>
          <w:u w:val="single"/>
          <w:lang w:val="en-US" w:eastAsia="zh-CN"/>
        </w:rPr>
        <w:t>另册</w:t>
      </w:r>
      <w:r>
        <w:rPr>
          <w:rFonts w:hint="eastAsia" w:ascii="宋体" w:hAnsi="宋体"/>
          <w:bCs/>
          <w:color w:val="auto"/>
          <w:sz w:val="24"/>
          <w:highlight w:val="none"/>
          <w:u w:val="single"/>
          <w:lang w:eastAsia="zh-CN"/>
        </w:rPr>
        <w:t>）</w:t>
      </w:r>
      <w:r>
        <w:rPr>
          <w:rFonts w:hint="eastAsia" w:ascii="宋体" w:hAnsi="宋体"/>
          <w:bCs/>
          <w:color w:val="auto"/>
          <w:sz w:val="24"/>
          <w:highlight w:val="none"/>
        </w:rPr>
        <w:t>；</w:t>
      </w:r>
    </w:p>
    <w:p w14:paraId="1713FA8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（7）技术标准和要求；</w:t>
      </w:r>
    </w:p>
    <w:p w14:paraId="354F545A">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（8）投标文件格式；</w:t>
      </w:r>
    </w:p>
    <w:p w14:paraId="5017890B">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否决性条款汇总</w:t>
      </w:r>
      <w:r>
        <w:rPr>
          <w:rFonts w:hint="eastAsia" w:ascii="宋体" w:hAnsi="宋体"/>
          <w:bCs/>
          <w:color w:val="auto"/>
          <w:sz w:val="24"/>
          <w:highlight w:val="none"/>
          <w:lang w:eastAsia="zh-CN"/>
        </w:rPr>
        <w:t>。</w:t>
      </w:r>
    </w:p>
    <w:p w14:paraId="410733CA">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（10）</w:t>
      </w:r>
      <w:r>
        <w:rPr>
          <w:rFonts w:hint="eastAsia" w:ascii="宋体" w:hAnsi="宋体"/>
          <w:bCs/>
          <w:color w:val="auto"/>
          <w:sz w:val="24"/>
          <w:szCs w:val="24"/>
          <w:highlight w:val="none"/>
        </w:rPr>
        <w:t>最高投标限价（招标控制价）</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lang w:val="en-US" w:eastAsia="zh-CN"/>
        </w:rPr>
        <w:t>另册</w:t>
      </w:r>
      <w:r>
        <w:rPr>
          <w:rFonts w:hint="eastAsia" w:ascii="宋体" w:hAnsi="宋体"/>
          <w:bCs/>
          <w:color w:val="auto"/>
          <w:sz w:val="24"/>
          <w:szCs w:val="24"/>
          <w:highlight w:val="none"/>
          <w:u w:val="single"/>
          <w:lang w:eastAsia="zh-CN"/>
        </w:rPr>
        <w:t>）</w:t>
      </w:r>
      <w:r>
        <w:rPr>
          <w:rFonts w:hint="eastAsia" w:ascii="宋体" w:hAnsi="宋体"/>
          <w:bCs/>
          <w:color w:val="auto"/>
          <w:sz w:val="24"/>
          <w:highlight w:val="none"/>
        </w:rPr>
        <w:t>。</w:t>
      </w:r>
    </w:p>
    <w:p w14:paraId="54FA3231">
      <w:pPr>
        <w:pBdr>
          <w:bottom w:val="single" w:color="auto" w:sz="6" w:space="1"/>
        </w:pBdr>
        <w:spacing w:line="360" w:lineRule="auto"/>
        <w:ind w:firstLine="537" w:firstLineChars="224"/>
        <w:rPr>
          <w:rFonts w:hint="eastAsia" w:ascii="宋体" w:hAnsi="宋体"/>
          <w:bCs/>
          <w:color w:val="auto"/>
          <w:sz w:val="24"/>
          <w:highlight w:val="none"/>
        </w:rPr>
      </w:pPr>
      <w:r>
        <w:rPr>
          <w:rFonts w:hint="eastAsia" w:ascii="宋体" w:hAnsi="宋体"/>
          <w:bCs/>
          <w:color w:val="auto"/>
          <w:sz w:val="24"/>
          <w:highlight w:val="none"/>
        </w:rPr>
        <w:t>（11）投标人须知前附表规定的其他材料。</w:t>
      </w:r>
    </w:p>
    <w:p w14:paraId="6965DBD4">
      <w:pPr>
        <w:pBdr>
          <w:bottom w:val="single" w:color="auto" w:sz="6" w:space="1"/>
        </w:pBdr>
        <w:spacing w:line="360" w:lineRule="auto"/>
        <w:ind w:firstLine="537" w:firstLineChars="224"/>
        <w:rPr>
          <w:rFonts w:hint="eastAsia" w:ascii="宋体" w:hAnsi="宋体"/>
          <w:bCs/>
          <w:color w:val="auto"/>
          <w:sz w:val="24"/>
          <w:highlight w:val="none"/>
        </w:rPr>
      </w:pPr>
      <w:r>
        <w:rPr>
          <w:rFonts w:hint="eastAsia" w:ascii="宋体" w:hAnsi="宋体"/>
          <w:bCs/>
          <w:color w:val="auto"/>
          <w:sz w:val="24"/>
          <w:highlight w:val="none"/>
        </w:rPr>
        <w:t>招标人应在技术条件（工程建设标准）中明确施工现场建筑垃圾源头减量的具体要求和建筑垃圾综合利用产品的使用要求。</w:t>
      </w:r>
    </w:p>
    <w:p w14:paraId="31739BD7">
      <w:pPr>
        <w:spacing w:line="360" w:lineRule="auto"/>
        <w:ind w:firstLine="540" w:firstLineChars="224"/>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条款号：2.</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 xml:space="preserve">             修改类型：</w:t>
      </w:r>
      <w:r>
        <w:rPr>
          <w:rFonts w:hint="eastAsia" w:ascii="宋体" w:hAnsi="宋体" w:cs="宋体"/>
          <w:b/>
          <w:bCs/>
          <w:color w:val="auto"/>
          <w:sz w:val="24"/>
          <w:szCs w:val="24"/>
          <w:highlight w:val="none"/>
          <w:lang w:val="en-US" w:eastAsia="zh-CN"/>
        </w:rPr>
        <w:t>新增</w:t>
      </w:r>
    </w:p>
    <w:p w14:paraId="01C2E94E">
      <w:pPr>
        <w:pBdr>
          <w:bottom w:val="single" w:color="auto" w:sz="6" w:space="1"/>
        </w:pBd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请各投标单位在投标系统上传投标文件时，要把资审文件、技术文件、经济文件等内容，分别上传至投标系统内对应的文件夹中，不要上传到定标文件夹中。定标文件夹中只上传定标文件。</w:t>
      </w:r>
    </w:p>
    <w:p w14:paraId="34813C2E">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注：投标单位提交的定标文件在评标阶段不对评标委员会公开，由交易中心系统对定标文件进行加密处理；评标委员会不对定标文件进行评审，因投标人未按招标文件要求提供规定的资料，而未能通过初步评审或影响评分的后果由投标人自行承担。</w:t>
      </w:r>
    </w:p>
    <w:p w14:paraId="26C1927C">
      <w:pPr>
        <w:spacing w:line="360" w:lineRule="auto"/>
        <w:ind w:firstLine="540" w:firstLineChars="224"/>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条款号：2.2.2             修改类型：修改</w:t>
      </w:r>
    </w:p>
    <w:p w14:paraId="3D286903">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bCs/>
          <w:color w:val="auto"/>
          <w:sz w:val="24"/>
          <w:szCs w:val="24"/>
          <w:highlight w:val="none"/>
        </w:rPr>
        <w:t>原文：</w:t>
      </w:r>
      <w:r>
        <w:rPr>
          <w:rFonts w:ascii="宋体" w:hAnsi="宋体"/>
          <w:bCs/>
          <w:color w:val="auto"/>
          <w:sz w:val="24"/>
          <w:highlight w:val="none"/>
        </w:rPr>
        <w:t>2.2.2</w:t>
      </w:r>
      <w:r>
        <w:rPr>
          <w:rFonts w:hint="eastAsia" w:ascii="宋体" w:hAnsi="宋体"/>
          <w:bCs/>
          <w:color w:val="auto"/>
          <w:sz w:val="24"/>
          <w:highlight w:val="none"/>
        </w:rPr>
        <w:t>招标答疑会会议纪要将在提交投标文件截止时间 15 日前在</w:t>
      </w:r>
      <w:r>
        <w:rPr>
          <w:rFonts w:hint="eastAsia" w:ascii="宋体" w:hAnsi="宋体"/>
          <w:bCs/>
          <w:color w:val="auto"/>
          <w:sz w:val="24"/>
          <w:highlight w:val="none"/>
          <w:u w:val="single"/>
          <w:lang w:eastAsia="zh-CN"/>
        </w:rPr>
        <w:t>广州交易集团有限公司（广州公共资源交易中心）</w:t>
      </w:r>
      <w:r>
        <w:rPr>
          <w:rFonts w:hint="eastAsia" w:ascii="宋体" w:hAnsi="宋体"/>
          <w:bCs/>
          <w:color w:val="auto"/>
          <w:sz w:val="24"/>
          <w:highlight w:val="none"/>
          <w:lang w:eastAsia="zh-CN"/>
        </w:rPr>
        <w:t>网站</w:t>
      </w:r>
      <w:r>
        <w:rPr>
          <w:rFonts w:hint="eastAsia" w:ascii="宋体" w:hAnsi="宋体"/>
          <w:bCs/>
          <w:color w:val="auto"/>
          <w:sz w:val="24"/>
          <w:highlight w:val="none"/>
        </w:rPr>
        <w:t>“项目答疑纪要”专区公开发布。答疑纪要一经在</w:t>
      </w:r>
      <w:r>
        <w:rPr>
          <w:rFonts w:hint="eastAsia" w:ascii="宋体" w:hAnsi="宋体"/>
          <w:bCs/>
          <w:color w:val="auto"/>
          <w:sz w:val="24"/>
          <w:highlight w:val="none"/>
          <w:u w:val="single"/>
          <w:lang w:eastAsia="zh-CN"/>
        </w:rPr>
        <w:t>广州交易集团有限公司（广州公共资源交易中心）</w:t>
      </w:r>
      <w:r>
        <w:rPr>
          <w:rFonts w:hint="eastAsia" w:ascii="宋体" w:hAnsi="宋体"/>
          <w:bCs/>
          <w:color w:val="auto"/>
          <w:sz w:val="24"/>
          <w:highlight w:val="none"/>
          <w:lang w:eastAsia="zh-CN"/>
        </w:rPr>
        <w:t>网站</w:t>
      </w:r>
      <w:r>
        <w:rPr>
          <w:rFonts w:hint="eastAsia" w:ascii="宋体" w:hAnsi="宋体"/>
          <w:bCs/>
          <w:color w:val="auto"/>
          <w:sz w:val="24"/>
          <w:highlight w:val="none"/>
        </w:rPr>
        <w:t>发布，视作已发放给所有投标人。</w:t>
      </w:r>
    </w:p>
    <w:p w14:paraId="2155A864">
      <w:pPr>
        <w:pBdr>
          <w:bottom w:val="single" w:color="auto" w:sz="6" w:space="1"/>
        </w:pBd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2.2.2 投标人应在投标截止时间前</w:t>
      </w:r>
      <w:r>
        <w:rPr>
          <w:rFonts w:hint="eastAsia" w:ascii="宋体" w:hAnsi="宋体" w:cs="宋体"/>
          <w:b/>
          <w:bCs/>
          <w:color w:val="auto"/>
          <w:sz w:val="24"/>
          <w:szCs w:val="24"/>
          <w:highlight w:val="none"/>
        </w:rPr>
        <w:t>18日</w:t>
      </w:r>
      <w:r>
        <w:rPr>
          <w:rFonts w:hint="eastAsia" w:ascii="宋体" w:hAnsi="宋体" w:cs="宋体"/>
          <w:color w:val="auto"/>
          <w:sz w:val="24"/>
          <w:szCs w:val="24"/>
          <w:highlight w:val="none"/>
        </w:rPr>
        <w:t>停止提问。招标人应在投标截止时间</w:t>
      </w:r>
      <w:r>
        <w:rPr>
          <w:rFonts w:hint="eastAsia" w:ascii="宋体" w:hAnsi="宋体" w:cs="宋体"/>
          <w:b/>
          <w:bCs/>
          <w:color w:val="auto"/>
          <w:sz w:val="24"/>
          <w:szCs w:val="24"/>
          <w:highlight w:val="none"/>
        </w:rPr>
        <w:t>15日</w:t>
      </w:r>
      <w:r>
        <w:rPr>
          <w:rFonts w:hint="eastAsia" w:ascii="宋体" w:hAnsi="宋体" w:cs="宋体"/>
          <w:color w:val="auto"/>
          <w:sz w:val="24"/>
          <w:szCs w:val="24"/>
          <w:highlight w:val="none"/>
        </w:rPr>
        <w:t>前解答投标人对招标文件提出的疑问，形成答疑纪要，在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rPr>
        <w:t>网站发布。投标人可直接从交易中心网站“建设工程”-&gt;“项目查询（日程安排、答疑纪要）”专区下载意向项目的答疑纪要；也可以登录交易中心数字交易平台，选择“我是投标人”-&gt;“新建设工程交易平台”-&gt;“我的投标项目列表”-&gt;进入到意向项目，在“答疑纪要”栏查看或下载。</w:t>
      </w:r>
    </w:p>
    <w:p w14:paraId="21333FF3">
      <w:pP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条款号：3.</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 xml:space="preserve">             修改类型：修改</w:t>
      </w:r>
    </w:p>
    <w:p w14:paraId="1FA1689A">
      <w:pPr>
        <w:pStyle w:val="16"/>
        <w:spacing w:after="0" w:line="360" w:lineRule="auto"/>
        <w:ind w:firstLine="482" w:firstLineChars="200"/>
        <w:rPr>
          <w:rFonts w:hint="eastAsia" w:ascii="宋体" w:hAnsi="宋体" w:eastAsia="宋体"/>
          <w:color w:val="auto"/>
          <w:sz w:val="24"/>
          <w:highlight w:val="none"/>
        </w:rPr>
      </w:pPr>
      <w:r>
        <w:rPr>
          <w:rFonts w:hint="eastAsia" w:ascii="宋体" w:hAnsi="宋体" w:eastAsia="宋体" w:cs="宋体"/>
          <w:b/>
          <w:bCs/>
          <w:color w:val="auto"/>
          <w:kern w:val="2"/>
          <w:sz w:val="24"/>
          <w:szCs w:val="24"/>
          <w:highlight w:val="none"/>
        </w:rPr>
        <w:t>原文：</w:t>
      </w:r>
      <w:r>
        <w:rPr>
          <w:rFonts w:hint="eastAsia" w:ascii="宋体" w:hAnsi="宋体" w:eastAsia="宋体"/>
          <w:color w:val="auto"/>
          <w:sz w:val="24"/>
          <w:highlight w:val="none"/>
        </w:rPr>
        <w:t>3.1投标文件的组成</w:t>
      </w:r>
    </w:p>
    <w:p w14:paraId="6BE26CC5">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3.1.1</w:t>
      </w:r>
      <w:r>
        <w:rPr>
          <w:rFonts w:hint="eastAsia" w:ascii="宋体" w:hAnsi="宋体" w:eastAsia="宋体"/>
          <w:color w:val="auto"/>
          <w:sz w:val="24"/>
          <w:highlight w:val="none"/>
        </w:rPr>
        <w:t>投标文件应包括下列内容：</w:t>
      </w:r>
    </w:p>
    <w:p w14:paraId="27EA0C8A">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（1）投标函及投标函附录；</w:t>
      </w:r>
    </w:p>
    <w:p w14:paraId="40F18DB0">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（2）法定代表人身份证明或附有法定代表人身份证明的授权委托书；</w:t>
      </w:r>
    </w:p>
    <w:p w14:paraId="4F1F05D0">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（3）联合体协议书（非联合体不提交）；</w:t>
      </w:r>
    </w:p>
    <w:p w14:paraId="6857C7A2">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（4）投标保证金（</w:t>
      </w:r>
      <w:r>
        <w:rPr>
          <w:rFonts w:hint="eastAsia" w:ascii="宋体" w:hAnsi="宋体" w:eastAsia="宋体"/>
          <w:color w:val="auto"/>
          <w:sz w:val="24"/>
          <w:highlight w:val="none"/>
          <w:lang w:eastAsia="zh-CN"/>
        </w:rPr>
        <w:t>若有</w:t>
      </w:r>
      <w:r>
        <w:rPr>
          <w:rFonts w:hint="eastAsia" w:ascii="宋体" w:hAnsi="宋体" w:eastAsia="宋体"/>
          <w:color w:val="auto"/>
          <w:sz w:val="24"/>
          <w:highlight w:val="none"/>
        </w:rPr>
        <w:t>）；</w:t>
      </w:r>
    </w:p>
    <w:p w14:paraId="05C8344E">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（5）已标价工程量清单（采用综合评估法三的，不用提交）；</w:t>
      </w:r>
    </w:p>
    <w:p w14:paraId="4360CB95">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6）施工组织设计（不要求技术标的可不编制，提交施工组织设计要点；投标人在编制施工组织设计或施工方案时应按照招标人提出的施工现场建筑垃圾源头减量的具体要求以及建筑垃圾综合利用产品的使用要求提供相应措施）； </w:t>
      </w:r>
    </w:p>
    <w:p w14:paraId="43BB76A8">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（7）项目管理机构；</w:t>
      </w:r>
    </w:p>
    <w:p w14:paraId="110E08B9">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（8）资格审查资料；</w:t>
      </w:r>
    </w:p>
    <w:p w14:paraId="0757CE42">
      <w:pPr>
        <w:spacing w:line="360" w:lineRule="auto"/>
        <w:ind w:firstLine="537" w:firstLineChars="224"/>
        <w:rPr>
          <w:rFonts w:hint="eastAsia" w:ascii="宋体" w:hAnsi="宋体" w:cs="宋体"/>
          <w:color w:val="auto"/>
          <w:sz w:val="24"/>
          <w:szCs w:val="24"/>
          <w:highlight w:val="none"/>
        </w:rPr>
      </w:pPr>
      <w:r>
        <w:rPr>
          <w:rFonts w:hint="eastAsia" w:ascii="宋体" w:hAnsi="宋体" w:eastAsia="宋体"/>
          <w:color w:val="auto"/>
          <w:sz w:val="24"/>
          <w:highlight w:val="none"/>
        </w:rPr>
        <w:t>（9）其他应提交的材料。</w:t>
      </w:r>
    </w:p>
    <w:p w14:paraId="5933897C">
      <w:pPr>
        <w:pStyle w:val="16"/>
        <w:spacing w:after="0" w:line="360" w:lineRule="auto"/>
        <w:ind w:firstLine="482" w:firstLineChars="200"/>
        <w:rPr>
          <w:rFonts w:hint="eastAsia" w:ascii="宋体" w:hAnsi="宋体" w:eastAsia="宋体"/>
          <w:color w:val="auto"/>
          <w:sz w:val="24"/>
          <w:highlight w:val="none"/>
        </w:rPr>
      </w:pPr>
      <w:r>
        <w:rPr>
          <w:rFonts w:hint="eastAsia" w:ascii="宋体" w:hAnsi="宋体" w:eastAsia="宋体" w:cs="宋体"/>
          <w:b/>
          <w:bCs/>
          <w:color w:val="auto"/>
          <w:kern w:val="2"/>
          <w:sz w:val="24"/>
          <w:szCs w:val="24"/>
          <w:highlight w:val="none"/>
        </w:rPr>
        <w:t>现文</w:t>
      </w:r>
      <w:r>
        <w:rPr>
          <w:rFonts w:hint="eastAsia" w:ascii="宋体" w:hAnsi="宋体" w:cs="宋体"/>
          <w:b/>
          <w:bCs/>
          <w:color w:val="auto"/>
          <w:sz w:val="24"/>
          <w:szCs w:val="24"/>
          <w:highlight w:val="none"/>
        </w:rPr>
        <w:t>：</w:t>
      </w:r>
      <w:r>
        <w:rPr>
          <w:rFonts w:hint="eastAsia" w:ascii="宋体" w:hAnsi="宋体" w:eastAsia="宋体"/>
          <w:color w:val="auto"/>
          <w:sz w:val="24"/>
          <w:highlight w:val="none"/>
        </w:rPr>
        <w:t>3.1投标文件的组成</w:t>
      </w:r>
    </w:p>
    <w:p w14:paraId="5C598354">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olor w:val="auto"/>
          <w:sz w:val="24"/>
          <w:highlight w:val="none"/>
          <w:lang w:val="en-US" w:eastAsia="zh-CN"/>
        </w:rPr>
        <w:t>3.1.1</w:t>
      </w:r>
      <w:r>
        <w:rPr>
          <w:rFonts w:hint="eastAsia" w:ascii="宋体" w:hAnsi="宋体" w:eastAsia="宋体"/>
          <w:color w:val="auto"/>
          <w:sz w:val="24"/>
          <w:highlight w:val="none"/>
        </w:rPr>
        <w:t>投标文件应包括下列内容</w:t>
      </w:r>
      <w:r>
        <w:rPr>
          <w:rFonts w:hint="eastAsia" w:ascii="宋体" w:hAnsi="宋体" w:cs="宋体"/>
          <w:color w:val="auto"/>
          <w:sz w:val="24"/>
          <w:szCs w:val="24"/>
          <w:highlight w:val="none"/>
        </w:rPr>
        <w:t>：</w:t>
      </w:r>
    </w:p>
    <w:p w14:paraId="6DEBF58A">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（1）投标函及投标函附录；</w:t>
      </w:r>
    </w:p>
    <w:p w14:paraId="3D28E62C">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（2）法定代表人身份证明或附有法定代表人身份证明的授权委托书；</w:t>
      </w:r>
    </w:p>
    <w:p w14:paraId="2B94BE5B">
      <w:pPr>
        <w:pBdr>
          <w:bottom w:val="single" w:color="auto" w:sz="6" w:space="1"/>
        </w:pBdr>
        <w:spacing w:line="360" w:lineRule="auto"/>
        <w:ind w:firstLine="537" w:firstLineChars="224"/>
        <w:rPr>
          <w:rFonts w:hint="eastAsia" w:ascii="宋体" w:hAnsi="宋体" w:cs="宋体"/>
          <w:strike w:val="0"/>
          <w:color w:val="auto"/>
          <w:sz w:val="24"/>
          <w:szCs w:val="24"/>
          <w:highlight w:val="none"/>
        </w:rPr>
      </w:pPr>
      <w:r>
        <w:rPr>
          <w:rFonts w:hint="eastAsia" w:ascii="宋体" w:hAnsi="宋体" w:cs="宋体"/>
          <w:strike w:val="0"/>
          <w:color w:val="auto"/>
          <w:sz w:val="24"/>
          <w:szCs w:val="24"/>
          <w:highlight w:val="none"/>
        </w:rPr>
        <w:t>（3）联合体协议书（</w:t>
      </w:r>
      <w:r>
        <w:rPr>
          <w:rFonts w:hint="eastAsia" w:ascii="宋体" w:hAnsi="宋体" w:eastAsia="宋体"/>
          <w:color w:val="auto"/>
          <w:sz w:val="24"/>
          <w:highlight w:val="none"/>
        </w:rPr>
        <w:t>非联合体不提交</w:t>
      </w:r>
      <w:r>
        <w:rPr>
          <w:rFonts w:hint="eastAsia" w:ascii="宋体" w:hAnsi="宋体" w:cs="宋体"/>
          <w:strike w:val="0"/>
          <w:color w:val="auto"/>
          <w:sz w:val="24"/>
          <w:szCs w:val="24"/>
          <w:highlight w:val="none"/>
        </w:rPr>
        <w:t>）；</w:t>
      </w:r>
    </w:p>
    <w:p w14:paraId="4CFDCCD2">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strike/>
          <w:dstrike w:val="0"/>
          <w:color w:val="auto"/>
          <w:sz w:val="24"/>
          <w:szCs w:val="24"/>
          <w:highlight w:val="none"/>
        </w:rPr>
        <w:t>（4）投标保证金（</w:t>
      </w:r>
      <w:r>
        <w:rPr>
          <w:rFonts w:hint="eastAsia" w:ascii="宋体" w:hAnsi="宋体" w:cs="宋体"/>
          <w:strike/>
          <w:dstrike w:val="0"/>
          <w:color w:val="auto"/>
          <w:sz w:val="24"/>
          <w:szCs w:val="24"/>
          <w:highlight w:val="none"/>
          <w:lang w:val="en-US" w:eastAsia="zh-CN"/>
        </w:rPr>
        <w:t>若有</w:t>
      </w:r>
      <w:r>
        <w:rPr>
          <w:rFonts w:hint="eastAsia" w:ascii="宋体" w:hAnsi="宋体" w:cs="宋体"/>
          <w:strike/>
          <w:dstrike w:val="0"/>
          <w:color w:val="auto"/>
          <w:sz w:val="24"/>
          <w:szCs w:val="24"/>
          <w:highlight w:val="none"/>
        </w:rPr>
        <w:t>）；</w:t>
      </w:r>
    </w:p>
    <w:p w14:paraId="068A705D">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（5）已标价工程量清单</w:t>
      </w:r>
      <w:r>
        <w:rPr>
          <w:rFonts w:hint="eastAsia" w:ascii="宋体" w:hAnsi="宋体" w:cs="宋体"/>
          <w:strike/>
          <w:color w:val="auto"/>
          <w:sz w:val="24"/>
          <w:szCs w:val="24"/>
          <w:highlight w:val="none"/>
        </w:rPr>
        <w:t>（采用综合评估法三的，不用提交）</w:t>
      </w:r>
      <w:r>
        <w:rPr>
          <w:rFonts w:hint="eastAsia" w:ascii="宋体" w:hAnsi="宋体" w:cs="宋体"/>
          <w:color w:val="auto"/>
          <w:sz w:val="24"/>
          <w:szCs w:val="24"/>
          <w:highlight w:val="none"/>
        </w:rPr>
        <w:t>；</w:t>
      </w:r>
    </w:p>
    <w:p w14:paraId="41CDAEFB">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（6）施工组织设计</w:t>
      </w:r>
      <w:r>
        <w:rPr>
          <w:rFonts w:hint="eastAsia" w:ascii="宋体" w:hAnsi="宋体" w:cs="宋体"/>
          <w:strike w:val="0"/>
          <w:color w:val="auto"/>
          <w:sz w:val="24"/>
          <w:szCs w:val="24"/>
          <w:highlight w:val="none"/>
        </w:rPr>
        <w:t>（</w:t>
      </w:r>
      <w:r>
        <w:rPr>
          <w:rFonts w:hint="eastAsia" w:ascii="宋体" w:hAnsi="宋体" w:eastAsia="宋体"/>
          <w:color w:val="auto"/>
          <w:sz w:val="24"/>
          <w:highlight w:val="none"/>
        </w:rPr>
        <w:t>不要求技术标的可不编制，提交施工组织设计要点；投标人在编制施工组织设计或施工方案时应按照招标人提出的施工现场建筑垃圾源头减量的具体要求以及建筑垃圾综合利用产品的使用要求提供相应措施</w:t>
      </w:r>
      <w:r>
        <w:rPr>
          <w:rFonts w:hint="eastAsia" w:ascii="宋体" w:hAnsi="宋体" w:cs="宋体"/>
          <w:strike w:val="0"/>
          <w:color w:val="auto"/>
          <w:sz w:val="24"/>
          <w:szCs w:val="24"/>
          <w:highlight w:val="none"/>
        </w:rPr>
        <w:t>）</w:t>
      </w:r>
      <w:r>
        <w:rPr>
          <w:rFonts w:hint="eastAsia" w:ascii="宋体" w:hAnsi="宋体" w:cs="宋体"/>
          <w:color w:val="auto"/>
          <w:sz w:val="24"/>
          <w:szCs w:val="24"/>
          <w:highlight w:val="none"/>
        </w:rPr>
        <w:t xml:space="preserve">； </w:t>
      </w:r>
    </w:p>
    <w:p w14:paraId="5984CCFB">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（7）项目管理机构；</w:t>
      </w:r>
    </w:p>
    <w:p w14:paraId="3585756F">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（8）资格审查资料；</w:t>
      </w:r>
    </w:p>
    <w:p w14:paraId="431A0218">
      <w:pPr>
        <w:pBdr>
          <w:bottom w:val="single" w:color="auto" w:sz="6" w:space="1"/>
        </w:pBdr>
        <w:spacing w:line="360" w:lineRule="auto"/>
        <w:ind w:firstLine="537" w:firstLineChars="224"/>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9）定标文件（定标文件主要包括下列内容：定标评审方案因素按投标人提交的定标方案进行评审方案因素包含：①团队配置、②施工管理措施、③成本控制措施、④资金管理措施。定标评审价格因素按投标总价评审，不需要重复提交投标报价资料。）。注：定标文件的递交时间和形式由投标人按照招标文件要求执行。投标人也可不提交定标文件，不提供的不作为否决投标处理。</w:t>
      </w:r>
    </w:p>
    <w:p w14:paraId="33104E2C">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其他应提交的材料。</w:t>
      </w:r>
    </w:p>
    <w:p w14:paraId="1AC16011">
      <w:pP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条款号：3.2.1-3.2.2             修改类型：修改</w:t>
      </w:r>
    </w:p>
    <w:p w14:paraId="236A5328">
      <w:pPr>
        <w:pBdr>
          <w:bottom w:val="single" w:color="auto" w:sz="6" w:space="1"/>
        </w:pBd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原文：</w:t>
      </w:r>
      <w:r>
        <w:rPr>
          <w:rFonts w:hint="eastAsia" w:ascii="宋体" w:hAnsi="宋体" w:cs="宋体"/>
          <w:color w:val="auto"/>
          <w:sz w:val="24"/>
          <w:szCs w:val="24"/>
          <w:highlight w:val="none"/>
        </w:rPr>
        <w:t>3.2.1 投标人应按第五章“工程量清单”的要求填写相应表格。（此条不适用于综合评估法三）</w:t>
      </w:r>
    </w:p>
    <w:p w14:paraId="630F533F">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3.2.2 投标人在投标截止时间前修改投标函中的投标报价总额，应同时修改“已标价工程量清单”中的相应报价，投标报价总额为各分项金额之和。此修改须符合本章第4.3款的有关要求。（此条不适用于综合评估法三）</w:t>
      </w:r>
    </w:p>
    <w:p w14:paraId="785D1DE8">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3.2.2</w:t>
      </w:r>
      <w:r>
        <w:rPr>
          <w:rFonts w:hint="eastAsia" w:ascii="宋体" w:hAnsi="宋体" w:eastAsia="宋体"/>
          <w:color w:val="auto"/>
          <w:sz w:val="24"/>
          <w:highlight w:val="none"/>
        </w:rPr>
        <w:t>采用综合评估法三的，投标人在投标截止时间前修改投标函中的投标报价总额，并根据评标办法列明的方法重新计算投标报价下浮率。此修改须符合本章第4.3款的有关要求。</w:t>
      </w:r>
    </w:p>
    <w:p w14:paraId="0D680967">
      <w:pPr>
        <w:pBdr>
          <w:bottom w:val="single" w:color="auto" w:sz="6" w:space="1"/>
        </w:pBdr>
        <w:spacing w:line="360" w:lineRule="auto"/>
        <w:ind w:firstLine="540" w:firstLineChars="224"/>
        <w:rPr>
          <w:rFonts w:hint="eastAsia" w:ascii="宋体" w:hAnsi="宋体" w:cs="宋体"/>
          <w:strike/>
          <w:color w:val="auto"/>
          <w:sz w:val="24"/>
          <w:szCs w:val="24"/>
          <w:highlight w:val="non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3.2.1 投标人应按第五章“工程量清单”的要求填写相应表格。</w:t>
      </w:r>
      <w:r>
        <w:rPr>
          <w:rFonts w:hint="eastAsia" w:ascii="宋体" w:hAnsi="宋体" w:cs="宋体"/>
          <w:strike/>
          <w:color w:val="auto"/>
          <w:sz w:val="24"/>
          <w:szCs w:val="24"/>
          <w:highlight w:val="none"/>
        </w:rPr>
        <w:t>（此条不适用于综合评估法三）</w:t>
      </w:r>
    </w:p>
    <w:p w14:paraId="65A2E502">
      <w:pPr>
        <w:pBdr>
          <w:bottom w:val="single" w:color="auto" w:sz="6" w:space="1"/>
        </w:pBdr>
        <w:spacing w:line="360" w:lineRule="auto"/>
        <w:ind w:firstLine="537" w:firstLineChars="224"/>
        <w:rPr>
          <w:rFonts w:hint="eastAsia" w:ascii="宋体" w:hAnsi="宋体" w:cs="宋体"/>
          <w:strike/>
          <w:color w:val="auto"/>
          <w:sz w:val="24"/>
          <w:szCs w:val="24"/>
          <w:highlight w:val="none"/>
        </w:rPr>
      </w:pPr>
      <w:r>
        <w:rPr>
          <w:rFonts w:hint="eastAsia" w:ascii="宋体" w:hAnsi="宋体" w:cs="宋体"/>
          <w:color w:val="auto"/>
          <w:sz w:val="24"/>
          <w:szCs w:val="24"/>
          <w:highlight w:val="none"/>
        </w:rPr>
        <w:t>3.2.2 投标人在投标截止时间前修改投标函中的投标报价总额，应同时修改“已标价工程量清单”中的相应报价，投标报价总额为各分项金额之和。此修改须符合本章第4.3款的有关要求。</w:t>
      </w:r>
      <w:r>
        <w:rPr>
          <w:rFonts w:hint="eastAsia" w:ascii="宋体" w:hAnsi="宋体" w:cs="宋体"/>
          <w:strike/>
          <w:color w:val="auto"/>
          <w:sz w:val="24"/>
          <w:szCs w:val="24"/>
          <w:highlight w:val="none"/>
        </w:rPr>
        <w:t>（此条不适用于综合评估法三）</w:t>
      </w:r>
    </w:p>
    <w:p w14:paraId="6E9D755B">
      <w:pPr>
        <w:pBdr>
          <w:bottom w:val="single" w:color="auto" w:sz="6" w:space="1"/>
        </w:pBdr>
        <w:spacing w:line="360" w:lineRule="auto"/>
        <w:ind w:firstLine="537" w:firstLineChars="224"/>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3.2.2采用综合评估法三的，投标人在投标截止时间前修改投标函中的投标报价总额，并根据评标办法列明的方法重新计算投标报价下浮率。此修改须符合本章第4.3款的有关要求。</w:t>
      </w:r>
    </w:p>
    <w:p w14:paraId="1F45B119">
      <w:pPr>
        <w:spacing w:line="360" w:lineRule="auto"/>
        <w:ind w:firstLine="540" w:firstLineChars="224"/>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rPr>
        <w:t xml:space="preserve">条款号：3.4.          </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 xml:space="preserve">   修改类型：</w:t>
      </w:r>
      <w:r>
        <w:rPr>
          <w:rFonts w:hint="eastAsia" w:ascii="宋体" w:hAnsi="宋体" w:cs="宋体"/>
          <w:b/>
          <w:bCs/>
          <w:color w:val="auto"/>
          <w:sz w:val="24"/>
          <w:szCs w:val="24"/>
          <w:highlight w:val="none"/>
          <w:lang w:val="en-US" w:eastAsia="zh-CN"/>
        </w:rPr>
        <w:t>删除</w:t>
      </w:r>
    </w:p>
    <w:p w14:paraId="74A0E754">
      <w:pPr>
        <w:pBdr>
          <w:bottom w:val="single" w:color="auto" w:sz="6" w:space="1"/>
        </w:pBdr>
        <w:spacing w:line="360" w:lineRule="auto"/>
        <w:ind w:firstLine="540" w:firstLineChars="224"/>
        <w:rPr>
          <w:rFonts w:hint="eastAsia" w:ascii="宋体" w:hAnsi="宋体" w:cs="宋体"/>
          <w:b w:val="0"/>
          <w:bCs w:val="0"/>
          <w:color w:val="auto"/>
          <w:sz w:val="24"/>
          <w:szCs w:val="24"/>
          <w:highlight w:val="none"/>
          <w:lang w:eastAsia="zh-CN"/>
        </w:rPr>
      </w:pPr>
      <w:r>
        <w:rPr>
          <w:rFonts w:hint="eastAsia" w:ascii="宋体" w:hAnsi="宋体" w:cs="宋体"/>
          <w:b/>
          <w:bCs/>
          <w:color w:val="auto"/>
          <w:sz w:val="24"/>
          <w:szCs w:val="24"/>
          <w:highlight w:val="none"/>
        </w:rPr>
        <w:t>原文：</w:t>
      </w:r>
      <w:r>
        <w:rPr>
          <w:rFonts w:hint="eastAsia" w:ascii="宋体" w:hAnsi="宋体" w:cs="宋体"/>
          <w:b w:val="0"/>
          <w:bCs w:val="0"/>
          <w:color w:val="auto"/>
          <w:sz w:val="24"/>
          <w:szCs w:val="24"/>
          <w:highlight w:val="none"/>
        </w:rPr>
        <w:t>3.4 投标保证金</w:t>
      </w:r>
    </w:p>
    <w:p w14:paraId="1C111A3B">
      <w:pPr>
        <w:pBdr>
          <w:bottom w:val="single" w:color="auto" w:sz="6" w:space="1"/>
        </w:pBdr>
        <w:spacing w:line="360" w:lineRule="auto"/>
        <w:ind w:firstLine="537" w:firstLineChars="224"/>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3.4.1投标人应按投标人须知前附表规定的金额和时间递交投标保证金。招标人应当允许投标人自主选择现金、银行保函、保证保险、专业工程担保公司担保等方式缴纳投标保证金。联合体投标的，其投标保证金可以由主办方递交，并应符合投标人须知前附表的规定。</w:t>
      </w:r>
    </w:p>
    <w:p w14:paraId="4499D4B8">
      <w:pPr>
        <w:pBdr>
          <w:bottom w:val="single" w:color="auto" w:sz="6" w:space="1"/>
        </w:pBdr>
        <w:spacing w:line="360" w:lineRule="auto"/>
        <w:ind w:firstLine="537" w:firstLineChars="224"/>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3.4.2 中标候选人以外的投标人的投标保证金将尽快退还，最迟不超过中标通知书发出之日起五日内；</w:t>
      </w:r>
    </w:p>
    <w:p w14:paraId="0FEF97CB">
      <w:pPr>
        <w:pBdr>
          <w:bottom w:val="single" w:color="auto" w:sz="6" w:space="1"/>
        </w:pBdr>
        <w:spacing w:line="360" w:lineRule="auto"/>
        <w:ind w:firstLine="537" w:firstLineChars="224"/>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3.4.3中标人和其他中标候选人的投标保证金，在书面合同订立之日起五日内予以退还。</w:t>
      </w:r>
    </w:p>
    <w:p w14:paraId="527970DD">
      <w:pPr>
        <w:pBdr>
          <w:bottom w:val="single" w:color="auto" w:sz="6" w:space="1"/>
        </w:pBdr>
        <w:spacing w:line="360" w:lineRule="auto"/>
        <w:ind w:firstLine="537" w:firstLineChars="224"/>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3.4.4 有下列情形之一的，投标保证金将不予退还（是否退还投标保证金由招标人在招标文件中规定）： </w:t>
      </w:r>
    </w:p>
    <w:p w14:paraId="6FF0AF32">
      <w:pPr>
        <w:pBdr>
          <w:bottom w:val="single" w:color="auto" w:sz="6" w:space="1"/>
        </w:pBdr>
        <w:spacing w:line="360" w:lineRule="auto"/>
        <w:ind w:firstLine="537" w:firstLineChars="224"/>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3.4.4.1投标人在规定的投标有效期内撤销其投标文件；</w:t>
      </w:r>
    </w:p>
    <w:p w14:paraId="1D7D2B9D">
      <w:pPr>
        <w:pBdr>
          <w:bottom w:val="single" w:color="auto" w:sz="6" w:space="1"/>
        </w:pBdr>
        <w:spacing w:line="360" w:lineRule="auto"/>
        <w:ind w:firstLine="537" w:firstLineChars="224"/>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3.4.4.2中标人未能在规定期限内按要求提交履约担保；</w:t>
      </w:r>
    </w:p>
    <w:p w14:paraId="7D537E58">
      <w:pPr>
        <w:pBdr>
          <w:bottom w:val="single" w:color="auto" w:sz="6" w:space="1"/>
        </w:pBdr>
        <w:spacing w:line="360" w:lineRule="auto"/>
        <w:ind w:firstLine="537" w:firstLineChars="224"/>
        <w:rPr>
          <w:rFonts w:hint="eastAsia" w:ascii="宋体" w:hAnsi="宋体" w:eastAsia="宋体" w:cs="宋体"/>
          <w:color w:val="auto"/>
          <w:sz w:val="24"/>
          <w:highlight w:val="none"/>
        </w:rPr>
      </w:pPr>
      <w:r>
        <w:rPr>
          <w:rFonts w:hint="eastAsia" w:ascii="宋体" w:hAnsi="宋体" w:cs="宋体"/>
          <w:b w:val="0"/>
          <w:bCs w:val="0"/>
          <w:color w:val="auto"/>
          <w:sz w:val="24"/>
          <w:szCs w:val="24"/>
          <w:highlight w:val="none"/>
        </w:rPr>
        <w:t>3.4.4.3中标人未能在规定期限内签署合同协议。</w:t>
      </w:r>
    </w:p>
    <w:p w14:paraId="2A2DA1F5">
      <w:pP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 xml:space="preserve">条款号：3.5 </w:t>
      </w:r>
      <w:r>
        <w:rPr>
          <w:rFonts w:hint="eastAsia" w:ascii="宋体" w:hAnsi="宋体" w:eastAsia="宋体"/>
          <w:b/>
          <w:bCs/>
          <w:color w:val="auto"/>
          <w:sz w:val="24"/>
          <w:highlight w:val="none"/>
        </w:rPr>
        <w:t>资格审查资料</w:t>
      </w:r>
      <w:r>
        <w:rPr>
          <w:rFonts w:hint="eastAsia" w:ascii="宋体" w:hAnsi="宋体" w:cs="宋体"/>
          <w:b/>
          <w:bCs/>
          <w:color w:val="auto"/>
          <w:sz w:val="24"/>
          <w:szCs w:val="24"/>
          <w:highlight w:val="none"/>
        </w:rPr>
        <w:t xml:space="preserve">            修改类型：修改</w:t>
      </w:r>
    </w:p>
    <w:p w14:paraId="06E1436E">
      <w:pPr>
        <w:pBdr>
          <w:bottom w:val="single" w:color="auto" w:sz="6" w:space="1"/>
        </w:pBdr>
        <w:spacing w:line="360" w:lineRule="auto"/>
        <w:ind w:firstLine="540" w:firstLineChars="224"/>
        <w:rPr>
          <w:rFonts w:hint="eastAsia" w:ascii="宋体" w:hAnsi="宋体" w:cs="宋体"/>
          <w:b w:val="0"/>
          <w:bCs w:val="0"/>
          <w:color w:val="auto"/>
          <w:sz w:val="24"/>
          <w:szCs w:val="24"/>
          <w:highlight w:val="none"/>
        </w:rPr>
      </w:pPr>
      <w:r>
        <w:rPr>
          <w:rFonts w:hint="eastAsia" w:ascii="宋体" w:hAnsi="宋体" w:cs="宋体"/>
          <w:b/>
          <w:bCs/>
          <w:color w:val="auto"/>
          <w:sz w:val="24"/>
          <w:szCs w:val="24"/>
          <w:highlight w:val="none"/>
        </w:rPr>
        <w:t>原文：</w:t>
      </w:r>
      <w:r>
        <w:rPr>
          <w:rFonts w:hint="eastAsia" w:ascii="宋体" w:hAnsi="宋体" w:cs="宋体"/>
          <w:b w:val="0"/>
          <w:bCs w:val="0"/>
          <w:color w:val="auto"/>
          <w:sz w:val="24"/>
          <w:szCs w:val="24"/>
          <w:highlight w:val="none"/>
        </w:rPr>
        <w:t>3.5.1 “投标人基本情况表”应附投标人营业执照副本、资质证书副本和安全生产许可证等材料的扫描件。</w:t>
      </w:r>
    </w:p>
    <w:p w14:paraId="6015C5F8">
      <w:pPr>
        <w:pBdr>
          <w:bottom w:val="single" w:color="auto" w:sz="6" w:space="1"/>
        </w:pBdr>
        <w:spacing w:line="360" w:lineRule="auto"/>
        <w:ind w:firstLine="537" w:firstLineChars="224"/>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3.5.2 项目负责人建造师证和安全生产考核合格证（B证）或建筑施工企业项目负责人安全生产考核合格证书扫描件。</w:t>
      </w:r>
    </w:p>
    <w:p w14:paraId="6A70898E">
      <w:pPr>
        <w:pBdr>
          <w:bottom w:val="single" w:color="auto" w:sz="6" w:space="1"/>
        </w:pBdr>
        <w:spacing w:line="360" w:lineRule="auto"/>
        <w:ind w:firstLine="537" w:firstLineChars="224"/>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3.5.3专职安全员安全生产考核合格证（C证）或建筑施工企业专职安全生产管理人员安全生产考核合格证书扫描件。</w:t>
      </w:r>
    </w:p>
    <w:p w14:paraId="0B3DFF88">
      <w:pPr>
        <w:pBdr>
          <w:bottom w:val="single" w:color="auto" w:sz="6" w:space="1"/>
        </w:pBdr>
        <w:spacing w:line="360" w:lineRule="auto"/>
        <w:ind w:firstLine="537" w:firstLineChars="224"/>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3.5.4 “近年完成的类似项目情况表”应附中标通知书、合同协议书以及合同工程完工证书（或工程竣工证书副本）的扫描件。每张表格只填写一个项目，并标明序号。</w:t>
      </w:r>
    </w:p>
    <w:p w14:paraId="74058A28">
      <w:pPr>
        <w:pBdr>
          <w:bottom w:val="single" w:color="auto" w:sz="6" w:space="1"/>
        </w:pBdr>
        <w:spacing w:line="360" w:lineRule="auto"/>
        <w:ind w:firstLine="537" w:firstLineChars="224"/>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3.5.5 投标人须知前附表规定接受联合体投标的，本章第3.5.1项至第3.5.4项规定的表格和资料应包括联合体各方相关情况。</w:t>
      </w:r>
    </w:p>
    <w:p w14:paraId="08DD15A4">
      <w:pPr>
        <w:pBdr>
          <w:bottom w:val="single" w:color="auto" w:sz="6" w:space="1"/>
        </w:pBdr>
        <w:spacing w:line="360" w:lineRule="auto"/>
        <w:ind w:firstLine="537" w:firstLineChars="224"/>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3.5.6资审要求的其他材料。</w:t>
      </w:r>
    </w:p>
    <w:p w14:paraId="14648D4A">
      <w:pPr>
        <w:pBdr>
          <w:bottom w:val="single" w:color="auto" w:sz="6" w:space="1"/>
        </w:pBd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3.5.</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 “投标人基本情况表”应附投标人营业执照副本、资质证书副本和安全生产许可证等材料的扫描件。</w:t>
      </w:r>
    </w:p>
    <w:p w14:paraId="3BA86427">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项目负责人注册建造师证</w:t>
      </w:r>
      <w:r>
        <w:rPr>
          <w:rFonts w:hint="eastAsia" w:ascii="宋体" w:hAnsi="宋体" w:cs="宋体"/>
          <w:color w:val="auto"/>
          <w:sz w:val="24"/>
          <w:szCs w:val="24"/>
          <w:highlight w:val="none"/>
          <w:lang w:val="en-US" w:eastAsia="zh-CN"/>
        </w:rPr>
        <w:t>和</w:t>
      </w:r>
      <w:r>
        <w:rPr>
          <w:rFonts w:hint="eastAsia" w:ascii="宋体" w:hAnsi="宋体" w:cs="宋体"/>
          <w:color w:val="auto"/>
          <w:sz w:val="24"/>
          <w:szCs w:val="24"/>
          <w:highlight w:val="none"/>
        </w:rPr>
        <w:t>安全</w:t>
      </w:r>
      <w:r>
        <w:rPr>
          <w:rFonts w:hint="eastAsia" w:ascii="宋体" w:hAnsi="宋体" w:cs="宋体"/>
          <w:color w:val="auto"/>
          <w:sz w:val="24"/>
          <w:szCs w:val="24"/>
          <w:highlight w:val="none"/>
          <w:lang w:val="en-US" w:eastAsia="zh-CN"/>
        </w:rPr>
        <w:t>生产</w:t>
      </w:r>
      <w:r>
        <w:rPr>
          <w:rFonts w:hint="eastAsia" w:ascii="宋体" w:hAnsi="宋体" w:cs="宋体"/>
          <w:color w:val="auto"/>
          <w:sz w:val="24"/>
          <w:szCs w:val="24"/>
          <w:highlight w:val="none"/>
        </w:rPr>
        <w:t>考核合格证（B类）或建筑施工企业项目负责人安全生产考核合格证书扫描件。</w:t>
      </w:r>
    </w:p>
    <w:p w14:paraId="5400D666">
      <w:pPr>
        <w:pBdr>
          <w:bottom w:val="single" w:color="auto" w:sz="6" w:space="1"/>
        </w:pBd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专职安全员在有效期内的安全生产考核合格证（C类）或建筑施工企业专职安全生产管理人员安全生产考核合格证书（C3）</w:t>
      </w:r>
      <w:r>
        <w:rPr>
          <w:rFonts w:hint="eastAsia" w:ascii="宋体" w:hAnsi="宋体" w:cs="宋体"/>
          <w:color w:val="auto"/>
          <w:kern w:val="0"/>
          <w:sz w:val="24"/>
          <w:highlight w:val="none"/>
        </w:rPr>
        <w:t>扫描件</w:t>
      </w:r>
      <w:r>
        <w:rPr>
          <w:rFonts w:hint="eastAsia" w:ascii="宋体" w:hAnsi="宋体" w:cs="宋体"/>
          <w:color w:val="auto"/>
          <w:sz w:val="24"/>
          <w:szCs w:val="24"/>
          <w:highlight w:val="none"/>
        </w:rPr>
        <w:t>。</w:t>
      </w:r>
    </w:p>
    <w:p w14:paraId="17A8537A">
      <w:pPr>
        <w:pBdr>
          <w:bottom w:val="single" w:color="auto" w:sz="6" w:space="1"/>
        </w:pBdr>
        <w:spacing w:line="360" w:lineRule="auto"/>
        <w:ind w:firstLine="537" w:firstLineChars="224"/>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3.5.</w:t>
      </w:r>
      <w:r>
        <w:rPr>
          <w:rFonts w:hint="eastAsia" w:ascii="宋体" w:hAnsi="宋体" w:cs="宋体"/>
          <w:strike/>
          <w:color w:val="auto"/>
          <w:sz w:val="24"/>
          <w:szCs w:val="24"/>
          <w:highlight w:val="none"/>
          <w:lang w:val="en-US" w:eastAsia="zh-CN"/>
        </w:rPr>
        <w:t>4</w:t>
      </w:r>
      <w:r>
        <w:rPr>
          <w:rFonts w:hint="eastAsia" w:ascii="宋体" w:hAnsi="宋体" w:cs="宋体"/>
          <w:strike/>
          <w:color w:val="auto"/>
          <w:sz w:val="24"/>
          <w:szCs w:val="24"/>
          <w:highlight w:val="none"/>
        </w:rPr>
        <w:t xml:space="preserve"> “近年完成的类似项目情况表”应附中标通知书、合同协议书以及合同工程完工证书（或工程竣工证书副本）的</w:t>
      </w:r>
      <w:r>
        <w:rPr>
          <w:rFonts w:hint="eastAsia" w:ascii="宋体" w:hAnsi="宋体" w:cs="宋体"/>
          <w:strike/>
          <w:color w:val="auto"/>
          <w:sz w:val="24"/>
          <w:szCs w:val="24"/>
          <w:highlight w:val="none"/>
          <w:lang w:eastAsia="zh-CN"/>
        </w:rPr>
        <w:t>扫描件</w:t>
      </w:r>
      <w:r>
        <w:rPr>
          <w:rFonts w:hint="eastAsia" w:ascii="宋体" w:hAnsi="宋体" w:cs="宋体"/>
          <w:strike/>
          <w:color w:val="auto"/>
          <w:sz w:val="24"/>
          <w:szCs w:val="24"/>
          <w:highlight w:val="none"/>
        </w:rPr>
        <w:t>。每张表格只填写一个项目，并标明序号。</w:t>
      </w:r>
    </w:p>
    <w:p w14:paraId="1A1347C6">
      <w:pPr>
        <w:pBdr>
          <w:bottom w:val="single" w:color="auto" w:sz="6" w:space="1"/>
        </w:pBdr>
        <w:spacing w:line="360" w:lineRule="auto"/>
        <w:ind w:firstLine="537" w:firstLineChars="224"/>
        <w:rPr>
          <w:rFonts w:hint="eastAsia" w:ascii="宋体" w:hAnsi="宋体" w:cs="宋体"/>
          <w:strike/>
          <w:color w:val="auto"/>
          <w:sz w:val="24"/>
          <w:szCs w:val="24"/>
          <w:highlight w:val="none"/>
        </w:rPr>
      </w:pPr>
      <w:r>
        <w:rPr>
          <w:rFonts w:hint="eastAsia" w:ascii="宋体" w:hAnsi="宋体" w:cs="宋体"/>
          <w:b w:val="0"/>
          <w:bCs w:val="0"/>
          <w:color w:val="auto"/>
          <w:sz w:val="24"/>
          <w:szCs w:val="24"/>
          <w:highlight w:val="none"/>
        </w:rPr>
        <w:t>3.5.</w:t>
      </w:r>
      <w:r>
        <w:rPr>
          <w:rFonts w:hint="eastAsia" w:ascii="宋体" w:hAnsi="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rPr>
        <w:t xml:space="preserve"> </w:t>
      </w:r>
      <w:r>
        <w:rPr>
          <w:rFonts w:hint="eastAsia" w:ascii="宋体" w:hAnsi="宋体" w:cs="宋体"/>
          <w:strike w:val="0"/>
          <w:color w:val="auto"/>
          <w:sz w:val="24"/>
          <w:szCs w:val="24"/>
          <w:highlight w:val="none"/>
        </w:rPr>
        <w:t>投标人须知前附表规定接受联合体投标的，本章第3.5.1项至第</w:t>
      </w:r>
      <w:r>
        <w:rPr>
          <w:rFonts w:hint="eastAsia" w:ascii="宋体" w:hAnsi="宋体" w:cs="宋体"/>
          <w:strike w:val="0"/>
          <w:color w:val="auto"/>
          <w:sz w:val="24"/>
          <w:szCs w:val="24"/>
          <w:highlight w:val="none"/>
          <w:u w:val="single"/>
        </w:rPr>
        <w:t>3.5.</w:t>
      </w:r>
      <w:r>
        <w:rPr>
          <w:rFonts w:hint="eastAsia" w:ascii="宋体" w:hAnsi="宋体" w:cs="宋体"/>
          <w:strike w:val="0"/>
          <w:color w:val="auto"/>
          <w:sz w:val="24"/>
          <w:szCs w:val="24"/>
          <w:highlight w:val="none"/>
          <w:u w:val="single"/>
          <w:lang w:val="en-US" w:eastAsia="zh-CN"/>
        </w:rPr>
        <w:t>3</w:t>
      </w:r>
      <w:r>
        <w:rPr>
          <w:rFonts w:hint="eastAsia" w:ascii="宋体" w:hAnsi="宋体" w:cs="宋体"/>
          <w:strike w:val="0"/>
          <w:color w:val="auto"/>
          <w:sz w:val="24"/>
          <w:szCs w:val="24"/>
          <w:highlight w:val="none"/>
        </w:rPr>
        <w:t>项规定的表格和资料应包括联合体各方相关情况。</w:t>
      </w:r>
    </w:p>
    <w:p w14:paraId="3E453665">
      <w:pPr>
        <w:pBdr>
          <w:bottom w:val="single" w:color="auto" w:sz="6" w:space="1"/>
        </w:pBdr>
        <w:spacing w:line="360" w:lineRule="auto"/>
        <w:ind w:firstLine="537" w:firstLineChars="224"/>
        <w:rPr>
          <w:rFonts w:hint="eastAsia" w:ascii="宋体" w:hAnsi="宋体" w:cs="宋体"/>
          <w:b w:val="0"/>
          <w:bCs w:val="0"/>
          <w:color w:val="auto"/>
          <w:sz w:val="24"/>
          <w:szCs w:val="24"/>
          <w:highlight w:val="none"/>
          <w:u w:val="single"/>
        </w:rPr>
      </w:pPr>
      <w:r>
        <w:rPr>
          <w:rFonts w:hint="eastAsia" w:ascii="宋体" w:hAnsi="宋体" w:cs="宋体"/>
          <w:b w:val="0"/>
          <w:bCs w:val="0"/>
          <w:color w:val="auto"/>
          <w:sz w:val="24"/>
          <w:szCs w:val="24"/>
          <w:highlight w:val="none"/>
          <w:u w:val="single"/>
        </w:rPr>
        <w:t>3.5.</w:t>
      </w:r>
      <w:r>
        <w:rPr>
          <w:rFonts w:hint="eastAsia" w:ascii="宋体" w:hAnsi="宋体" w:cs="宋体"/>
          <w:b w:val="0"/>
          <w:bCs w:val="0"/>
          <w:color w:val="auto"/>
          <w:sz w:val="24"/>
          <w:szCs w:val="24"/>
          <w:highlight w:val="none"/>
          <w:u w:val="single"/>
          <w:lang w:val="en-US" w:eastAsia="zh-CN"/>
        </w:rPr>
        <w:t>6</w:t>
      </w:r>
      <w:r>
        <w:rPr>
          <w:rFonts w:hint="eastAsia" w:ascii="宋体" w:hAnsi="宋体" w:cs="宋体"/>
          <w:b w:val="0"/>
          <w:bCs w:val="0"/>
          <w:color w:val="auto"/>
          <w:sz w:val="24"/>
          <w:szCs w:val="24"/>
          <w:highlight w:val="none"/>
          <w:u w:val="single"/>
        </w:rPr>
        <w:t>授权的委托代理人及项目部主要组成人员（项目负责人、技术负责人（如有）、专职安全员）在本单位交纳的社保证明文件。</w:t>
      </w:r>
    </w:p>
    <w:p w14:paraId="4545B288">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资审要求的其他材料。</w:t>
      </w:r>
    </w:p>
    <w:p w14:paraId="08D7F6AF">
      <w:pPr>
        <w:pBdr>
          <w:bottom w:val="single" w:color="auto" w:sz="6" w:space="1"/>
        </w:pBdr>
        <w:spacing w:line="360" w:lineRule="auto"/>
        <w:ind w:firstLine="537" w:firstLineChars="224"/>
        <w:rPr>
          <w:rFonts w:hint="eastAsia" w:ascii="宋体" w:hAnsi="宋体" w:eastAsia="宋体" w:cs="宋体"/>
          <w:color w:val="auto"/>
          <w:sz w:val="24"/>
          <w:szCs w:val="24"/>
          <w:highlight w:val="none"/>
          <w:u w:val="single"/>
          <w:lang w:eastAsia="zh-CN"/>
        </w:rPr>
      </w:pPr>
      <w:r>
        <w:rPr>
          <w:rFonts w:hint="default" w:ascii="宋体" w:hAnsi="宋体" w:eastAsia="宋体" w:cs="宋体"/>
          <w:color w:val="auto"/>
          <w:sz w:val="24"/>
          <w:szCs w:val="24"/>
          <w:highlight w:val="none"/>
          <w:u w:val="single"/>
        </w:rPr>
        <w:t>①投标人声明；（按招标公告</w:t>
      </w:r>
      <w:r>
        <w:rPr>
          <w:rFonts w:hint="eastAsia" w:ascii="宋体" w:hAnsi="宋体" w:eastAsia="宋体" w:cs="宋体"/>
          <w:color w:val="auto"/>
          <w:sz w:val="24"/>
          <w:szCs w:val="24"/>
          <w:highlight w:val="none"/>
          <w:u w:val="single"/>
          <w:lang w:val="en-US" w:eastAsia="zh-CN"/>
        </w:rPr>
        <w:t>附件格式</w:t>
      </w:r>
      <w:r>
        <w:rPr>
          <w:rFonts w:hint="default" w:ascii="宋体" w:hAnsi="宋体" w:eastAsia="宋体" w:cs="宋体"/>
          <w:color w:val="auto"/>
          <w:sz w:val="24"/>
          <w:szCs w:val="24"/>
          <w:highlight w:val="none"/>
          <w:u w:val="single"/>
        </w:rPr>
        <w:t>提供）</w:t>
      </w:r>
      <w:r>
        <w:rPr>
          <w:rFonts w:hint="eastAsia" w:ascii="宋体" w:hAnsi="宋体" w:eastAsia="宋体" w:cs="宋体"/>
          <w:color w:val="auto"/>
          <w:sz w:val="24"/>
          <w:szCs w:val="24"/>
          <w:highlight w:val="none"/>
          <w:u w:val="single"/>
          <w:lang w:eastAsia="zh-CN"/>
        </w:rPr>
        <w:t>；</w:t>
      </w:r>
    </w:p>
    <w:p w14:paraId="1E596C7D">
      <w:pPr>
        <w:pBdr>
          <w:bottom w:val="single" w:color="auto" w:sz="6" w:space="1"/>
        </w:pBdr>
        <w:spacing w:line="360" w:lineRule="auto"/>
        <w:ind w:firstLine="537" w:firstLineChars="224"/>
        <w:rPr>
          <w:rFonts w:hint="default" w:ascii="宋体" w:hAnsi="宋体" w:eastAsia="宋体" w:cs="宋体"/>
          <w:color w:val="auto"/>
          <w:sz w:val="24"/>
          <w:szCs w:val="24"/>
          <w:highlight w:val="none"/>
          <w:u w:val="single"/>
          <w:lang w:eastAsia="zh-CN"/>
        </w:rPr>
      </w:pPr>
      <w:r>
        <w:rPr>
          <w:rFonts w:hint="default" w:ascii="宋体" w:hAnsi="宋体" w:eastAsia="宋体" w:cs="宋体"/>
          <w:color w:val="auto"/>
          <w:sz w:val="24"/>
          <w:szCs w:val="24"/>
          <w:highlight w:val="none"/>
          <w:u w:val="single"/>
          <w:lang w:eastAsia="zh-CN"/>
        </w:rPr>
        <w:t>②法定代表人证明书及有效的法定代表人身份证正反面扫描件、法定代表人签字或盖章的本投标文件授权委托证明书扫描件及有效的被授权人身份证正反面扫描件；</w:t>
      </w:r>
    </w:p>
    <w:p w14:paraId="2E8D0DAB">
      <w:pPr>
        <w:pBdr>
          <w:bottom w:val="single" w:color="auto" w:sz="6" w:space="1"/>
        </w:pBdr>
        <w:spacing w:line="360" w:lineRule="auto"/>
        <w:ind w:firstLine="537" w:firstLineChars="224"/>
        <w:rPr>
          <w:rFonts w:hint="default" w:ascii="宋体" w:hAnsi="宋体" w:eastAsia="宋体" w:cs="宋体"/>
          <w:color w:val="auto"/>
          <w:sz w:val="24"/>
          <w:szCs w:val="24"/>
          <w:highlight w:val="none"/>
          <w:u w:val="single"/>
          <w:lang w:eastAsia="zh-CN"/>
        </w:rPr>
      </w:pPr>
      <w:r>
        <w:rPr>
          <w:rFonts w:hint="default" w:ascii="宋体" w:hAnsi="宋体" w:eastAsia="宋体" w:cs="宋体"/>
          <w:color w:val="auto"/>
          <w:sz w:val="24"/>
          <w:szCs w:val="24"/>
          <w:highlight w:val="none"/>
          <w:u w:val="single"/>
          <w:lang w:eastAsia="zh-CN"/>
        </w:rPr>
        <w:t>③授权的委托代理人及项目部主要组成人员（项目负责人、技术负责人、专职安全员）在本单位交纳的社保证明文件、身份证正反面扫描件。</w:t>
      </w:r>
    </w:p>
    <w:p w14:paraId="77D68FAC">
      <w:pPr>
        <w:pBdr>
          <w:bottom w:val="single" w:color="auto" w:sz="6" w:space="1"/>
        </w:pBdr>
        <w:spacing w:line="360" w:lineRule="auto"/>
        <w:ind w:firstLine="537" w:firstLineChars="224"/>
        <w:rPr>
          <w:rFonts w:hint="eastAsia" w:ascii="宋体" w:hAnsi="宋体" w:eastAsia="宋体" w:cs="宋体"/>
          <w:color w:val="auto"/>
          <w:sz w:val="24"/>
          <w:szCs w:val="24"/>
          <w:highlight w:val="none"/>
          <w:u w:val="single"/>
          <w:lang w:val="en-US" w:eastAsia="zh-CN"/>
        </w:rPr>
      </w:pPr>
      <w:r>
        <w:rPr>
          <w:rFonts w:hint="default" w:ascii="宋体" w:hAnsi="宋体" w:eastAsia="宋体" w:cs="宋体"/>
          <w:color w:val="auto"/>
          <w:sz w:val="24"/>
          <w:szCs w:val="24"/>
          <w:highlight w:val="none"/>
          <w:u w:val="single"/>
          <w:lang w:eastAsia="zh-CN"/>
        </w:rPr>
        <w:t>④投标人认为需要提供的其他资审要求材料</w:t>
      </w:r>
      <w:r>
        <w:rPr>
          <w:rFonts w:hint="eastAsia" w:ascii="宋体" w:hAnsi="宋体" w:eastAsia="宋体" w:cs="宋体"/>
          <w:color w:val="auto"/>
          <w:sz w:val="24"/>
          <w:szCs w:val="24"/>
          <w:highlight w:val="none"/>
          <w:u w:val="single"/>
          <w:lang w:eastAsia="zh-CN"/>
        </w:rPr>
        <w:t>。</w:t>
      </w:r>
    </w:p>
    <w:p w14:paraId="5537E7DB">
      <w:pP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条款号：</w:t>
      </w:r>
      <w:r>
        <w:rPr>
          <w:rFonts w:hint="eastAsia" w:ascii="宋体" w:hAnsi="宋体" w:cs="宋体"/>
          <w:b/>
          <w:bCs/>
          <w:color w:val="auto"/>
          <w:sz w:val="24"/>
          <w:szCs w:val="24"/>
          <w:highlight w:val="none"/>
          <w:lang w:val="en-US" w:eastAsia="zh-CN"/>
        </w:rPr>
        <w:t>3.6.2</w:t>
      </w:r>
      <w:r>
        <w:rPr>
          <w:rFonts w:hint="eastAsia" w:ascii="宋体" w:hAnsi="宋体" w:cs="宋体"/>
          <w:b/>
          <w:bCs/>
          <w:color w:val="auto"/>
          <w:sz w:val="24"/>
          <w:szCs w:val="24"/>
          <w:highlight w:val="none"/>
        </w:rPr>
        <w:t xml:space="preserve">             修改类型：修改</w:t>
      </w:r>
    </w:p>
    <w:p w14:paraId="1420F9A9">
      <w:pP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原文：</w:t>
      </w:r>
      <w:r>
        <w:rPr>
          <w:rFonts w:hint="eastAsia" w:ascii="宋体" w:hAnsi="宋体" w:cs="宋体"/>
          <w:color w:val="auto"/>
          <w:sz w:val="24"/>
          <w:szCs w:val="24"/>
          <w:highlight w:val="none"/>
        </w:rPr>
        <w:t>3.6.3</w:t>
      </w:r>
      <w:r>
        <w:rPr>
          <w:rFonts w:hint="eastAsia" w:ascii="宋体" w:hAnsi="宋体" w:eastAsia="宋体"/>
          <w:bCs/>
          <w:color w:val="auto"/>
          <w:sz w:val="24"/>
          <w:szCs w:val="24"/>
          <w:highlight w:val="none"/>
        </w:rPr>
        <w:t>联合体投标时，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w:t>
      </w:r>
      <w:r>
        <w:rPr>
          <w:rFonts w:hint="eastAsia" w:ascii="宋体" w:hAnsi="宋体" w:eastAsia="宋体"/>
          <w:bCs/>
          <w:color w:val="auto"/>
          <w:sz w:val="24"/>
          <w:szCs w:val="24"/>
          <w:highlight w:val="none"/>
          <w:lang w:eastAsia="zh-CN"/>
        </w:rPr>
        <w:t>扫描</w:t>
      </w:r>
      <w:r>
        <w:rPr>
          <w:rFonts w:hint="eastAsia" w:ascii="宋体" w:hAnsi="宋体" w:eastAsia="宋体"/>
          <w:bCs/>
          <w:color w:val="auto"/>
          <w:sz w:val="24"/>
          <w:szCs w:val="24"/>
          <w:highlight w:val="none"/>
        </w:rPr>
        <w:t>件</w:t>
      </w:r>
      <w:r>
        <w:rPr>
          <w:rFonts w:hint="eastAsia" w:ascii="宋体" w:hAnsi="宋体" w:cs="宋体"/>
          <w:color w:val="auto"/>
          <w:sz w:val="24"/>
          <w:szCs w:val="24"/>
          <w:highlight w:val="none"/>
        </w:rPr>
        <w:t>。</w:t>
      </w:r>
    </w:p>
    <w:p w14:paraId="3EF18030">
      <w:pPr>
        <w:pBdr>
          <w:bottom w:val="single" w:color="auto" w:sz="6" w:space="1"/>
        </w:pBdr>
        <w:spacing w:line="360" w:lineRule="auto"/>
        <w:ind w:firstLine="540" w:firstLineChars="224"/>
        <w:rPr>
          <w:rFonts w:hint="eastAsia" w:ascii="宋体" w:hAnsi="宋体" w:cs="宋体"/>
          <w:strike/>
          <w:color w:val="auto"/>
          <w:sz w:val="24"/>
          <w:szCs w:val="24"/>
          <w:highlight w:val="none"/>
        </w:rPr>
      </w:pPr>
      <w:r>
        <w:rPr>
          <w:rFonts w:hint="eastAsia" w:ascii="宋体" w:hAnsi="宋体" w:cs="宋体"/>
          <w:b/>
          <w:bCs/>
          <w:color w:val="auto"/>
          <w:sz w:val="24"/>
          <w:szCs w:val="24"/>
          <w:highlight w:val="none"/>
        </w:rPr>
        <w:t>现文：</w:t>
      </w:r>
      <w:r>
        <w:rPr>
          <w:rFonts w:hint="eastAsia" w:ascii="宋体" w:hAnsi="宋体" w:cs="宋体"/>
          <w:b/>
          <w:bCs/>
          <w:color w:val="auto"/>
          <w:sz w:val="24"/>
          <w:szCs w:val="24"/>
          <w:highlight w:val="none"/>
          <w:lang w:val="en-US" w:eastAsia="zh-CN"/>
        </w:rPr>
        <w:t>3.6.3</w:t>
      </w:r>
      <w:r>
        <w:rPr>
          <w:rFonts w:hint="eastAsia" w:ascii="宋体" w:hAnsi="宋体"/>
          <w:color w:val="auto"/>
          <w:sz w:val="24"/>
          <w:szCs w:val="24"/>
          <w:highlight w:val="none"/>
        </w:rPr>
        <w:t>联合体投标时，</w:t>
      </w:r>
      <w:r>
        <w:rPr>
          <w:rFonts w:hint="eastAsia" w:ascii="宋体" w:hAnsi="宋体"/>
          <w:color w:val="auto"/>
          <w:sz w:val="24"/>
          <w:szCs w:val="24"/>
          <w:highlight w:val="none"/>
          <w:u w:val="single"/>
        </w:rPr>
        <w:t>《投标人声明》、</w:t>
      </w:r>
      <w:r>
        <w:rPr>
          <w:rFonts w:hint="eastAsia" w:ascii="宋体" w:hAnsi="宋体"/>
          <w:color w:val="auto"/>
          <w:sz w:val="24"/>
          <w:szCs w:val="24"/>
          <w:highlight w:val="none"/>
        </w:rPr>
        <w:t>联合体共同投标协议需联合体各方按要求盖章签字，其余可由联合体主办方签字、盖章即可，由联合体主办方法定代表人签字的电子投标文件需提供主办方法定代表人证明书，若由联合体主办方法定代表人授权签字的电子投标文件需提供法定代表人证明书及其授权委托书、授权委托人身份证扫描件</w:t>
      </w:r>
      <w:r>
        <w:rPr>
          <w:rFonts w:hint="eastAsia" w:ascii="宋体" w:hAnsi="宋体"/>
          <w:color w:val="auto"/>
          <w:sz w:val="24"/>
          <w:highlight w:val="none"/>
        </w:rPr>
        <w:t>。</w:t>
      </w:r>
    </w:p>
    <w:p w14:paraId="717F5BE6">
      <w:pP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条款号：4.3.3             修改类型：修改</w:t>
      </w:r>
    </w:p>
    <w:p w14:paraId="0C259281">
      <w:pP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原文：</w:t>
      </w:r>
      <w:r>
        <w:rPr>
          <w:rFonts w:hint="eastAsia" w:ascii="宋体" w:hAnsi="宋体" w:cs="宋体"/>
          <w:color w:val="auto"/>
          <w:sz w:val="24"/>
          <w:szCs w:val="24"/>
          <w:highlight w:val="none"/>
        </w:rPr>
        <w:t>4.3.3 到投标截止时间止，招标人收到的投标文件少于3家的，招标人将依法重新组织招标。（当N个标段同时招标且不允许兼中时，若有效投标人不足N+2家，则重新组织招标）。</w:t>
      </w:r>
    </w:p>
    <w:p w14:paraId="54AF81A0">
      <w:pPr>
        <w:pBdr>
          <w:bottom w:val="single" w:color="auto" w:sz="6" w:space="1"/>
        </w:pBdr>
        <w:spacing w:line="360" w:lineRule="auto"/>
        <w:ind w:firstLine="540" w:firstLineChars="224"/>
        <w:rPr>
          <w:rFonts w:hint="eastAsia" w:ascii="宋体" w:hAnsi="宋体" w:cs="宋体"/>
          <w:strike/>
          <w:color w:val="auto"/>
          <w:sz w:val="24"/>
          <w:szCs w:val="24"/>
          <w:highlight w:val="none"/>
        </w:rPr>
      </w:pPr>
      <w:r>
        <w:rPr>
          <w:rFonts w:hint="eastAsia" w:ascii="宋体" w:hAnsi="宋体" w:cs="宋体"/>
          <w:b/>
          <w:bCs/>
          <w:color w:val="auto"/>
          <w:sz w:val="24"/>
          <w:szCs w:val="24"/>
          <w:highlight w:val="none"/>
        </w:rPr>
        <w:t>现文：</w:t>
      </w:r>
      <w:r>
        <w:rPr>
          <w:rFonts w:hint="eastAsia" w:ascii="宋体" w:hAnsi="宋体"/>
          <w:color w:val="auto"/>
          <w:sz w:val="24"/>
          <w:szCs w:val="24"/>
          <w:highlight w:val="none"/>
        </w:rPr>
        <w:t>4.3</w:t>
      </w:r>
      <w:r>
        <w:rPr>
          <w:rFonts w:hint="eastAsia" w:ascii="宋体" w:hAnsi="宋体"/>
          <w:color w:val="auto"/>
          <w:sz w:val="24"/>
          <w:highlight w:val="none"/>
        </w:rPr>
        <w:t>.3 到投标截止时间止，招标人收到的投标文件少于3家的，招标人将依法重新组织招标。</w:t>
      </w:r>
    </w:p>
    <w:p w14:paraId="5C04D9BE">
      <w:pPr>
        <w:keepNext w:val="0"/>
        <w:keepLines w:val="0"/>
        <w:pageBreakBefore w:val="0"/>
        <w:pBdr>
          <w:bottom w:val="single" w:color="auto" w:sz="4" w:space="0"/>
        </w:pBd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条款号：4.</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.3             修改类型：</w:t>
      </w:r>
      <w:r>
        <w:rPr>
          <w:rFonts w:hint="eastAsia" w:ascii="宋体" w:hAnsi="宋体" w:eastAsia="宋体" w:cs="宋体"/>
          <w:b/>
          <w:bCs/>
          <w:color w:val="auto"/>
          <w:sz w:val="24"/>
          <w:szCs w:val="24"/>
          <w:highlight w:val="none"/>
          <w:lang w:eastAsia="zh-CN"/>
        </w:rPr>
        <w:t>修改</w:t>
      </w:r>
    </w:p>
    <w:p w14:paraId="23FED4C0">
      <w:pPr>
        <w:pBdr>
          <w:bottom w:val="single" w:color="auto" w:sz="4" w:space="0"/>
        </w:pBdr>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u w:val="none"/>
        </w:rPr>
        <w:t>原文：</w:t>
      </w:r>
      <w:r>
        <w:rPr>
          <w:rFonts w:hint="eastAsia" w:ascii="宋体" w:hAnsi="宋体" w:eastAsia="宋体" w:cs="宋体"/>
          <w:color w:val="auto"/>
          <w:sz w:val="24"/>
          <w:szCs w:val="24"/>
          <w:highlight w:val="none"/>
        </w:rPr>
        <w:t>4.5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color w:val="auto"/>
          <w:sz w:val="24"/>
          <w:highlight w:val="none"/>
        </w:rPr>
        <w:t>在投标截止后，投标人在投标文件格式中规定的有效期终止日前，投标人不能撤</w:t>
      </w:r>
      <w:r>
        <w:rPr>
          <w:rFonts w:hint="eastAsia" w:ascii="宋体" w:hAnsi="宋体"/>
          <w:color w:val="auto"/>
          <w:sz w:val="24"/>
          <w:highlight w:val="none"/>
          <w:lang w:val="en-US" w:eastAsia="zh-CN"/>
        </w:rPr>
        <w:t>销</w:t>
      </w:r>
      <w:r>
        <w:rPr>
          <w:rFonts w:hint="eastAsia" w:ascii="宋体" w:hAnsi="宋体"/>
          <w:color w:val="auto"/>
          <w:sz w:val="24"/>
          <w:highlight w:val="none"/>
        </w:rPr>
        <w:t>投标文件，否则其投标保证金将被没收，且招标人有权就其撤</w:t>
      </w:r>
      <w:r>
        <w:rPr>
          <w:rFonts w:hint="eastAsia" w:ascii="宋体" w:hAnsi="宋体"/>
          <w:color w:val="auto"/>
          <w:sz w:val="24"/>
          <w:highlight w:val="none"/>
          <w:lang w:val="en-US" w:eastAsia="zh-CN"/>
        </w:rPr>
        <w:t>销</w:t>
      </w:r>
      <w:r>
        <w:rPr>
          <w:rFonts w:hint="eastAsia" w:ascii="宋体" w:hAnsi="宋体"/>
          <w:color w:val="auto"/>
          <w:sz w:val="24"/>
          <w:highlight w:val="none"/>
        </w:rPr>
        <w:t>行为报告政府主管部门载入不良信用记录。</w:t>
      </w:r>
    </w:p>
    <w:p w14:paraId="124FCBCF">
      <w:pPr>
        <w:pBdr>
          <w:bottom w:val="single" w:color="auto" w:sz="4" w:space="0"/>
        </w:pBdr>
        <w:spacing w:line="360" w:lineRule="auto"/>
        <w:ind w:firstLine="540" w:firstLineChars="224"/>
        <w:rPr>
          <w:rFonts w:hint="eastAsia" w:ascii="宋体" w:hAnsi="宋体" w:cs="宋体"/>
          <w:b/>
          <w:bCs/>
          <w:color w:val="auto"/>
          <w:sz w:val="24"/>
          <w:szCs w:val="24"/>
          <w:highlight w:val="none"/>
        </w:rPr>
      </w:pPr>
      <w:r>
        <w:rPr>
          <w:rFonts w:hint="eastAsia" w:ascii="宋体" w:hAnsi="宋体" w:eastAsia="宋体" w:cs="宋体"/>
          <w:b/>
          <w:bCs/>
          <w:color w:val="auto"/>
          <w:sz w:val="24"/>
          <w:highlight w:val="none"/>
          <w:lang w:val="en-US" w:eastAsia="zh-CN"/>
        </w:rPr>
        <w:t>现文：</w:t>
      </w:r>
      <w:r>
        <w:rPr>
          <w:rFonts w:hint="eastAsia" w:ascii="宋体" w:hAnsi="宋体" w:eastAsia="宋体" w:cs="宋体"/>
          <w:color w:val="auto"/>
          <w:sz w:val="24"/>
          <w:highlight w:val="none"/>
          <w:lang w:val="en-US" w:eastAsia="zh-CN"/>
        </w:rPr>
        <w:t>4.5.3</w:t>
      </w:r>
      <w:r>
        <w:rPr>
          <w:rFonts w:hint="eastAsia" w:ascii="宋体" w:hAnsi="宋体"/>
          <w:color w:val="auto"/>
          <w:sz w:val="24"/>
          <w:highlight w:val="none"/>
        </w:rPr>
        <w:t>在投标截止后，投标人在投标文件格式中规定的有效期终止日前，投标人不能撤</w:t>
      </w:r>
      <w:r>
        <w:rPr>
          <w:rFonts w:hint="eastAsia" w:ascii="宋体" w:hAnsi="宋体"/>
          <w:color w:val="auto"/>
          <w:sz w:val="24"/>
          <w:highlight w:val="none"/>
          <w:lang w:val="en-US" w:eastAsia="zh-CN"/>
        </w:rPr>
        <w:t>销</w:t>
      </w:r>
      <w:r>
        <w:rPr>
          <w:rFonts w:hint="eastAsia" w:ascii="宋体" w:hAnsi="宋体"/>
          <w:color w:val="auto"/>
          <w:sz w:val="24"/>
          <w:highlight w:val="none"/>
        </w:rPr>
        <w:t>投标文件，否则</w:t>
      </w:r>
      <w:r>
        <w:rPr>
          <w:rFonts w:hint="eastAsia" w:ascii="宋体" w:hAnsi="宋体"/>
          <w:strike/>
          <w:color w:val="auto"/>
          <w:sz w:val="24"/>
          <w:highlight w:val="none"/>
        </w:rPr>
        <w:t>其投标保证金将被没收，且</w:t>
      </w:r>
      <w:r>
        <w:rPr>
          <w:rFonts w:hint="eastAsia" w:ascii="宋体" w:hAnsi="宋体"/>
          <w:color w:val="auto"/>
          <w:sz w:val="24"/>
          <w:highlight w:val="none"/>
        </w:rPr>
        <w:t>招标人有权就其撤</w:t>
      </w:r>
      <w:r>
        <w:rPr>
          <w:rFonts w:hint="eastAsia" w:ascii="宋体" w:hAnsi="宋体"/>
          <w:color w:val="auto"/>
          <w:sz w:val="24"/>
          <w:highlight w:val="none"/>
          <w:lang w:val="en-US" w:eastAsia="zh-CN"/>
        </w:rPr>
        <w:t>销</w:t>
      </w:r>
      <w:r>
        <w:rPr>
          <w:rFonts w:hint="eastAsia" w:ascii="宋体" w:hAnsi="宋体"/>
          <w:color w:val="auto"/>
          <w:sz w:val="24"/>
          <w:highlight w:val="none"/>
        </w:rPr>
        <w:t>行为报告政府主管部门载入不良信用记录。</w:t>
      </w:r>
    </w:p>
    <w:p w14:paraId="7FE85945">
      <w:pPr>
        <w:adjustRightInd w:val="0"/>
        <w:snapToGrid w:val="0"/>
        <w:spacing w:before="0" w:beforeLines="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条款号：5.</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修改类型：修改</w:t>
      </w:r>
    </w:p>
    <w:p w14:paraId="76AEB0AD">
      <w:pPr>
        <w:pBdr>
          <w:bottom w:val="single" w:color="auto" w:sz="6" w:space="1"/>
        </w:pBdr>
        <w:spacing w:beforeLines="0" w:line="360" w:lineRule="auto"/>
        <w:ind w:firstLine="540" w:firstLineChars="224"/>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原文：</w:t>
      </w:r>
      <w:r>
        <w:rPr>
          <w:rFonts w:hint="eastAsia" w:ascii="宋体" w:hAnsi="宋体" w:eastAsia="宋体" w:cs="Times New Roman"/>
          <w:color w:val="auto"/>
          <w:sz w:val="24"/>
          <w:szCs w:val="24"/>
          <w:highlight w:val="none"/>
        </w:rPr>
        <w:t>招标人在招标文件要求提交投标文件的截止时间前收到的投标文件，开标时都当众予以解密、公布。</w:t>
      </w:r>
    </w:p>
    <w:p w14:paraId="544FF5E2">
      <w:pPr>
        <w:pBdr>
          <w:bottom w:val="single" w:color="auto" w:sz="6" w:space="1"/>
        </w:pBdr>
        <w:spacing w:beforeLines="0" w:line="360" w:lineRule="auto"/>
        <w:ind w:firstLine="540" w:firstLineChars="224"/>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现文：</w:t>
      </w:r>
      <w:r>
        <w:rPr>
          <w:rFonts w:hint="eastAsia" w:ascii="宋体" w:hAnsi="宋体" w:eastAsia="宋体" w:cs="Times New Roman"/>
          <w:color w:val="auto"/>
          <w:sz w:val="24"/>
          <w:szCs w:val="24"/>
          <w:highlight w:val="none"/>
        </w:rPr>
        <w:t>招标人在招标文件要求提交投标文件的截止时间前收到</w:t>
      </w:r>
      <w:r>
        <w:rPr>
          <w:rFonts w:hint="eastAsia" w:ascii="宋体" w:hAnsi="宋体" w:eastAsia="宋体" w:cs="Times New Roman"/>
          <w:color w:val="auto"/>
          <w:sz w:val="24"/>
          <w:szCs w:val="24"/>
          <w:highlight w:val="none"/>
          <w:u w:val="single"/>
          <w:lang w:val="en-US" w:eastAsia="zh-CN"/>
        </w:rPr>
        <w:t>并</w:t>
      </w:r>
      <w:r>
        <w:rPr>
          <w:rFonts w:hint="eastAsia" w:ascii="宋体" w:hAnsi="宋体" w:eastAsia="宋体" w:cs="Times New Roman"/>
          <w:color w:val="auto"/>
          <w:sz w:val="24"/>
          <w:szCs w:val="24"/>
          <w:highlight w:val="none"/>
          <w:u w:val="single"/>
        </w:rPr>
        <w:t>完成投标人解密</w:t>
      </w:r>
      <w:r>
        <w:rPr>
          <w:rFonts w:hint="eastAsia" w:ascii="宋体" w:hAnsi="宋体" w:eastAsia="宋体" w:cs="Times New Roman"/>
          <w:color w:val="auto"/>
          <w:sz w:val="24"/>
          <w:szCs w:val="24"/>
          <w:highlight w:val="none"/>
        </w:rPr>
        <w:t>的投标文件，开标时都当众予以解密、公布。</w:t>
      </w:r>
    </w:p>
    <w:p w14:paraId="2A33E943">
      <w:pPr>
        <w:adjustRightInd w:val="0"/>
        <w:snapToGrid w:val="0"/>
        <w:spacing w:before="0" w:beforeLines="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条款号：5.</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修改类型：修改</w:t>
      </w:r>
    </w:p>
    <w:p w14:paraId="07A0352E">
      <w:pPr>
        <w:pBdr>
          <w:bottom w:val="single" w:color="auto" w:sz="6" w:space="1"/>
        </w:pBdr>
        <w:spacing w:beforeLines="0" w:line="360" w:lineRule="auto"/>
        <w:ind w:firstLine="540" w:firstLineChars="224"/>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原文：</w:t>
      </w:r>
      <w:r>
        <w:rPr>
          <w:rFonts w:hint="eastAsia" w:ascii="宋体" w:hAnsi="宋体" w:eastAsia="宋体" w:cs="Times New Roman"/>
          <w:color w:val="auto"/>
          <w:sz w:val="24"/>
          <w:szCs w:val="24"/>
          <w:highlight w:val="none"/>
        </w:rPr>
        <w:t>在投标截止时间后半小时内，投标人通过广州交易集团有限公司（广州公共资源交易中心）网站交易平台对已递交的电子投标文件进行解密。投标人完成解密后，再由招标人进行解密。解密完成后，公布招标项目名称、投标人名称及其他内容。</w:t>
      </w:r>
    </w:p>
    <w:p w14:paraId="74F2AB60">
      <w:pPr>
        <w:pBdr>
          <w:bottom w:val="single" w:color="auto" w:sz="6" w:space="1"/>
        </w:pBdr>
        <w:spacing w:beforeLines="0" w:line="360" w:lineRule="auto"/>
        <w:ind w:firstLine="540" w:firstLineChars="224"/>
        <w:rPr>
          <w:rFonts w:hint="eastAsia"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rPr>
        <w:t>现文：</w:t>
      </w:r>
      <w:r>
        <w:rPr>
          <w:rFonts w:hint="eastAsia" w:ascii="宋体" w:hAnsi="宋体" w:eastAsia="宋体" w:cs="Times New Roman"/>
          <w:color w:val="auto"/>
          <w:sz w:val="24"/>
          <w:szCs w:val="24"/>
          <w:highlight w:val="none"/>
        </w:rPr>
        <w:t>在投标截止时间后</w:t>
      </w:r>
      <w:r>
        <w:rPr>
          <w:rFonts w:hint="eastAsia" w:ascii="宋体" w:hAnsi="宋体" w:eastAsia="宋体" w:cs="Times New Roman"/>
          <w:color w:val="auto"/>
          <w:sz w:val="24"/>
          <w:szCs w:val="24"/>
          <w:highlight w:val="none"/>
          <w:u w:val="single"/>
          <w:lang w:val="en-US" w:eastAsia="zh-CN"/>
        </w:rPr>
        <w:t>一</w:t>
      </w:r>
      <w:r>
        <w:rPr>
          <w:rFonts w:hint="eastAsia" w:ascii="宋体" w:hAnsi="宋体" w:eastAsia="宋体" w:cs="Times New Roman"/>
          <w:color w:val="auto"/>
          <w:sz w:val="24"/>
          <w:szCs w:val="24"/>
          <w:highlight w:val="none"/>
          <w:u w:val="single"/>
        </w:rPr>
        <w:t>小时内</w:t>
      </w:r>
      <w:r>
        <w:rPr>
          <w:rFonts w:hint="eastAsia" w:ascii="宋体" w:hAnsi="宋体" w:eastAsia="宋体" w:cs="Times New Roman"/>
          <w:color w:val="auto"/>
          <w:sz w:val="24"/>
          <w:szCs w:val="24"/>
          <w:highlight w:val="none"/>
        </w:rPr>
        <w:t>，投标人通过广州交易集团有限公司（广州公共资源交易中心）网站交易平台对已递交的电子投标文件进行解密。投标人完成解密后，再由招标人进行解密。解密完成后，公布招标项目名称、投标人名称及其他内容。</w:t>
      </w:r>
    </w:p>
    <w:p w14:paraId="537A73A4">
      <w:pPr>
        <w:spacing w:beforeLines="0" w:line="360" w:lineRule="auto"/>
        <w:ind w:firstLine="540" w:firstLineChars="224"/>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条款号：</w:t>
      </w:r>
      <w:r>
        <w:rPr>
          <w:rFonts w:hint="eastAsia" w:ascii="宋体" w:hAnsi="宋体"/>
          <w:b/>
          <w:bCs/>
          <w:color w:val="auto"/>
          <w:sz w:val="24"/>
          <w:szCs w:val="24"/>
          <w:highlight w:val="none"/>
          <w:lang w:val="en-US" w:eastAsia="zh-CN"/>
        </w:rPr>
        <w:t>5.2.2</w:t>
      </w:r>
      <w:r>
        <w:rPr>
          <w:rFonts w:hint="eastAsia" w:ascii="宋体" w:hAnsi="宋体"/>
          <w:b/>
          <w:bCs/>
          <w:color w:val="auto"/>
          <w:sz w:val="24"/>
          <w:szCs w:val="24"/>
          <w:highlight w:val="none"/>
        </w:rPr>
        <w:t xml:space="preserve">             修改类型：</w:t>
      </w:r>
      <w:r>
        <w:rPr>
          <w:rFonts w:hint="eastAsia" w:ascii="宋体" w:hAnsi="宋体"/>
          <w:b/>
          <w:bCs/>
          <w:color w:val="auto"/>
          <w:sz w:val="24"/>
          <w:szCs w:val="24"/>
          <w:highlight w:val="none"/>
          <w:lang w:val="en-US" w:eastAsia="zh-CN"/>
        </w:rPr>
        <w:t>删除</w:t>
      </w:r>
    </w:p>
    <w:p w14:paraId="37CC812C">
      <w:pPr>
        <w:pBdr>
          <w:bottom w:val="single" w:color="auto" w:sz="6" w:space="1"/>
        </w:pBdr>
        <w:spacing w:beforeLines="0" w:line="360" w:lineRule="auto"/>
        <w:ind w:firstLine="540" w:firstLineChars="224"/>
        <w:rPr>
          <w:rFonts w:hint="eastAsia" w:ascii="宋体" w:hAnsi="宋体"/>
          <w:strike/>
          <w:dstrike w:val="0"/>
          <w:color w:val="auto"/>
          <w:sz w:val="24"/>
          <w:szCs w:val="24"/>
          <w:highlight w:val="none"/>
        </w:rPr>
      </w:pPr>
      <w:r>
        <w:rPr>
          <w:rFonts w:hint="eastAsia" w:ascii="宋体" w:hAnsi="宋体"/>
          <w:b/>
          <w:bCs/>
          <w:strike/>
          <w:dstrike w:val="0"/>
          <w:color w:val="auto"/>
          <w:sz w:val="24"/>
          <w:szCs w:val="24"/>
          <w:highlight w:val="none"/>
        </w:rPr>
        <w:t>原文：</w:t>
      </w:r>
      <w:r>
        <w:rPr>
          <w:rFonts w:hint="eastAsia" w:ascii="宋体" w:hAnsi="宋体"/>
          <w:strike/>
          <w:dstrike w:val="0"/>
          <w:color w:val="auto"/>
          <w:sz w:val="24"/>
          <w:szCs w:val="24"/>
          <w:highlight w:val="none"/>
        </w:rPr>
        <w:t>公开摇取评标基准价下浮率。下浮率从2%、2.5%、3%、3.5%、4%、4.5%、5%中通过摇珠机随机抽取。（适用于采用综合评估法一、综合评估法二）。</w:t>
      </w:r>
    </w:p>
    <w:p w14:paraId="0BD101D3">
      <w:pPr>
        <w:pStyle w:val="16"/>
        <w:keepNext w:val="0"/>
        <w:keepLines w:val="0"/>
        <w:pageBreakBefore w:val="0"/>
        <w:widowControl w:val="0"/>
        <w:kinsoku/>
        <w:wordWrap/>
        <w:overflowPunct/>
        <w:topLinePunct w:val="0"/>
        <w:autoSpaceDE/>
        <w:autoSpaceDN/>
        <w:bidi w:val="0"/>
        <w:spacing w:after="0" w:line="360" w:lineRule="auto"/>
        <w:ind w:firstLine="482" w:firstLineChars="200"/>
        <w:textAlignment w:val="auto"/>
        <w:rPr>
          <w:rFonts w:hint="eastAsia" w:ascii="宋体" w:hAnsi="宋体" w:eastAsia="宋体" w:cs="宋体"/>
          <w:b/>
          <w:bCs/>
          <w:strike w:val="0"/>
          <w:color w:val="auto"/>
          <w:sz w:val="24"/>
          <w:szCs w:val="24"/>
          <w:highlight w:val="none"/>
        </w:rPr>
      </w:pPr>
      <w:r>
        <w:rPr>
          <w:rFonts w:hint="eastAsia" w:ascii="宋体" w:hAnsi="宋体" w:eastAsia="宋体" w:cs="宋体"/>
          <w:b/>
          <w:bCs/>
          <w:strike w:val="0"/>
          <w:color w:val="auto"/>
          <w:sz w:val="24"/>
          <w:szCs w:val="24"/>
          <w:highlight w:val="none"/>
        </w:rPr>
        <w:t>条款号：</w:t>
      </w:r>
      <w:r>
        <w:rPr>
          <w:rFonts w:hint="eastAsia" w:ascii="宋体" w:hAnsi="宋体" w:eastAsia="宋体" w:cs="宋体"/>
          <w:b/>
          <w:bCs/>
          <w:strike w:val="0"/>
          <w:color w:val="auto"/>
          <w:sz w:val="24"/>
          <w:szCs w:val="24"/>
          <w:highlight w:val="none"/>
          <w:lang w:val="en-US" w:eastAsia="zh-CN"/>
        </w:rPr>
        <w:t>6.1.1</w:t>
      </w:r>
      <w:r>
        <w:rPr>
          <w:rFonts w:hint="eastAsia" w:ascii="宋体" w:hAnsi="宋体" w:eastAsia="宋体" w:cs="宋体"/>
          <w:b/>
          <w:bCs/>
          <w:strike w:val="0"/>
          <w:color w:val="auto"/>
          <w:sz w:val="24"/>
          <w:szCs w:val="24"/>
          <w:highlight w:val="none"/>
        </w:rPr>
        <w:t xml:space="preserve">                   修改类型：修改</w:t>
      </w:r>
    </w:p>
    <w:p w14:paraId="4BAB6714">
      <w:pPr>
        <w:pStyle w:val="16"/>
        <w:keepNext w:val="0"/>
        <w:keepLines w:val="0"/>
        <w:pageBreakBefore w:val="0"/>
        <w:widowControl w:val="0"/>
        <w:kinsoku/>
        <w:wordWrap/>
        <w:overflowPunct/>
        <w:topLinePunct w:val="0"/>
        <w:autoSpaceDE/>
        <w:autoSpaceDN/>
        <w:bidi w:val="0"/>
        <w:spacing w:after="0" w:line="360" w:lineRule="auto"/>
        <w:ind w:firstLine="482" w:firstLineChars="200"/>
        <w:textAlignment w:val="auto"/>
        <w:rPr>
          <w:rFonts w:hint="eastAsia" w:ascii="宋体" w:hAnsi="宋体" w:eastAsia="宋体" w:cs="宋体"/>
          <w:strike w:val="0"/>
          <w:color w:val="auto"/>
          <w:sz w:val="24"/>
          <w:szCs w:val="24"/>
          <w:highlight w:val="none"/>
        </w:rPr>
      </w:pPr>
      <w:r>
        <w:rPr>
          <w:rFonts w:hint="eastAsia" w:ascii="宋体" w:hAnsi="宋体" w:eastAsia="宋体" w:cs="宋体"/>
          <w:b/>
          <w:strike w:val="0"/>
          <w:color w:val="auto"/>
          <w:sz w:val="24"/>
          <w:szCs w:val="24"/>
          <w:highlight w:val="none"/>
        </w:rPr>
        <w:t>原文：</w:t>
      </w:r>
      <w:r>
        <w:rPr>
          <w:rFonts w:hint="eastAsia" w:ascii="宋体" w:hAnsi="宋体" w:eastAsia="宋体" w:cs="宋体"/>
          <w:strike w:val="0"/>
          <w:color w:val="auto"/>
          <w:sz w:val="24"/>
          <w:szCs w:val="24"/>
          <w:highlight w:val="none"/>
        </w:rPr>
        <w:t>6.1.1评标由招标人依法组建的评标委员会负责。评标委员会由有关技术、经济等方面的专家和招标人代表组成，专家从广东省综合评标评审专家库中抽取。评标委员会成员人数以及技术、经济等方面专家的确定方式见投标人须知前附表。</w:t>
      </w:r>
    </w:p>
    <w:p w14:paraId="68942C37">
      <w:pPr>
        <w:keepNext w:val="0"/>
        <w:keepLines w:val="0"/>
        <w:pageBreakBefore w:val="0"/>
        <w:widowControl w:val="0"/>
        <w:pBdr>
          <w:bottom w:val="single" w:color="auto" w:sz="6" w:space="1"/>
        </w:pBdr>
        <w:kinsoku/>
        <w:wordWrap/>
        <w:overflowPunct/>
        <w:topLinePunct w:val="0"/>
        <w:autoSpaceDE/>
        <w:autoSpaceDN/>
        <w:bidi w:val="0"/>
        <w:spacing w:line="360" w:lineRule="auto"/>
        <w:ind w:firstLine="482" w:firstLineChars="200"/>
        <w:textAlignment w:val="auto"/>
        <w:rPr>
          <w:rFonts w:ascii="宋体" w:hAnsi="宋体"/>
          <w:strike w:val="0"/>
          <w:color w:val="auto"/>
          <w:sz w:val="24"/>
          <w:szCs w:val="24"/>
          <w:highlight w:val="none"/>
        </w:rPr>
      </w:pPr>
      <w:r>
        <w:rPr>
          <w:rFonts w:hint="eastAsia" w:ascii="宋体" w:hAnsi="宋体" w:eastAsia="宋体" w:cs="宋体"/>
          <w:b/>
          <w:strike w:val="0"/>
          <w:color w:val="auto"/>
          <w:sz w:val="24"/>
          <w:szCs w:val="24"/>
          <w:highlight w:val="none"/>
        </w:rPr>
        <w:t>现文：</w:t>
      </w:r>
      <w:r>
        <w:rPr>
          <w:rFonts w:hint="eastAsia" w:ascii="宋体" w:hAnsi="宋体" w:eastAsia="宋体" w:cs="宋体"/>
          <w:strike w:val="0"/>
          <w:color w:val="auto"/>
          <w:sz w:val="24"/>
          <w:szCs w:val="24"/>
          <w:highlight w:val="none"/>
        </w:rPr>
        <w:t>6.1.1</w:t>
      </w:r>
      <w:r>
        <w:rPr>
          <w:rFonts w:hint="eastAsia" w:ascii="宋体" w:hAnsi="宋体" w:eastAsia="宋体" w:cs="宋体"/>
          <w:strike w:val="0"/>
          <w:color w:val="auto"/>
          <w:sz w:val="24"/>
          <w:highlight w:val="none"/>
        </w:rPr>
        <w:t>评标由招标人依法组建的评标委员会负责。</w:t>
      </w:r>
      <w:r>
        <w:rPr>
          <w:rFonts w:hint="eastAsia" w:ascii="宋体" w:hAnsi="宋体" w:eastAsia="宋体" w:cs="宋体"/>
          <w:strike w:val="0"/>
          <w:color w:val="auto"/>
          <w:sz w:val="24"/>
          <w:szCs w:val="24"/>
          <w:highlight w:val="none"/>
        </w:rPr>
        <w:t>评标委员会由有关技术、经济等方面的专家</w:t>
      </w:r>
      <w:r>
        <w:rPr>
          <w:rFonts w:hint="eastAsia" w:ascii="宋体" w:hAnsi="宋体" w:eastAsia="宋体" w:cs="宋体"/>
          <w:strike/>
          <w:color w:val="auto"/>
          <w:sz w:val="24"/>
          <w:szCs w:val="24"/>
          <w:highlight w:val="none"/>
        </w:rPr>
        <w:t>和招标人代表</w:t>
      </w:r>
      <w:r>
        <w:rPr>
          <w:rFonts w:hint="eastAsia" w:ascii="宋体" w:hAnsi="宋体" w:eastAsia="宋体" w:cs="宋体"/>
          <w:strike w:val="0"/>
          <w:color w:val="auto"/>
          <w:sz w:val="24"/>
          <w:szCs w:val="24"/>
          <w:highlight w:val="none"/>
        </w:rPr>
        <w:t>组成</w:t>
      </w:r>
      <w:r>
        <w:rPr>
          <w:rFonts w:hint="eastAsia" w:ascii="宋体" w:hAnsi="宋体" w:eastAsia="宋体" w:cs="宋体"/>
          <w:strike w:val="0"/>
          <w:color w:val="auto"/>
          <w:sz w:val="24"/>
          <w:highlight w:val="none"/>
        </w:rPr>
        <w:t>，评标委员会成员人数以及技术、经济等方面专家的确定方式见投标人须知前附表。</w:t>
      </w:r>
    </w:p>
    <w:p w14:paraId="48051ACA">
      <w:pPr>
        <w:spacing w:line="360" w:lineRule="auto"/>
        <w:ind w:firstLine="540" w:firstLineChars="224"/>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eastAsia="zh-CN"/>
        </w:rPr>
        <w:t>条款号：</w:t>
      </w:r>
      <w:r>
        <w:rPr>
          <w:rFonts w:hint="eastAsia" w:ascii="宋体" w:hAnsi="宋体" w:eastAsia="宋体" w:cs="宋体"/>
          <w:b/>
          <w:bCs/>
          <w:color w:val="auto"/>
          <w:sz w:val="24"/>
          <w:szCs w:val="24"/>
          <w:highlight w:val="none"/>
          <w:u w:val="none"/>
          <w:lang w:val="en-US" w:eastAsia="zh-CN"/>
        </w:rPr>
        <w:t>6.1.3</w:t>
      </w:r>
      <w:r>
        <w:rPr>
          <w:rFonts w:hint="eastAsia" w:ascii="宋体" w:hAnsi="宋体" w:eastAsia="宋体" w:cs="宋体"/>
          <w:b/>
          <w:bCs/>
          <w:color w:val="auto"/>
          <w:sz w:val="24"/>
          <w:szCs w:val="24"/>
          <w:highlight w:val="none"/>
          <w:u w:val="none"/>
          <w:lang w:eastAsia="zh-CN"/>
        </w:rPr>
        <w:t xml:space="preserve">             修改类型：</w:t>
      </w:r>
      <w:r>
        <w:rPr>
          <w:rFonts w:hint="eastAsia" w:ascii="宋体" w:hAnsi="宋体" w:eastAsia="宋体" w:cs="宋体"/>
          <w:b/>
          <w:bCs/>
          <w:color w:val="auto"/>
          <w:sz w:val="24"/>
          <w:szCs w:val="24"/>
          <w:highlight w:val="none"/>
          <w:u w:val="none"/>
          <w:lang w:val="en-US" w:eastAsia="zh-CN"/>
        </w:rPr>
        <w:t>新增</w:t>
      </w:r>
    </w:p>
    <w:p w14:paraId="67423DFA">
      <w:pPr>
        <w:pBdr>
          <w:bottom w:val="single" w:color="auto" w:sz="4" w:space="0"/>
        </w:pBd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highlight w:val="none"/>
          <w:lang w:eastAsia="zh-CN"/>
        </w:rPr>
        <w:t>原</w:t>
      </w:r>
      <w:r>
        <w:rPr>
          <w:rFonts w:hint="eastAsia" w:ascii="宋体" w:hAnsi="宋体" w:eastAsia="宋体" w:cs="宋体"/>
          <w:b/>
          <w:bCs/>
          <w:color w:val="auto"/>
          <w:sz w:val="24"/>
          <w:highlight w:val="none"/>
          <w:lang w:eastAsia="zh-CN"/>
        </w:rPr>
        <w:t>文：</w:t>
      </w:r>
      <w:r>
        <w:rPr>
          <w:rFonts w:hint="eastAsia" w:ascii="宋体" w:hAnsi="宋体" w:eastAsia="宋体" w:cs="宋体"/>
          <w:b w:val="0"/>
          <w:bCs w:val="0"/>
          <w:color w:val="auto"/>
          <w:sz w:val="24"/>
          <w:highlight w:val="none"/>
          <w:u w:val="single"/>
          <w:lang w:eastAsia="zh-CN"/>
        </w:rPr>
        <w:t>6.1.</w:t>
      </w:r>
      <w:r>
        <w:rPr>
          <w:rFonts w:hint="eastAsia" w:ascii="宋体" w:hAnsi="宋体" w:eastAsia="宋体" w:cs="宋体"/>
          <w:b w:val="0"/>
          <w:bCs w:val="0"/>
          <w:color w:val="auto"/>
          <w:sz w:val="24"/>
          <w:highlight w:val="none"/>
          <w:u w:val="single"/>
          <w:lang w:val="en-US" w:eastAsia="zh-CN"/>
        </w:rPr>
        <w:t>3</w:t>
      </w:r>
      <w:r>
        <w:rPr>
          <w:rFonts w:hint="eastAsia" w:ascii="宋体" w:hAnsi="宋体" w:eastAsia="宋体" w:cs="宋体"/>
          <w:b w:val="0"/>
          <w:bCs w:val="0"/>
          <w:color w:val="auto"/>
          <w:sz w:val="24"/>
          <w:highlight w:val="none"/>
          <w:u w:val="single"/>
          <w:lang w:eastAsia="zh-CN"/>
        </w:rPr>
        <w:t>评标委员会在开始评标前，应了解评标专家的职责及守则，认真阅读附件</w:t>
      </w:r>
      <w:r>
        <w:rPr>
          <w:rFonts w:hint="eastAsia" w:ascii="宋体" w:hAnsi="宋体" w:cs="宋体"/>
          <w:b w:val="0"/>
          <w:bCs w:val="0"/>
          <w:color w:val="auto"/>
          <w:sz w:val="24"/>
          <w:highlight w:val="none"/>
          <w:u w:val="single"/>
          <w:lang w:val="en-US" w:eastAsia="zh-CN"/>
        </w:rPr>
        <w:t>5</w:t>
      </w:r>
      <w:r>
        <w:rPr>
          <w:rFonts w:hint="eastAsia" w:ascii="宋体" w:hAnsi="宋体" w:eastAsia="宋体" w:cs="宋体"/>
          <w:b w:val="0"/>
          <w:bCs w:val="0"/>
          <w:color w:val="auto"/>
          <w:sz w:val="24"/>
          <w:highlight w:val="none"/>
          <w:u w:val="single"/>
          <w:lang w:eastAsia="zh-CN"/>
        </w:rPr>
        <w:t>《评标委员会成员声明》的内容并签名，签字后方可进行评标</w:t>
      </w:r>
      <w:r>
        <w:rPr>
          <w:rFonts w:hint="eastAsia" w:ascii="宋体" w:hAnsi="宋体" w:cs="宋体"/>
          <w:color w:val="auto"/>
          <w:sz w:val="24"/>
          <w:szCs w:val="24"/>
          <w:highlight w:val="none"/>
        </w:rPr>
        <w:t>。</w:t>
      </w:r>
    </w:p>
    <w:p w14:paraId="5D72A53C">
      <w:pPr>
        <w:spacing w:line="360" w:lineRule="auto"/>
        <w:ind w:firstLine="540" w:firstLineChars="224"/>
        <w:rPr>
          <w:rFonts w:ascii="宋体" w:hAnsi="宋体"/>
          <w:b/>
          <w:color w:val="auto"/>
          <w:sz w:val="24"/>
          <w:szCs w:val="24"/>
          <w:highlight w:val="none"/>
        </w:rPr>
      </w:pPr>
      <w:r>
        <w:rPr>
          <w:rFonts w:hint="eastAsia" w:ascii="宋体" w:hAnsi="宋体"/>
          <w:b/>
          <w:color w:val="auto"/>
          <w:sz w:val="24"/>
          <w:szCs w:val="24"/>
          <w:highlight w:val="none"/>
        </w:rPr>
        <w:t>条款号：6.</w:t>
      </w:r>
      <w:r>
        <w:rPr>
          <w:rFonts w:hint="eastAsia" w:ascii="宋体" w:hAnsi="宋体"/>
          <w:b/>
          <w:color w:val="auto"/>
          <w:sz w:val="24"/>
          <w:szCs w:val="24"/>
          <w:highlight w:val="none"/>
          <w:lang w:val="en-US" w:eastAsia="zh-CN"/>
        </w:rPr>
        <w:t>4</w:t>
      </w:r>
      <w:r>
        <w:rPr>
          <w:rFonts w:hint="eastAsia" w:ascii="宋体" w:hAnsi="宋体"/>
          <w:b/>
          <w:color w:val="auto"/>
          <w:sz w:val="24"/>
          <w:szCs w:val="24"/>
          <w:highlight w:val="none"/>
        </w:rPr>
        <w:t xml:space="preserve">            修改类型：新增</w:t>
      </w:r>
    </w:p>
    <w:p w14:paraId="6EE3E361">
      <w:pPr>
        <w:spacing w:line="360" w:lineRule="auto"/>
        <w:ind w:firstLine="480" w:firstLineChars="200"/>
        <w:jc w:val="left"/>
        <w:rPr>
          <w:rFonts w:ascii="宋体" w:hAnsi="宋体"/>
          <w:color w:val="auto"/>
          <w:sz w:val="24"/>
          <w:highlight w:val="none"/>
          <w:u w:val="single"/>
        </w:rPr>
      </w:pPr>
      <w:r>
        <w:rPr>
          <w:rFonts w:hint="eastAsia" w:ascii="宋体" w:hAnsi="宋体"/>
          <w:color w:val="auto"/>
          <w:sz w:val="24"/>
          <w:highlight w:val="none"/>
          <w:u w:val="single"/>
        </w:rPr>
        <w:t>6.</w:t>
      </w:r>
      <w:r>
        <w:rPr>
          <w:rFonts w:hint="eastAsia" w:ascii="宋体" w:hAnsi="宋体"/>
          <w:color w:val="auto"/>
          <w:sz w:val="24"/>
          <w:highlight w:val="none"/>
          <w:u w:val="single"/>
          <w:lang w:val="en-US" w:eastAsia="zh-CN"/>
        </w:rPr>
        <w:t>4</w:t>
      </w:r>
      <w:r>
        <w:rPr>
          <w:rFonts w:ascii="宋体" w:hAnsi="宋体"/>
          <w:color w:val="auto"/>
          <w:sz w:val="24"/>
          <w:highlight w:val="none"/>
          <w:u w:val="single"/>
        </w:rPr>
        <w:t xml:space="preserve"> </w:t>
      </w:r>
      <w:r>
        <w:rPr>
          <w:rFonts w:hint="eastAsia" w:ascii="宋体" w:hAnsi="宋体"/>
          <w:color w:val="auto"/>
          <w:sz w:val="24"/>
          <w:highlight w:val="none"/>
          <w:u w:val="single"/>
        </w:rPr>
        <w:t>定标</w:t>
      </w:r>
    </w:p>
    <w:p w14:paraId="373467B3">
      <w:pPr>
        <w:spacing w:line="360" w:lineRule="auto"/>
        <w:ind w:firstLine="480" w:firstLineChars="200"/>
        <w:jc w:val="left"/>
        <w:rPr>
          <w:rFonts w:ascii="宋体" w:hAnsi="宋体"/>
          <w:color w:val="auto"/>
          <w:sz w:val="24"/>
          <w:highlight w:val="none"/>
          <w:u w:val="single"/>
        </w:rPr>
      </w:pPr>
      <w:r>
        <w:rPr>
          <w:rFonts w:ascii="宋体" w:hAnsi="宋体"/>
          <w:color w:val="auto"/>
          <w:sz w:val="24"/>
          <w:highlight w:val="none"/>
          <w:u w:val="single"/>
        </w:rPr>
        <w:t>1.</w:t>
      </w:r>
      <w:r>
        <w:rPr>
          <w:rFonts w:hint="eastAsia" w:ascii="宋体" w:hAnsi="宋体"/>
          <w:color w:val="auto"/>
          <w:sz w:val="24"/>
          <w:highlight w:val="none"/>
          <w:u w:val="single"/>
        </w:rPr>
        <w:t>定标办法：采用“方案因素+价格因素”其中总得分（100分）=方案因素得分（100分）×方案因素权重（70%）+价格因素得分（100分）×价格因素权重（30%）。</w:t>
      </w:r>
    </w:p>
    <w:p w14:paraId="6375E649">
      <w:pPr>
        <w:spacing w:line="360" w:lineRule="auto"/>
        <w:ind w:firstLine="480" w:firstLineChars="200"/>
        <w:jc w:val="left"/>
        <w:rPr>
          <w:rFonts w:ascii="宋体" w:hAnsi="宋体"/>
          <w:color w:val="auto"/>
          <w:sz w:val="24"/>
          <w:highlight w:val="none"/>
          <w:u w:val="single"/>
        </w:rPr>
      </w:pPr>
      <w:r>
        <w:rPr>
          <w:rFonts w:ascii="宋体" w:hAnsi="宋体"/>
          <w:color w:val="auto"/>
          <w:sz w:val="24"/>
          <w:highlight w:val="none"/>
          <w:u w:val="single"/>
        </w:rPr>
        <w:t>2.</w:t>
      </w:r>
      <w:r>
        <w:rPr>
          <w:rFonts w:hint="eastAsia" w:ascii="宋体" w:hAnsi="宋体"/>
          <w:color w:val="auto"/>
          <w:sz w:val="24"/>
          <w:highlight w:val="none"/>
          <w:u w:val="single"/>
        </w:rPr>
        <w:t>定标因素：详见《定标因素表》。</w:t>
      </w:r>
    </w:p>
    <w:p w14:paraId="184D9B11">
      <w:pPr>
        <w:pBdr>
          <w:bottom w:val="single" w:color="auto" w:sz="6" w:space="1"/>
        </w:pBd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详见招标文件第三章。</w:t>
      </w:r>
    </w:p>
    <w:p w14:paraId="0B08193D">
      <w:pPr>
        <w:pBdr>
          <w:top w:val="single" w:color="auto" w:sz="4" w:space="0"/>
        </w:pBdr>
        <w:adjustRightInd w:val="0"/>
        <w:snapToGrid w:val="0"/>
        <w:spacing w:beforeLines="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r>
        <w:rPr>
          <w:rFonts w:hint="eastAsia" w:ascii="宋体" w:hAnsi="宋体" w:eastAsia="宋体" w:cs="宋体"/>
          <w:b/>
          <w:bCs/>
          <w:color w:val="auto"/>
          <w:sz w:val="24"/>
          <w:highlight w:val="none"/>
        </w:rPr>
        <w:t>7.</w:t>
      </w:r>
      <w:r>
        <w:rPr>
          <w:rFonts w:hint="eastAsia" w:ascii="宋体" w:hAnsi="宋体" w:eastAsia="宋体" w:cs="宋体"/>
          <w:b/>
          <w:bCs/>
          <w:color w:val="auto"/>
          <w:sz w:val="24"/>
          <w:highlight w:val="none"/>
          <w:lang w:val="en-US" w:eastAsia="zh-CN"/>
        </w:rPr>
        <w:t>1、7.2</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szCs w:val="24"/>
          <w:highlight w:val="none"/>
        </w:rPr>
        <w:t>修改类型：修改</w:t>
      </w:r>
    </w:p>
    <w:p w14:paraId="511F7306">
      <w:pPr>
        <w:spacing w:line="360" w:lineRule="auto"/>
        <w:ind w:firstLine="482" w:firstLineChars="200"/>
        <w:rPr>
          <w:rFonts w:ascii="宋体" w:hAnsi="宋体"/>
          <w:b/>
          <w:color w:val="auto"/>
          <w:sz w:val="24"/>
          <w:highlight w:val="none"/>
        </w:rPr>
      </w:pPr>
      <w:r>
        <w:rPr>
          <w:rFonts w:hint="eastAsia" w:ascii="宋体" w:hAnsi="宋体" w:eastAsia="宋体" w:cs="Times New Roman"/>
          <w:b/>
          <w:bCs/>
          <w:color w:val="auto"/>
          <w:sz w:val="24"/>
          <w:szCs w:val="24"/>
          <w:highlight w:val="none"/>
        </w:rPr>
        <w:t>原文：</w:t>
      </w:r>
      <w:r>
        <w:rPr>
          <w:rFonts w:hint="eastAsia" w:ascii="宋体" w:hAnsi="宋体"/>
          <w:b/>
          <w:color w:val="auto"/>
          <w:sz w:val="24"/>
          <w:highlight w:val="none"/>
        </w:rPr>
        <w:t>7.1 定标方式</w:t>
      </w:r>
    </w:p>
    <w:p w14:paraId="46EDBEA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招标人根据评标委员会推荐的中标候选人确定中标人，评标委员会推荐中标候选人的人数为3个。</w:t>
      </w:r>
    </w:p>
    <w:p w14:paraId="24A101A4">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7.2 中标候选人公示</w:t>
      </w:r>
    </w:p>
    <w:p w14:paraId="4E1A25C2">
      <w:pPr>
        <w:spacing w:line="360" w:lineRule="auto"/>
        <w:ind w:firstLine="480" w:firstLineChars="200"/>
        <w:jc w:val="left"/>
        <w:rPr>
          <w:color w:val="auto"/>
          <w:sz w:val="24"/>
          <w:highlight w:val="none"/>
        </w:rPr>
      </w:pPr>
      <w:r>
        <w:rPr>
          <w:rFonts w:hint="eastAsia"/>
          <w:color w:val="auto"/>
          <w:sz w:val="24"/>
          <w:highlight w:val="none"/>
        </w:rPr>
        <w:t>7.2.1招标人在《投标人须知前附表》规定的媒介公示中标候选人，公示期为三天，最后一天应为工作日。</w:t>
      </w:r>
    </w:p>
    <w:p w14:paraId="499DCB60">
      <w:pPr>
        <w:snapToGrid w:val="0"/>
        <w:spacing w:line="360" w:lineRule="auto"/>
        <w:ind w:firstLine="480" w:firstLineChars="200"/>
        <w:rPr>
          <w:rFonts w:hint="eastAsia"/>
          <w:color w:val="auto"/>
          <w:sz w:val="24"/>
          <w:highlight w:val="none"/>
        </w:rPr>
      </w:pPr>
      <w:r>
        <w:rPr>
          <w:rFonts w:hint="eastAsia"/>
          <w:color w:val="auto"/>
          <w:sz w:val="24"/>
          <w:highlight w:val="none"/>
        </w:rPr>
        <w:t>7.2.2中标候选人公示时，招标人将同时公示中标候选人的投标文件商务部分文件的所有内容（包括人员、业绩、奖项等资料）。</w:t>
      </w:r>
    </w:p>
    <w:p w14:paraId="58116728">
      <w:pPr>
        <w:snapToGrid w:val="0"/>
        <w:spacing w:line="360" w:lineRule="auto"/>
        <w:ind w:firstLine="480" w:firstLineChars="200"/>
        <w:rPr>
          <w:rFonts w:hint="eastAsia" w:ascii="宋体" w:hAnsi="宋体" w:eastAsia="宋体" w:cs="Times New Roman"/>
          <w:color w:val="auto"/>
          <w:sz w:val="24"/>
          <w:szCs w:val="24"/>
          <w:highlight w:val="none"/>
        </w:rPr>
      </w:pPr>
      <w:r>
        <w:rPr>
          <w:rFonts w:hint="eastAsia"/>
          <w:color w:val="auto"/>
          <w:sz w:val="24"/>
          <w:highlight w:val="none"/>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B714BC0">
      <w:pPr>
        <w:pBdr>
          <w:bottom w:val="single" w:color="auto" w:sz="6" w:space="1"/>
        </w:pBdr>
        <w:snapToGrid/>
        <w:spacing w:line="360" w:lineRule="auto"/>
        <w:ind w:firstLine="482" w:firstLineChars="200"/>
        <w:rPr>
          <w:rFonts w:hint="eastAsia" w:ascii="宋体" w:hAnsi="宋体"/>
          <w:bCs/>
          <w:color w:val="auto"/>
          <w:sz w:val="24"/>
          <w:highlight w:val="none"/>
          <w:u w:val="single"/>
        </w:rPr>
      </w:pPr>
      <w:r>
        <w:rPr>
          <w:rFonts w:hint="eastAsia" w:ascii="宋体" w:hAnsi="宋体" w:eastAsia="宋体" w:cs="Times New Roman"/>
          <w:b/>
          <w:bCs/>
          <w:color w:val="auto"/>
          <w:sz w:val="24"/>
          <w:szCs w:val="24"/>
          <w:highlight w:val="none"/>
        </w:rPr>
        <w:t>现文：</w:t>
      </w:r>
    </w:p>
    <w:p w14:paraId="64FEA729">
      <w:pPr>
        <w:pBdr>
          <w:bottom w:val="single" w:color="auto" w:sz="6" w:space="1"/>
        </w:pBdr>
        <w:spacing w:beforeLines="0" w:line="360" w:lineRule="auto"/>
        <w:ind w:firstLine="537" w:firstLineChars="224"/>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rPr>
        <w:t>7.</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定标方式</w:t>
      </w:r>
    </w:p>
    <w:p w14:paraId="418DD63F">
      <w:pPr>
        <w:pBdr>
          <w:bottom w:val="single" w:color="auto" w:sz="6" w:space="1"/>
        </w:pBdr>
        <w:snapToGrid/>
        <w:spacing w:line="360" w:lineRule="auto"/>
        <w:ind w:firstLine="480" w:firstLineChars="200"/>
        <w:rPr>
          <w:rFonts w:hint="eastAsia" w:ascii="宋体" w:hAnsi="宋体" w:eastAsia="宋体"/>
          <w:bCs/>
          <w:color w:val="auto"/>
          <w:sz w:val="24"/>
          <w:highlight w:val="none"/>
          <w:u w:val="single"/>
          <w:lang w:eastAsia="zh-CN"/>
        </w:rPr>
      </w:pPr>
      <w:r>
        <w:rPr>
          <w:rFonts w:hint="eastAsia" w:ascii="宋体" w:hAnsi="宋体"/>
          <w:bCs/>
          <w:color w:val="auto"/>
          <w:sz w:val="24"/>
          <w:highlight w:val="none"/>
          <w:u w:val="single"/>
        </w:rPr>
        <w:t>详见招标文件第三章。</w:t>
      </w:r>
    </w:p>
    <w:p w14:paraId="4C37A5F3">
      <w:pPr>
        <w:pBdr>
          <w:bottom w:val="single" w:color="auto" w:sz="6" w:space="1"/>
        </w:pBdr>
        <w:spacing w:beforeLines="0" w:line="360" w:lineRule="auto"/>
        <w:ind w:firstLine="537" w:firstLineChars="224"/>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 xml:space="preserve"> </w:t>
      </w:r>
      <w:r>
        <w:rPr>
          <w:rFonts w:hint="eastAsia" w:ascii="宋体" w:hAnsi="宋体"/>
          <w:color w:val="auto"/>
          <w:sz w:val="24"/>
          <w:highlight w:val="none"/>
          <w:u w:val="single"/>
        </w:rPr>
        <w:t>合格</w:t>
      </w:r>
      <w:r>
        <w:rPr>
          <w:rFonts w:hint="eastAsia" w:ascii="宋体" w:hAnsi="宋体" w:eastAsia="宋体" w:cs="Times New Roman"/>
          <w:color w:val="auto"/>
          <w:sz w:val="24"/>
          <w:szCs w:val="24"/>
          <w:highlight w:val="none"/>
        </w:rPr>
        <w:t>中标候选人公示</w:t>
      </w:r>
    </w:p>
    <w:p w14:paraId="6C73159A">
      <w:pPr>
        <w:pBdr>
          <w:bottom w:val="single" w:color="auto" w:sz="6" w:space="1"/>
        </w:pBdr>
        <w:spacing w:beforeLines="0" w:line="360" w:lineRule="auto"/>
        <w:ind w:firstLine="537" w:firstLineChars="224"/>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.1招标人在《投标人须知前附表》规定的媒介公示</w:t>
      </w:r>
      <w:r>
        <w:rPr>
          <w:rFonts w:hint="eastAsia" w:ascii="宋体" w:hAnsi="宋体"/>
          <w:color w:val="auto"/>
          <w:sz w:val="24"/>
          <w:highlight w:val="none"/>
          <w:u w:val="single"/>
        </w:rPr>
        <w:t>合格</w:t>
      </w:r>
      <w:r>
        <w:rPr>
          <w:rFonts w:hint="eastAsia" w:ascii="宋体" w:hAnsi="宋体" w:eastAsia="宋体" w:cs="Times New Roman"/>
          <w:color w:val="auto"/>
          <w:sz w:val="24"/>
          <w:szCs w:val="24"/>
          <w:highlight w:val="none"/>
        </w:rPr>
        <w:t>中标候选人，公示期为三天，最后一天应为工作日。</w:t>
      </w:r>
      <w:r>
        <w:rPr>
          <w:rFonts w:hint="eastAsia" w:ascii="宋体" w:hAnsi="宋体" w:eastAsia="宋体" w:cs="宋体"/>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F639FAE">
      <w:pPr>
        <w:pBdr>
          <w:bottom w:val="single" w:color="auto" w:sz="6" w:space="1"/>
        </w:pBdr>
        <w:spacing w:beforeLines="0" w:line="360" w:lineRule="auto"/>
        <w:ind w:firstLine="537" w:firstLineChars="224"/>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7.</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.2</w:t>
      </w:r>
      <w:r>
        <w:rPr>
          <w:rFonts w:hint="eastAsia" w:ascii="宋体" w:hAnsi="宋体"/>
          <w:color w:val="auto"/>
          <w:sz w:val="24"/>
          <w:highlight w:val="none"/>
          <w:u w:val="single"/>
        </w:rPr>
        <w:t>合格</w:t>
      </w:r>
      <w:r>
        <w:rPr>
          <w:rFonts w:hint="eastAsia" w:ascii="宋体" w:hAnsi="宋体" w:eastAsia="宋体" w:cs="Times New Roman"/>
          <w:color w:val="auto"/>
          <w:sz w:val="24"/>
          <w:szCs w:val="24"/>
          <w:highlight w:val="none"/>
        </w:rPr>
        <w:t>中标候选人公示时，招标人将同时公示</w:t>
      </w:r>
      <w:r>
        <w:rPr>
          <w:rFonts w:hint="eastAsia" w:ascii="宋体" w:hAnsi="宋体"/>
          <w:color w:val="auto"/>
          <w:sz w:val="24"/>
          <w:highlight w:val="none"/>
          <w:u w:val="single"/>
        </w:rPr>
        <w:t>合格</w:t>
      </w:r>
      <w:r>
        <w:rPr>
          <w:rFonts w:hint="eastAsia" w:ascii="宋体" w:hAnsi="宋体" w:eastAsia="宋体" w:cs="Times New Roman"/>
          <w:color w:val="auto"/>
          <w:sz w:val="24"/>
          <w:szCs w:val="24"/>
          <w:highlight w:val="none"/>
        </w:rPr>
        <w:t>中标候选人的投标文件商务部分文件的所有内容（包括人员、业绩、奖项等资料）</w:t>
      </w:r>
      <w:r>
        <w:rPr>
          <w:rFonts w:hint="eastAsia" w:ascii="宋体" w:hAnsi="宋体" w:cs="Times New Roman"/>
          <w:color w:val="auto"/>
          <w:sz w:val="24"/>
          <w:szCs w:val="24"/>
          <w:highlight w:val="none"/>
          <w:lang w:eastAsia="zh-CN"/>
        </w:rPr>
        <w:t>。</w:t>
      </w:r>
    </w:p>
    <w:p w14:paraId="0C59E346">
      <w:pPr>
        <w:pBdr>
          <w:bottom w:val="single" w:color="auto" w:sz="6" w:space="1"/>
        </w:pBdr>
        <w:spacing w:beforeLines="0" w:line="360" w:lineRule="auto"/>
        <w:ind w:firstLine="537" w:firstLineChars="224"/>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F5A3CC5">
      <w:pP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 xml:space="preserve">条款号：7.4.1            </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 xml:space="preserve"> 修改类型：修改</w:t>
      </w:r>
    </w:p>
    <w:p w14:paraId="0B7BA20F">
      <w:pPr>
        <w:spacing w:line="360" w:lineRule="auto"/>
        <w:ind w:firstLine="540" w:firstLineChars="224"/>
        <w:rPr>
          <w:rFonts w:hint="eastAsia" w:ascii="宋体" w:hAnsi="宋体" w:cs="宋体"/>
          <w:color w:val="auto"/>
          <w:sz w:val="24"/>
          <w:szCs w:val="24"/>
          <w:highlight w:val="none"/>
        </w:rPr>
      </w:pPr>
      <w:r>
        <w:rPr>
          <w:rFonts w:hint="eastAsia" w:ascii="宋体" w:hAnsi="宋体" w:cs="宋体"/>
          <w:b/>
          <w:bCs/>
          <w:color w:val="auto"/>
          <w:sz w:val="24"/>
          <w:szCs w:val="24"/>
          <w:highlight w:val="none"/>
        </w:rPr>
        <w:t>原文：</w:t>
      </w:r>
      <w:r>
        <w:rPr>
          <w:rFonts w:hint="eastAsia" w:ascii="宋体" w:hAnsi="宋体" w:cs="宋体"/>
          <w:color w:val="auto"/>
          <w:sz w:val="24"/>
          <w:szCs w:val="24"/>
          <w:highlight w:val="none"/>
        </w:rPr>
        <w:t>7.4.1</w:t>
      </w:r>
      <w:r>
        <w:rPr>
          <w:rFonts w:hint="eastAsia" w:ascii="宋体" w:hAnsi="宋体"/>
          <w:color w:val="auto"/>
          <w:sz w:val="24"/>
          <w:highlight w:val="none"/>
        </w:rPr>
        <w:t>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14:paraId="75A87683">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cs="宋体"/>
          <w:b/>
          <w:bCs/>
          <w:color w:val="auto"/>
          <w:sz w:val="24"/>
          <w:szCs w:val="24"/>
          <w:highlight w:val="none"/>
        </w:rPr>
        <w:t>现文：</w:t>
      </w:r>
      <w:r>
        <w:rPr>
          <w:rFonts w:hint="eastAsia" w:ascii="宋体" w:hAnsi="宋体" w:cs="宋体"/>
          <w:color w:val="auto"/>
          <w:sz w:val="24"/>
          <w:szCs w:val="24"/>
          <w:highlight w:val="none"/>
        </w:rPr>
        <w:t>7.4.1</w:t>
      </w:r>
      <w:r>
        <w:rPr>
          <w:rFonts w:hint="eastAsia" w:ascii="宋体" w:hAnsi="宋体"/>
          <w:color w:val="auto"/>
          <w:sz w:val="24"/>
          <w:highlight w:val="none"/>
          <w:u w:val="single"/>
        </w:rPr>
        <w:t>中标人应在合同签订后30日内，</w:t>
      </w:r>
      <w:r>
        <w:rPr>
          <w:rFonts w:hint="eastAsia" w:ascii="宋体" w:hAnsi="宋体" w:cs="宋体"/>
          <w:color w:val="auto"/>
          <w:sz w:val="24"/>
          <w:szCs w:val="24"/>
          <w:highlight w:val="none"/>
        </w:rPr>
        <w:t>中标人应向招标人提交履约担保</w:t>
      </w:r>
      <w:r>
        <w:rPr>
          <w:rFonts w:hint="eastAsia" w:ascii="宋体" w:hAnsi="宋体"/>
          <w:color w:val="auto"/>
          <w:sz w:val="24"/>
          <w:highlight w:val="none"/>
        </w:rPr>
        <w:t>。</w:t>
      </w:r>
    </w:p>
    <w:p w14:paraId="331F7BA0">
      <w:pPr>
        <w:pBdr>
          <w:top w:val="none" w:color="auto" w:sz="0" w:space="0"/>
          <w:left w:val="none" w:color="auto" w:sz="0" w:space="0"/>
          <w:bottom w:val="none" w:color="auto" w:sz="0" w:space="0"/>
          <w:right w:val="none" w:color="auto" w:sz="0" w:space="0"/>
          <w:between w:val="none" w:color="auto" w:sz="0" w:space="0"/>
        </w:pBdr>
        <w:spacing w:beforeLines="0" w:line="360" w:lineRule="auto"/>
        <w:ind w:firstLine="482" w:firstLineChars="200"/>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条款号：</w:t>
      </w:r>
      <w:r>
        <w:rPr>
          <w:rFonts w:hint="eastAsia" w:ascii="宋体" w:hAnsi="宋体" w:eastAsia="宋体" w:cs="宋体"/>
          <w:b/>
          <w:bCs/>
          <w:color w:val="auto"/>
          <w:sz w:val="24"/>
          <w:szCs w:val="24"/>
          <w:highlight w:val="none"/>
          <w:u w:val="none"/>
          <w:lang w:val="en-US" w:eastAsia="zh-CN"/>
        </w:rPr>
        <w:t>7.</w:t>
      </w:r>
      <w:r>
        <w:rPr>
          <w:rFonts w:hint="eastAsia" w:ascii="宋体" w:hAnsi="宋体" w:cs="宋体"/>
          <w:b/>
          <w:bCs/>
          <w:color w:val="auto"/>
          <w:sz w:val="24"/>
          <w:szCs w:val="24"/>
          <w:highlight w:val="none"/>
          <w:u w:val="none"/>
          <w:lang w:val="en-US" w:eastAsia="zh-CN"/>
        </w:rPr>
        <w:t>4.2</w:t>
      </w:r>
      <w:r>
        <w:rPr>
          <w:rFonts w:hint="eastAsia" w:ascii="宋体" w:hAnsi="宋体" w:eastAsia="宋体" w:cs="宋体"/>
          <w:b/>
          <w:bCs/>
          <w:color w:val="auto"/>
          <w:sz w:val="24"/>
          <w:szCs w:val="24"/>
          <w:highlight w:val="none"/>
          <w:u w:val="none"/>
          <w:lang w:eastAsia="zh-CN"/>
        </w:rPr>
        <w:t xml:space="preserve">            修改类型：修改</w:t>
      </w:r>
    </w:p>
    <w:p w14:paraId="0C9416A9">
      <w:pPr>
        <w:spacing w:beforeLines="0" w:line="360" w:lineRule="auto"/>
        <w:ind w:firstLine="482" w:firstLineChars="200"/>
        <w:jc w:val="left"/>
        <w:rPr>
          <w:rFonts w:hint="eastAsia" w:ascii="宋体" w:hAnsi="宋体" w:eastAsia="宋体" w:cs="宋体"/>
          <w:color w:val="auto"/>
          <w:sz w:val="24"/>
          <w:highlight w:val="none"/>
        </w:rPr>
      </w:pPr>
      <w:r>
        <w:rPr>
          <w:rFonts w:hint="eastAsia" w:ascii="宋体" w:hAnsi="宋体" w:cs="宋体"/>
          <w:b/>
          <w:bCs/>
          <w:color w:val="auto"/>
          <w:sz w:val="24"/>
          <w:highlight w:val="none"/>
          <w:lang w:eastAsia="zh-CN"/>
        </w:rPr>
        <w:t>原</w:t>
      </w:r>
      <w:r>
        <w:rPr>
          <w:rFonts w:hint="eastAsia" w:ascii="宋体" w:hAnsi="宋体" w:eastAsia="宋体" w:cs="宋体"/>
          <w:b/>
          <w:bCs/>
          <w:color w:val="auto"/>
          <w:sz w:val="24"/>
          <w:highlight w:val="none"/>
          <w:lang w:eastAsia="zh-CN"/>
        </w:rPr>
        <w:t>文</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highlight w:val="none"/>
        </w:rPr>
        <w:t>7.4.2 中标人不能按本章第7.4.1项要求提交履约担保的，视为放弃中标，其投标保证金不予退还，给招标人造成的损失超过投标保证金数额的，中标人还应当对超过部分予以赔偿。</w:t>
      </w:r>
    </w:p>
    <w:p w14:paraId="38B40C2B">
      <w:pPr>
        <w:pBdr>
          <w:top w:val="none" w:color="auto" w:sz="0" w:space="0"/>
          <w:left w:val="none" w:color="auto" w:sz="0" w:space="0"/>
          <w:bottom w:val="single" w:color="auto" w:sz="4" w:space="0"/>
          <w:right w:val="none" w:color="auto" w:sz="0" w:space="0"/>
          <w:between w:val="none" w:color="auto" w:sz="0" w:space="0"/>
        </w:pBdr>
        <w:spacing w:beforeLines="0" w:line="360" w:lineRule="auto"/>
        <w:ind w:firstLine="482" w:firstLineChars="200"/>
        <w:rPr>
          <w:rFonts w:hint="eastAsia" w:ascii="宋体" w:hAnsi="宋体" w:cs="宋体"/>
          <w:b/>
          <w:bCs/>
          <w:color w:val="auto"/>
          <w:sz w:val="24"/>
          <w:szCs w:val="24"/>
          <w:highlight w:val="none"/>
          <w:u w:val="none"/>
          <w:lang w:eastAsia="zh-CN"/>
        </w:rPr>
      </w:pPr>
      <w:r>
        <w:rPr>
          <w:rFonts w:hint="eastAsia" w:ascii="宋体" w:hAnsi="宋体" w:cs="宋体"/>
          <w:b/>
          <w:bCs/>
          <w:color w:val="auto"/>
          <w:sz w:val="24"/>
          <w:szCs w:val="24"/>
          <w:highlight w:val="none"/>
          <w:u w:val="none"/>
          <w:lang w:eastAsia="zh-CN"/>
        </w:rPr>
        <w:t>现文：</w:t>
      </w:r>
      <w:r>
        <w:rPr>
          <w:rFonts w:hint="eastAsia" w:ascii="宋体" w:hAnsi="宋体" w:eastAsia="宋体" w:cs="宋体"/>
          <w:color w:val="auto"/>
          <w:sz w:val="24"/>
          <w:highlight w:val="none"/>
        </w:rPr>
        <w:t>7.4.2 中标人不能按本章第7.4.1项要求提交履约担保的，视为放弃中标，</w:t>
      </w:r>
      <w:r>
        <w:rPr>
          <w:rFonts w:hint="eastAsia" w:ascii="宋体" w:hAnsi="宋体" w:cs="宋体"/>
          <w:color w:val="auto"/>
          <w:sz w:val="24"/>
          <w:highlight w:val="none"/>
          <w:u w:val="single"/>
          <w:lang w:eastAsia="zh-CN"/>
        </w:rPr>
        <w:t>且依法承担相应法律责任</w:t>
      </w:r>
      <w:r>
        <w:rPr>
          <w:rFonts w:hint="eastAsia" w:ascii="宋体" w:hAnsi="宋体" w:eastAsia="宋体" w:cs="宋体"/>
          <w:color w:val="auto"/>
          <w:sz w:val="24"/>
          <w:highlight w:val="none"/>
          <w:u w:val="single"/>
        </w:rPr>
        <w:t>，给招标人造成损失的，</w:t>
      </w:r>
      <w:r>
        <w:rPr>
          <w:rFonts w:hint="eastAsia" w:ascii="宋体" w:hAnsi="宋体" w:cs="宋体"/>
          <w:color w:val="auto"/>
          <w:sz w:val="24"/>
          <w:highlight w:val="none"/>
          <w:u w:val="single"/>
          <w:lang w:eastAsia="zh-CN"/>
        </w:rPr>
        <w:t>原</w:t>
      </w:r>
      <w:r>
        <w:rPr>
          <w:rFonts w:hint="eastAsia" w:ascii="宋体" w:hAnsi="宋体" w:eastAsia="宋体" w:cs="宋体"/>
          <w:color w:val="auto"/>
          <w:sz w:val="24"/>
          <w:highlight w:val="none"/>
          <w:u w:val="single"/>
        </w:rPr>
        <w:t>中标人应当予以赔偿</w:t>
      </w:r>
      <w:r>
        <w:rPr>
          <w:rFonts w:hint="eastAsia" w:ascii="宋体" w:hAnsi="宋体" w:eastAsia="宋体" w:cs="宋体"/>
          <w:color w:val="auto"/>
          <w:sz w:val="24"/>
          <w:highlight w:val="none"/>
        </w:rPr>
        <w:t>。</w:t>
      </w:r>
    </w:p>
    <w:p w14:paraId="53BD07A1">
      <w:pPr>
        <w:pBdr>
          <w:top w:val="none" w:color="auto" w:sz="0" w:space="0"/>
          <w:left w:val="none" w:color="auto" w:sz="0" w:space="0"/>
          <w:bottom w:val="none" w:color="auto" w:sz="0" w:space="0"/>
          <w:right w:val="none" w:color="auto" w:sz="0" w:space="0"/>
          <w:between w:val="none" w:color="auto" w:sz="0" w:space="0"/>
        </w:pBdr>
        <w:spacing w:beforeLines="0" w:line="360" w:lineRule="auto"/>
        <w:ind w:firstLine="482" w:firstLineChars="200"/>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条款号：</w:t>
      </w:r>
      <w:r>
        <w:rPr>
          <w:rFonts w:hint="eastAsia" w:ascii="宋体" w:hAnsi="宋体" w:eastAsia="宋体" w:cs="宋体"/>
          <w:b/>
          <w:bCs/>
          <w:color w:val="auto"/>
          <w:sz w:val="24"/>
          <w:szCs w:val="24"/>
          <w:highlight w:val="none"/>
          <w:u w:val="none"/>
          <w:lang w:val="en-US" w:eastAsia="zh-CN"/>
        </w:rPr>
        <w:t>7.</w:t>
      </w:r>
      <w:r>
        <w:rPr>
          <w:rFonts w:hint="eastAsia" w:ascii="宋体" w:hAnsi="宋体" w:cs="宋体"/>
          <w:b/>
          <w:bCs/>
          <w:color w:val="auto"/>
          <w:sz w:val="24"/>
          <w:szCs w:val="24"/>
          <w:highlight w:val="none"/>
          <w:u w:val="none"/>
          <w:lang w:val="en-US" w:eastAsia="zh-CN"/>
        </w:rPr>
        <w:t>5</w:t>
      </w:r>
      <w:r>
        <w:rPr>
          <w:rFonts w:hint="eastAsia" w:ascii="宋体" w:hAnsi="宋体" w:eastAsia="宋体" w:cs="宋体"/>
          <w:b/>
          <w:bCs/>
          <w:color w:val="auto"/>
          <w:sz w:val="24"/>
          <w:szCs w:val="24"/>
          <w:highlight w:val="none"/>
          <w:u w:val="none"/>
          <w:lang w:eastAsia="zh-CN"/>
        </w:rPr>
        <w:t xml:space="preserve">            修改类型：修改</w:t>
      </w:r>
    </w:p>
    <w:p w14:paraId="4958CC94">
      <w:pPr>
        <w:pBdr>
          <w:top w:val="none" w:color="auto" w:sz="0" w:space="0"/>
          <w:left w:val="none" w:color="auto" w:sz="0" w:space="0"/>
          <w:bottom w:val="none" w:color="auto" w:sz="0" w:space="0"/>
          <w:right w:val="none" w:color="auto" w:sz="0" w:space="0"/>
          <w:between w:val="none" w:color="auto" w:sz="0" w:space="0"/>
        </w:pBdr>
        <w:spacing w:beforeLines="0" w:line="360" w:lineRule="auto"/>
        <w:ind w:firstLine="482" w:firstLineChars="200"/>
        <w:rPr>
          <w:rFonts w:hint="eastAsia" w:ascii="宋体" w:hAnsi="宋体" w:eastAsia="宋体" w:cs="宋体"/>
          <w:color w:val="auto"/>
          <w:sz w:val="24"/>
          <w:szCs w:val="24"/>
          <w:highlight w:val="none"/>
        </w:rPr>
      </w:pPr>
      <w:r>
        <w:rPr>
          <w:rFonts w:hint="eastAsia" w:ascii="宋体" w:hAnsi="宋体" w:cs="宋体"/>
          <w:b/>
          <w:bCs/>
          <w:color w:val="auto"/>
          <w:sz w:val="24"/>
          <w:highlight w:val="none"/>
          <w:lang w:eastAsia="zh-CN"/>
        </w:rPr>
        <w:t>原</w:t>
      </w:r>
      <w:r>
        <w:rPr>
          <w:rFonts w:hint="eastAsia" w:ascii="宋体" w:hAnsi="宋体" w:eastAsia="宋体" w:cs="宋体"/>
          <w:b/>
          <w:bCs/>
          <w:color w:val="auto"/>
          <w:sz w:val="24"/>
          <w:highlight w:val="none"/>
          <w:lang w:eastAsia="zh-CN"/>
        </w:rPr>
        <w:t>文</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7.5签订合同</w:t>
      </w:r>
    </w:p>
    <w:p w14:paraId="1A44742D">
      <w:pPr>
        <w:spacing w:before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7.5.1招标人和中标人应当自中标通知书发出之日起30天内，根据招标文件和中标人的投标文件订立书面合同，并通过电子交易系统与中标人在线签订合同。中标人无正当理由拒签合同的，招标人取消其中标资格，其投标保证金不予退还；给招标人造成的损失超过投标保证金数额的，中标人还应当对超过部分予以赔偿。</w:t>
      </w:r>
    </w:p>
    <w:p w14:paraId="33C4F69C">
      <w:pPr>
        <w:spacing w:before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7.5.2 发出中标通知书后，招标人无正当理由拒签合同的，招标人向中标人退还投标保证金；给中标人造成损失的，还应当赔偿损失。</w:t>
      </w:r>
    </w:p>
    <w:p w14:paraId="1DC05406">
      <w:pPr>
        <w:pBdr>
          <w:top w:val="none" w:color="auto" w:sz="0" w:space="0"/>
          <w:left w:val="none" w:color="auto" w:sz="0" w:space="0"/>
          <w:bottom w:val="none" w:color="auto" w:sz="0" w:space="0"/>
          <w:right w:val="none" w:color="auto" w:sz="0" w:space="0"/>
          <w:between w:val="none" w:color="auto" w:sz="0" w:space="0"/>
        </w:pBdr>
        <w:spacing w:beforeLines="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none"/>
          <w:lang w:eastAsia="zh-CN"/>
        </w:rPr>
        <w:t>现文</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szCs w:val="24"/>
          <w:highlight w:val="none"/>
        </w:rPr>
        <w:t>7.5签订合同</w:t>
      </w:r>
    </w:p>
    <w:p w14:paraId="1DB4E900">
      <w:pPr>
        <w:spacing w:before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7.5.1招标人和中标人应当自中标通知书发出之日起30天内，根据招标文件和中标人的投标文件订立书面合同，并通过电子交易系统与中标人在线签订合同。中标人无正当理由拒签合同的，招标人取消其中标资格</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eastAsia="zh-CN"/>
        </w:rPr>
        <w:t>且中标人依法承担相应法律责任</w:t>
      </w:r>
      <w:r>
        <w:rPr>
          <w:rFonts w:hint="eastAsia" w:ascii="宋体" w:hAnsi="宋体" w:eastAsia="宋体" w:cs="宋体"/>
          <w:color w:val="auto"/>
          <w:sz w:val="24"/>
          <w:highlight w:val="none"/>
          <w:u w:val="single"/>
        </w:rPr>
        <w:t>；给招标人造成</w:t>
      </w:r>
      <w:r>
        <w:rPr>
          <w:rFonts w:hint="eastAsia" w:ascii="宋体" w:hAnsi="宋体" w:eastAsia="宋体" w:cs="宋体"/>
          <w:strike w:val="0"/>
          <w:dstrike w:val="0"/>
          <w:color w:val="auto"/>
          <w:sz w:val="24"/>
          <w:highlight w:val="none"/>
          <w:u w:val="single"/>
        </w:rPr>
        <w:t>损失的</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原</w:t>
      </w:r>
      <w:r>
        <w:rPr>
          <w:rFonts w:hint="eastAsia" w:ascii="宋体" w:hAnsi="宋体" w:eastAsia="宋体" w:cs="宋体"/>
          <w:color w:val="auto"/>
          <w:sz w:val="24"/>
          <w:highlight w:val="none"/>
          <w:u w:val="single"/>
        </w:rPr>
        <w:t>中标人还应当予以赔偿</w:t>
      </w:r>
      <w:r>
        <w:rPr>
          <w:rFonts w:hint="eastAsia" w:ascii="宋体" w:hAnsi="宋体" w:eastAsia="宋体" w:cs="宋体"/>
          <w:color w:val="auto"/>
          <w:sz w:val="24"/>
          <w:highlight w:val="none"/>
        </w:rPr>
        <w:t>。</w:t>
      </w:r>
    </w:p>
    <w:p w14:paraId="101DF2F2">
      <w:pPr>
        <w:pBdr>
          <w:bottom w:val="single" w:color="auto" w:sz="4" w:space="0"/>
        </w:pBdr>
        <w:spacing w:beforeLines="0" w:line="360" w:lineRule="auto"/>
        <w:ind w:firstLine="480" w:firstLineChars="20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7.5.2 发出中标通知书后，</w:t>
      </w:r>
      <w:r>
        <w:rPr>
          <w:rFonts w:hint="eastAsia" w:ascii="宋体" w:hAnsi="宋体" w:eastAsia="宋体" w:cs="宋体"/>
          <w:color w:val="auto"/>
          <w:sz w:val="24"/>
          <w:highlight w:val="none"/>
          <w:u w:val="single"/>
        </w:rPr>
        <w:t>招标人无正当理由拒签合同</w:t>
      </w:r>
      <w:r>
        <w:rPr>
          <w:rFonts w:hint="eastAsia" w:ascii="宋体" w:hAnsi="宋体" w:cs="宋体"/>
          <w:strike w:val="0"/>
          <w:dstrike w:val="0"/>
          <w:color w:val="auto"/>
          <w:sz w:val="24"/>
          <w:highlight w:val="none"/>
          <w:u w:val="single"/>
          <w:lang w:eastAsia="zh-CN"/>
        </w:rPr>
        <w:t>且</w:t>
      </w:r>
      <w:r>
        <w:rPr>
          <w:rFonts w:hint="eastAsia" w:ascii="宋体" w:hAnsi="宋体" w:eastAsia="宋体" w:cs="宋体"/>
          <w:color w:val="auto"/>
          <w:sz w:val="24"/>
          <w:highlight w:val="none"/>
          <w:u w:val="single"/>
        </w:rPr>
        <w:t>给中标人造成损失的，</w:t>
      </w:r>
      <w:r>
        <w:rPr>
          <w:rFonts w:hint="eastAsia" w:ascii="宋体" w:hAnsi="宋体" w:eastAsia="宋体" w:cs="宋体"/>
          <w:strike w:val="0"/>
          <w:dstrike w:val="0"/>
          <w:color w:val="auto"/>
          <w:sz w:val="24"/>
          <w:highlight w:val="none"/>
          <w:u w:val="single"/>
        </w:rPr>
        <w:t>还</w:t>
      </w:r>
      <w:r>
        <w:rPr>
          <w:rFonts w:hint="eastAsia" w:ascii="宋体" w:hAnsi="宋体" w:eastAsia="宋体" w:cs="宋体"/>
          <w:color w:val="auto"/>
          <w:sz w:val="24"/>
          <w:highlight w:val="none"/>
          <w:u w:val="single"/>
        </w:rPr>
        <w:t>应当赔偿损失</w:t>
      </w:r>
      <w:r>
        <w:rPr>
          <w:rFonts w:hint="eastAsia" w:ascii="宋体" w:hAnsi="宋体" w:eastAsia="宋体" w:cs="宋体"/>
          <w:color w:val="auto"/>
          <w:sz w:val="24"/>
          <w:highlight w:val="none"/>
          <w:u w:val="single"/>
          <w:lang w:eastAsia="zh-CN"/>
        </w:rPr>
        <w:t>。</w:t>
      </w:r>
    </w:p>
    <w:p w14:paraId="2A241B1F">
      <w:pPr>
        <w:pBdr>
          <w:bottom w:val="single" w:color="auto" w:sz="4" w:space="0"/>
        </w:pBdr>
        <w:spacing w:beforeLines="0" w:line="360" w:lineRule="auto"/>
        <w:ind w:firstLine="480" w:firstLineChars="200"/>
        <w:jc w:val="left"/>
        <w:rPr>
          <w:rFonts w:hint="eastAsia" w:ascii="宋体" w:hAnsi="宋体" w:eastAsia="宋体" w:cs="宋体"/>
          <w:color w:val="auto"/>
          <w:sz w:val="24"/>
          <w:highlight w:val="none"/>
        </w:rPr>
      </w:pPr>
      <w:r>
        <w:rPr>
          <w:rFonts w:ascii="宋体" w:hAnsi="宋体"/>
          <w:bCs/>
          <w:color w:val="auto"/>
          <w:sz w:val="24"/>
          <w:szCs w:val="24"/>
          <w:highlight w:val="none"/>
          <w:u w:val="single"/>
        </w:rPr>
        <w:t>7.5.3</w:t>
      </w:r>
      <w:r>
        <w:rPr>
          <w:rFonts w:hint="eastAsia" w:ascii="宋体" w:hAnsi="宋体"/>
          <w:bCs/>
          <w:color w:val="auto"/>
          <w:sz w:val="24"/>
          <w:szCs w:val="24"/>
          <w:highlight w:val="none"/>
          <w:u w:val="single"/>
        </w:rPr>
        <w:t>如本工程委托代建单位，则可由代建单位作为发包人与中标人签订合同</w:t>
      </w:r>
      <w:r>
        <w:rPr>
          <w:rFonts w:hint="eastAsia" w:ascii="宋体" w:hAnsi="宋体" w:eastAsia="宋体" w:cs="宋体"/>
          <w:color w:val="auto"/>
          <w:sz w:val="24"/>
          <w:highlight w:val="none"/>
        </w:rPr>
        <w:t>。</w:t>
      </w:r>
    </w:p>
    <w:p w14:paraId="6A82F734">
      <w:pPr>
        <w:pBdr>
          <w:top w:val="none" w:color="auto" w:sz="0" w:space="0"/>
          <w:left w:val="none" w:color="auto" w:sz="0" w:space="0"/>
          <w:bottom w:val="none" w:color="auto" w:sz="0" w:space="0"/>
          <w:right w:val="none" w:color="auto" w:sz="0" w:space="0"/>
          <w:between w:val="none" w:color="auto" w:sz="0" w:space="0"/>
        </w:pBdr>
        <w:spacing w:line="360" w:lineRule="auto"/>
        <w:ind w:firstLine="482" w:firstLineChars="200"/>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条款号：</w:t>
      </w:r>
      <w:r>
        <w:rPr>
          <w:rFonts w:hint="eastAsia" w:ascii="宋体" w:hAnsi="宋体" w:cs="宋体"/>
          <w:b/>
          <w:bCs/>
          <w:color w:val="auto"/>
          <w:sz w:val="24"/>
          <w:szCs w:val="24"/>
          <w:highlight w:val="none"/>
          <w:u w:val="none"/>
          <w:lang w:val="en-US" w:eastAsia="zh-CN"/>
        </w:rPr>
        <w:t>9.2、9.3、9.4</w:t>
      </w:r>
      <w:r>
        <w:rPr>
          <w:rFonts w:hint="eastAsia" w:ascii="宋体" w:hAnsi="宋体" w:eastAsia="宋体" w:cs="宋体"/>
          <w:b/>
          <w:bCs/>
          <w:color w:val="auto"/>
          <w:sz w:val="24"/>
          <w:szCs w:val="24"/>
          <w:highlight w:val="none"/>
          <w:u w:val="none"/>
          <w:lang w:eastAsia="zh-CN"/>
        </w:rPr>
        <w:t xml:space="preserve">            修改类型：修改</w:t>
      </w:r>
    </w:p>
    <w:p w14:paraId="5C8701D2">
      <w:pP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原</w:t>
      </w:r>
      <w:r>
        <w:rPr>
          <w:rFonts w:hint="eastAsia" w:ascii="宋体" w:hAnsi="宋体" w:eastAsia="宋体" w:cs="宋体"/>
          <w:b/>
          <w:bCs/>
          <w:color w:val="auto"/>
          <w:sz w:val="24"/>
          <w:highlight w:val="none"/>
          <w:lang w:eastAsia="zh-CN"/>
        </w:rPr>
        <w:t>文</w:t>
      </w:r>
      <w:r>
        <w:rPr>
          <w:rFonts w:hint="eastAsia" w:ascii="宋体" w:hAnsi="宋体" w:eastAsia="宋体" w:cs="宋体"/>
          <w:b/>
          <w:bCs/>
          <w:color w:val="auto"/>
          <w:sz w:val="24"/>
          <w:szCs w:val="24"/>
          <w:highlight w:val="none"/>
          <w:u w:val="none"/>
          <w:lang w:eastAsia="zh-CN"/>
        </w:rPr>
        <w:t>：</w:t>
      </w:r>
      <w:r>
        <w:rPr>
          <w:rFonts w:hint="eastAsia" w:ascii="宋体" w:hAnsi="宋体" w:cs="宋体"/>
          <w:b/>
          <w:bCs/>
          <w:color w:val="auto"/>
          <w:sz w:val="24"/>
          <w:highlight w:val="none"/>
          <w:lang w:val="en-US" w:eastAsia="zh-CN"/>
        </w:rPr>
        <w:t>9.2</w:t>
      </w:r>
      <w:r>
        <w:rPr>
          <w:rFonts w:hint="eastAsia" w:ascii="宋体" w:hAnsi="宋体" w:eastAsia="宋体" w:cs="宋体"/>
          <w:b/>
          <w:bCs/>
          <w:color w:val="auto"/>
          <w:sz w:val="24"/>
          <w:highlight w:val="none"/>
        </w:rPr>
        <w:t>对投标人的纪律要求</w:t>
      </w:r>
    </w:p>
    <w:p w14:paraId="0FBF3A2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C1B823F">
      <w:pP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.3对评标委员会成员的纪律要求</w:t>
      </w:r>
    </w:p>
    <w:p w14:paraId="1C5F467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FC7273E">
      <w:pP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.4对与评标活动有关的工作人员的纪律要求</w:t>
      </w:r>
    </w:p>
    <w:p w14:paraId="3B5FD0B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22646B8">
      <w:pPr>
        <w:spacing w:line="360" w:lineRule="auto"/>
        <w:ind w:firstLine="482" w:firstLineChars="200"/>
        <w:jc w:val="left"/>
        <w:rPr>
          <w:rFonts w:hint="eastAsia" w:ascii="宋体" w:hAnsi="宋体" w:eastAsia="宋体" w:cs="宋体"/>
          <w:color w:val="auto"/>
          <w:sz w:val="24"/>
          <w:highlight w:val="none"/>
        </w:rPr>
      </w:pPr>
      <w:r>
        <w:rPr>
          <w:rFonts w:hint="eastAsia" w:ascii="宋体" w:hAnsi="宋体" w:cs="宋体"/>
          <w:b/>
          <w:bCs/>
          <w:color w:val="auto"/>
          <w:sz w:val="24"/>
          <w:highlight w:val="none"/>
          <w:lang w:eastAsia="zh-CN"/>
        </w:rPr>
        <w:t>现</w:t>
      </w:r>
      <w:r>
        <w:rPr>
          <w:rFonts w:hint="eastAsia" w:ascii="宋体" w:hAnsi="宋体" w:eastAsia="宋体" w:cs="宋体"/>
          <w:b/>
          <w:bCs/>
          <w:color w:val="auto"/>
          <w:sz w:val="24"/>
          <w:highlight w:val="none"/>
          <w:lang w:eastAsia="zh-CN"/>
        </w:rPr>
        <w:t>文</w:t>
      </w:r>
      <w:r>
        <w:rPr>
          <w:rFonts w:hint="eastAsia" w:ascii="宋体" w:hAnsi="宋体" w:eastAsia="宋体" w:cs="宋体"/>
          <w:b/>
          <w:bCs/>
          <w:color w:val="auto"/>
          <w:sz w:val="24"/>
          <w:szCs w:val="24"/>
          <w:highlight w:val="none"/>
          <w:u w:val="none"/>
          <w:lang w:eastAsia="zh-CN"/>
        </w:rPr>
        <w:t>：</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.2对投标人的纪律要求</w:t>
      </w:r>
    </w:p>
    <w:p w14:paraId="30055D5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投标人不得相互串通投标或者与招标人串通投标，不得向招标人或者评标委员会成员</w:t>
      </w:r>
      <w:r>
        <w:rPr>
          <w:rFonts w:hint="eastAsia" w:ascii="宋体" w:hAnsi="宋体" w:cs="宋体"/>
          <w:color w:val="auto"/>
          <w:sz w:val="24"/>
          <w:highlight w:val="none"/>
          <w:u w:val="single"/>
          <w:lang w:eastAsia="zh-CN"/>
        </w:rPr>
        <w:t>或定标委员会成员</w:t>
      </w:r>
      <w:r>
        <w:rPr>
          <w:rFonts w:hint="eastAsia" w:ascii="宋体" w:hAnsi="宋体" w:eastAsia="宋体" w:cs="宋体"/>
          <w:color w:val="auto"/>
          <w:sz w:val="24"/>
          <w:highlight w:val="none"/>
        </w:rPr>
        <w:t>行贿谋取中标，不得以他人名义投标或者以其他方式弄虚作假骗取中标；投标人不得以任何方式干扰、影响评标工作。</w:t>
      </w:r>
    </w:p>
    <w:p w14:paraId="1798AD37">
      <w:pP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.3对评标委员会成员</w:t>
      </w:r>
      <w:r>
        <w:rPr>
          <w:rFonts w:hint="eastAsia" w:ascii="宋体" w:hAnsi="宋体" w:cs="宋体"/>
          <w:b/>
          <w:bCs/>
          <w:color w:val="auto"/>
          <w:sz w:val="24"/>
          <w:highlight w:val="none"/>
          <w:u w:val="single"/>
          <w:lang w:eastAsia="zh-CN"/>
        </w:rPr>
        <w:t>及定标委员会成员</w:t>
      </w:r>
      <w:r>
        <w:rPr>
          <w:rFonts w:hint="eastAsia" w:ascii="宋体" w:hAnsi="宋体" w:eastAsia="宋体" w:cs="宋体"/>
          <w:b/>
          <w:bCs/>
          <w:color w:val="auto"/>
          <w:sz w:val="24"/>
          <w:highlight w:val="none"/>
        </w:rPr>
        <w:t>的纪律要求</w:t>
      </w:r>
    </w:p>
    <w:p w14:paraId="18AC7B5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评标委员会成员</w:t>
      </w:r>
      <w:r>
        <w:rPr>
          <w:rFonts w:hint="eastAsia" w:ascii="宋体" w:hAnsi="宋体" w:cs="宋体"/>
          <w:color w:val="auto"/>
          <w:sz w:val="24"/>
          <w:highlight w:val="none"/>
          <w:u w:val="single"/>
          <w:lang w:eastAsia="zh-CN"/>
        </w:rPr>
        <w:t>及定标委员会成员</w:t>
      </w:r>
      <w:r>
        <w:rPr>
          <w:rFonts w:hint="eastAsia" w:ascii="宋体" w:hAnsi="宋体" w:eastAsia="宋体" w:cs="宋体"/>
          <w:color w:val="auto"/>
          <w:sz w:val="24"/>
          <w:highlight w:val="none"/>
        </w:rPr>
        <w:t>不得收受他人的财物或者其他好处，不得向他人透漏对投标文件的评审和比较、</w:t>
      </w:r>
      <w:r>
        <w:rPr>
          <w:rFonts w:hint="eastAsia" w:ascii="宋体" w:hAnsi="宋体" w:cs="宋体"/>
          <w:color w:val="auto"/>
          <w:sz w:val="24"/>
          <w:highlight w:val="none"/>
          <w:u w:val="single"/>
          <w:lang w:eastAsia="zh-CN"/>
        </w:rPr>
        <w:t>合格</w:t>
      </w:r>
      <w:r>
        <w:rPr>
          <w:rFonts w:hint="eastAsia" w:ascii="宋体" w:hAnsi="宋体" w:eastAsia="宋体" w:cs="宋体"/>
          <w:color w:val="auto"/>
          <w:sz w:val="24"/>
          <w:highlight w:val="none"/>
        </w:rPr>
        <w:t>中标候选人的推荐情</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评标有关的其他情况</w:t>
      </w:r>
      <w:r>
        <w:rPr>
          <w:rFonts w:hint="eastAsia" w:ascii="宋体" w:hAnsi="宋体" w:cs="宋体"/>
          <w:color w:val="auto"/>
          <w:sz w:val="24"/>
          <w:highlight w:val="none"/>
          <w:u w:val="single"/>
          <w:lang w:eastAsia="zh-CN"/>
        </w:rPr>
        <w:t>及定标情况</w:t>
      </w:r>
      <w:r>
        <w:rPr>
          <w:rFonts w:hint="eastAsia" w:ascii="宋体" w:hAnsi="宋体" w:eastAsia="宋体" w:cs="宋体"/>
          <w:color w:val="auto"/>
          <w:sz w:val="24"/>
          <w:highlight w:val="none"/>
        </w:rPr>
        <w:t>。在评标活动中，评标委员会成员</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eastAsia="zh-CN"/>
        </w:rPr>
        <w:t>定标委员会成员</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应当客观、公正地履行职责，遵守职业道德，不得擅离职守，影响评标</w:t>
      </w:r>
      <w:r>
        <w:rPr>
          <w:rFonts w:hint="eastAsia" w:ascii="宋体" w:hAnsi="宋体" w:cs="宋体"/>
          <w:color w:val="auto"/>
          <w:sz w:val="24"/>
          <w:highlight w:val="none"/>
          <w:u w:val="single"/>
          <w:lang w:eastAsia="zh-CN"/>
        </w:rPr>
        <w:t>、定标</w:t>
      </w:r>
      <w:r>
        <w:rPr>
          <w:rFonts w:hint="eastAsia" w:ascii="宋体" w:hAnsi="宋体" w:eastAsia="宋体" w:cs="宋体"/>
          <w:color w:val="auto"/>
          <w:sz w:val="24"/>
          <w:highlight w:val="none"/>
        </w:rPr>
        <w:t>程序正常进行，不得使用第三章“评标</w:t>
      </w:r>
      <w:r>
        <w:rPr>
          <w:rFonts w:hint="eastAsia" w:ascii="宋体" w:hAnsi="宋体" w:cs="宋体"/>
          <w:color w:val="auto"/>
          <w:sz w:val="24"/>
          <w:highlight w:val="none"/>
          <w:lang w:eastAsia="zh-CN"/>
        </w:rPr>
        <w:t>定标</w:t>
      </w:r>
      <w:r>
        <w:rPr>
          <w:rFonts w:hint="eastAsia" w:ascii="宋体" w:hAnsi="宋体" w:eastAsia="宋体" w:cs="宋体"/>
          <w:color w:val="auto"/>
          <w:sz w:val="24"/>
          <w:highlight w:val="none"/>
        </w:rPr>
        <w:t>办法”没有规定的评审因素和标准进行评标</w:t>
      </w:r>
      <w:r>
        <w:rPr>
          <w:rFonts w:hint="eastAsia" w:ascii="宋体" w:hAnsi="宋体" w:cs="宋体"/>
          <w:color w:val="auto"/>
          <w:sz w:val="24"/>
          <w:highlight w:val="none"/>
          <w:u w:val="single"/>
          <w:lang w:eastAsia="zh-CN"/>
        </w:rPr>
        <w:t>或定标</w:t>
      </w:r>
      <w:r>
        <w:rPr>
          <w:rFonts w:hint="eastAsia" w:ascii="宋体" w:hAnsi="宋体" w:eastAsia="宋体" w:cs="宋体"/>
          <w:color w:val="auto"/>
          <w:sz w:val="24"/>
          <w:highlight w:val="none"/>
        </w:rPr>
        <w:t>。</w:t>
      </w:r>
    </w:p>
    <w:p w14:paraId="2ACCE3CF">
      <w:pP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.4对与评标活动有关的工作人员的纪律要求</w:t>
      </w:r>
    </w:p>
    <w:p w14:paraId="6E2BC696">
      <w:pPr>
        <w:pBdr>
          <w:bottom w:val="single" w:color="auto" w:sz="4" w:space="0"/>
        </w:pBd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与评标</w:t>
      </w:r>
      <w:r>
        <w:rPr>
          <w:rFonts w:hint="eastAsia" w:ascii="宋体" w:hAnsi="宋体" w:cs="宋体"/>
          <w:color w:val="auto"/>
          <w:sz w:val="24"/>
          <w:highlight w:val="none"/>
          <w:u w:val="single"/>
          <w:lang w:eastAsia="zh-CN"/>
        </w:rPr>
        <w:t>、定标</w:t>
      </w:r>
      <w:r>
        <w:rPr>
          <w:rFonts w:hint="eastAsia" w:ascii="宋体" w:hAnsi="宋体" w:eastAsia="宋体" w:cs="宋体"/>
          <w:color w:val="auto"/>
          <w:sz w:val="24"/>
          <w:highlight w:val="none"/>
        </w:rPr>
        <w:t>活动有关的工作人员不得收受他人的财物或者其他好处，不得向他人透漏对投标文件的评审和比较、</w:t>
      </w:r>
      <w:r>
        <w:rPr>
          <w:rFonts w:hint="eastAsia" w:ascii="宋体" w:hAnsi="宋体" w:cs="宋体"/>
          <w:color w:val="auto"/>
          <w:sz w:val="24"/>
          <w:highlight w:val="none"/>
          <w:u w:val="single"/>
          <w:lang w:eastAsia="zh-CN"/>
        </w:rPr>
        <w:t>合格</w:t>
      </w:r>
      <w:r>
        <w:rPr>
          <w:rFonts w:hint="eastAsia" w:ascii="宋体" w:hAnsi="宋体" w:eastAsia="宋体" w:cs="宋体"/>
          <w:color w:val="auto"/>
          <w:sz w:val="24"/>
          <w:highlight w:val="none"/>
        </w:rPr>
        <w:t>中标候选人的推荐情况</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评标有关的其他情况</w:t>
      </w:r>
      <w:r>
        <w:rPr>
          <w:rFonts w:hint="eastAsia" w:ascii="宋体" w:hAnsi="宋体" w:cs="宋体"/>
          <w:color w:val="auto"/>
          <w:sz w:val="24"/>
          <w:highlight w:val="none"/>
          <w:u w:val="single"/>
          <w:lang w:eastAsia="zh-CN"/>
        </w:rPr>
        <w:t>及定标情况</w:t>
      </w:r>
      <w:r>
        <w:rPr>
          <w:rFonts w:hint="eastAsia" w:ascii="宋体" w:hAnsi="宋体" w:eastAsia="宋体" w:cs="宋体"/>
          <w:color w:val="auto"/>
          <w:sz w:val="24"/>
          <w:highlight w:val="none"/>
        </w:rPr>
        <w:t>。在评标</w:t>
      </w:r>
      <w:r>
        <w:rPr>
          <w:rFonts w:hint="eastAsia" w:ascii="宋体" w:hAnsi="宋体" w:cs="宋体"/>
          <w:color w:val="auto"/>
          <w:sz w:val="24"/>
          <w:highlight w:val="none"/>
          <w:u w:val="single"/>
          <w:lang w:eastAsia="zh-CN"/>
        </w:rPr>
        <w:t>、定标</w:t>
      </w:r>
      <w:r>
        <w:rPr>
          <w:rFonts w:hint="eastAsia" w:ascii="宋体" w:hAnsi="宋体" w:eastAsia="宋体" w:cs="宋体"/>
          <w:color w:val="auto"/>
          <w:sz w:val="24"/>
          <w:highlight w:val="none"/>
        </w:rPr>
        <w:t>活动中，与评标</w:t>
      </w:r>
      <w:r>
        <w:rPr>
          <w:rFonts w:hint="eastAsia" w:ascii="宋体" w:hAnsi="宋体" w:cs="宋体"/>
          <w:color w:val="auto"/>
          <w:sz w:val="24"/>
          <w:highlight w:val="none"/>
          <w:u w:val="single"/>
          <w:lang w:eastAsia="zh-CN"/>
        </w:rPr>
        <w:t>、定标</w:t>
      </w:r>
      <w:r>
        <w:rPr>
          <w:rFonts w:hint="eastAsia" w:ascii="宋体" w:hAnsi="宋体" w:eastAsia="宋体" w:cs="宋体"/>
          <w:color w:val="auto"/>
          <w:sz w:val="24"/>
          <w:highlight w:val="none"/>
        </w:rPr>
        <w:t>活动有关的工作人员不得擅离职守，影响评标</w:t>
      </w:r>
      <w:r>
        <w:rPr>
          <w:rFonts w:hint="eastAsia" w:ascii="宋体" w:hAnsi="宋体" w:cs="宋体"/>
          <w:color w:val="auto"/>
          <w:sz w:val="24"/>
          <w:highlight w:val="none"/>
          <w:u w:val="single"/>
          <w:lang w:eastAsia="zh-CN"/>
        </w:rPr>
        <w:t>、定标</w:t>
      </w:r>
      <w:r>
        <w:rPr>
          <w:rFonts w:hint="eastAsia" w:ascii="宋体" w:hAnsi="宋体" w:eastAsia="宋体" w:cs="宋体"/>
          <w:color w:val="auto"/>
          <w:sz w:val="24"/>
          <w:highlight w:val="none"/>
        </w:rPr>
        <w:t>程序正常进行。</w:t>
      </w:r>
    </w:p>
    <w:p w14:paraId="3AD2FC33">
      <w:pPr>
        <w:spacing w:line="360" w:lineRule="auto"/>
        <w:ind w:firstLine="422" w:firstLineChars="200"/>
        <w:rPr>
          <w:rFonts w:hint="eastAsia" w:ascii="宋体" w:hAnsi="宋体" w:cs="宋体"/>
          <w:b/>
          <w:bCs/>
          <w:color w:val="auto"/>
          <w:sz w:val="24"/>
          <w:szCs w:val="24"/>
          <w:highlight w:val="none"/>
        </w:rPr>
      </w:pPr>
      <w:r>
        <w:rPr>
          <w:rFonts w:hint="eastAsia" w:ascii="宋体" w:hAnsi="宋体" w:cs="宋体"/>
          <w:b/>
          <w:bCs/>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-66040</wp:posOffset>
                </wp:positionV>
                <wp:extent cx="5372100" cy="0"/>
                <wp:effectExtent l="0" t="4445" r="0" b="5080"/>
                <wp:wrapNone/>
                <wp:docPr id="47" name="直接连接符 47"/>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5.2pt;height:0pt;width:423pt;z-index:251659264;mso-width-relative:page;mso-height-relative:page;" filled="f" stroked="t" coordsize="21600,21600" o:gfxdata="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p8jTVAAAACAEAAA8AAAAAAAAAAQAgAAAAIgAAAGRycy9kb3ducmV2LnhtbFBLAQIUABQA&#10;AAAIAIdO4kAgi6JM8wEAAOgDAAAOAAAAAAAAAAEAIAAAACQBAABkcnMvZTJvRG9jLnhtbFBLBQYA&#10;AAAABgAGAFkBAACJBQAAAAA=&#10;">
                <v:fill on="f" focussize="0,0"/>
                <v:stroke color="#000000" joinstyle="round"/>
                <v:imagedata o:title=""/>
                <o:lock v:ext="edit" aspectratio="f"/>
              </v:line>
            </w:pict>
          </mc:Fallback>
        </mc:AlternateContent>
      </w:r>
      <w:r>
        <w:rPr>
          <w:rFonts w:hint="eastAsia" w:ascii="宋体" w:hAnsi="宋体" w:cs="宋体"/>
          <w:b/>
          <w:bCs/>
          <w:color w:val="auto"/>
          <w:sz w:val="24"/>
          <w:szCs w:val="24"/>
          <w:highlight w:val="none"/>
        </w:rPr>
        <w:t>条款号：</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 xml:space="preserve">             修改类型：增加</w:t>
      </w:r>
    </w:p>
    <w:p w14:paraId="6ECD6C75">
      <w:pPr>
        <w:spacing w:line="360" w:lineRule="auto"/>
        <w:ind w:firstLine="482" w:firstLineChars="200"/>
        <w:rPr>
          <w:rFonts w:hint="eastAsia" w:ascii="宋体" w:hAnsi="宋体" w:cs="宋体"/>
          <w:color w:val="auto"/>
          <w:sz w:val="24"/>
          <w:szCs w:val="24"/>
          <w:highlight w:val="none"/>
          <w:lang w:val="en-US" w:eastAsia="zh-CN"/>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 1.工程预付款及进度款支付方式、合同价款调整、工程结算等详见第四章合同条款相关规定。</w:t>
      </w:r>
    </w:p>
    <w:p w14:paraId="4C44967E">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370BB6DA">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p w14:paraId="2F747AF3">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中标后，中标人委派的项目负责人及技术负责人在合同工期内应严格履职，全程负责本工程的管理。如有违反，中标人应承担违约责任，承担中标价2%人/次（累计最高不超过200万元）的违约金，具体按招标文件的合同专用条款35.2.6执行。</w:t>
      </w:r>
    </w:p>
    <w:p w14:paraId="3CCB286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5.工程进度款中的工人工资款比例参照施工招标的《中标通知书》中单列的人工费金额除以中标金额计算。</w:t>
      </w:r>
    </w:p>
    <w:p w14:paraId="6A2C9C7D">
      <w:pPr>
        <w:spacing w:line="360" w:lineRule="auto"/>
        <w:rPr>
          <w:rFonts w:hint="eastAsia" w:ascii="宋体" w:hAnsi="宋体" w:cs="宋体"/>
          <w:color w:val="auto"/>
          <w:sz w:val="24"/>
          <w:szCs w:val="24"/>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-66040</wp:posOffset>
                </wp:positionV>
                <wp:extent cx="5372100" cy="0"/>
                <wp:effectExtent l="0" t="4445" r="0" b="5080"/>
                <wp:wrapNone/>
                <wp:docPr id="37" name="直接连接符 37"/>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5.2pt;height:0pt;width:423pt;z-index:251660288;mso-width-relative:page;mso-height-relative:page;" filled="f" stroked="t" coordsize="21600,21600" o:gfxdata="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p8jTVAAAACAEAAA8AAAAAAAAAAQAgAAAAIgAAAGRycy9kb3ducmV2LnhtbFBLAQIUABQA&#10;AAAIAIdO4kAA26aF8wEAAOgDAAAOAAAAAAAAAAEAIAAAACQBAABkcnMvZTJvRG9jLnhtbFBLBQYA&#10;AAAABgAGAFkBAACJBQAAAAA=&#10;">
                <v:fill on="f" focussize="0,0"/>
                <v:stroke color="#000000" joinstyle="round"/>
                <v:imagedata o:title=""/>
                <o:lock v:ext="edit" aspectratio="f"/>
              </v:line>
            </w:pict>
          </mc:Fallback>
        </mc:AlternateContent>
      </w:r>
      <w:r>
        <w:rPr>
          <w:rFonts w:hint="eastAsia" w:ascii="宋体" w:hAnsi="宋体" w:cs="宋体"/>
          <w:color w:val="auto"/>
          <w:sz w:val="24"/>
          <w:szCs w:val="24"/>
          <w:highlight w:val="none"/>
        </w:rPr>
        <w:t>注：以上修改，仅限于本范本中有可供选择条款的情形。</w:t>
      </w:r>
    </w:p>
    <w:p w14:paraId="5ECA53F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14:paraId="4B3BCA00">
      <w:pPr>
        <w:pStyle w:val="14"/>
        <w:spacing w:line="360" w:lineRule="auto"/>
        <w:rPr>
          <w:rFonts w:eastAsia="宋体"/>
          <w:b/>
          <w:color w:val="auto"/>
          <w:sz w:val="24"/>
          <w:highlight w:val="none"/>
        </w:rPr>
      </w:pPr>
    </w:p>
    <w:p w14:paraId="58470DF6">
      <w:pPr>
        <w:widowControl/>
        <w:jc w:val="left"/>
        <w:rPr>
          <w:rFonts w:ascii="宋体" w:hAnsi="宋体"/>
          <w:b/>
          <w:color w:val="auto"/>
          <w:sz w:val="24"/>
          <w:szCs w:val="24"/>
          <w:highlight w:val="none"/>
          <w:u w:val="single"/>
        </w:rPr>
      </w:pPr>
      <w:r>
        <w:rPr>
          <w:rFonts w:ascii="宋体" w:hAnsi="宋体"/>
          <w:b/>
          <w:color w:val="auto"/>
          <w:sz w:val="24"/>
          <w:highlight w:val="none"/>
        </w:rPr>
        <w:br w:type="page"/>
      </w:r>
    </w:p>
    <w:p w14:paraId="13FCC129">
      <w:pPr>
        <w:spacing w:line="360" w:lineRule="auto"/>
        <w:jc w:val="center"/>
        <w:outlineLvl w:val="2"/>
        <w:rPr>
          <w:rFonts w:ascii="黑体" w:hAnsi="黑体" w:eastAsia="黑体"/>
          <w:color w:val="auto"/>
          <w:sz w:val="28"/>
          <w:szCs w:val="27"/>
          <w:highlight w:val="none"/>
        </w:rPr>
      </w:pPr>
      <w:bookmarkStart w:id="87" w:name="_Toc17451579"/>
      <w:bookmarkStart w:id="88" w:name="_Toc17451624"/>
      <w:bookmarkStart w:id="89" w:name="_Toc17454923"/>
      <w:bookmarkStart w:id="90" w:name="_Toc17278"/>
      <w:bookmarkStart w:id="91" w:name="_Toc17454872"/>
      <w:bookmarkStart w:id="92" w:name="_Toc17451102"/>
      <w:bookmarkStart w:id="93" w:name="_Toc17452665"/>
      <w:bookmarkStart w:id="94" w:name="_Toc17556877"/>
      <w:bookmarkStart w:id="95" w:name="_Toc9427"/>
      <w:r>
        <w:rPr>
          <w:rFonts w:hint="eastAsia" w:ascii="黑体" w:hAnsi="黑体" w:eastAsia="黑体"/>
          <w:color w:val="auto"/>
          <w:sz w:val="28"/>
          <w:szCs w:val="27"/>
          <w:highlight w:val="none"/>
        </w:rPr>
        <w:t>三、</w:t>
      </w:r>
      <w:r>
        <w:rPr>
          <w:rFonts w:hint="eastAsia" w:ascii="黑体" w:hAnsi="黑体" w:eastAsia="黑体"/>
          <w:color w:val="auto"/>
          <w:sz w:val="28"/>
          <w:szCs w:val="27"/>
          <w:highlight w:val="none"/>
          <w:lang w:eastAsia="zh-CN"/>
        </w:rPr>
        <w:t>投标人须知</w:t>
      </w:r>
      <w:r>
        <w:rPr>
          <w:rFonts w:hint="eastAsia" w:ascii="黑体" w:hAnsi="黑体" w:eastAsia="黑体"/>
          <w:color w:val="auto"/>
          <w:sz w:val="28"/>
          <w:szCs w:val="27"/>
          <w:highlight w:val="none"/>
        </w:rPr>
        <w:t>通用条款</w:t>
      </w:r>
      <w:bookmarkEnd w:id="87"/>
      <w:bookmarkEnd w:id="88"/>
      <w:bookmarkEnd w:id="89"/>
      <w:bookmarkEnd w:id="90"/>
      <w:bookmarkEnd w:id="91"/>
      <w:bookmarkEnd w:id="92"/>
      <w:bookmarkEnd w:id="93"/>
      <w:bookmarkEnd w:id="94"/>
      <w:bookmarkEnd w:id="95"/>
    </w:p>
    <w:p w14:paraId="3C175A48">
      <w:pPr>
        <w:jc w:val="center"/>
        <w:outlineLvl w:val="3"/>
        <w:rPr>
          <w:rFonts w:ascii="仿宋" w:hAnsi="仿宋" w:eastAsia="仿宋"/>
          <w:b/>
          <w:color w:val="auto"/>
          <w:sz w:val="30"/>
          <w:szCs w:val="30"/>
          <w:highlight w:val="none"/>
        </w:rPr>
      </w:pPr>
      <w:bookmarkStart w:id="96" w:name="_Toc262229163"/>
      <w:bookmarkStart w:id="97" w:name="_Toc85505512"/>
      <w:bookmarkStart w:id="98" w:name="_Toc101777612"/>
      <w:r>
        <w:rPr>
          <w:rFonts w:hint="eastAsia" w:ascii="仿宋" w:hAnsi="仿宋" w:eastAsia="仿宋"/>
          <w:b/>
          <w:color w:val="auto"/>
          <w:sz w:val="30"/>
          <w:szCs w:val="30"/>
          <w:highlight w:val="none"/>
        </w:rPr>
        <w:t>（一）总则</w:t>
      </w:r>
      <w:bookmarkEnd w:id="96"/>
      <w:bookmarkEnd w:id="97"/>
      <w:bookmarkEnd w:id="98"/>
    </w:p>
    <w:p w14:paraId="7B82A6C1">
      <w:pPr>
        <w:pStyle w:val="16"/>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1.1 项目概况</w:t>
      </w:r>
    </w:p>
    <w:p w14:paraId="4BA3BCE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1.1.1根据《中华人民共和国招标投标法》等有关法律、法规和规章的规定，本招标项目已具备招标条件，现对本标段施工进行招标。</w:t>
      </w:r>
    </w:p>
    <w:p w14:paraId="50D8C6E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1.1.2 本招标项目招标人：见投标人须知前附表。</w:t>
      </w:r>
    </w:p>
    <w:p w14:paraId="2E397A6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1.1.3 本标段招标代理机构：见投标人须知前附表。</w:t>
      </w:r>
    </w:p>
    <w:p w14:paraId="7E52562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1.1.4 本招标项目名称：见投标人须知前附表。</w:t>
      </w:r>
    </w:p>
    <w:p w14:paraId="2CE9794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1.1.5 本标段建设地点：见投标人须知前附表。</w:t>
      </w:r>
    </w:p>
    <w:p w14:paraId="41A95E2F">
      <w:pPr>
        <w:pStyle w:val="16"/>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1.2 资金来源和落实情况</w:t>
      </w:r>
    </w:p>
    <w:p w14:paraId="1BD600B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1.2.1 本招标项目的资金来源及出资比例：见投标人须知前附表。</w:t>
      </w:r>
    </w:p>
    <w:p w14:paraId="54166A96">
      <w:pPr>
        <w:pStyle w:val="6"/>
        <w:numPr>
          <w:ilvl w:val="0"/>
          <w:numId w:val="0"/>
        </w:numPr>
        <w:spacing w:line="360" w:lineRule="auto"/>
        <w:ind w:left="480" w:leftChars="0"/>
        <w:rPr>
          <w:color w:val="auto"/>
          <w:sz w:val="24"/>
          <w:szCs w:val="24"/>
          <w:highlight w:val="none"/>
        </w:rPr>
      </w:pPr>
      <w:r>
        <w:rPr>
          <w:rFonts w:hint="eastAsia" w:ascii="宋体" w:hAnsi="宋体"/>
          <w:bCs/>
          <w:color w:val="auto"/>
          <w:sz w:val="24"/>
          <w:highlight w:val="none"/>
        </w:rPr>
        <w:t>1.2.</w:t>
      </w:r>
      <w:r>
        <w:rPr>
          <w:rFonts w:hint="eastAsia" w:ascii="宋体" w:hAnsi="宋体"/>
          <w:bCs/>
          <w:color w:val="auto"/>
          <w:sz w:val="24"/>
          <w:highlight w:val="none"/>
          <w:lang w:val="en-US" w:eastAsia="zh-CN"/>
        </w:rPr>
        <w:t>2</w:t>
      </w:r>
      <w:r>
        <w:rPr>
          <w:rFonts w:hint="eastAsia" w:ascii="宋体" w:hAnsi="宋体"/>
          <w:bCs/>
          <w:color w:val="auto"/>
          <w:sz w:val="24"/>
          <w:highlight w:val="none"/>
        </w:rPr>
        <w:t xml:space="preserve"> </w:t>
      </w:r>
      <w:r>
        <w:rPr>
          <w:rFonts w:hint="eastAsia"/>
          <w:color w:val="auto"/>
          <w:sz w:val="24"/>
          <w:szCs w:val="24"/>
          <w:highlight w:val="none"/>
        </w:rPr>
        <w:t>本招标项目的资金落实情况：见投标人须知前附表。</w:t>
      </w:r>
    </w:p>
    <w:p w14:paraId="62154FDC">
      <w:pPr>
        <w:pStyle w:val="16"/>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1.3 招标范围、计划工期和质量要求</w:t>
      </w:r>
    </w:p>
    <w:p w14:paraId="31696FB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1.3.1 本次招标范围：见投标人须知前附表。</w:t>
      </w:r>
    </w:p>
    <w:p w14:paraId="420EAD4E">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1.3.2 本标段的计划工期：见投标人须知前附表。</w:t>
      </w:r>
    </w:p>
    <w:p w14:paraId="39AF676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1.3.3 本标段的质量要求：见投标人须知前附表。</w:t>
      </w:r>
    </w:p>
    <w:p w14:paraId="4BD80FC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1.3.4 本招标项目的承包方式：见投标人须知前附表。</w:t>
      </w:r>
    </w:p>
    <w:p w14:paraId="209CC4DF">
      <w:pPr>
        <w:pStyle w:val="16"/>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1.4 投标人资格要求</w:t>
      </w:r>
    </w:p>
    <w:p w14:paraId="6DE3B691">
      <w:pPr>
        <w:spacing w:line="360" w:lineRule="auto"/>
        <w:ind w:firstLine="480" w:firstLineChars="200"/>
        <w:rPr>
          <w:rFonts w:hint="eastAsia" w:ascii="宋体" w:hAnsi="宋体" w:eastAsia="宋体"/>
          <w:bCs/>
          <w:color w:val="auto"/>
          <w:sz w:val="24"/>
          <w:highlight w:val="none"/>
          <w:lang w:eastAsia="zh-CN"/>
        </w:rPr>
      </w:pPr>
      <w:r>
        <w:rPr>
          <w:rFonts w:hint="eastAsia" w:ascii="宋体" w:hAnsi="宋体"/>
          <w:bCs/>
          <w:color w:val="auto"/>
          <w:sz w:val="24"/>
          <w:highlight w:val="none"/>
        </w:rPr>
        <w:t>1.4.1 投标人应具备承担本项目施工的资质条件、能力和信誉</w:t>
      </w:r>
      <w:r>
        <w:rPr>
          <w:rFonts w:hint="eastAsia" w:ascii="宋体" w:hAnsi="宋体"/>
          <w:bCs/>
          <w:color w:val="auto"/>
          <w:sz w:val="24"/>
          <w:highlight w:val="none"/>
          <w:lang w:eastAsia="zh-CN"/>
        </w:rPr>
        <w:t>，详见本项目招标公告。</w:t>
      </w:r>
    </w:p>
    <w:p w14:paraId="321718A3">
      <w:pPr>
        <w:kinsoku/>
        <w:overflowPunct/>
        <w:spacing w:line="360" w:lineRule="auto"/>
        <w:ind w:firstLine="480" w:firstLineChars="200"/>
        <w:rPr>
          <w:rFonts w:hint="eastAsia" w:ascii="宋体" w:hAnsi="宋体" w:eastAsia="宋体" w:cs="Times New Roman"/>
          <w:bCs/>
          <w:color w:val="auto"/>
          <w:sz w:val="24"/>
          <w:szCs w:val="22"/>
          <w:highlight w:val="none"/>
        </w:rPr>
      </w:pPr>
      <w:r>
        <w:rPr>
          <w:rFonts w:hint="eastAsia" w:ascii="宋体" w:hAnsi="宋体" w:eastAsia="宋体" w:cs="Times New Roman"/>
          <w:bCs/>
          <w:color w:val="auto"/>
          <w:sz w:val="24"/>
          <w:szCs w:val="22"/>
          <w:highlight w:val="none"/>
        </w:rPr>
        <w:t>1.4.2 投标人须知前附表规定接受联合体投标的，联合体除应符合本章第 1.4.1 项和投标人须知前附表的要求外，还应遵守以下规定：</w:t>
      </w:r>
    </w:p>
    <w:p w14:paraId="570150EC">
      <w:pPr>
        <w:kinsoku/>
        <w:overflowPunct/>
        <w:spacing w:line="360" w:lineRule="auto"/>
        <w:ind w:firstLine="480" w:firstLineChars="200"/>
        <w:rPr>
          <w:rFonts w:hint="eastAsia" w:ascii="宋体" w:hAnsi="宋体" w:eastAsia="宋体" w:cs="Times New Roman"/>
          <w:bCs/>
          <w:color w:val="auto"/>
          <w:sz w:val="24"/>
          <w:szCs w:val="22"/>
          <w:highlight w:val="none"/>
        </w:rPr>
      </w:pPr>
      <w:r>
        <w:rPr>
          <w:rFonts w:hint="eastAsia" w:ascii="宋体" w:hAnsi="宋体" w:eastAsia="宋体" w:cs="Times New Roman"/>
          <w:bCs/>
          <w:color w:val="auto"/>
          <w:sz w:val="24"/>
          <w:szCs w:val="22"/>
          <w:highlight w:val="none"/>
        </w:rPr>
        <w:t>（1）联合体各方应按招标文件提供的格式签订联合体协议书，明确联合体</w:t>
      </w:r>
      <w:r>
        <w:rPr>
          <w:rFonts w:hint="eastAsia" w:ascii="宋体" w:hAnsi="宋体" w:eastAsia="宋体" w:cs="Times New Roman"/>
          <w:bCs/>
          <w:color w:val="auto"/>
          <w:spacing w:val="0"/>
          <w:sz w:val="24"/>
          <w:szCs w:val="22"/>
          <w:highlight w:val="none"/>
          <w:lang w:eastAsia="zh-CN"/>
        </w:rPr>
        <w:t>主办方</w:t>
      </w:r>
      <w:r>
        <w:rPr>
          <w:rFonts w:hint="eastAsia" w:ascii="宋体" w:hAnsi="宋体" w:eastAsia="宋体" w:cs="Times New Roman"/>
          <w:bCs/>
          <w:color w:val="auto"/>
          <w:sz w:val="24"/>
          <w:szCs w:val="22"/>
          <w:highlight w:val="none"/>
        </w:rPr>
        <w:t>和各方权利义务，并承诺就中标项目向招标人承担连带责任；</w:t>
      </w:r>
    </w:p>
    <w:p w14:paraId="07C69453">
      <w:pPr>
        <w:kinsoku/>
        <w:overflowPunct/>
        <w:spacing w:line="360" w:lineRule="auto"/>
        <w:ind w:firstLine="480" w:firstLineChars="200"/>
        <w:rPr>
          <w:rFonts w:hint="eastAsia" w:ascii="宋体" w:hAnsi="宋体" w:eastAsia="宋体" w:cs="Times New Roman"/>
          <w:bCs/>
          <w:color w:val="auto"/>
          <w:sz w:val="24"/>
          <w:szCs w:val="22"/>
          <w:highlight w:val="none"/>
        </w:rPr>
      </w:pPr>
      <w:r>
        <w:rPr>
          <w:rFonts w:hint="eastAsia" w:ascii="宋体" w:hAnsi="宋体" w:eastAsia="宋体" w:cs="Times New Roman"/>
          <w:bCs/>
          <w:color w:val="auto"/>
          <w:sz w:val="24"/>
          <w:szCs w:val="22"/>
          <w:highlight w:val="none"/>
        </w:rPr>
        <w:t>（2）由同一专业的单位组成的联合体，按照资质等级较低的单位确定资质等级；</w:t>
      </w:r>
    </w:p>
    <w:p w14:paraId="68338239">
      <w:pPr>
        <w:kinsoku/>
        <w:overflowPunct/>
        <w:spacing w:line="360" w:lineRule="auto"/>
        <w:ind w:firstLine="480" w:firstLineChars="200"/>
        <w:rPr>
          <w:rFonts w:hint="eastAsia" w:ascii="宋体" w:hAnsi="宋体" w:eastAsia="宋体" w:cs="Times New Roman"/>
          <w:bCs/>
          <w:color w:val="auto"/>
          <w:sz w:val="24"/>
          <w:szCs w:val="22"/>
          <w:highlight w:val="none"/>
        </w:rPr>
      </w:pPr>
      <w:r>
        <w:rPr>
          <w:rFonts w:hint="eastAsia" w:ascii="宋体" w:hAnsi="宋体" w:eastAsia="宋体" w:cs="Times New Roman"/>
          <w:bCs/>
          <w:color w:val="auto"/>
          <w:sz w:val="24"/>
          <w:szCs w:val="22"/>
          <w:highlight w:val="none"/>
        </w:rPr>
        <w:t>（3）联合体各方不得再以自己名义单独或参加其他联合体在本招标项目中投标，否则各相关投标均无效。</w:t>
      </w:r>
    </w:p>
    <w:p w14:paraId="4DA6D128">
      <w:pPr>
        <w:spacing w:line="360" w:lineRule="auto"/>
        <w:ind w:firstLine="480" w:firstLineChars="200"/>
        <w:rPr>
          <w:rFonts w:hint="eastAsia" w:ascii="宋体" w:hAnsi="宋体"/>
          <w:bCs/>
          <w:color w:val="auto"/>
          <w:sz w:val="24"/>
          <w:highlight w:val="none"/>
        </w:rPr>
      </w:pPr>
    </w:p>
    <w:p w14:paraId="6C393DFA">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1.4.</w:t>
      </w:r>
      <w:r>
        <w:rPr>
          <w:rFonts w:hint="eastAsia" w:ascii="宋体" w:hAnsi="宋体"/>
          <w:bCs/>
          <w:color w:val="auto"/>
          <w:sz w:val="24"/>
          <w:highlight w:val="none"/>
          <w:lang w:val="en-US" w:eastAsia="zh-CN"/>
        </w:rPr>
        <w:t>3</w:t>
      </w:r>
      <w:r>
        <w:rPr>
          <w:rFonts w:hint="eastAsia" w:ascii="宋体" w:hAnsi="宋体"/>
          <w:bCs/>
          <w:color w:val="auto"/>
          <w:sz w:val="24"/>
          <w:highlight w:val="none"/>
        </w:rPr>
        <w:t>投标人不得存在下列情形之一：</w:t>
      </w:r>
    </w:p>
    <w:p w14:paraId="56A975EE">
      <w:pPr>
        <w:pStyle w:val="2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14:paraId="3B8E17E2">
      <w:pPr>
        <w:pStyle w:val="2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（2）为本标段前期准备提供设计或咨询服务或者与本项目设计人或提供咨询服务的机构存在附属关系的；</w:t>
      </w:r>
    </w:p>
    <w:p w14:paraId="28A466C6">
      <w:pPr>
        <w:pStyle w:val="2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（3）为本项目监理人或者与本项目监理人存在隶属关系或者其他利害关系；</w:t>
      </w:r>
    </w:p>
    <w:p w14:paraId="404D2DB8">
      <w:pPr>
        <w:pStyle w:val="2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（4）为本标段的代建人；</w:t>
      </w:r>
    </w:p>
    <w:p w14:paraId="681B9BFF">
      <w:pPr>
        <w:pStyle w:val="2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（5）为本标段提供招标代理服务的；</w:t>
      </w:r>
    </w:p>
    <w:p w14:paraId="7C24816B">
      <w:pPr>
        <w:pStyle w:val="2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（6）与本标段的监理人或代建人或招标代理机构同为一个法定代表人的；</w:t>
      </w:r>
    </w:p>
    <w:p w14:paraId="333795F0">
      <w:pPr>
        <w:pStyle w:val="2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（7）与本标段的监理人或代建人或招标代理机构互相控股或参股的；</w:t>
      </w:r>
    </w:p>
    <w:p w14:paraId="0636A5D7">
      <w:pPr>
        <w:pStyle w:val="2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（8）与本标段的监理人或代建人或招标代理机构相互任职或工作的；</w:t>
      </w:r>
    </w:p>
    <w:p w14:paraId="5A9719DF">
      <w:pPr>
        <w:pStyle w:val="2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（9）与本标段的检测机构</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建设、</w:t>
      </w:r>
      <w:r>
        <w:rPr>
          <w:rFonts w:hint="eastAsia" w:ascii="宋体" w:hAnsi="宋体" w:eastAsia="宋体"/>
          <w:color w:val="auto"/>
          <w:sz w:val="24"/>
          <w:szCs w:val="24"/>
          <w:highlight w:val="none"/>
          <w:lang w:eastAsia="zh-CN"/>
        </w:rPr>
        <w:t>监理单位</w:t>
      </w:r>
      <w:r>
        <w:rPr>
          <w:rFonts w:hint="eastAsia" w:ascii="宋体" w:hAnsi="宋体" w:eastAsia="宋体"/>
          <w:color w:val="auto"/>
          <w:sz w:val="24"/>
          <w:szCs w:val="24"/>
          <w:highlight w:val="none"/>
        </w:rPr>
        <w:t>以及建筑材料、建筑构配件和设备供应商有隶属关系或者其他利害关系有隶属关系或者其他利害关系；</w:t>
      </w:r>
    </w:p>
    <w:p w14:paraId="599C2C09">
      <w:pPr>
        <w:pStyle w:val="2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（10）与招标人存在利害关系且可能影响招标公正性；</w:t>
      </w:r>
    </w:p>
    <w:p w14:paraId="389FB09E">
      <w:pPr>
        <w:pStyle w:val="22"/>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C5FEEE9">
      <w:pPr>
        <w:pStyle w:val="22"/>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52854872">
      <w:pPr>
        <w:pStyle w:val="22"/>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（13）进入清算程序，或被宣布破产，或其他丧失履约能力的情形；</w:t>
      </w:r>
    </w:p>
    <w:p w14:paraId="77A90476">
      <w:pPr>
        <w:pStyle w:val="22"/>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7DDEE02">
      <w:pPr>
        <w:spacing w:line="360" w:lineRule="auto"/>
        <w:ind w:firstLine="480" w:firstLineChars="200"/>
        <w:rPr>
          <w:rFonts w:ascii="宋体" w:hAnsi="宋体"/>
          <w:bCs/>
          <w:color w:val="auto"/>
          <w:sz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15</w:t>
      </w:r>
      <w:r>
        <w:rPr>
          <w:rFonts w:hint="eastAsia" w:ascii="宋体" w:hAnsi="宋体" w:eastAsia="宋体"/>
          <w:color w:val="auto"/>
          <w:sz w:val="24"/>
          <w:szCs w:val="24"/>
          <w:highlight w:val="none"/>
        </w:rPr>
        <w:t>）法律法规规定的其他情形</w:t>
      </w:r>
      <w:r>
        <w:rPr>
          <w:rFonts w:hint="eastAsia" w:ascii="宋体" w:hAnsi="宋体" w:eastAsia="宋体" w:cs="Times New Roman"/>
          <w:color w:val="auto"/>
          <w:sz w:val="24"/>
          <w:szCs w:val="24"/>
          <w:highlight w:val="none"/>
        </w:rPr>
        <w:t>。</w:t>
      </w:r>
    </w:p>
    <w:p w14:paraId="17D311D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1.5 费用承担</w:t>
      </w:r>
    </w:p>
    <w:p w14:paraId="138CC1A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投标人准备和参加投标活动发生的费用自理。</w:t>
      </w:r>
    </w:p>
    <w:p w14:paraId="660935A4">
      <w:pPr>
        <w:pStyle w:val="16"/>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1.6 保密</w:t>
      </w:r>
    </w:p>
    <w:p w14:paraId="3776D40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参与招标投标活动的各方应对招标文件和投标文件中的商业和技术等秘密保密，违者应对由此造成的后果承担法律责任。</w:t>
      </w:r>
    </w:p>
    <w:p w14:paraId="619F5504">
      <w:pPr>
        <w:pStyle w:val="16"/>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1.7 语言文字</w:t>
      </w:r>
    </w:p>
    <w:p w14:paraId="32275FA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除专用术语外，与招标投标有关的语言均使用中文。必要时专用术语应附有中文注释。</w:t>
      </w:r>
    </w:p>
    <w:p w14:paraId="1ECDA9E6">
      <w:pPr>
        <w:pStyle w:val="16"/>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1.8 计量单位</w:t>
      </w:r>
    </w:p>
    <w:p w14:paraId="2CB2108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所有计量均采用中华人民共和国法定计量单位。</w:t>
      </w:r>
    </w:p>
    <w:p w14:paraId="3B884012">
      <w:pPr>
        <w:pStyle w:val="16"/>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1.9 踏勘现场</w:t>
      </w:r>
    </w:p>
    <w:p w14:paraId="1E84F66C">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1.9.1 投标人按投标人须知前附表规定的时间、地点自行踏勘项目现场。 </w:t>
      </w:r>
    </w:p>
    <w:p w14:paraId="645C27A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1.9.2 投标人踏勘现场发生的费用自理。</w:t>
      </w:r>
    </w:p>
    <w:p w14:paraId="7EAEC76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1.9.3 除招标人的原因外，投标人自行负责在踏勘现场中所发生的人员伤亡和财产损失。</w:t>
      </w:r>
    </w:p>
    <w:p w14:paraId="05213C8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1.9.4 招标人在踏勘现场中了解的工程场地和相关的周边环境情况，供投标人在编制投标文件时参考，招标人不对投标人据此作出的判断和决策负责。</w:t>
      </w:r>
    </w:p>
    <w:p w14:paraId="46CC290E">
      <w:pPr>
        <w:tabs>
          <w:tab w:val="left" w:pos="105"/>
        </w:tabs>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1.10</w:t>
      </w:r>
      <w:r>
        <w:rPr>
          <w:rFonts w:ascii="宋体" w:hAnsi="宋体"/>
          <w:b/>
          <w:color w:val="auto"/>
          <w:sz w:val="24"/>
          <w:highlight w:val="none"/>
        </w:rPr>
        <w:t xml:space="preserve"> </w:t>
      </w:r>
      <w:r>
        <w:rPr>
          <w:rFonts w:hint="eastAsia" w:ascii="宋体" w:hAnsi="宋体"/>
          <w:b/>
          <w:color w:val="auto"/>
          <w:sz w:val="24"/>
          <w:highlight w:val="none"/>
        </w:rPr>
        <w:t>投标预备会</w:t>
      </w:r>
    </w:p>
    <w:p w14:paraId="28129C1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1.10.1招标人不召开投标预备会，投标人提出的澄清问题通过交易中心网站提交。网上答疑的相关事项详见招标文件2.2款。</w:t>
      </w:r>
    </w:p>
    <w:p w14:paraId="61957562">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1.10.2 投标人应在投标人须知前附表规定的时间前，在交易中心网站上提出须澄清的问题。</w:t>
      </w:r>
    </w:p>
    <w:p w14:paraId="34881969">
      <w:pPr>
        <w:pStyle w:val="16"/>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1.11 偏离</w:t>
      </w:r>
    </w:p>
    <w:p w14:paraId="5D030F8F">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投标人须知前附表允许投标文件偏离招标文件某些要求的，偏离应当符合招标文件规定的偏离范围和幅度。</w:t>
      </w:r>
    </w:p>
    <w:p w14:paraId="0D61A029">
      <w:pPr>
        <w:jc w:val="center"/>
        <w:outlineLvl w:val="3"/>
        <w:rPr>
          <w:rFonts w:ascii="仿宋" w:hAnsi="仿宋" w:eastAsia="仿宋"/>
          <w:b/>
          <w:color w:val="auto"/>
          <w:sz w:val="30"/>
          <w:szCs w:val="30"/>
          <w:highlight w:val="none"/>
        </w:rPr>
      </w:pPr>
      <w:bookmarkStart w:id="99" w:name="_Toc262229164"/>
      <w:r>
        <w:rPr>
          <w:rFonts w:hint="eastAsia" w:ascii="仿宋" w:hAnsi="仿宋" w:eastAsia="仿宋"/>
          <w:b/>
          <w:color w:val="auto"/>
          <w:sz w:val="30"/>
          <w:szCs w:val="30"/>
          <w:highlight w:val="none"/>
        </w:rPr>
        <w:t>（二）招标文件</w:t>
      </w:r>
      <w:bookmarkEnd w:id="99"/>
    </w:p>
    <w:p w14:paraId="1BB8DBD7">
      <w:pPr>
        <w:tabs>
          <w:tab w:val="left" w:pos="105"/>
        </w:tabs>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2.1 招标文件的组成</w:t>
      </w:r>
    </w:p>
    <w:p w14:paraId="2D047AF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2.1.1</w:t>
      </w:r>
      <w:r>
        <w:rPr>
          <w:rFonts w:hint="eastAsia" w:ascii="宋体" w:hAnsi="宋体"/>
          <w:color w:val="auto"/>
          <w:sz w:val="24"/>
          <w:highlight w:val="none"/>
        </w:rPr>
        <w:t>本招标文件包括下列文件，以及所有按本须知第7条发出的澄清或修改和按本须知第8条发出的招标答疑会会议纪要：</w:t>
      </w:r>
    </w:p>
    <w:p w14:paraId="3956368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（1）招标公告；</w:t>
      </w:r>
    </w:p>
    <w:p w14:paraId="7CC8F07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（2）投标人须知；</w:t>
      </w:r>
    </w:p>
    <w:p w14:paraId="126A5C1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（3）评标办法；</w:t>
      </w:r>
    </w:p>
    <w:p w14:paraId="243C2CA7">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（4）合同条款及格式；</w:t>
      </w:r>
    </w:p>
    <w:p w14:paraId="057735E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（5）工程量清单（采用综合评估法三的，应为与</w:t>
      </w:r>
      <w:r>
        <w:rPr>
          <w:rFonts w:hint="eastAsia" w:ascii="宋体" w:hAnsi="宋体"/>
          <w:color w:val="auto"/>
          <w:sz w:val="24"/>
          <w:highlight w:val="none"/>
        </w:rPr>
        <w:t>最高投标限价相对应的</w:t>
      </w:r>
      <w:r>
        <w:rPr>
          <w:rFonts w:hint="eastAsia" w:ascii="宋体" w:hAnsi="宋体"/>
          <w:bCs/>
          <w:color w:val="auto"/>
          <w:sz w:val="24"/>
          <w:highlight w:val="none"/>
        </w:rPr>
        <w:t xml:space="preserve">已标价工程量清单）； </w:t>
      </w:r>
    </w:p>
    <w:p w14:paraId="3F2D8A1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（6）图纸； </w:t>
      </w:r>
    </w:p>
    <w:p w14:paraId="3CA1795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（7）技术标准和要求； </w:t>
      </w:r>
    </w:p>
    <w:p w14:paraId="4C1AABB9">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（8）投标文件格式；</w:t>
      </w:r>
    </w:p>
    <w:p w14:paraId="353D46C2">
      <w:pPr>
        <w:spacing w:line="360" w:lineRule="auto"/>
        <w:ind w:firstLine="480" w:firstLineChars="200"/>
        <w:rPr>
          <w:rFonts w:hint="eastAsia" w:ascii="宋体" w:hAnsi="宋体" w:eastAsia="宋体"/>
          <w:bCs/>
          <w:color w:val="auto"/>
          <w:sz w:val="24"/>
          <w:highlight w:val="none"/>
          <w:lang w:eastAsia="zh-CN"/>
        </w:rPr>
      </w:pP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否决性条款汇总</w:t>
      </w:r>
      <w:r>
        <w:rPr>
          <w:rFonts w:hint="eastAsia" w:ascii="宋体" w:hAnsi="宋体"/>
          <w:bCs/>
          <w:color w:val="auto"/>
          <w:sz w:val="24"/>
          <w:highlight w:val="none"/>
          <w:lang w:eastAsia="zh-CN"/>
        </w:rPr>
        <w:t>；</w:t>
      </w:r>
    </w:p>
    <w:p w14:paraId="4A760A6E">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（10）</w:t>
      </w:r>
      <w:r>
        <w:rPr>
          <w:rFonts w:hint="eastAsia" w:ascii="宋体" w:hAnsi="宋体"/>
          <w:bCs/>
          <w:color w:val="auto"/>
          <w:sz w:val="24"/>
          <w:szCs w:val="24"/>
          <w:highlight w:val="none"/>
        </w:rPr>
        <w:t>最高投标限价（招标控制价）</w:t>
      </w:r>
      <w:r>
        <w:rPr>
          <w:rFonts w:hint="eastAsia" w:ascii="宋体" w:hAnsi="宋体"/>
          <w:bCs/>
          <w:color w:val="auto"/>
          <w:sz w:val="24"/>
          <w:highlight w:val="none"/>
        </w:rPr>
        <w:t>。</w:t>
      </w:r>
    </w:p>
    <w:p w14:paraId="4E1E5E5D">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（11）投标人须知前附表规定的其他材料。</w:t>
      </w:r>
    </w:p>
    <w:p w14:paraId="4FAA8854">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招标人应在技术条件（工程建设标准）中明确施工现场建筑垃圾源头减量的具体要求和建筑垃圾综合利用产品的使用要求。</w:t>
      </w:r>
    </w:p>
    <w:p w14:paraId="79085CC8">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2.1.2根据本章第1.10款、第2.2款和第2.3款对招标文件所作的澄清、修改，构成招标文件的组成部分。</w:t>
      </w:r>
    </w:p>
    <w:p w14:paraId="5152C66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2.1.3招标人（或委托招标代理机构）使用广东省内依法设立的电子认证服务机构签发的电子签章认证证书对电子形式的招标文件进行电子签章。该电子签章对招标人手写签名或者盖章同等的法律效力。</w:t>
      </w:r>
    </w:p>
    <w:p w14:paraId="1B8C4E1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2.1.4投标人获取电子招标文件后，应仔细检查电子招标文件的合法有效性。合法有效的电子招标文件应具有招标人（或招标代理机构）的电子签章。</w:t>
      </w:r>
    </w:p>
    <w:p w14:paraId="3D30C8A7">
      <w:pPr>
        <w:spacing w:line="360" w:lineRule="auto"/>
        <w:ind w:firstLine="480" w:firstLineChars="200"/>
        <w:rPr>
          <w:rFonts w:ascii="宋体" w:hAnsi="宋体"/>
          <w:bCs/>
          <w:color w:val="auto"/>
          <w:sz w:val="24"/>
          <w:highlight w:val="none"/>
        </w:rPr>
      </w:pPr>
      <w:r>
        <w:rPr>
          <w:rFonts w:ascii="宋体" w:hAnsi="宋体"/>
          <w:bCs/>
          <w:color w:val="auto"/>
          <w:sz w:val="24"/>
          <w:highlight w:val="none"/>
        </w:rPr>
        <w:t>2.1.5</w:t>
      </w:r>
      <w:r>
        <w:rPr>
          <w:rFonts w:hint="eastAsia" w:ascii="宋体" w:hAnsi="宋体"/>
          <w:bCs/>
          <w:color w:val="auto"/>
          <w:sz w:val="24"/>
          <w:highlight w:val="none"/>
        </w:rPr>
        <w:t>招标人应在招标文件中明确投标文件主要内容编制的格式要求。</w:t>
      </w:r>
    </w:p>
    <w:p w14:paraId="5DA40931">
      <w:pPr>
        <w:widowControl/>
        <w:snapToGrid w:val="0"/>
        <w:spacing w:line="360" w:lineRule="auto"/>
        <w:ind w:firstLine="482" w:firstLineChars="200"/>
        <w:jc w:val="left"/>
        <w:rPr>
          <w:rFonts w:ascii="宋体" w:hAnsi="宋体"/>
          <w:color w:val="auto"/>
          <w:sz w:val="24"/>
          <w:highlight w:val="none"/>
        </w:rPr>
      </w:pPr>
      <w:r>
        <w:rPr>
          <w:rFonts w:hint="eastAsia" w:ascii="宋体" w:hAnsi="宋体"/>
          <w:b/>
          <w:bCs/>
          <w:color w:val="auto"/>
          <w:sz w:val="24"/>
          <w:highlight w:val="none"/>
        </w:rPr>
        <w:t>2.2招标答疑</w:t>
      </w:r>
    </w:p>
    <w:p w14:paraId="74F40823">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1"/>
          <w:highlight w:val="none"/>
        </w:rPr>
        <w:t>2.2.1</w:t>
      </w:r>
      <w:r>
        <w:rPr>
          <w:rFonts w:hint="eastAsia" w:ascii="宋体" w:hAnsi="宋体" w:eastAsia="宋体"/>
          <w:color w:val="auto"/>
          <w:sz w:val="24"/>
          <w:highlight w:val="none"/>
        </w:rPr>
        <w:t xml:space="preserve"> 招标答疑采用网上答疑方式进行。投标人若对招标文件（包括招标图纸、清单、招标控制价）有疑问的，</w:t>
      </w:r>
      <w:r>
        <w:rPr>
          <w:rFonts w:hint="eastAsia" w:ascii="宋体" w:hAnsi="宋体" w:eastAsia="宋体" w:cs="宋体"/>
          <w:bCs/>
          <w:color w:val="auto"/>
          <w:sz w:val="24"/>
          <w:highlight w:val="none"/>
          <w:u w:val="none"/>
          <w:lang w:eastAsia="zh-CN"/>
        </w:rPr>
        <w:t>通过</w:t>
      </w:r>
      <w:r>
        <w:rPr>
          <w:rFonts w:hint="eastAsia" w:ascii="宋体" w:hAnsi="宋体" w:eastAsia="宋体" w:cs="宋体"/>
          <w:bCs/>
          <w:color w:val="auto"/>
          <w:sz w:val="24"/>
          <w:highlight w:val="none"/>
          <w:u w:val="single"/>
          <w:lang w:eastAsia="zh-CN"/>
        </w:rPr>
        <w:t>广州交易集团有限公司（广州公共资源交易中心）</w:t>
      </w:r>
      <w:r>
        <w:rPr>
          <w:rFonts w:hint="eastAsia" w:ascii="宋体" w:hAnsi="宋体" w:eastAsia="宋体" w:cs="宋体"/>
          <w:bCs/>
          <w:color w:val="auto"/>
          <w:sz w:val="24"/>
          <w:highlight w:val="none"/>
          <w:u w:val="none"/>
          <w:lang w:eastAsia="zh-CN"/>
        </w:rPr>
        <w:t>网站提交，</w:t>
      </w:r>
      <w:r>
        <w:rPr>
          <w:rFonts w:hint="eastAsia" w:ascii="宋体" w:hAnsi="宋体" w:eastAsia="宋体" w:cs="宋体"/>
          <w:bCs/>
          <w:color w:val="auto"/>
          <w:sz w:val="24"/>
          <w:highlight w:val="none"/>
          <w:u w:val="none"/>
        </w:rPr>
        <w:t>应按照</w:t>
      </w:r>
      <w:r>
        <w:rPr>
          <w:rFonts w:hint="eastAsia" w:ascii="宋体" w:hAnsi="宋体" w:eastAsia="宋体" w:cs="宋体"/>
          <w:bCs/>
          <w:color w:val="auto"/>
          <w:sz w:val="24"/>
          <w:szCs w:val="20"/>
          <w:highlight w:val="none"/>
          <w:u w:val="none"/>
          <w:lang w:eastAsia="zh-CN"/>
        </w:rPr>
        <w:t>广州交易集团有限公司（广州公共资源交易中心）网站关于全流程电子化项目的相关指南进行操作</w:t>
      </w:r>
      <w:r>
        <w:rPr>
          <w:rFonts w:hint="eastAsia" w:ascii="宋体" w:hAnsi="宋体" w:eastAsia="宋体" w:cs="宋体"/>
          <w:bCs/>
          <w:color w:val="auto"/>
          <w:sz w:val="24"/>
          <w:highlight w:val="none"/>
          <w:u w:val="none"/>
        </w:rPr>
        <w:t>。</w:t>
      </w:r>
      <w:r>
        <w:rPr>
          <w:rFonts w:hint="eastAsia" w:ascii="宋体" w:hAnsi="宋体" w:eastAsia="宋体"/>
          <w:color w:val="auto"/>
          <w:sz w:val="24"/>
          <w:highlight w:val="none"/>
        </w:rPr>
        <w:t>提交问题时一律不得署名。</w:t>
      </w:r>
    </w:p>
    <w:p w14:paraId="72F82F6F">
      <w:pPr>
        <w:spacing w:line="360" w:lineRule="auto"/>
        <w:ind w:firstLine="480" w:firstLineChars="200"/>
        <w:contextualSpacing/>
        <w:rPr>
          <w:rFonts w:ascii="宋体" w:hAnsi="宋体"/>
          <w:bCs/>
          <w:color w:val="auto"/>
          <w:sz w:val="24"/>
          <w:highlight w:val="none"/>
        </w:rPr>
      </w:pPr>
      <w:r>
        <w:rPr>
          <w:rFonts w:ascii="宋体" w:hAnsi="宋体"/>
          <w:bCs/>
          <w:color w:val="auto"/>
          <w:sz w:val="24"/>
          <w:highlight w:val="none"/>
        </w:rPr>
        <w:t>2.2.2</w:t>
      </w:r>
      <w:r>
        <w:rPr>
          <w:rFonts w:hint="eastAsia" w:ascii="宋体" w:hAnsi="宋体"/>
          <w:bCs/>
          <w:color w:val="auto"/>
          <w:sz w:val="24"/>
          <w:highlight w:val="none"/>
        </w:rPr>
        <w:t>招标答疑会会议纪要将在提交投标文件截止时间 15 日前在</w:t>
      </w:r>
      <w:r>
        <w:rPr>
          <w:rFonts w:hint="eastAsia" w:ascii="宋体" w:hAnsi="宋体"/>
          <w:bCs/>
          <w:color w:val="auto"/>
          <w:sz w:val="24"/>
          <w:highlight w:val="none"/>
          <w:u w:val="single"/>
          <w:lang w:eastAsia="zh-CN"/>
        </w:rPr>
        <w:t>广州交易集团有限公司（广州公共资源交易中心）</w:t>
      </w:r>
      <w:r>
        <w:rPr>
          <w:rFonts w:hint="eastAsia" w:ascii="宋体" w:hAnsi="宋体"/>
          <w:bCs/>
          <w:color w:val="auto"/>
          <w:sz w:val="24"/>
          <w:highlight w:val="none"/>
          <w:lang w:eastAsia="zh-CN"/>
        </w:rPr>
        <w:t>网站</w:t>
      </w:r>
      <w:r>
        <w:rPr>
          <w:rFonts w:hint="eastAsia" w:ascii="宋体" w:hAnsi="宋体"/>
          <w:bCs/>
          <w:color w:val="auto"/>
          <w:sz w:val="24"/>
          <w:highlight w:val="none"/>
        </w:rPr>
        <w:t>“项目答疑纪要”专区公开发布。答疑纪要一经在</w:t>
      </w:r>
      <w:r>
        <w:rPr>
          <w:rFonts w:hint="eastAsia" w:ascii="宋体" w:hAnsi="宋体"/>
          <w:bCs/>
          <w:color w:val="auto"/>
          <w:sz w:val="24"/>
          <w:highlight w:val="none"/>
          <w:u w:val="single"/>
          <w:lang w:eastAsia="zh-CN"/>
        </w:rPr>
        <w:t>广州交易集团有限公司（广州公共资源交易中心）</w:t>
      </w:r>
      <w:r>
        <w:rPr>
          <w:rFonts w:hint="eastAsia" w:ascii="宋体" w:hAnsi="宋体"/>
          <w:bCs/>
          <w:color w:val="auto"/>
          <w:sz w:val="24"/>
          <w:highlight w:val="none"/>
          <w:lang w:eastAsia="zh-CN"/>
        </w:rPr>
        <w:t>网站</w:t>
      </w:r>
      <w:r>
        <w:rPr>
          <w:rFonts w:hint="eastAsia" w:ascii="宋体" w:hAnsi="宋体"/>
          <w:bCs/>
          <w:color w:val="auto"/>
          <w:sz w:val="24"/>
          <w:highlight w:val="none"/>
        </w:rPr>
        <w:t>发布，视作已发放给所有投标人。</w:t>
      </w:r>
    </w:p>
    <w:p w14:paraId="6D2546A5">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3招标答疑纪要为招标文件的一部分。</w:t>
      </w:r>
    </w:p>
    <w:p w14:paraId="699FE993">
      <w:pPr>
        <w:pStyle w:val="16"/>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2.2.</w:t>
      </w:r>
      <w:r>
        <w:rPr>
          <w:rFonts w:hint="eastAsia" w:ascii="宋体" w:hAnsi="宋体" w:eastAsia="宋体"/>
          <w:color w:val="auto"/>
          <w:sz w:val="24"/>
          <w:highlight w:val="none"/>
        </w:rPr>
        <w:t>4若招标答疑</w:t>
      </w:r>
      <w:r>
        <w:rPr>
          <w:rFonts w:hint="eastAsia" w:ascii="宋体" w:hAnsi="宋体" w:eastAsia="宋体"/>
          <w:color w:val="auto"/>
          <w:sz w:val="24"/>
          <w:highlight w:val="none"/>
          <w:lang w:eastAsia="zh-CN"/>
        </w:rPr>
        <w:t>会会议</w:t>
      </w:r>
      <w:r>
        <w:rPr>
          <w:rFonts w:hint="eastAsia" w:ascii="宋体" w:hAnsi="宋体" w:eastAsia="宋体"/>
          <w:color w:val="auto"/>
          <w:sz w:val="24"/>
          <w:highlight w:val="none"/>
        </w:rPr>
        <w:t>纪要与招标文件有矛盾时，以</w:t>
      </w:r>
      <w:r>
        <w:rPr>
          <w:rFonts w:hint="eastAsia" w:ascii="宋体" w:hAnsi="宋体" w:eastAsia="宋体" w:cs="宋体"/>
          <w:bCs/>
          <w:color w:val="auto"/>
          <w:sz w:val="24"/>
          <w:highlight w:val="none"/>
          <w:u w:val="single"/>
          <w:lang w:eastAsia="zh-CN"/>
        </w:rPr>
        <w:t>广州交易集团有限公司（广州公共资源交易中心）</w:t>
      </w:r>
      <w:r>
        <w:rPr>
          <w:rFonts w:hint="eastAsia" w:ascii="宋体" w:hAnsi="宋体" w:eastAsia="宋体" w:cs="宋体"/>
          <w:bCs/>
          <w:color w:val="auto"/>
          <w:sz w:val="24"/>
          <w:highlight w:val="none"/>
          <w:lang w:eastAsia="zh-CN"/>
        </w:rPr>
        <w:t>网站</w:t>
      </w:r>
      <w:r>
        <w:rPr>
          <w:rFonts w:hint="eastAsia" w:ascii="宋体" w:hAnsi="宋体" w:eastAsia="宋体"/>
          <w:color w:val="auto"/>
          <w:sz w:val="24"/>
          <w:highlight w:val="none"/>
        </w:rPr>
        <w:t>最后发布的答疑纪要为准。</w:t>
      </w:r>
    </w:p>
    <w:p w14:paraId="023084BD">
      <w:pPr>
        <w:tabs>
          <w:tab w:val="left" w:pos="105"/>
        </w:tabs>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2.3</w:t>
      </w:r>
      <w:r>
        <w:rPr>
          <w:rFonts w:ascii="宋体" w:hAnsi="宋体"/>
          <w:b/>
          <w:color w:val="auto"/>
          <w:sz w:val="24"/>
          <w:szCs w:val="24"/>
          <w:highlight w:val="none"/>
        </w:rPr>
        <w:t>招标文件的</w:t>
      </w:r>
      <w:r>
        <w:rPr>
          <w:rFonts w:hint="eastAsia" w:ascii="宋体" w:hAnsi="宋体"/>
          <w:b/>
          <w:color w:val="auto"/>
          <w:sz w:val="24"/>
          <w:szCs w:val="24"/>
          <w:highlight w:val="none"/>
        </w:rPr>
        <w:t>澄清与</w:t>
      </w:r>
      <w:r>
        <w:rPr>
          <w:rFonts w:ascii="宋体" w:hAnsi="宋体"/>
          <w:b/>
          <w:color w:val="auto"/>
          <w:sz w:val="24"/>
          <w:szCs w:val="24"/>
          <w:highlight w:val="none"/>
        </w:rPr>
        <w:t>修改</w:t>
      </w:r>
    </w:p>
    <w:p w14:paraId="7E3C71E6">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2.3.1 在</w:t>
      </w:r>
      <w:r>
        <w:rPr>
          <w:rFonts w:hint="eastAsia" w:ascii="宋体" w:hAnsi="宋体"/>
          <w:bCs/>
          <w:color w:val="auto"/>
          <w:sz w:val="24"/>
          <w:highlight w:val="none"/>
          <w:lang w:eastAsia="zh-CN"/>
        </w:rPr>
        <w:t>投标人须知</w:t>
      </w:r>
      <w:r>
        <w:rPr>
          <w:rFonts w:hint="eastAsia" w:ascii="宋体" w:hAnsi="宋体"/>
          <w:bCs/>
          <w:color w:val="auto"/>
          <w:sz w:val="24"/>
          <w:highlight w:val="none"/>
        </w:rPr>
        <w:t>前附表规定的时间前，招标人可以书面形式修改招标文件，并通过</w:t>
      </w:r>
      <w:r>
        <w:rPr>
          <w:rFonts w:hint="eastAsia" w:ascii="宋体" w:hAnsi="宋体"/>
          <w:bCs/>
          <w:color w:val="auto"/>
          <w:sz w:val="24"/>
          <w:highlight w:val="none"/>
          <w:lang w:eastAsia="zh-CN"/>
        </w:rPr>
        <w:t>广州交易集团有限公司（广州公共资源交易中心）</w:t>
      </w:r>
      <w:r>
        <w:rPr>
          <w:rFonts w:hint="eastAsia" w:ascii="宋体" w:hAnsi="宋体"/>
          <w:bCs/>
          <w:color w:val="auto"/>
          <w:sz w:val="24"/>
          <w:highlight w:val="none"/>
        </w:rPr>
        <w:t>网站发布。如果修改招标文件的时间距投标截止时间不足</w:t>
      </w:r>
      <w:r>
        <w:rPr>
          <w:rFonts w:hint="eastAsia" w:ascii="宋体" w:hAnsi="宋体"/>
          <w:bCs/>
          <w:color w:val="auto"/>
          <w:sz w:val="24"/>
          <w:highlight w:val="none"/>
          <w:lang w:eastAsia="zh-CN"/>
        </w:rPr>
        <w:t>投标人须知</w:t>
      </w:r>
      <w:r>
        <w:rPr>
          <w:rFonts w:hint="eastAsia" w:ascii="宋体" w:hAnsi="宋体"/>
          <w:bCs/>
          <w:color w:val="auto"/>
          <w:sz w:val="24"/>
          <w:highlight w:val="none"/>
        </w:rPr>
        <w:t>前附表规定的时间，并且修改内容影响投标文件编制的，相应延长投标截止时间。</w:t>
      </w:r>
    </w:p>
    <w:p w14:paraId="3E29F8B5">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2.3.2投标人应及时通过</w:t>
      </w:r>
      <w:r>
        <w:rPr>
          <w:rFonts w:hint="eastAsia" w:ascii="宋体" w:hAnsi="宋体"/>
          <w:bCs/>
          <w:color w:val="auto"/>
          <w:sz w:val="24"/>
          <w:highlight w:val="none"/>
          <w:lang w:eastAsia="zh-CN"/>
        </w:rPr>
        <w:t>广州交易集团有限公司（广州公共资源交易中心）</w:t>
      </w:r>
      <w:r>
        <w:rPr>
          <w:rFonts w:hint="eastAsia" w:ascii="宋体" w:hAnsi="宋体"/>
          <w:bCs/>
          <w:color w:val="auto"/>
          <w:sz w:val="24"/>
          <w:highlight w:val="none"/>
        </w:rPr>
        <w:t>网站浏览、下载招标文件修改。</w:t>
      </w:r>
    </w:p>
    <w:p w14:paraId="49F36C52">
      <w:pPr>
        <w:pStyle w:val="16"/>
        <w:spacing w:before="50" w:after="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2.3.3招标文件的澄清或修改在</w:t>
      </w:r>
      <w:r>
        <w:rPr>
          <w:rFonts w:hint="eastAsia" w:ascii="宋体" w:hAnsi="宋体" w:eastAsia="宋体"/>
          <w:color w:val="auto"/>
          <w:sz w:val="24"/>
          <w:highlight w:val="none"/>
          <w:lang w:eastAsia="zh-CN"/>
        </w:rPr>
        <w:t>广州交易集团有限公司（广州公共资源交易中心）</w:t>
      </w:r>
      <w:r>
        <w:rPr>
          <w:rFonts w:hint="eastAsia" w:ascii="宋体" w:hAnsi="宋体" w:eastAsia="宋体"/>
          <w:color w:val="auto"/>
          <w:sz w:val="24"/>
          <w:highlight w:val="none"/>
        </w:rPr>
        <w:t>网站发布。招标文件的澄清或修改一经在</w:t>
      </w:r>
      <w:r>
        <w:rPr>
          <w:rFonts w:hint="eastAsia" w:ascii="宋体" w:hAnsi="宋体" w:eastAsia="宋体"/>
          <w:color w:val="auto"/>
          <w:sz w:val="24"/>
          <w:highlight w:val="none"/>
          <w:lang w:eastAsia="zh-CN"/>
        </w:rPr>
        <w:t>广州交易集团有限公司（广州公共资源交易中心）</w:t>
      </w:r>
      <w:r>
        <w:rPr>
          <w:rFonts w:hint="eastAsia" w:ascii="宋体" w:hAnsi="宋体" w:eastAsia="宋体"/>
          <w:color w:val="auto"/>
          <w:sz w:val="24"/>
          <w:highlight w:val="none"/>
        </w:rPr>
        <w:t>网站发布，视作已发放给所有投标人。</w:t>
      </w:r>
    </w:p>
    <w:p w14:paraId="005F8E2D">
      <w:pPr>
        <w:pStyle w:val="16"/>
        <w:spacing w:before="50" w:after="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2.3.4招标文件的澄清、修改作为招标文件的组成部分，具有约束作用。</w:t>
      </w:r>
    </w:p>
    <w:p w14:paraId="6585BC3E">
      <w:pPr>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2.3.5招标文件的澄清、修改均以</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网站</w:t>
      </w:r>
      <w:r>
        <w:rPr>
          <w:rFonts w:hint="eastAsia" w:ascii="宋体" w:hAnsi="宋体"/>
          <w:color w:val="auto"/>
          <w:sz w:val="24"/>
          <w:szCs w:val="24"/>
          <w:highlight w:val="none"/>
        </w:rPr>
        <w:t>发布</w:t>
      </w:r>
      <w:r>
        <w:rPr>
          <w:rFonts w:hint="eastAsia" w:ascii="宋体" w:hAnsi="宋体"/>
          <w:color w:val="auto"/>
          <w:sz w:val="24"/>
          <w:highlight w:val="none"/>
        </w:rPr>
        <w:t>的内容为准。当招标文件的澄清、修改在同一内容的表述不一致时，以</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网站最后发布的内容为准。</w:t>
      </w:r>
    </w:p>
    <w:p w14:paraId="37243A8C">
      <w:pPr>
        <w:jc w:val="center"/>
        <w:outlineLvl w:val="3"/>
        <w:rPr>
          <w:rFonts w:ascii="宋体" w:hAnsi="宋体"/>
          <w:b/>
          <w:color w:val="auto"/>
          <w:sz w:val="30"/>
          <w:szCs w:val="30"/>
          <w:highlight w:val="none"/>
        </w:rPr>
      </w:pPr>
      <w:bookmarkStart w:id="100" w:name="_Toc101777614"/>
      <w:bookmarkStart w:id="101" w:name="_Toc262229165"/>
      <w:r>
        <w:rPr>
          <w:rFonts w:hint="eastAsia" w:ascii="宋体" w:hAnsi="宋体"/>
          <w:b/>
          <w:color w:val="auto"/>
          <w:sz w:val="30"/>
          <w:szCs w:val="30"/>
          <w:highlight w:val="none"/>
        </w:rPr>
        <w:t>（三）投标文件的编制</w:t>
      </w:r>
      <w:bookmarkEnd w:id="100"/>
      <w:bookmarkEnd w:id="101"/>
    </w:p>
    <w:p w14:paraId="6E39FB4B">
      <w:pPr>
        <w:pStyle w:val="16"/>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3.1 投标文件的组成</w:t>
      </w:r>
    </w:p>
    <w:p w14:paraId="5DC86EA8">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3.1.1投标文件应包括下列内容：</w:t>
      </w:r>
    </w:p>
    <w:p w14:paraId="4BCA4EB2">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（1）投标函及投标函附录；</w:t>
      </w:r>
    </w:p>
    <w:p w14:paraId="4C541C11">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（2）法定代表人身份证明或附有法定代表人身份证明的授权委托书；</w:t>
      </w:r>
    </w:p>
    <w:p w14:paraId="3384EA09">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（3）联合体协议书（非联合体不提交）；</w:t>
      </w:r>
    </w:p>
    <w:p w14:paraId="61C4535C">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（4）投标保证金（</w:t>
      </w:r>
      <w:r>
        <w:rPr>
          <w:rFonts w:hint="eastAsia" w:ascii="宋体" w:hAnsi="宋体" w:eastAsia="宋体"/>
          <w:color w:val="auto"/>
          <w:sz w:val="24"/>
          <w:highlight w:val="none"/>
          <w:lang w:eastAsia="zh-CN"/>
        </w:rPr>
        <w:t>若有</w:t>
      </w:r>
      <w:r>
        <w:rPr>
          <w:rFonts w:hint="eastAsia" w:ascii="宋体" w:hAnsi="宋体" w:eastAsia="宋体"/>
          <w:color w:val="auto"/>
          <w:sz w:val="24"/>
          <w:highlight w:val="none"/>
        </w:rPr>
        <w:t>）；</w:t>
      </w:r>
    </w:p>
    <w:p w14:paraId="6AB7DF40">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（5）已标价工程量清单（采用综合评估法三的，不用提交）；</w:t>
      </w:r>
    </w:p>
    <w:p w14:paraId="3B1C2972">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6）施工组织设计（不要求技术标的可不编制，提交施工组织设计要点；投标人在编制施工组织设计或施工方案时应按照招标人提出的施工现场建筑垃圾源头减量的具体要求以及建筑垃圾综合利用产品的使用要求提供相应措施）； </w:t>
      </w:r>
    </w:p>
    <w:p w14:paraId="6D793889">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（7）项目管理机构；</w:t>
      </w:r>
    </w:p>
    <w:p w14:paraId="7AB5DC12">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（8）资格审查资料；</w:t>
      </w:r>
    </w:p>
    <w:p w14:paraId="36F917F7">
      <w:pPr>
        <w:pStyle w:val="16"/>
        <w:spacing w:after="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（9）其他应提交的材料。</w:t>
      </w:r>
    </w:p>
    <w:p w14:paraId="1B4F58B7">
      <w:pPr>
        <w:pStyle w:val="16"/>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3.2 投标报价</w:t>
      </w:r>
    </w:p>
    <w:p w14:paraId="2EE704F4">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3.2.1 投标人应按第五章“工程量清单”的要求填写相应表格。（此条不适用于综合评估法三）</w:t>
      </w:r>
    </w:p>
    <w:p w14:paraId="515870DC">
      <w:pPr>
        <w:pStyle w:val="16"/>
        <w:spacing w:after="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3.2.2 投标人在投标截止时间前修改投标函中的投标报价总额，应同时修改“已标价工程量清单”中的相应报价，投标报价总额为各分项金额之和。此修改须符合本章第4.3款的有关要求。（此条不适用于综合评估法三）</w:t>
      </w:r>
    </w:p>
    <w:p w14:paraId="3F478C93">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3.2.2采用综合评估法三的，投标人在投标截止时间前修改投标函中的投标报价总额，并根据评标办法列明的方法重新计算投标报价下浮率。此修改须符合本章第4.3款的有关要求。</w:t>
      </w:r>
    </w:p>
    <w:p w14:paraId="35DA4213">
      <w:pPr>
        <w:pStyle w:val="16"/>
        <w:spacing w:after="0" w:line="360" w:lineRule="auto"/>
        <w:ind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rPr>
        <w:t>3.2.3投标人的投标报价不得超过最高投标限价，最高投标限价见投标人须知前附表。</w:t>
      </w:r>
    </w:p>
    <w:p w14:paraId="2A9C0A7E">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3.2.4成本警示价见投标人须知前附表。对低于该</w:t>
      </w:r>
      <w:r>
        <w:rPr>
          <w:rFonts w:hint="eastAsia" w:ascii="宋体" w:hAnsi="宋体" w:eastAsia="宋体"/>
          <w:color w:val="auto"/>
          <w:sz w:val="24"/>
          <w:highlight w:val="none"/>
          <w:lang w:eastAsia="zh-CN"/>
        </w:rPr>
        <w:t>成本</w:t>
      </w:r>
      <w:r>
        <w:rPr>
          <w:rFonts w:hint="eastAsia" w:ascii="宋体" w:hAnsi="宋体" w:eastAsia="宋体"/>
          <w:color w:val="auto"/>
          <w:sz w:val="24"/>
          <w:highlight w:val="none"/>
        </w:rPr>
        <w:t>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8DA9F29">
      <w:pPr>
        <w:pStyle w:val="16"/>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3.3 投标有效期</w:t>
      </w:r>
    </w:p>
    <w:p w14:paraId="028EFA96">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3.3.1 投标有效期见</w:t>
      </w:r>
      <w:r>
        <w:rPr>
          <w:rFonts w:hint="eastAsia" w:ascii="宋体" w:hAnsi="宋体" w:eastAsia="宋体"/>
          <w:color w:val="auto"/>
          <w:sz w:val="24"/>
          <w:highlight w:val="none"/>
          <w:lang w:eastAsia="zh-CN"/>
        </w:rPr>
        <w:t>投标人须知</w:t>
      </w:r>
      <w:r>
        <w:rPr>
          <w:rFonts w:hint="eastAsia" w:ascii="宋体" w:hAnsi="宋体" w:eastAsia="宋体"/>
          <w:color w:val="auto"/>
          <w:sz w:val="24"/>
          <w:highlight w:val="none"/>
        </w:rPr>
        <w:t>前附表所规定的期限，在此期限内，凡符合本招标文件要求的投标文件均保持有效。</w:t>
      </w:r>
    </w:p>
    <w:p w14:paraId="53D0D780">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3.3.2在投标有效期内，投标人撤销或修改其投标文件的，应承担招标文件和法律规定的责任。</w:t>
      </w:r>
    </w:p>
    <w:p w14:paraId="1D95D4EF">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BDAFF0F">
      <w:pPr>
        <w:pStyle w:val="16"/>
        <w:spacing w:after="0" w:line="360" w:lineRule="auto"/>
        <w:ind w:firstLine="482" w:firstLineChars="200"/>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rPr>
        <w:t>3.4 投标保证金</w:t>
      </w:r>
    </w:p>
    <w:p w14:paraId="1F2492BF">
      <w:pPr>
        <w:pStyle w:val="16"/>
        <w:spacing w:after="0" w:line="360" w:lineRule="auto"/>
        <w:ind w:firstLine="480" w:firstLineChars="200"/>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3.4.1</w:t>
      </w:r>
      <w:r>
        <w:rPr>
          <w:rFonts w:hint="eastAsia" w:ascii="宋体" w:hAnsi="宋体" w:eastAsia="宋体"/>
          <w:color w:val="auto"/>
          <w:sz w:val="24"/>
          <w:highlight w:val="none"/>
        </w:rPr>
        <w:t>投标人应按</w:t>
      </w:r>
      <w:r>
        <w:rPr>
          <w:rFonts w:hint="eastAsia" w:ascii="宋体" w:hAnsi="宋体" w:eastAsia="宋体"/>
          <w:color w:val="auto"/>
          <w:sz w:val="24"/>
          <w:highlight w:val="none"/>
          <w:lang w:eastAsia="zh-CN"/>
        </w:rPr>
        <w:t>投标人须知</w:t>
      </w:r>
      <w:r>
        <w:rPr>
          <w:rFonts w:hint="eastAsia" w:ascii="宋体" w:hAnsi="宋体" w:eastAsia="宋体"/>
          <w:color w:val="auto"/>
          <w:sz w:val="24"/>
          <w:highlight w:val="none"/>
        </w:rPr>
        <w:t>前附表规定的金额和时间递交投标保证金。招标人应当允许投标人自主选择现金、银行保函、保证保险、专业工程担保公司担保等方式缴纳投标保证金。联合体投标的，其投标</w:t>
      </w:r>
      <w:r>
        <w:rPr>
          <w:rFonts w:hint="eastAsia" w:ascii="宋体" w:hAnsi="宋体" w:eastAsia="宋体"/>
          <w:color w:val="auto"/>
          <w:sz w:val="24"/>
          <w:highlight w:val="none"/>
          <w:lang w:eastAsia="zh-CN"/>
        </w:rPr>
        <w:t>保证金</w:t>
      </w:r>
      <w:r>
        <w:rPr>
          <w:rFonts w:hint="eastAsia" w:ascii="宋体" w:hAnsi="宋体" w:eastAsia="宋体"/>
          <w:color w:val="auto"/>
          <w:sz w:val="24"/>
          <w:highlight w:val="none"/>
        </w:rPr>
        <w:t>可以由</w:t>
      </w:r>
      <w:r>
        <w:rPr>
          <w:rFonts w:hint="eastAsia" w:ascii="宋体" w:hAnsi="宋体" w:eastAsia="宋体"/>
          <w:color w:val="auto"/>
          <w:sz w:val="24"/>
          <w:highlight w:val="none"/>
          <w:lang w:eastAsia="zh-CN"/>
        </w:rPr>
        <w:t>主办方</w:t>
      </w:r>
      <w:r>
        <w:rPr>
          <w:rFonts w:hint="eastAsia" w:ascii="宋体" w:hAnsi="宋体" w:eastAsia="宋体"/>
          <w:color w:val="auto"/>
          <w:sz w:val="24"/>
          <w:highlight w:val="none"/>
        </w:rPr>
        <w:t>递交，并应符合投标人须知前附表的规定。</w:t>
      </w:r>
    </w:p>
    <w:p w14:paraId="762497DD">
      <w:pPr>
        <w:pStyle w:val="16"/>
        <w:spacing w:after="0" w:line="360" w:lineRule="auto"/>
        <w:ind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rPr>
        <w:t>3.4.</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 xml:space="preserve"> 中标候选人以外的投标人的投标保证金将尽快退还，最迟不超过中标通知书发出之日起五日内</w:t>
      </w:r>
      <w:r>
        <w:rPr>
          <w:rFonts w:hint="eastAsia" w:ascii="宋体" w:hAnsi="宋体" w:eastAsia="宋体"/>
          <w:color w:val="auto"/>
          <w:sz w:val="24"/>
          <w:highlight w:val="none"/>
          <w:lang w:eastAsia="zh-CN"/>
        </w:rPr>
        <w:t>；</w:t>
      </w:r>
    </w:p>
    <w:p w14:paraId="67AA7FC1">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3.4.3</w:t>
      </w:r>
      <w:r>
        <w:rPr>
          <w:rFonts w:hint="eastAsia" w:ascii="宋体" w:hAnsi="宋体" w:eastAsia="宋体"/>
          <w:color w:val="auto"/>
          <w:sz w:val="24"/>
          <w:highlight w:val="none"/>
        </w:rPr>
        <w:t>中标人和其他中标候选人的投标保证金，在书面合同订立之日起五日内予以退还</w:t>
      </w:r>
      <w:r>
        <w:rPr>
          <w:rFonts w:hint="eastAsia" w:ascii="宋体" w:hAnsi="宋体" w:eastAsia="宋体" w:cs="宋体"/>
          <w:i w:val="0"/>
          <w:iCs w:val="0"/>
          <w:caps w:val="0"/>
          <w:color w:val="auto"/>
          <w:spacing w:val="0"/>
          <w:sz w:val="24"/>
          <w:szCs w:val="24"/>
          <w:highlight w:val="none"/>
          <w:shd w:val="clear" w:color="auto" w:fill="FFFFFF"/>
        </w:rPr>
        <w:t>。</w:t>
      </w:r>
    </w:p>
    <w:p w14:paraId="75F11EDF">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 xml:space="preserve"> 有下列情形之一的，投标保证金将不予退还</w:t>
      </w:r>
      <w:r>
        <w:rPr>
          <w:rFonts w:hint="eastAsia" w:ascii="宋体" w:hAnsi="宋体" w:eastAsia="宋体"/>
          <w:color w:val="auto"/>
          <w:sz w:val="24"/>
          <w:highlight w:val="none"/>
          <w:lang w:eastAsia="zh-CN"/>
        </w:rPr>
        <w:t>（是否退还投标保证金由招标人在招标文件中规定）</w:t>
      </w:r>
      <w:r>
        <w:rPr>
          <w:rFonts w:hint="eastAsia" w:ascii="宋体" w:hAnsi="宋体" w:eastAsia="宋体"/>
          <w:color w:val="auto"/>
          <w:sz w:val="24"/>
          <w:highlight w:val="none"/>
        </w:rPr>
        <w:t xml:space="preserve">： </w:t>
      </w:r>
    </w:p>
    <w:p w14:paraId="4958AE84">
      <w:pPr>
        <w:pStyle w:val="16"/>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投标人在规定的投标有效期内撤</w:t>
      </w:r>
      <w:r>
        <w:rPr>
          <w:rFonts w:hint="eastAsia" w:ascii="宋体" w:hAnsi="宋体" w:eastAsia="宋体"/>
          <w:color w:val="auto"/>
          <w:sz w:val="24"/>
          <w:highlight w:val="none"/>
          <w:lang w:eastAsia="zh-CN"/>
        </w:rPr>
        <w:t>销</w:t>
      </w:r>
      <w:r>
        <w:rPr>
          <w:rFonts w:hint="eastAsia" w:ascii="宋体" w:hAnsi="宋体" w:eastAsia="宋体"/>
          <w:color w:val="auto"/>
          <w:sz w:val="24"/>
          <w:highlight w:val="none"/>
        </w:rPr>
        <w:t>其投标文件；</w:t>
      </w:r>
    </w:p>
    <w:p w14:paraId="45D5854C">
      <w:pPr>
        <w:pStyle w:val="16"/>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中标人未能在规定期限内按要求提交履约担保；</w:t>
      </w:r>
    </w:p>
    <w:p w14:paraId="0B0DA1B9">
      <w:pPr>
        <w:pStyle w:val="16"/>
        <w:spacing w:after="0"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t>3.4</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中标人未能在规定期限内签署合同协议。</w:t>
      </w:r>
    </w:p>
    <w:p w14:paraId="1AD94815">
      <w:pPr>
        <w:pStyle w:val="16"/>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3.5 资格审查资料</w:t>
      </w:r>
    </w:p>
    <w:p w14:paraId="6324A38D">
      <w:pPr>
        <w:pStyle w:val="16"/>
        <w:spacing w:after="0" w:line="360" w:lineRule="auto"/>
        <w:ind w:firstLine="480" w:firstLineChars="200"/>
        <w:rPr>
          <w:color w:val="auto"/>
          <w:highlight w:val="none"/>
        </w:rPr>
      </w:pPr>
      <w:r>
        <w:rPr>
          <w:rFonts w:hint="eastAsia" w:ascii="宋体" w:hAnsi="宋体" w:eastAsia="宋体"/>
          <w:color w:val="auto"/>
          <w:sz w:val="24"/>
          <w:highlight w:val="none"/>
        </w:rPr>
        <w:t>3.5.1 “投标人基本情况表”应附投标人营业执照副本、资质证书副本和安全生产许可证等材料的</w:t>
      </w:r>
      <w:r>
        <w:rPr>
          <w:rFonts w:hint="eastAsia" w:ascii="宋体" w:hAnsi="宋体" w:eastAsia="宋体"/>
          <w:color w:val="auto"/>
          <w:sz w:val="24"/>
          <w:highlight w:val="none"/>
          <w:lang w:val="en-US" w:eastAsia="zh-CN"/>
        </w:rPr>
        <w:t>扫描件</w:t>
      </w:r>
      <w:r>
        <w:rPr>
          <w:rFonts w:hint="eastAsia" w:ascii="宋体" w:hAnsi="宋体" w:eastAsia="宋体"/>
          <w:color w:val="auto"/>
          <w:sz w:val="24"/>
          <w:highlight w:val="none"/>
        </w:rPr>
        <w:t>。</w:t>
      </w:r>
    </w:p>
    <w:p w14:paraId="618A3762">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3.5.2 项目负责人建造师证和</w:t>
      </w:r>
      <w:r>
        <w:rPr>
          <w:rFonts w:hint="eastAsia" w:ascii="宋体" w:hAnsi="宋体" w:eastAsia="宋体"/>
          <w:color w:val="auto"/>
          <w:sz w:val="24"/>
          <w:highlight w:val="none"/>
          <w:lang w:eastAsia="zh-CN"/>
        </w:rPr>
        <w:t>安全生产考核合格证</w:t>
      </w:r>
      <w:r>
        <w:rPr>
          <w:rFonts w:hint="eastAsia" w:ascii="宋体" w:hAnsi="宋体" w:eastAsia="宋体"/>
          <w:color w:val="auto"/>
          <w:sz w:val="24"/>
          <w:highlight w:val="none"/>
        </w:rPr>
        <w:t>（B证）</w:t>
      </w:r>
      <w:r>
        <w:rPr>
          <w:rFonts w:hint="eastAsia" w:ascii="宋体" w:hAnsi="宋体" w:eastAsia="宋体" w:cs="Times New Roman"/>
          <w:color w:val="auto"/>
          <w:sz w:val="24"/>
          <w:szCs w:val="24"/>
          <w:highlight w:val="none"/>
        </w:rPr>
        <w:t>或建筑施工企业项目负责人安全生产考核合格证书</w:t>
      </w:r>
      <w:r>
        <w:rPr>
          <w:rFonts w:hint="eastAsia" w:ascii="宋体" w:hAnsi="宋体" w:eastAsia="宋体" w:cs="Times New Roman"/>
          <w:color w:val="auto"/>
          <w:sz w:val="24"/>
          <w:szCs w:val="24"/>
          <w:highlight w:val="none"/>
          <w:u w:val="single"/>
          <w:lang w:val="en-US" w:eastAsia="zh-CN"/>
        </w:rPr>
        <w:t>扫描件</w:t>
      </w:r>
      <w:r>
        <w:rPr>
          <w:rFonts w:hint="eastAsia" w:ascii="宋体" w:hAnsi="宋体" w:eastAsia="宋体"/>
          <w:color w:val="auto"/>
          <w:sz w:val="24"/>
          <w:highlight w:val="none"/>
        </w:rPr>
        <w:t>。</w:t>
      </w:r>
    </w:p>
    <w:p w14:paraId="119483EB">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3.5.3专职安全员</w:t>
      </w:r>
      <w:r>
        <w:rPr>
          <w:rFonts w:hint="eastAsia" w:ascii="宋体" w:hAnsi="宋体" w:eastAsia="宋体"/>
          <w:color w:val="auto"/>
          <w:sz w:val="24"/>
          <w:highlight w:val="none"/>
          <w:lang w:eastAsia="zh-CN"/>
        </w:rPr>
        <w:t>安全生产考核合格证</w:t>
      </w:r>
      <w:r>
        <w:rPr>
          <w:rFonts w:hint="eastAsia" w:ascii="宋体" w:hAnsi="宋体" w:eastAsia="宋体"/>
          <w:color w:val="auto"/>
          <w:sz w:val="24"/>
          <w:highlight w:val="none"/>
        </w:rPr>
        <w:t>（C证）</w:t>
      </w:r>
      <w:r>
        <w:rPr>
          <w:rFonts w:hint="eastAsia" w:ascii="宋体" w:hAnsi="宋体" w:eastAsia="宋体" w:cs="Times New Roman"/>
          <w:color w:val="auto"/>
          <w:sz w:val="24"/>
          <w:szCs w:val="24"/>
          <w:highlight w:val="none"/>
        </w:rPr>
        <w:t>或建筑施工企业专职安全生产管理人员安全生产考核合格证书</w:t>
      </w:r>
      <w:r>
        <w:rPr>
          <w:rFonts w:hint="eastAsia" w:ascii="宋体" w:hAnsi="宋体" w:eastAsia="宋体" w:cs="Times New Roman"/>
          <w:color w:val="auto"/>
          <w:sz w:val="24"/>
          <w:szCs w:val="24"/>
          <w:highlight w:val="none"/>
          <w:u w:val="single"/>
          <w:lang w:val="en-US" w:eastAsia="zh-CN"/>
        </w:rPr>
        <w:t>扫描件</w:t>
      </w:r>
      <w:r>
        <w:rPr>
          <w:rFonts w:hint="eastAsia" w:ascii="宋体" w:hAnsi="宋体" w:eastAsia="宋体"/>
          <w:color w:val="auto"/>
          <w:sz w:val="24"/>
          <w:highlight w:val="none"/>
        </w:rPr>
        <w:t>。</w:t>
      </w:r>
    </w:p>
    <w:p w14:paraId="7BD74704">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w:t>
      </w:r>
      <w:r>
        <w:rPr>
          <w:rFonts w:hint="eastAsia" w:ascii="宋体" w:hAnsi="宋体" w:eastAsia="宋体"/>
          <w:color w:val="auto"/>
          <w:sz w:val="24"/>
          <w:highlight w:val="none"/>
          <w:lang w:eastAsia="zh-CN"/>
        </w:rPr>
        <w:t>4</w:t>
      </w:r>
      <w:r>
        <w:rPr>
          <w:rFonts w:hint="eastAsia" w:ascii="宋体" w:hAnsi="宋体" w:eastAsia="宋体"/>
          <w:color w:val="auto"/>
          <w:sz w:val="24"/>
          <w:highlight w:val="none"/>
        </w:rPr>
        <w:t xml:space="preserve"> “近年完成的类似项目情况表”应附中标通知书、合同协议书以及合同工程完工证书（或工程竣工证书副本）的</w:t>
      </w:r>
      <w:r>
        <w:rPr>
          <w:rFonts w:hint="eastAsia" w:ascii="宋体" w:hAnsi="宋体" w:eastAsia="宋体"/>
          <w:color w:val="auto"/>
          <w:sz w:val="24"/>
          <w:highlight w:val="none"/>
          <w:lang w:eastAsia="zh-CN"/>
        </w:rPr>
        <w:t>扫描件</w:t>
      </w:r>
      <w:r>
        <w:rPr>
          <w:rFonts w:hint="eastAsia" w:ascii="宋体" w:hAnsi="宋体" w:eastAsia="宋体"/>
          <w:color w:val="auto"/>
          <w:sz w:val="24"/>
          <w:highlight w:val="none"/>
        </w:rPr>
        <w:t>。每张表格只填写一个项目，并标明序号。</w:t>
      </w:r>
    </w:p>
    <w:p w14:paraId="186EA291">
      <w:pPr>
        <w:pStyle w:val="16"/>
        <w:spacing w:after="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3.5.</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 xml:space="preserve"> 投标人须知前附表规定接受联合体投标的，本章第3.5.1项至第3.5.</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项规定的表格和资料应包括联合体各方相关情况。</w:t>
      </w:r>
    </w:p>
    <w:p w14:paraId="1DB81615">
      <w:pPr>
        <w:pStyle w:val="16"/>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资审要求的其他材料。</w:t>
      </w:r>
    </w:p>
    <w:p w14:paraId="45AA1078">
      <w:pPr>
        <w:pStyle w:val="16"/>
        <w:spacing w:after="0" w:line="360" w:lineRule="auto"/>
        <w:ind w:firstLineChars="200"/>
        <w:rPr>
          <w:rFonts w:ascii="宋体" w:hAnsi="宋体" w:eastAsia="宋体"/>
          <w:i/>
          <w:color w:val="auto"/>
          <w:sz w:val="21"/>
          <w:szCs w:val="21"/>
          <w:highlight w:val="none"/>
        </w:rPr>
      </w:pPr>
      <w:r>
        <w:rPr>
          <w:rFonts w:hint="eastAsia" w:ascii="宋体" w:hAnsi="宋体" w:eastAsia="宋体"/>
          <w:i/>
          <w:color w:val="auto"/>
          <w:sz w:val="21"/>
          <w:szCs w:val="21"/>
          <w:highlight w:val="none"/>
        </w:rPr>
        <w:t>（说明：3.5.</w:t>
      </w:r>
      <w:r>
        <w:rPr>
          <w:rFonts w:hint="eastAsia" w:ascii="宋体" w:hAnsi="宋体" w:eastAsia="宋体"/>
          <w:i/>
          <w:color w:val="auto"/>
          <w:szCs w:val="21"/>
          <w:highlight w:val="none"/>
        </w:rPr>
        <w:t>4</w:t>
      </w:r>
      <w:r>
        <w:rPr>
          <w:rFonts w:ascii="宋体" w:hAnsi="宋体" w:eastAsia="宋体"/>
          <w:i/>
          <w:color w:val="auto"/>
          <w:sz w:val="21"/>
          <w:szCs w:val="21"/>
          <w:highlight w:val="none"/>
        </w:rPr>
        <w:t xml:space="preserve"> </w:t>
      </w:r>
      <w:r>
        <w:rPr>
          <w:rFonts w:hint="eastAsia" w:ascii="宋体" w:hAnsi="宋体" w:eastAsia="宋体"/>
          <w:i/>
          <w:color w:val="auto"/>
          <w:sz w:val="21"/>
          <w:szCs w:val="21"/>
          <w:highlight w:val="none"/>
        </w:rPr>
        <w:t>~</w:t>
      </w:r>
      <w:r>
        <w:rPr>
          <w:rFonts w:ascii="宋体" w:hAnsi="宋体" w:eastAsia="宋体"/>
          <w:i/>
          <w:color w:val="auto"/>
          <w:sz w:val="21"/>
          <w:szCs w:val="21"/>
          <w:highlight w:val="none"/>
        </w:rPr>
        <w:t xml:space="preserve"> </w:t>
      </w:r>
      <w:r>
        <w:rPr>
          <w:rFonts w:hint="eastAsia" w:ascii="宋体" w:hAnsi="宋体" w:eastAsia="宋体"/>
          <w:i/>
          <w:color w:val="auto"/>
          <w:sz w:val="21"/>
          <w:szCs w:val="21"/>
          <w:highlight w:val="none"/>
        </w:rPr>
        <w:t>3.5.</w:t>
      </w:r>
      <w:r>
        <w:rPr>
          <w:rFonts w:hint="eastAsia" w:ascii="宋体" w:hAnsi="宋体" w:eastAsia="宋体"/>
          <w:i/>
          <w:color w:val="auto"/>
          <w:szCs w:val="21"/>
          <w:highlight w:val="none"/>
          <w:lang w:val="en-US" w:eastAsia="zh-CN"/>
        </w:rPr>
        <w:t>5</w:t>
      </w:r>
      <w:r>
        <w:rPr>
          <w:rFonts w:hint="eastAsia" w:ascii="宋体" w:hAnsi="宋体" w:eastAsia="宋体"/>
          <w:i/>
          <w:color w:val="auto"/>
          <w:sz w:val="21"/>
          <w:szCs w:val="21"/>
          <w:highlight w:val="none"/>
        </w:rPr>
        <w:t>为可选项。若资格条件里没有业绩等方面的要求，可不做要求）</w:t>
      </w:r>
    </w:p>
    <w:p w14:paraId="56C48681">
      <w:pPr>
        <w:pStyle w:val="16"/>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3.6 投标文件的编制</w:t>
      </w:r>
    </w:p>
    <w:p w14:paraId="62F14569">
      <w:pPr>
        <w:pStyle w:val="16"/>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3.6.1投标人应采用单位数字证书，按招标文件要求在相应位置加盖电子印章。投标文件中需个人签字或盖章的，应加盖个人电子印章或在线下完成后扫描上传。按照</w:t>
      </w:r>
      <w:r>
        <w:rPr>
          <w:rFonts w:hint="eastAsia" w:ascii="宋体" w:hAnsi="宋体" w:eastAsia="宋体" w:cs="Times New Roman"/>
          <w:color w:val="auto"/>
          <w:sz w:val="24"/>
          <w:szCs w:val="24"/>
          <w:highlight w:val="none"/>
          <w:lang w:eastAsia="zh-CN"/>
        </w:rPr>
        <w:t>广州交易集团有限公司（广州公共资源交易中心）网站关于全流程电子化项目的相关指南进行操作</w:t>
      </w:r>
      <w:r>
        <w:rPr>
          <w:rFonts w:hint="eastAsia" w:ascii="宋体" w:hAnsi="宋体" w:eastAsia="宋体" w:cs="Times New Roman"/>
          <w:color w:val="auto"/>
          <w:sz w:val="24"/>
          <w:szCs w:val="24"/>
          <w:highlight w:val="none"/>
        </w:rPr>
        <w:t>。</w:t>
      </w:r>
    </w:p>
    <w:p w14:paraId="42EC802A">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3.6.</w:t>
      </w:r>
      <w:r>
        <w:rPr>
          <w:rFonts w:hint="eastAsia" w:ascii="宋体" w:hAnsi="宋体"/>
          <w:color w:val="auto"/>
          <w:sz w:val="24"/>
          <w:szCs w:val="24"/>
          <w:highlight w:val="none"/>
          <w:lang w:val="en-US" w:eastAsia="zh-CN"/>
        </w:rPr>
        <w:t>2</w:t>
      </w:r>
      <w:r>
        <w:rPr>
          <w:rFonts w:hint="eastAsia" w:ascii="宋体" w:hAnsi="宋体" w:eastAsia="宋体"/>
          <w:bCs/>
          <w:color w:val="auto"/>
          <w:sz w:val="24"/>
          <w:szCs w:val="24"/>
          <w:highlight w:val="none"/>
        </w:rPr>
        <w:t>联合体投标时，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w:t>
      </w:r>
      <w:r>
        <w:rPr>
          <w:rFonts w:hint="eastAsia" w:ascii="宋体" w:hAnsi="宋体" w:eastAsia="宋体"/>
          <w:bCs/>
          <w:color w:val="auto"/>
          <w:sz w:val="24"/>
          <w:szCs w:val="24"/>
          <w:highlight w:val="none"/>
          <w:lang w:eastAsia="zh-CN"/>
        </w:rPr>
        <w:t>扫描</w:t>
      </w:r>
      <w:r>
        <w:rPr>
          <w:rFonts w:hint="eastAsia" w:ascii="宋体" w:hAnsi="宋体" w:eastAsia="宋体"/>
          <w:bCs/>
          <w:color w:val="auto"/>
          <w:sz w:val="24"/>
          <w:szCs w:val="24"/>
          <w:highlight w:val="none"/>
        </w:rPr>
        <w:t>件。</w:t>
      </w:r>
    </w:p>
    <w:p w14:paraId="16E16A3B">
      <w:pPr>
        <w:pStyle w:val="16"/>
        <w:spacing w:after="0"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olor w:val="auto"/>
          <w:sz w:val="24"/>
          <w:szCs w:val="24"/>
          <w:highlight w:val="none"/>
        </w:rPr>
        <w:t>3.6.</w:t>
      </w:r>
      <w:r>
        <w:rPr>
          <w:rFonts w:hint="eastAsia" w:ascii="宋体" w:hAnsi="宋体" w:eastAsia="宋体"/>
          <w:color w:val="auto"/>
          <w:sz w:val="24"/>
          <w:szCs w:val="24"/>
          <w:highlight w:val="none"/>
          <w:lang w:val="en-US" w:eastAsia="zh-CN"/>
        </w:rPr>
        <w:t>3</w:t>
      </w:r>
      <w:r>
        <w:rPr>
          <w:rFonts w:hint="eastAsia" w:ascii="宋体" w:hAnsi="宋体" w:eastAsia="宋体" w:cs="Times New Roman"/>
          <w:bCs/>
          <w:color w:val="auto"/>
          <w:kern w:val="2"/>
          <w:sz w:val="24"/>
          <w:szCs w:val="24"/>
          <w:highlight w:val="none"/>
        </w:rPr>
        <w:t>投标文件应按照</w:t>
      </w:r>
      <w:r>
        <w:rPr>
          <w:rFonts w:hint="eastAsia" w:ascii="宋体" w:hAnsi="宋体" w:eastAsia="宋体" w:cs="Times New Roman"/>
          <w:bCs/>
          <w:color w:val="auto"/>
          <w:kern w:val="2"/>
          <w:sz w:val="24"/>
          <w:szCs w:val="24"/>
          <w:highlight w:val="none"/>
          <w:lang w:eastAsia="zh-CN"/>
        </w:rPr>
        <w:t>广州交易集团有限公司（广州公共资源交易中心）网站</w:t>
      </w:r>
      <w:r>
        <w:rPr>
          <w:rFonts w:hint="eastAsia" w:ascii="宋体" w:hAnsi="宋体" w:eastAsia="宋体" w:cs="Times New Roman"/>
          <w:bCs/>
          <w:color w:val="auto"/>
          <w:kern w:val="2"/>
          <w:sz w:val="24"/>
          <w:szCs w:val="24"/>
          <w:highlight w:val="none"/>
        </w:rPr>
        <w:t>关于全流程电子化项目的相关指南进行编制。如因不按上述编排要求编制而所引起系统无法检索、读取相关信息时，其后果将由投标人自行承担。</w:t>
      </w:r>
    </w:p>
    <w:p w14:paraId="393F5645">
      <w:pPr>
        <w:pStyle w:val="16"/>
        <w:spacing w:after="0" w:line="360" w:lineRule="auto"/>
        <w:ind w:firstLine="480" w:firstLineChars="200"/>
        <w:rPr>
          <w:rFonts w:ascii="宋体" w:hAnsi="宋体" w:eastAsia="宋体"/>
          <w:i/>
          <w:color w:val="auto"/>
          <w:sz w:val="24"/>
          <w:highlight w:val="none"/>
        </w:rPr>
      </w:pPr>
      <w:r>
        <w:rPr>
          <w:rFonts w:hint="eastAsia" w:ascii="宋体" w:hAnsi="宋体" w:eastAsia="宋体"/>
          <w:i/>
          <w:color w:val="auto"/>
          <w:sz w:val="24"/>
          <w:highlight w:val="none"/>
        </w:rPr>
        <w:t>（</w:t>
      </w:r>
      <w:r>
        <w:rPr>
          <w:rFonts w:hint="eastAsia" w:ascii="宋体" w:hAnsi="宋体" w:eastAsia="宋体"/>
          <w:i/>
          <w:color w:val="auto"/>
          <w:szCs w:val="21"/>
          <w:highlight w:val="none"/>
        </w:rPr>
        <w:t>给排水项目投标文件按交易中心的投标文件制作工具编制</w:t>
      </w:r>
      <w:r>
        <w:rPr>
          <w:rFonts w:hint="eastAsia" w:ascii="宋体" w:hAnsi="宋体" w:eastAsia="宋体"/>
          <w:i/>
          <w:color w:val="auto"/>
          <w:sz w:val="24"/>
          <w:highlight w:val="none"/>
        </w:rPr>
        <w:t>）</w:t>
      </w:r>
    </w:p>
    <w:p w14:paraId="4FA3A06F">
      <w:pPr>
        <w:pStyle w:val="16"/>
        <w:spacing w:after="0" w:line="360" w:lineRule="auto"/>
        <w:ind w:firstLine="482" w:firstLineChars="200"/>
        <w:rPr>
          <w:rFonts w:ascii="宋体" w:hAnsi="宋体" w:eastAsia="宋体"/>
          <w:b/>
          <w:bCs/>
          <w:color w:val="auto"/>
          <w:sz w:val="24"/>
          <w:highlight w:val="none"/>
        </w:rPr>
      </w:pPr>
    </w:p>
    <w:p w14:paraId="530350B5">
      <w:pPr>
        <w:jc w:val="center"/>
        <w:outlineLvl w:val="3"/>
        <w:rPr>
          <w:rFonts w:ascii="宋体" w:hAnsi="宋体"/>
          <w:b/>
          <w:color w:val="auto"/>
          <w:sz w:val="30"/>
          <w:szCs w:val="30"/>
          <w:highlight w:val="none"/>
        </w:rPr>
      </w:pPr>
      <w:bookmarkStart w:id="102" w:name="_Toc262229166"/>
      <w:bookmarkStart w:id="103" w:name="_Toc101777615"/>
      <w:r>
        <w:rPr>
          <w:rFonts w:hint="eastAsia" w:ascii="宋体" w:hAnsi="宋体"/>
          <w:b/>
          <w:color w:val="auto"/>
          <w:sz w:val="30"/>
          <w:szCs w:val="30"/>
          <w:highlight w:val="none"/>
        </w:rPr>
        <w:t>（四）投标文件的递交</w:t>
      </w:r>
      <w:bookmarkEnd w:id="102"/>
      <w:bookmarkEnd w:id="103"/>
    </w:p>
    <w:p w14:paraId="249B1CB4">
      <w:pPr>
        <w:pStyle w:val="16"/>
        <w:spacing w:after="0" w:line="360" w:lineRule="auto"/>
        <w:ind w:firstLine="482" w:firstLineChars="200"/>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rPr>
        <w:t xml:space="preserve">4.1 </w:t>
      </w:r>
      <w:r>
        <w:rPr>
          <w:rFonts w:hint="eastAsia" w:ascii="宋体" w:hAnsi="宋体" w:eastAsia="宋体"/>
          <w:b/>
          <w:color w:val="auto"/>
          <w:sz w:val="24"/>
          <w:szCs w:val="24"/>
          <w:highlight w:val="none"/>
        </w:rPr>
        <w:t>投标文件的密封和标</w:t>
      </w:r>
      <w:r>
        <w:rPr>
          <w:rFonts w:hint="eastAsia" w:ascii="宋体" w:hAnsi="宋体" w:eastAsia="宋体"/>
          <w:b/>
          <w:color w:val="auto"/>
          <w:sz w:val="24"/>
          <w:szCs w:val="24"/>
          <w:highlight w:val="none"/>
          <w:lang w:eastAsia="zh-CN"/>
        </w:rPr>
        <w:t>记</w:t>
      </w:r>
    </w:p>
    <w:p w14:paraId="2DE9923A">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4.1.1递交的电子投标文件（不含备用光盘）必须进行加密。按照</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1"/>
          <w:highlight w:val="none"/>
          <w:lang w:eastAsia="zh-CN"/>
        </w:rPr>
        <w:t>网站</w:t>
      </w:r>
      <w:r>
        <w:rPr>
          <w:rFonts w:hint="eastAsia" w:ascii="宋体" w:hAnsi="宋体"/>
          <w:color w:val="auto"/>
          <w:sz w:val="24"/>
          <w:szCs w:val="21"/>
          <w:highlight w:val="none"/>
        </w:rPr>
        <w:t>关于全流程电子化项目的相关指南进行操作。。</w:t>
      </w:r>
    </w:p>
    <w:p w14:paraId="64600CAF">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1"/>
          <w:highlight w:val="none"/>
        </w:rPr>
        <w:t>4.1.2未按要求加密的投标文件，</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1"/>
          <w:highlight w:val="none"/>
          <w:lang w:eastAsia="zh-CN"/>
        </w:rPr>
        <w:t>网站交易</w:t>
      </w:r>
      <w:r>
        <w:rPr>
          <w:rFonts w:hint="eastAsia" w:ascii="宋体" w:hAnsi="宋体"/>
          <w:color w:val="auto"/>
          <w:sz w:val="24"/>
          <w:szCs w:val="21"/>
          <w:highlight w:val="none"/>
        </w:rPr>
        <w:t>平台将予以拒收</w:t>
      </w:r>
      <w:r>
        <w:rPr>
          <w:rFonts w:hint="eastAsia" w:ascii="宋体" w:hAnsi="宋体"/>
          <w:color w:val="auto"/>
          <w:sz w:val="24"/>
          <w:szCs w:val="21"/>
          <w:highlight w:val="none"/>
          <w:lang w:eastAsia="zh-CN"/>
        </w:rPr>
        <w:t>。</w:t>
      </w:r>
    </w:p>
    <w:p w14:paraId="440172FF">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4.2</w:t>
      </w:r>
      <w:r>
        <w:rPr>
          <w:rFonts w:ascii="宋体" w:hAnsi="宋体"/>
          <w:b/>
          <w:bCs/>
          <w:color w:val="auto"/>
          <w:sz w:val="24"/>
          <w:highlight w:val="none"/>
        </w:rPr>
        <w:t xml:space="preserve"> </w:t>
      </w:r>
      <w:r>
        <w:rPr>
          <w:rFonts w:hint="eastAsia" w:ascii="宋体" w:hAnsi="宋体"/>
          <w:b/>
          <w:bCs/>
          <w:color w:val="auto"/>
          <w:sz w:val="24"/>
          <w:highlight w:val="none"/>
        </w:rPr>
        <w:t>投标文件的递交和接收</w:t>
      </w:r>
    </w:p>
    <w:p w14:paraId="2D126049">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4.2.1投标人通过</w:t>
      </w:r>
      <w:r>
        <w:rPr>
          <w:rFonts w:hint="eastAsia" w:ascii="宋体" w:hAnsi="宋体"/>
          <w:color w:val="auto"/>
          <w:sz w:val="24"/>
          <w:szCs w:val="24"/>
          <w:highlight w:val="none"/>
          <w:u w:val="single"/>
          <w:lang w:eastAsia="zh-CN"/>
        </w:rPr>
        <w:t>广州交易集团有限公司（广州公共资源交易中心）网站</w:t>
      </w:r>
      <w:r>
        <w:rPr>
          <w:rFonts w:hint="eastAsia" w:ascii="宋体" w:hAnsi="宋体"/>
          <w:color w:val="auto"/>
          <w:sz w:val="24"/>
          <w:szCs w:val="24"/>
          <w:highlight w:val="none"/>
        </w:rPr>
        <w:t>交易平台递交电子投标文件。</w:t>
      </w:r>
    </w:p>
    <w:p w14:paraId="58E5E93D">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4.2.2投标人完成电子投标文件上传后，</w:t>
      </w:r>
      <w:r>
        <w:rPr>
          <w:rFonts w:hint="eastAsia" w:ascii="宋体" w:hAnsi="宋体"/>
          <w:color w:val="auto"/>
          <w:sz w:val="24"/>
          <w:szCs w:val="24"/>
          <w:highlight w:val="none"/>
          <w:u w:val="single"/>
          <w:lang w:eastAsia="zh-CN"/>
        </w:rPr>
        <w:t>广州交易集团有限公司（广州公共资源交易中心）网站</w:t>
      </w:r>
      <w:r>
        <w:rPr>
          <w:rFonts w:hint="eastAsia" w:ascii="宋体" w:hAnsi="宋体"/>
          <w:color w:val="auto"/>
          <w:sz w:val="24"/>
          <w:szCs w:val="24"/>
          <w:highlight w:val="none"/>
        </w:rPr>
        <w:t>交易平台即时向投标人发出递交回执通知。递交时间以递交回执通知载明的传输完成时间为准。</w:t>
      </w:r>
    </w:p>
    <w:p w14:paraId="45FB349A">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4.2.3逾期送达的电子投标文件，</w:t>
      </w:r>
      <w:r>
        <w:rPr>
          <w:rFonts w:hint="eastAsia" w:ascii="宋体" w:hAnsi="宋体"/>
          <w:color w:val="auto"/>
          <w:sz w:val="24"/>
          <w:szCs w:val="24"/>
          <w:highlight w:val="none"/>
          <w:u w:val="single"/>
          <w:lang w:eastAsia="zh-CN"/>
        </w:rPr>
        <w:t>广州交易集团有限公司（广州公共资源交易中心）网站</w:t>
      </w:r>
      <w:r>
        <w:rPr>
          <w:rFonts w:hint="eastAsia" w:ascii="宋体" w:hAnsi="宋体"/>
          <w:color w:val="auto"/>
          <w:sz w:val="24"/>
          <w:szCs w:val="24"/>
          <w:highlight w:val="none"/>
        </w:rPr>
        <w:t>交易平台将予以拒收。</w:t>
      </w:r>
    </w:p>
    <w:p w14:paraId="1217DFA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olor w:val="auto"/>
          <w:sz w:val="24"/>
          <w:highlight w:val="none"/>
        </w:rPr>
        <w:t xml:space="preserve">.4 </w:t>
      </w:r>
      <w:r>
        <w:rPr>
          <w:rFonts w:hint="eastAsia" w:ascii="宋体" w:hAnsi="宋体"/>
          <w:color w:val="auto"/>
          <w:sz w:val="24"/>
          <w:szCs w:val="24"/>
          <w:highlight w:val="none"/>
        </w:rPr>
        <w:t>投标截止前，招标人拒绝接收符合条件的投标文件，投标人可向招标监督机构投诉。</w:t>
      </w:r>
    </w:p>
    <w:p w14:paraId="7239539F">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4.3</w:t>
      </w:r>
      <w:r>
        <w:rPr>
          <w:rFonts w:ascii="宋体" w:hAnsi="宋体"/>
          <w:color w:val="auto"/>
          <w:sz w:val="24"/>
          <w:szCs w:val="24"/>
          <w:highlight w:val="none"/>
        </w:rPr>
        <w:t xml:space="preserve"> </w:t>
      </w:r>
      <w:r>
        <w:rPr>
          <w:rFonts w:hint="eastAsia" w:ascii="宋体" w:hAnsi="宋体"/>
          <w:b/>
          <w:bCs/>
          <w:color w:val="auto"/>
          <w:sz w:val="24"/>
          <w:highlight w:val="none"/>
        </w:rPr>
        <w:t>投标文件递交的截止时间</w:t>
      </w:r>
    </w:p>
    <w:p w14:paraId="38813500">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4.3</w:t>
      </w:r>
      <w:r>
        <w:rPr>
          <w:rFonts w:hint="eastAsia" w:ascii="宋体" w:hAnsi="宋体"/>
          <w:color w:val="auto"/>
          <w:sz w:val="24"/>
          <w:highlight w:val="none"/>
        </w:rPr>
        <w:t>.1投标人应在4.2.1所述的时间前递交投标文件。截止时间以</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电子评标系统服务器从中国科学院国家授时中心取得的北京时间为准。</w:t>
      </w:r>
    </w:p>
    <w:p w14:paraId="0F26C2BA">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4.3</w:t>
      </w:r>
      <w:r>
        <w:rPr>
          <w:rFonts w:hint="eastAsia" w:ascii="宋体" w:hAnsi="宋体"/>
          <w:color w:val="auto"/>
          <w:sz w:val="24"/>
          <w:highlight w:val="none"/>
        </w:rPr>
        <w:t>.2招标人可按本须知第2.4条规定以招标文件修改的方式，酌情延长递交投标文件的截止时间。在此情况下，投标人的所有权利和义务以及投标人受制约的截止时间，均以延长后新的投标截止时间为准。</w:t>
      </w:r>
    </w:p>
    <w:p w14:paraId="7A6F66A0">
      <w:pPr>
        <w:spacing w:line="360" w:lineRule="auto"/>
        <w:rPr>
          <w:rFonts w:ascii="宋体" w:hAnsi="宋体"/>
          <w:color w:val="auto"/>
          <w:sz w:val="24"/>
          <w:highlight w:val="none"/>
        </w:rPr>
      </w:pPr>
      <w:r>
        <w:rPr>
          <w:rFonts w:hint="eastAsia" w:ascii="宋体" w:hAnsi="宋体"/>
          <w:color w:val="auto"/>
          <w:sz w:val="24"/>
          <w:szCs w:val="24"/>
          <w:highlight w:val="none"/>
        </w:rPr>
        <w:t xml:space="preserve">    4.3</w:t>
      </w:r>
      <w:r>
        <w:rPr>
          <w:rFonts w:hint="eastAsia" w:ascii="宋体" w:hAnsi="宋体"/>
          <w:color w:val="auto"/>
          <w:sz w:val="24"/>
          <w:highlight w:val="none"/>
        </w:rPr>
        <w:t>.3 到投标截止时间止，招标人收到的投标文件少于3家的，招标人将依法重新组织招标。（当N个标段同时招标且不允许兼中时，若有效投标人不足N+2家，则重新组织招标）。</w:t>
      </w:r>
    </w:p>
    <w:p w14:paraId="3214BC9B">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4.4</w:t>
      </w:r>
      <w:r>
        <w:rPr>
          <w:rFonts w:hint="eastAsia" w:ascii="宋体" w:hAnsi="宋体"/>
          <w:b/>
          <w:bCs/>
          <w:color w:val="auto"/>
          <w:sz w:val="24"/>
          <w:highlight w:val="none"/>
        </w:rPr>
        <w:t xml:space="preserve"> 迟交的投标文件</w:t>
      </w:r>
    </w:p>
    <w:p w14:paraId="5604FCD0">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4.4</w:t>
      </w:r>
      <w:r>
        <w:rPr>
          <w:rFonts w:hint="eastAsia" w:ascii="宋体" w:hAnsi="宋体"/>
          <w:color w:val="auto"/>
          <w:sz w:val="24"/>
          <w:highlight w:val="none"/>
        </w:rPr>
        <w:t>.1本须知前附表第4.3.1项规定的投标截止时间后送达的电子投标文件，</w:t>
      </w:r>
      <w:r>
        <w:rPr>
          <w:rFonts w:hint="eastAsia" w:ascii="宋体" w:hAnsi="宋体"/>
          <w:color w:val="auto"/>
          <w:sz w:val="24"/>
          <w:szCs w:val="24"/>
          <w:highlight w:val="none"/>
          <w:u w:val="single"/>
          <w:lang w:eastAsia="zh-CN"/>
        </w:rPr>
        <w:t>广州交易集团有限公司（广州公共资源交易中心）网站交易</w:t>
      </w:r>
      <w:r>
        <w:rPr>
          <w:rFonts w:hint="eastAsia" w:ascii="宋体" w:hAnsi="宋体"/>
          <w:color w:val="auto"/>
          <w:sz w:val="24"/>
          <w:highlight w:val="none"/>
        </w:rPr>
        <w:t>平台将予以拒收。</w:t>
      </w:r>
    </w:p>
    <w:p w14:paraId="0F931220">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4.5</w:t>
      </w:r>
      <w:r>
        <w:rPr>
          <w:rFonts w:hint="eastAsia" w:ascii="宋体" w:hAnsi="宋体"/>
          <w:b/>
          <w:bCs/>
          <w:color w:val="auto"/>
          <w:sz w:val="24"/>
          <w:highlight w:val="none"/>
        </w:rPr>
        <w:t xml:space="preserve"> 投标文件的补充、修改与撤回</w:t>
      </w:r>
    </w:p>
    <w:p w14:paraId="0B99E8DB">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4.5</w:t>
      </w:r>
      <w:r>
        <w:rPr>
          <w:rFonts w:hint="eastAsia" w:ascii="宋体" w:hAnsi="宋体"/>
          <w:color w:val="auto"/>
          <w:sz w:val="24"/>
          <w:highlight w:val="none"/>
        </w:rPr>
        <w:t>.1 投标人在递交投标文件以后，在规定的投标截止时间之前，可以修改或撤回已递交的投标文件。</w:t>
      </w:r>
    </w:p>
    <w:p w14:paraId="566BADB1">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4.5</w:t>
      </w: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 xml:space="preserve"> 在投标截止时间之后，投标人不得补充、修改和更换投标文件。</w:t>
      </w:r>
    </w:p>
    <w:p w14:paraId="20A66050">
      <w:pPr>
        <w:snapToGrid w:val="0"/>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4.5</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在投标截止后，投标人在投标文件格式中规定的有效期终止日前，投标人不能撤</w:t>
      </w:r>
      <w:r>
        <w:rPr>
          <w:rFonts w:hint="eastAsia" w:ascii="宋体" w:hAnsi="宋体"/>
          <w:color w:val="auto"/>
          <w:sz w:val="24"/>
          <w:highlight w:val="none"/>
          <w:lang w:val="en-US" w:eastAsia="zh-CN"/>
        </w:rPr>
        <w:t>销</w:t>
      </w:r>
      <w:r>
        <w:rPr>
          <w:rFonts w:hint="eastAsia" w:ascii="宋体" w:hAnsi="宋体"/>
          <w:color w:val="auto"/>
          <w:sz w:val="24"/>
          <w:highlight w:val="none"/>
        </w:rPr>
        <w:t>投标文件，否则其投标保证金将被没收，且招标人有权就其撤</w:t>
      </w:r>
      <w:r>
        <w:rPr>
          <w:rFonts w:hint="eastAsia" w:ascii="宋体" w:hAnsi="宋体"/>
          <w:color w:val="auto"/>
          <w:sz w:val="24"/>
          <w:highlight w:val="none"/>
          <w:lang w:val="en-US" w:eastAsia="zh-CN"/>
        </w:rPr>
        <w:t>销</w:t>
      </w:r>
      <w:r>
        <w:rPr>
          <w:rFonts w:hint="eastAsia" w:ascii="宋体" w:hAnsi="宋体"/>
          <w:color w:val="auto"/>
          <w:sz w:val="24"/>
          <w:highlight w:val="none"/>
        </w:rPr>
        <w:t>行为报告政府主管部门载入不良信用记录。</w:t>
      </w:r>
    </w:p>
    <w:p w14:paraId="21BCFA8C">
      <w:pPr>
        <w:snapToGrid w:val="0"/>
        <w:spacing w:line="360" w:lineRule="auto"/>
        <w:ind w:firstLine="480" w:firstLineChars="200"/>
        <w:rPr>
          <w:rFonts w:ascii="宋体" w:hAnsi="宋体"/>
          <w:b/>
          <w:color w:val="auto"/>
          <w:sz w:val="24"/>
          <w:highlight w:val="none"/>
        </w:rPr>
      </w:pPr>
      <w:r>
        <w:rPr>
          <w:rFonts w:hint="eastAsia" w:ascii="宋体" w:hAnsi="宋体"/>
          <w:color w:val="auto"/>
          <w:sz w:val="24"/>
          <w:szCs w:val="24"/>
          <w:highlight w:val="none"/>
        </w:rPr>
        <w:t>4.6</w:t>
      </w:r>
      <w:r>
        <w:rPr>
          <w:rFonts w:hint="eastAsia" w:ascii="宋体" w:hAnsi="宋体"/>
          <w:b/>
          <w:color w:val="auto"/>
          <w:sz w:val="24"/>
          <w:highlight w:val="none"/>
        </w:rPr>
        <w:t xml:space="preserve"> 投标信息录入</w:t>
      </w:r>
    </w:p>
    <w:p w14:paraId="78F425D9">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4.6</w:t>
      </w:r>
      <w:r>
        <w:rPr>
          <w:rFonts w:hint="eastAsia" w:ascii="宋体" w:hAnsi="宋体"/>
          <w:color w:val="auto"/>
          <w:sz w:val="24"/>
          <w:highlight w:val="none"/>
        </w:rPr>
        <w:t>.1 投标人应在上传电子投标文件前将</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交易服务系统要求的相关信息在</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交易服务系统中录入完毕。</w:t>
      </w:r>
    </w:p>
    <w:p w14:paraId="1F17F6F7">
      <w:pPr>
        <w:spacing w:line="360" w:lineRule="auto"/>
        <w:ind w:firstLine="480" w:firstLineChars="200"/>
        <w:rPr>
          <w:rFonts w:ascii="宋体" w:hAnsi="宋体"/>
          <w:b/>
          <w:color w:val="auto"/>
          <w:sz w:val="24"/>
          <w:highlight w:val="none"/>
        </w:rPr>
      </w:pPr>
      <w:r>
        <w:rPr>
          <w:rFonts w:hint="eastAsia" w:ascii="宋体" w:hAnsi="宋体"/>
          <w:color w:val="auto"/>
          <w:sz w:val="24"/>
          <w:szCs w:val="24"/>
          <w:highlight w:val="none"/>
        </w:rPr>
        <w:t>4.7</w:t>
      </w:r>
      <w:r>
        <w:rPr>
          <w:rFonts w:hint="eastAsia" w:ascii="宋体" w:hAnsi="宋体"/>
          <w:b/>
          <w:color w:val="auto"/>
          <w:sz w:val="24"/>
          <w:highlight w:val="none"/>
        </w:rPr>
        <w:t xml:space="preserve"> 投标文件的解密</w:t>
      </w:r>
    </w:p>
    <w:p w14:paraId="02E31052">
      <w:pPr>
        <w:tabs>
          <w:tab w:val="left" w:pos="10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4.7</w:t>
      </w:r>
      <w:r>
        <w:rPr>
          <w:rFonts w:hint="eastAsia" w:ascii="宋体" w:hAnsi="宋体" w:cs="仿宋_GB2312"/>
          <w:color w:val="auto"/>
          <w:sz w:val="24"/>
          <w:szCs w:val="24"/>
          <w:highlight w:val="none"/>
        </w:rPr>
        <w:t>.</w:t>
      </w:r>
      <w:r>
        <w:rPr>
          <w:rFonts w:ascii="宋体" w:hAnsi="宋体" w:cs="仿宋_GB2312"/>
          <w:color w:val="auto"/>
          <w:sz w:val="24"/>
          <w:szCs w:val="24"/>
          <w:highlight w:val="none"/>
        </w:rPr>
        <w:t>1</w:t>
      </w:r>
      <w:r>
        <w:rPr>
          <w:rFonts w:hint="eastAsia"/>
          <w:color w:val="auto"/>
          <w:sz w:val="24"/>
          <w:highlight w:val="none"/>
        </w:rPr>
        <w:t>投标人必须在</w:t>
      </w:r>
      <w:r>
        <w:rPr>
          <w:rFonts w:hint="eastAsia"/>
          <w:color w:val="auto"/>
          <w:sz w:val="24"/>
          <w:highlight w:val="none"/>
          <w:lang w:eastAsia="zh-CN"/>
        </w:rPr>
        <w:t>投标人须知</w:t>
      </w:r>
      <w:r>
        <w:rPr>
          <w:rFonts w:hint="eastAsia"/>
          <w:color w:val="auto"/>
          <w:sz w:val="24"/>
          <w:highlight w:val="none"/>
        </w:rPr>
        <w:t>前附表规定的时间内对</w:t>
      </w:r>
      <w:r>
        <w:rPr>
          <w:rFonts w:hint="eastAsia" w:ascii="宋体" w:hAnsi="宋体"/>
          <w:color w:val="auto"/>
          <w:sz w:val="24"/>
          <w:highlight w:val="none"/>
        </w:rPr>
        <w:t>投标文件进行解密。</w:t>
      </w:r>
      <w:r>
        <w:rPr>
          <w:rFonts w:hint="eastAsia" w:ascii="宋体" w:hAnsi="宋体" w:cs="仿宋_GB2312"/>
          <w:color w:val="auto"/>
          <w:sz w:val="24"/>
          <w:szCs w:val="24"/>
          <w:highlight w:val="none"/>
        </w:rPr>
        <w:t>因投标人原因造成投标文件未解密或未在规定的时间内解密的，视为撤销其投标文件。</w:t>
      </w:r>
    </w:p>
    <w:p w14:paraId="4FA3C37A">
      <w:pPr>
        <w:jc w:val="center"/>
        <w:outlineLvl w:val="3"/>
        <w:rPr>
          <w:rFonts w:ascii="宋体" w:hAnsi="宋体"/>
          <w:b/>
          <w:color w:val="auto"/>
          <w:sz w:val="30"/>
          <w:szCs w:val="30"/>
          <w:highlight w:val="none"/>
        </w:rPr>
      </w:pPr>
      <w:r>
        <w:rPr>
          <w:rFonts w:hint="eastAsia" w:ascii="宋体" w:hAnsi="宋体"/>
          <w:b/>
          <w:color w:val="auto"/>
          <w:sz w:val="30"/>
          <w:szCs w:val="30"/>
          <w:highlight w:val="none"/>
        </w:rPr>
        <w:t>（五）开标</w:t>
      </w:r>
    </w:p>
    <w:p w14:paraId="2452ED20">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5.1 开标时间和地点</w:t>
      </w:r>
    </w:p>
    <w:p w14:paraId="707B0003">
      <w:pPr>
        <w:spacing w:line="360" w:lineRule="auto"/>
        <w:ind w:firstLine="480" w:firstLineChars="200"/>
        <w:jc w:val="left"/>
        <w:rPr>
          <w:color w:val="auto"/>
          <w:sz w:val="24"/>
          <w:highlight w:val="none"/>
        </w:rPr>
      </w:pPr>
      <w:r>
        <w:rPr>
          <w:rFonts w:hint="eastAsia"/>
          <w:color w:val="auto"/>
          <w:sz w:val="24"/>
          <w:highlight w:val="none"/>
        </w:rPr>
        <w:t>5.1.1招标人按</w:t>
      </w:r>
      <w:r>
        <w:rPr>
          <w:rFonts w:hint="eastAsia"/>
          <w:color w:val="auto"/>
          <w:sz w:val="24"/>
          <w:highlight w:val="none"/>
          <w:lang w:eastAsia="zh-CN"/>
        </w:rPr>
        <w:t>投标人须知</w:t>
      </w:r>
      <w:r>
        <w:rPr>
          <w:rFonts w:hint="eastAsia"/>
          <w:color w:val="auto"/>
          <w:sz w:val="24"/>
          <w:highlight w:val="none"/>
        </w:rPr>
        <w:t>前附表规定的时间和地点公开开标，并邀请所有投标人参加。</w:t>
      </w:r>
      <w:r>
        <w:rPr>
          <w:rFonts w:hint="eastAsia"/>
          <w:color w:val="auto"/>
          <w:sz w:val="24"/>
          <w:highlight w:val="none"/>
          <w:lang w:eastAsia="zh-CN"/>
        </w:rPr>
        <w:t>投标人也可选择参加在线开标，具体按照交易平台相关指南进行操作。</w:t>
      </w:r>
      <w:r>
        <w:rPr>
          <w:rFonts w:hint="eastAsia"/>
          <w:color w:val="auto"/>
          <w:sz w:val="24"/>
          <w:highlight w:val="none"/>
        </w:rPr>
        <w:t>投标人不派代表</w:t>
      </w:r>
      <w:r>
        <w:rPr>
          <w:rFonts w:hint="eastAsia"/>
          <w:color w:val="auto"/>
          <w:sz w:val="24"/>
          <w:highlight w:val="none"/>
          <w:lang w:eastAsia="zh-CN"/>
        </w:rPr>
        <w:t>参加</w:t>
      </w:r>
      <w:r>
        <w:rPr>
          <w:rFonts w:hint="eastAsia"/>
          <w:color w:val="auto"/>
          <w:sz w:val="24"/>
          <w:highlight w:val="none"/>
        </w:rPr>
        <w:t>开标会，则视其为放弃参与开标的权利，认可开标结果。截标后，开标开始时间因故推迟的，相关评标信息仍以原定的开标开始时间的信息为准。</w:t>
      </w:r>
    </w:p>
    <w:p w14:paraId="2DDA80CB">
      <w:pPr>
        <w:spacing w:line="360" w:lineRule="auto"/>
        <w:ind w:firstLine="480" w:firstLineChars="200"/>
        <w:jc w:val="left"/>
        <w:rPr>
          <w:rFonts w:ascii="宋体" w:hAnsi="宋体" w:cs="仿宋_GB2312"/>
          <w:color w:val="auto"/>
          <w:sz w:val="24"/>
          <w:szCs w:val="24"/>
          <w:highlight w:val="none"/>
        </w:rPr>
      </w:pPr>
      <w:r>
        <w:rPr>
          <w:rFonts w:hint="eastAsia"/>
          <w:color w:val="auto"/>
          <w:sz w:val="24"/>
          <w:highlight w:val="none"/>
        </w:rPr>
        <w:t>5.1.2招标人在招标文件要求提交投标文件的截止时间前收到的投标文件，开标时都当众予以解密、公布</w:t>
      </w:r>
      <w:r>
        <w:rPr>
          <w:rFonts w:hint="eastAsia" w:ascii="宋体" w:hAnsi="宋体" w:cs="仿宋_GB2312"/>
          <w:color w:val="auto"/>
          <w:sz w:val="24"/>
          <w:szCs w:val="24"/>
          <w:highlight w:val="none"/>
        </w:rPr>
        <w:t>。</w:t>
      </w:r>
    </w:p>
    <w:p w14:paraId="0E1E2C0A">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5.2 开标程序</w:t>
      </w:r>
    </w:p>
    <w:p w14:paraId="3E7F6086">
      <w:pPr>
        <w:tabs>
          <w:tab w:val="left" w:pos="105"/>
        </w:tabs>
        <w:spacing w:line="360" w:lineRule="auto"/>
        <w:ind w:firstLine="480" w:firstLineChars="200"/>
        <w:rPr>
          <w:rFonts w:hint="default"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5.2.1在投标截止时间后半小时内，投标人通过广州交易集团有限公司（广州公共资源交易中心）网站交易平台对已递交的电子投标文件进行解密。投标人完成解密后，再由招标人进行解密。解密完成后，公布招标项目名称、投标人名称及其他内容。</w:t>
      </w:r>
    </w:p>
    <w:p w14:paraId="50EC016A">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w:t>
      </w:r>
      <w:r>
        <w:rPr>
          <w:rFonts w:hint="eastAsia" w:ascii="宋体" w:hAnsi="宋体" w:cs="仿宋_GB2312"/>
          <w:color w:val="auto"/>
          <w:sz w:val="24"/>
          <w:szCs w:val="24"/>
          <w:highlight w:val="none"/>
          <w:lang w:val="en-US" w:eastAsia="zh-CN"/>
        </w:rPr>
        <w:t>2</w:t>
      </w:r>
      <w:r>
        <w:rPr>
          <w:rFonts w:hint="eastAsia" w:ascii="宋体" w:hAnsi="宋体" w:cs="仿宋_GB2312"/>
          <w:color w:val="auto"/>
          <w:sz w:val="24"/>
          <w:szCs w:val="24"/>
          <w:highlight w:val="none"/>
        </w:rPr>
        <w:t>公开摇取评标基准价下浮率（下浮率取值范围在2%~5%，按0.5%设定级差）（</w:t>
      </w:r>
      <w:r>
        <w:rPr>
          <w:rFonts w:hint="eastAsia" w:ascii="宋体" w:hAnsi="宋体"/>
          <w:color w:val="auto"/>
          <w:sz w:val="24"/>
          <w:szCs w:val="24"/>
          <w:highlight w:val="none"/>
        </w:rPr>
        <w:t>经评审的最低投标价法</w:t>
      </w:r>
      <w:r>
        <w:rPr>
          <w:rFonts w:hint="eastAsia" w:ascii="宋体" w:hAnsi="宋体" w:cs="仿宋_GB2312"/>
          <w:color w:val="auto"/>
          <w:sz w:val="24"/>
          <w:szCs w:val="24"/>
          <w:highlight w:val="none"/>
        </w:rPr>
        <w:t>不需要摇评标基准价下浮率）。</w:t>
      </w:r>
    </w:p>
    <w:p w14:paraId="28A36E14">
      <w:pPr>
        <w:tabs>
          <w:tab w:val="left" w:pos="105"/>
        </w:tabs>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5.2.</w:t>
      </w:r>
      <w:r>
        <w:rPr>
          <w:rFonts w:hint="eastAsia" w:ascii="宋体" w:hAnsi="宋体" w:cs="仿宋_GB2312"/>
          <w:color w:val="auto"/>
          <w:sz w:val="24"/>
          <w:szCs w:val="24"/>
          <w:highlight w:val="none"/>
          <w:lang w:val="en-US" w:eastAsia="zh-CN"/>
        </w:rPr>
        <w:t>3</w:t>
      </w:r>
      <w:r>
        <w:rPr>
          <w:rFonts w:hint="eastAsia" w:ascii="宋体" w:hAnsi="宋体" w:cs="仿宋_GB2312"/>
          <w:color w:val="auto"/>
          <w:sz w:val="24"/>
          <w:szCs w:val="24"/>
          <w:highlight w:val="none"/>
        </w:rPr>
        <w:t>按开标记录表规定的内容进行唱标。</w:t>
      </w:r>
    </w:p>
    <w:p w14:paraId="4FE61977">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w:t>
      </w:r>
      <w:r>
        <w:rPr>
          <w:rFonts w:hint="eastAsia" w:ascii="宋体" w:hAnsi="宋体" w:cs="仿宋_GB2312"/>
          <w:color w:val="auto"/>
          <w:sz w:val="24"/>
          <w:szCs w:val="24"/>
          <w:highlight w:val="none"/>
          <w:lang w:val="en-US" w:eastAsia="zh-CN"/>
        </w:rPr>
        <w:t>4</w:t>
      </w:r>
      <w:r>
        <w:rPr>
          <w:rFonts w:hint="eastAsia" w:ascii="宋体" w:hAnsi="宋体" w:cs="仿宋_GB2312"/>
          <w:color w:val="auto"/>
          <w:sz w:val="24"/>
          <w:szCs w:val="24"/>
          <w:highlight w:val="none"/>
        </w:rPr>
        <w:t>投标人代表、招标人代表、监标人、记录人等有关人员在开标记录上签字确认；若有关人员不签字的，不影响开标程序。</w:t>
      </w:r>
    </w:p>
    <w:p w14:paraId="6BA90CF5">
      <w:pPr>
        <w:tabs>
          <w:tab w:val="left" w:pos="105"/>
        </w:tabs>
        <w:spacing w:line="360" w:lineRule="auto"/>
        <w:ind w:firstLine="480" w:firstLineChars="200"/>
        <w:rPr>
          <w:rFonts w:hint="eastAsia" w:ascii="宋体" w:hAnsi="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5.2.5开标结束。</w:t>
      </w:r>
    </w:p>
    <w:p w14:paraId="456A4A62">
      <w:pPr>
        <w:tabs>
          <w:tab w:val="left" w:pos="105"/>
        </w:tabs>
        <w:spacing w:line="360" w:lineRule="auto"/>
        <w:ind w:firstLine="480" w:firstLineChars="200"/>
        <w:rPr>
          <w:rFonts w:hint="eastAsia" w:ascii="宋体" w:hAnsi="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5.2.6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9894357">
      <w:pPr>
        <w:tabs>
          <w:tab w:val="left" w:pos="105"/>
        </w:tabs>
        <w:spacing w:line="360" w:lineRule="auto"/>
        <w:ind w:firstLine="480" w:firstLineChars="200"/>
        <w:rPr>
          <w:rFonts w:hint="default" w:ascii="宋体" w:hAnsi="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5.2.7开标时，两个（含两个）以上的投标人加密打包投标文件电脑机器特征码一致的，不参与下一程序，并由评标委员会否决其投标。</w:t>
      </w:r>
    </w:p>
    <w:p w14:paraId="33D8C989">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5.3 开标异议</w:t>
      </w:r>
    </w:p>
    <w:p w14:paraId="5F0EEA51">
      <w:pPr>
        <w:pStyle w:val="15"/>
        <w:shd w:val="clear" w:color="auto" w:fill="FFFFFF"/>
        <w:spacing w:before="0" w:beforeAutospacing="0" w:after="0" w:afterAutospacing="0" w:line="360" w:lineRule="auto"/>
        <w:ind w:firstLine="480" w:firstLineChars="200"/>
        <w:rPr>
          <w:rFonts w:hint="eastAsia" w:ascii="宋体" w:hAnsi="宋体"/>
          <w:color w:val="auto"/>
          <w:highlight w:val="none"/>
        </w:rPr>
      </w:pPr>
      <w:r>
        <w:rPr>
          <w:rFonts w:hint="eastAsia" w:ascii="宋体" w:hAnsi="宋体"/>
          <w:color w:val="auto"/>
          <w:highlight w:val="none"/>
        </w:rPr>
        <w:t>5.3.1</w:t>
      </w:r>
      <w:r>
        <w:rPr>
          <w:rFonts w:hint="eastAsia"/>
          <w:color w:val="auto"/>
          <w:sz w:val="24"/>
          <w:highlight w:val="none"/>
          <w:lang w:eastAsia="zh-CN"/>
        </w:rPr>
        <w:t>若投标人代表对开标过程有异议的，参加现场开标的，</w:t>
      </w:r>
      <w:r>
        <w:rPr>
          <w:rFonts w:hint="eastAsia"/>
          <w:color w:val="auto"/>
          <w:sz w:val="24"/>
          <w:highlight w:val="none"/>
        </w:rPr>
        <w:t>应当在开标现场提出，</w:t>
      </w:r>
      <w:r>
        <w:rPr>
          <w:rFonts w:hint="eastAsia"/>
          <w:color w:val="auto"/>
          <w:sz w:val="24"/>
          <w:highlight w:val="none"/>
          <w:lang w:eastAsia="zh-CN"/>
        </w:rPr>
        <w:t>同时出示本人身份证原件，</w:t>
      </w:r>
      <w:r>
        <w:rPr>
          <w:rFonts w:hint="eastAsia"/>
          <w:color w:val="auto"/>
          <w:sz w:val="24"/>
          <w:highlight w:val="none"/>
        </w:rPr>
        <w:t>招标人</w:t>
      </w:r>
      <w:r>
        <w:rPr>
          <w:rFonts w:hint="eastAsia"/>
          <w:color w:val="auto"/>
          <w:sz w:val="24"/>
          <w:highlight w:val="none"/>
          <w:lang w:eastAsia="zh-CN"/>
        </w:rPr>
        <w:t>应当</w:t>
      </w:r>
      <w:r>
        <w:rPr>
          <w:rFonts w:hint="eastAsia"/>
          <w:color w:val="auto"/>
          <w:sz w:val="24"/>
          <w:highlight w:val="none"/>
        </w:rPr>
        <w:t>当场作出答复，并制作记录</w:t>
      </w:r>
      <w:r>
        <w:rPr>
          <w:rFonts w:hint="eastAsia"/>
          <w:color w:val="auto"/>
          <w:sz w:val="24"/>
          <w:highlight w:val="none"/>
          <w:lang w:eastAsia="zh-CN"/>
        </w:rPr>
        <w:t>；参加在线开标的，投标人应通过交易平台在线提出，招标人应通过交易平台答复，答复后方可结束开标</w:t>
      </w:r>
      <w:r>
        <w:rPr>
          <w:rFonts w:hint="eastAsia" w:ascii="宋体" w:hAnsi="宋体"/>
          <w:color w:val="auto"/>
          <w:highlight w:val="none"/>
        </w:rPr>
        <w:t>。</w:t>
      </w:r>
    </w:p>
    <w:p w14:paraId="16663BEF">
      <w:pPr>
        <w:widowControl/>
        <w:shd w:val="clear" w:color="auto" w:fill="auto"/>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5.3.2对开标的异议，招标人应当当场作出答复并予以书面记录，异议成立的，招标人应当及时采取纠正措施，或者提交评标委员会评审确认；异议不成立的，招标人应当当场给予解释说明。</w:t>
      </w:r>
      <w:r>
        <w:rPr>
          <w:rFonts w:hint="eastAsia"/>
          <w:color w:val="auto"/>
          <w:sz w:val="24"/>
          <w:highlight w:val="none"/>
          <w:lang w:eastAsia="zh-CN"/>
        </w:rPr>
        <w:t>投标人未参加开标或在规定的时间内未提出异议的，视为对开标无异议。</w:t>
      </w:r>
    </w:p>
    <w:p w14:paraId="2BE1771D">
      <w:pPr>
        <w:widowControl/>
        <w:shd w:val="clear" w:color="auto" w:fill="FFFFFF"/>
        <w:spacing w:line="360" w:lineRule="auto"/>
        <w:ind w:firstLine="640"/>
        <w:jc w:val="left"/>
        <w:rPr>
          <w:rFonts w:ascii="宋体" w:hAnsi="宋体"/>
          <w:color w:val="auto"/>
          <w:sz w:val="24"/>
          <w:szCs w:val="24"/>
          <w:highlight w:val="none"/>
        </w:rPr>
      </w:pPr>
      <w:r>
        <w:rPr>
          <w:rFonts w:hint="eastAsia" w:ascii="宋体" w:hAnsi="宋体" w:cs="宋体"/>
          <w:color w:val="auto"/>
          <w:kern w:val="0"/>
          <w:sz w:val="24"/>
          <w:szCs w:val="24"/>
          <w:highlight w:val="none"/>
        </w:rPr>
        <w:t>5.3.3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color w:val="auto"/>
          <w:kern w:val="0"/>
          <w:sz w:val="32"/>
          <w:szCs w:val="32"/>
          <w:highlight w:val="none"/>
        </w:rPr>
        <w:t>。</w:t>
      </w:r>
    </w:p>
    <w:p w14:paraId="2BB64470">
      <w:pPr>
        <w:jc w:val="center"/>
        <w:outlineLvl w:val="3"/>
        <w:rPr>
          <w:rFonts w:ascii="宋体" w:hAnsi="宋体"/>
          <w:b/>
          <w:color w:val="auto"/>
          <w:sz w:val="30"/>
          <w:szCs w:val="30"/>
          <w:highlight w:val="none"/>
        </w:rPr>
      </w:pPr>
      <w:r>
        <w:rPr>
          <w:rFonts w:hint="eastAsia" w:ascii="宋体" w:hAnsi="宋体"/>
          <w:b/>
          <w:color w:val="auto"/>
          <w:sz w:val="30"/>
          <w:szCs w:val="30"/>
          <w:highlight w:val="none"/>
        </w:rPr>
        <w:t>（六）评标</w:t>
      </w:r>
    </w:p>
    <w:p w14:paraId="3E6AAC93">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6.1 评标委员会</w:t>
      </w:r>
    </w:p>
    <w:p w14:paraId="6261904F">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6.1.1 评标由招标人依法组建的评标委员会负责。评标委员会由有关技术、经济等方面的专家和招标人代表组成，专家</w:t>
      </w:r>
      <w:r>
        <w:rPr>
          <w:rFonts w:hint="eastAsia" w:ascii="宋体" w:hAnsi="宋体"/>
          <w:color w:val="auto"/>
          <w:sz w:val="24"/>
          <w:highlight w:val="none"/>
          <w:lang w:eastAsia="zh-CN"/>
        </w:rPr>
        <w:t>从广东省综合评标评审</w:t>
      </w:r>
      <w:r>
        <w:rPr>
          <w:rFonts w:hint="eastAsia" w:ascii="宋体" w:hAnsi="宋体"/>
          <w:color w:val="auto"/>
          <w:sz w:val="24"/>
          <w:highlight w:val="none"/>
        </w:rPr>
        <w:t>专家库中抽取。评标委员会成员人数以及技术、经济等方面专家的确定方式见投标人须知前附表。</w:t>
      </w:r>
    </w:p>
    <w:p w14:paraId="3590DAD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6.1.2 评标委员会成员有下列情形之一的，应当回避：</w:t>
      </w:r>
    </w:p>
    <w:p w14:paraId="1D144A9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（1）招标人或投标人的主要负责人的近亲属；</w:t>
      </w:r>
    </w:p>
    <w:p w14:paraId="3BAEE5E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（2）项目主管部门或者行政监督部门的人员；</w:t>
      </w:r>
    </w:p>
    <w:p w14:paraId="5E581D22">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招标人</w:t>
      </w:r>
      <w:r>
        <w:rPr>
          <w:rFonts w:hint="eastAsia" w:ascii="宋体" w:hAnsi="宋体"/>
          <w:color w:val="auto"/>
          <w:sz w:val="24"/>
          <w:highlight w:val="none"/>
          <w:lang w:val="en-US" w:eastAsia="zh-CN"/>
        </w:rPr>
        <w:t>或</w:t>
      </w:r>
      <w:r>
        <w:rPr>
          <w:rFonts w:hint="eastAsia" w:ascii="宋体" w:hAnsi="宋体"/>
          <w:color w:val="auto"/>
          <w:sz w:val="24"/>
          <w:highlight w:val="none"/>
        </w:rPr>
        <w:t>投标人的工作人员、退休或离职未满3年的人员；</w:t>
      </w:r>
    </w:p>
    <w:p w14:paraId="636BCD6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）与投标人有经济利益关系，可能影响对投标公正评审的；</w:t>
      </w:r>
    </w:p>
    <w:p w14:paraId="01BC868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）曾因在招标、评标以及其他与招标投标有关活动中从事违法行为而受过行政处罚或刑事处罚的。</w:t>
      </w:r>
    </w:p>
    <w:p w14:paraId="4F63320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）与投标人有其他利害关系。</w:t>
      </w:r>
    </w:p>
    <w:p w14:paraId="12FC7FCD">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6.2 评标原则</w:t>
      </w:r>
      <w:r>
        <w:rPr>
          <w:rFonts w:hint="eastAsia" w:ascii="宋体" w:hAnsi="宋体"/>
          <w:b/>
          <w:color w:val="auto"/>
          <w:sz w:val="24"/>
          <w:highlight w:val="none"/>
        </w:rPr>
        <w:tab/>
      </w:r>
    </w:p>
    <w:p w14:paraId="4A0C419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评标活动遵循公平、公正、科学和择优的原则。</w:t>
      </w:r>
    </w:p>
    <w:p w14:paraId="78B11417">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6.3 评标</w:t>
      </w:r>
    </w:p>
    <w:p w14:paraId="6AB73D1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评标委员会按照第三章“评标办法”规定的方法、评审因素、标准和程序对投标文件进行评审。第三章“评标办法”没有规定的方法、评审因素和标准，不作为评标依据。</w:t>
      </w:r>
    </w:p>
    <w:p w14:paraId="2602BA7A">
      <w:pPr>
        <w:jc w:val="center"/>
        <w:outlineLvl w:val="3"/>
        <w:rPr>
          <w:rFonts w:ascii="宋体" w:hAnsi="宋体"/>
          <w:b/>
          <w:color w:val="auto"/>
          <w:sz w:val="30"/>
          <w:szCs w:val="30"/>
          <w:highlight w:val="none"/>
        </w:rPr>
      </w:pPr>
      <w:r>
        <w:rPr>
          <w:rFonts w:hint="eastAsia" w:ascii="宋体" w:hAnsi="宋体"/>
          <w:b/>
          <w:color w:val="auto"/>
          <w:sz w:val="30"/>
          <w:szCs w:val="30"/>
          <w:highlight w:val="none"/>
        </w:rPr>
        <w:t>（七）合同授予</w:t>
      </w:r>
    </w:p>
    <w:p w14:paraId="35C01DC4">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7.1 定标方式</w:t>
      </w:r>
    </w:p>
    <w:p w14:paraId="78A63977">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招标人根据评标委员会推荐的中标候选人确定中标人，评标委员会推荐中标候选人的人数为3个。</w:t>
      </w:r>
    </w:p>
    <w:p w14:paraId="6B89EADD">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7.2 中标候选人公示</w:t>
      </w:r>
    </w:p>
    <w:p w14:paraId="3D6A3E6C">
      <w:pPr>
        <w:spacing w:line="360" w:lineRule="auto"/>
        <w:ind w:firstLine="480" w:firstLineChars="200"/>
        <w:jc w:val="left"/>
        <w:rPr>
          <w:color w:val="auto"/>
          <w:sz w:val="24"/>
          <w:highlight w:val="none"/>
        </w:rPr>
      </w:pPr>
      <w:r>
        <w:rPr>
          <w:rFonts w:hint="eastAsia"/>
          <w:color w:val="auto"/>
          <w:sz w:val="24"/>
          <w:highlight w:val="none"/>
        </w:rPr>
        <w:t>7.2.1招标人在《投标人须知前附表》规定的媒介公示中标候选人，公示期为三天，最后一天应为工作日。</w:t>
      </w:r>
    </w:p>
    <w:p w14:paraId="7E1E9BF3">
      <w:pPr>
        <w:snapToGrid w:val="0"/>
        <w:spacing w:line="360" w:lineRule="auto"/>
        <w:ind w:firstLine="480" w:firstLineChars="200"/>
        <w:rPr>
          <w:rFonts w:hint="eastAsia"/>
          <w:color w:val="auto"/>
          <w:sz w:val="24"/>
          <w:highlight w:val="none"/>
        </w:rPr>
      </w:pPr>
      <w:r>
        <w:rPr>
          <w:rFonts w:hint="eastAsia"/>
          <w:color w:val="auto"/>
          <w:sz w:val="24"/>
          <w:highlight w:val="none"/>
        </w:rPr>
        <w:t>7.2.2中标候选人公示时，招标人将同时公示中标候选人的投标文件商务部分文件的所有内容（包括人员、业绩、奖项等资料）。</w:t>
      </w:r>
    </w:p>
    <w:p w14:paraId="022EA124">
      <w:pPr>
        <w:snapToGrid w:val="0"/>
        <w:spacing w:line="360" w:lineRule="auto"/>
        <w:ind w:firstLine="480" w:firstLineChars="200"/>
        <w:rPr>
          <w:color w:val="auto"/>
          <w:sz w:val="24"/>
          <w:highlight w:val="none"/>
        </w:rPr>
      </w:pPr>
      <w:r>
        <w:rPr>
          <w:rFonts w:hint="eastAsia"/>
          <w:color w:val="auto"/>
          <w:sz w:val="24"/>
          <w:highlight w:val="none"/>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542234C">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7.3 中标通知</w:t>
      </w:r>
    </w:p>
    <w:p w14:paraId="65A1E213">
      <w:pPr>
        <w:snapToGrid w:val="0"/>
        <w:spacing w:line="360" w:lineRule="auto"/>
        <w:ind w:firstLine="480" w:firstLineChars="200"/>
        <w:rPr>
          <w:rFonts w:hint="eastAsia"/>
          <w:color w:val="auto"/>
          <w:sz w:val="24"/>
          <w:highlight w:val="none"/>
          <w:u w:val="none"/>
        </w:rPr>
      </w:pPr>
      <w:r>
        <w:rPr>
          <w:rFonts w:hint="eastAsia" w:ascii="宋体" w:hAnsi="宋体"/>
          <w:color w:val="auto"/>
          <w:sz w:val="24"/>
          <w:highlight w:val="none"/>
          <w:lang w:val="en-US" w:eastAsia="zh-CN"/>
        </w:rPr>
        <w:t>7.3.1</w:t>
      </w:r>
      <w:r>
        <w:rPr>
          <w:rFonts w:hint="eastAsia" w:ascii="宋体" w:hAnsi="宋体"/>
          <w:color w:val="auto"/>
          <w:sz w:val="24"/>
          <w:highlight w:val="none"/>
        </w:rPr>
        <w:t>在法规规定的时间内，招标人以书面形式向中标人发出中标通知书。</w:t>
      </w:r>
      <w:r>
        <w:rPr>
          <w:rFonts w:hint="eastAsia"/>
          <w:color w:val="auto"/>
          <w:sz w:val="24"/>
          <w:highlight w:val="none"/>
        </w:rPr>
        <w:t>在</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u w:val="none"/>
        </w:rPr>
        <w:t>网</w:t>
      </w:r>
      <w:r>
        <w:rPr>
          <w:rFonts w:hint="eastAsia" w:ascii="宋体" w:hAnsi="宋体" w:eastAsia="宋体" w:cs="宋体"/>
          <w:bCs w:val="0"/>
          <w:color w:val="auto"/>
          <w:sz w:val="24"/>
          <w:szCs w:val="24"/>
          <w:highlight w:val="none"/>
          <w:u w:val="none"/>
          <w:lang w:val="en-US" w:eastAsia="zh-CN"/>
        </w:rPr>
        <w:t>和</w:t>
      </w:r>
      <w:r>
        <w:rPr>
          <w:rFonts w:hint="eastAsia" w:ascii="宋体" w:hAnsi="宋体" w:eastAsia="宋体" w:cs="宋体"/>
          <w:bCs w:val="0"/>
          <w:color w:val="auto"/>
          <w:sz w:val="24"/>
          <w:szCs w:val="24"/>
          <w:highlight w:val="none"/>
          <w:u w:val="none"/>
        </w:rPr>
        <w:t>广东省招标投标监管网</w:t>
      </w:r>
      <w:r>
        <w:rPr>
          <w:rFonts w:hint="eastAsia"/>
          <w:color w:val="auto"/>
          <w:sz w:val="24"/>
          <w:highlight w:val="none"/>
          <w:u w:val="none"/>
        </w:rPr>
        <w:t>发布中标信息，视同将中标结果通知未中标的投标人。</w:t>
      </w:r>
    </w:p>
    <w:p w14:paraId="5AB2ED6E">
      <w:pPr>
        <w:spacing w:line="360" w:lineRule="auto"/>
        <w:ind w:firstLine="480" w:firstLineChars="200"/>
        <w:jc w:val="left"/>
        <w:rPr>
          <w:rFonts w:hint="default" w:eastAsia="宋体"/>
          <w:color w:val="auto"/>
          <w:sz w:val="24"/>
          <w:szCs w:val="24"/>
          <w:highlight w:val="none"/>
          <w:u w:val="none"/>
          <w:lang w:val="en-US" w:eastAsia="zh-CN"/>
        </w:rPr>
      </w:pPr>
      <w:r>
        <w:rPr>
          <w:rFonts w:hint="eastAsia"/>
          <w:color w:val="auto"/>
          <w:sz w:val="24"/>
          <w:szCs w:val="24"/>
          <w:highlight w:val="none"/>
          <w:u w:val="none"/>
          <w:lang w:val="en-US" w:eastAsia="zh-CN"/>
        </w:rPr>
        <w:t>7.3.2</w:t>
      </w:r>
      <w:r>
        <w:rPr>
          <w:rFonts w:hint="eastAsia" w:ascii="宋体" w:hAnsi="宋体" w:eastAsia="宋体" w:cs="宋体"/>
          <w:color w:val="auto"/>
          <w:sz w:val="24"/>
          <w:szCs w:val="24"/>
          <w:highlight w:val="none"/>
          <w:u w:val="none"/>
        </w:rPr>
        <w:t>中标通知书发出前，中标人应未被纳入失信联合惩戒名单，否则招标人将取消其中标资格。失信联合惩戒名单以“信用广州”网站公布的“黑名单”为准。</w:t>
      </w:r>
    </w:p>
    <w:p w14:paraId="062893D6">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7.4 履约担保</w:t>
      </w:r>
    </w:p>
    <w:p w14:paraId="31CE8B1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14:paraId="68FFAB51">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7.4.2 中标人不能按本章第7.4.1项要求提交履约担保的，视为放弃中标，其投标保证金不予退还，给招标人造成的损失超过投标保证金数额的，中标人还应当对超过部分予以赔偿。</w:t>
      </w:r>
    </w:p>
    <w:p w14:paraId="5CE51E1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7.5 签订合同</w:t>
      </w:r>
    </w:p>
    <w:p w14:paraId="592D85F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7.5.1招标人和中标人应当自中标通知书发出之日起30天内，根据招标文件和中标人的投标文件订立书面合同</w:t>
      </w:r>
      <w:r>
        <w:rPr>
          <w:rFonts w:hint="eastAsia"/>
          <w:color w:val="auto"/>
          <w:sz w:val="24"/>
          <w:highlight w:val="none"/>
          <w:lang w:eastAsia="zh-CN"/>
        </w:rPr>
        <w:t>，并通过电子交易系统与中标人在线签订合同</w:t>
      </w:r>
      <w:r>
        <w:rPr>
          <w:rFonts w:hint="eastAsia" w:ascii="宋体" w:hAnsi="宋体"/>
          <w:color w:val="auto"/>
          <w:sz w:val="24"/>
          <w:highlight w:val="none"/>
        </w:rPr>
        <w:t xml:space="preserve">。中标人无正当理由拒签合同的，招标人取消其中标资格，其投标保证金不予退还；给招标人造成的损失超过投标保证金数额的，中标人还应当对超过部分予以赔偿。 </w:t>
      </w:r>
    </w:p>
    <w:p w14:paraId="082FC0C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7.5.2 发出中标通知书后，招标人无正当理由拒签合同的，招标人向中标人退还投标保证金；给中标人造成损失的，还应当赔偿损失。</w:t>
      </w:r>
    </w:p>
    <w:p w14:paraId="60BAF1BE">
      <w:pPr>
        <w:jc w:val="center"/>
        <w:outlineLvl w:val="3"/>
        <w:rPr>
          <w:rFonts w:ascii="宋体" w:hAnsi="宋体"/>
          <w:b/>
          <w:color w:val="auto"/>
          <w:sz w:val="30"/>
          <w:szCs w:val="30"/>
          <w:highlight w:val="none"/>
        </w:rPr>
      </w:pPr>
      <w:r>
        <w:rPr>
          <w:rFonts w:hint="eastAsia" w:ascii="宋体" w:hAnsi="宋体"/>
          <w:b/>
          <w:color w:val="auto"/>
          <w:sz w:val="30"/>
          <w:szCs w:val="30"/>
          <w:highlight w:val="none"/>
        </w:rPr>
        <w:t>（八）重新招标</w:t>
      </w:r>
    </w:p>
    <w:p w14:paraId="52D21647">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8.1 重新招标</w:t>
      </w:r>
    </w:p>
    <w:p w14:paraId="2F04116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有下列情形之一的，招标人将重新招标；</w:t>
      </w:r>
    </w:p>
    <w:p w14:paraId="265453FF">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（1）投标截止时间止，投标人少于3个的；</w:t>
      </w:r>
    </w:p>
    <w:p w14:paraId="7D9E3BF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（2）经评标委员会评审后否决所有投标的；</w:t>
      </w:r>
    </w:p>
    <w:p w14:paraId="60F93D35">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（3）资审合格的投标人少于3家或经评审有效标少于3家的；</w:t>
      </w:r>
    </w:p>
    <w:p w14:paraId="43BFDB8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（4）同意延长投标有效期的投标人少于3个的；</w:t>
      </w:r>
    </w:p>
    <w:p w14:paraId="20928487">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（5）中标候选人均未与招标人签订合同的。</w:t>
      </w:r>
    </w:p>
    <w:p w14:paraId="313C7440">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（6）</w:t>
      </w:r>
      <w:r>
        <w:rPr>
          <w:rFonts w:hint="eastAsia"/>
          <w:color w:val="auto"/>
          <w:sz w:val="24"/>
          <w:highlight w:val="none"/>
        </w:rPr>
        <w:t>当N个标段同时招标且不允许兼中时，若有效投标人不足N+2家，则重新组织招标</w:t>
      </w:r>
      <w:r>
        <w:rPr>
          <w:rFonts w:hint="eastAsia"/>
          <w:color w:val="auto"/>
          <w:sz w:val="24"/>
          <w:highlight w:val="none"/>
          <w:lang w:eastAsia="zh-CN"/>
        </w:rPr>
        <w:t>。</w:t>
      </w:r>
    </w:p>
    <w:p w14:paraId="53AC56BE">
      <w:pPr>
        <w:jc w:val="center"/>
        <w:outlineLvl w:val="3"/>
        <w:rPr>
          <w:rFonts w:ascii="宋体" w:hAnsi="宋体"/>
          <w:b/>
          <w:color w:val="auto"/>
          <w:sz w:val="30"/>
          <w:szCs w:val="30"/>
          <w:highlight w:val="none"/>
        </w:rPr>
      </w:pPr>
      <w:r>
        <w:rPr>
          <w:rFonts w:hint="eastAsia" w:ascii="宋体" w:hAnsi="宋体"/>
          <w:b/>
          <w:color w:val="auto"/>
          <w:sz w:val="30"/>
          <w:szCs w:val="30"/>
          <w:highlight w:val="none"/>
        </w:rPr>
        <w:t>（九）纪律和监督</w:t>
      </w:r>
    </w:p>
    <w:p w14:paraId="2287B307">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9.1对招标人的纪律要求</w:t>
      </w:r>
    </w:p>
    <w:p w14:paraId="2337854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招标人不得泄漏招标投标活动中应当保密的情况和资料，不得与投标人串通损害国家利益、社会公共利益或者他人合法权益。</w:t>
      </w:r>
    </w:p>
    <w:p w14:paraId="54FF071C">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9.2 对投标人的纪律要求</w:t>
      </w:r>
    </w:p>
    <w:p w14:paraId="3B71A258">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C42BF3C">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9.3 对评标委员会成员的纪律要求</w:t>
      </w:r>
    </w:p>
    <w:p w14:paraId="783CAB1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6BC15FE">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9.4 对与评标活动有关的工作人员的纪律要求</w:t>
      </w:r>
    </w:p>
    <w:p w14:paraId="7D7194B5">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85EE000">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9.5 投诉</w:t>
      </w:r>
    </w:p>
    <w:p w14:paraId="3005F45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14:paraId="438447B2">
      <w:pPr>
        <w:jc w:val="center"/>
        <w:outlineLvl w:val="3"/>
        <w:rPr>
          <w:rFonts w:ascii="宋体" w:hAnsi="宋体"/>
          <w:b/>
          <w:color w:val="auto"/>
          <w:sz w:val="30"/>
          <w:szCs w:val="30"/>
          <w:highlight w:val="none"/>
        </w:rPr>
      </w:pPr>
      <w:r>
        <w:rPr>
          <w:rFonts w:hint="eastAsia" w:ascii="宋体" w:hAnsi="宋体"/>
          <w:b/>
          <w:color w:val="auto"/>
          <w:sz w:val="30"/>
          <w:szCs w:val="30"/>
          <w:highlight w:val="none"/>
        </w:rPr>
        <w:t>（十）需要补充的其他内容</w:t>
      </w:r>
    </w:p>
    <w:p w14:paraId="402C1E8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10.1</w:t>
      </w:r>
      <w:r>
        <w:rPr>
          <w:rFonts w:ascii="宋体" w:hAnsi="宋体"/>
          <w:color w:val="auto"/>
          <w:sz w:val="24"/>
          <w:highlight w:val="none"/>
        </w:rPr>
        <w:t xml:space="preserve"> </w:t>
      </w:r>
      <w:r>
        <w:rPr>
          <w:rFonts w:hint="eastAsia" w:ascii="宋体" w:hAnsi="宋体"/>
          <w:color w:val="auto"/>
          <w:sz w:val="24"/>
          <w:highlight w:val="none"/>
        </w:rPr>
        <w:t>需要补充的其他内容：见投标人须知前附表。</w:t>
      </w:r>
    </w:p>
    <w:p w14:paraId="59C4A6D0">
      <w:pPr>
        <w:widowControl/>
        <w:jc w:val="left"/>
        <w:rPr>
          <w:rFonts w:ascii="宋体" w:hAnsi="宋体"/>
          <w:color w:val="auto"/>
          <w:sz w:val="24"/>
          <w:highlight w:val="none"/>
        </w:rPr>
      </w:pPr>
      <w:r>
        <w:rPr>
          <w:rFonts w:ascii="宋体" w:hAnsi="宋体"/>
          <w:color w:val="auto"/>
          <w:sz w:val="24"/>
          <w:highlight w:val="none"/>
        </w:rPr>
        <w:br w:type="page"/>
      </w:r>
    </w:p>
    <w:p w14:paraId="37F6F493">
      <w:pPr>
        <w:spacing w:line="360" w:lineRule="auto"/>
        <w:jc w:val="left"/>
        <w:outlineLvl w:val="2"/>
        <w:rPr>
          <w:rFonts w:ascii="黑体" w:hAnsi="黑体" w:eastAsia="黑体"/>
          <w:color w:val="auto"/>
          <w:sz w:val="28"/>
          <w:szCs w:val="27"/>
          <w:highlight w:val="none"/>
        </w:rPr>
      </w:pPr>
      <w:bookmarkStart w:id="104" w:name="_Toc17451580"/>
      <w:bookmarkStart w:id="105" w:name="_Toc152045581"/>
      <w:bookmarkStart w:id="106" w:name="_Toc247085739"/>
      <w:bookmarkStart w:id="107" w:name="_Toc17451625"/>
      <w:bookmarkStart w:id="108" w:name="_Toc17454924"/>
      <w:bookmarkStart w:id="109" w:name="_Toc144974548"/>
      <w:bookmarkStart w:id="110" w:name="_Toc179632599"/>
      <w:bookmarkStart w:id="111" w:name="_Toc152042358"/>
      <w:bookmarkStart w:id="112" w:name="_Toc12482"/>
      <w:bookmarkStart w:id="113" w:name="_Toc17454873"/>
      <w:bookmarkStart w:id="114" w:name="_Toc17452666"/>
      <w:bookmarkStart w:id="115" w:name="_Toc17451103"/>
      <w:bookmarkStart w:id="116" w:name="_Toc332641306"/>
      <w:bookmarkStart w:id="117" w:name="_Toc17556878"/>
      <w:bookmarkStart w:id="118" w:name="_Toc19610"/>
      <w:r>
        <w:rPr>
          <w:rFonts w:hint="eastAsia" w:ascii="黑体" w:hAnsi="黑体" w:eastAsia="黑体"/>
          <w:color w:val="auto"/>
          <w:sz w:val="28"/>
          <w:szCs w:val="27"/>
          <w:highlight w:val="none"/>
        </w:rPr>
        <w:t>附件一：开标记录表</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F2F8920">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（项目名称）开标记录表</w:t>
      </w:r>
    </w:p>
    <w:p w14:paraId="4CCC611B">
      <w:pPr>
        <w:spacing w:line="500" w:lineRule="exact"/>
        <w:rPr>
          <w:rFonts w:ascii="宋体" w:hAnsi="宋体"/>
          <w:color w:val="auto"/>
          <w:highlight w:val="none"/>
        </w:rPr>
      </w:pPr>
      <w:r>
        <w:rPr>
          <w:rFonts w:hint="eastAsia" w:ascii="宋体" w:hAnsi="宋体"/>
          <w:color w:val="auto"/>
          <w:szCs w:val="21"/>
          <w:highlight w:val="none"/>
        </w:rPr>
        <w:t>评标参考价下浮率：                开标时间：</w:t>
      </w:r>
      <w:r>
        <w:rPr>
          <w:rFonts w:hint="eastAsia" w:ascii="宋体" w:hAnsi="宋体"/>
          <w:color w:val="auto"/>
          <w:sz w:val="28"/>
          <w:szCs w:val="28"/>
          <w:highlight w:val="none"/>
          <w:u w:val="single"/>
        </w:rPr>
        <w:t xml:space="preserve">    </w:t>
      </w:r>
      <w:r>
        <w:rPr>
          <w:rFonts w:hint="eastAsia" w:ascii="宋体" w:hAnsi="宋体"/>
          <w:color w:val="auto"/>
          <w:szCs w:val="21"/>
          <w:highlight w:val="none"/>
        </w:rPr>
        <w:t>年</w:t>
      </w:r>
      <w:r>
        <w:rPr>
          <w:rFonts w:hint="eastAsia" w:ascii="宋体" w:hAnsi="宋体"/>
          <w:color w:val="auto"/>
          <w:sz w:val="28"/>
          <w:szCs w:val="28"/>
          <w:highlight w:val="none"/>
          <w:u w:val="single"/>
        </w:rPr>
        <w:t xml:space="preserve">    </w:t>
      </w:r>
      <w:r>
        <w:rPr>
          <w:rFonts w:hint="eastAsia" w:ascii="宋体" w:hAnsi="宋体"/>
          <w:color w:val="auto"/>
          <w:szCs w:val="21"/>
          <w:highlight w:val="none"/>
        </w:rPr>
        <w:t>月</w:t>
      </w:r>
      <w:r>
        <w:rPr>
          <w:rFonts w:hint="eastAsia" w:ascii="宋体" w:hAnsi="宋体"/>
          <w:color w:val="auto"/>
          <w:sz w:val="28"/>
          <w:szCs w:val="28"/>
          <w:highlight w:val="none"/>
          <w:u w:val="single"/>
        </w:rPr>
        <w:t xml:space="preserve">    </w:t>
      </w:r>
      <w:r>
        <w:rPr>
          <w:rFonts w:hint="eastAsia" w:ascii="宋体" w:hAnsi="宋体"/>
          <w:color w:val="auto"/>
          <w:szCs w:val="21"/>
          <w:highlight w:val="none"/>
        </w:rPr>
        <w:t>日</w:t>
      </w:r>
      <w:r>
        <w:rPr>
          <w:rFonts w:hint="eastAsia" w:ascii="宋体" w:hAnsi="宋体"/>
          <w:color w:val="auto"/>
          <w:sz w:val="28"/>
          <w:szCs w:val="28"/>
          <w:highlight w:val="none"/>
          <w:u w:val="single"/>
        </w:rPr>
        <w:t xml:space="preserve">    </w:t>
      </w:r>
      <w:r>
        <w:rPr>
          <w:rFonts w:hint="eastAsia" w:ascii="宋体" w:hAnsi="宋体"/>
          <w:color w:val="auto"/>
          <w:szCs w:val="21"/>
          <w:highlight w:val="none"/>
        </w:rPr>
        <w:t>时</w:t>
      </w:r>
      <w:r>
        <w:rPr>
          <w:rFonts w:hint="eastAsia" w:ascii="宋体" w:hAnsi="宋体"/>
          <w:color w:val="auto"/>
          <w:sz w:val="28"/>
          <w:szCs w:val="28"/>
          <w:highlight w:val="none"/>
          <w:u w:val="single"/>
        </w:rPr>
        <w:t xml:space="preserve">    </w:t>
      </w:r>
      <w:r>
        <w:rPr>
          <w:rFonts w:hint="eastAsia" w:ascii="宋体" w:hAnsi="宋体"/>
          <w:color w:val="auto"/>
          <w:szCs w:val="21"/>
          <w:highlight w:val="none"/>
        </w:rPr>
        <w:t>分</w:t>
      </w:r>
    </w:p>
    <w:tbl>
      <w:tblPr>
        <w:tblStyle w:val="17"/>
        <w:tblW w:w="0" w:type="auto"/>
        <w:tblInd w:w="0" w:type="dxa"/>
        <w:tblLayout w:type="fixed"/>
        <w:tblCellMar>
          <w:top w:w="0" w:type="dxa"/>
          <w:left w:w="108" w:type="dxa"/>
          <w:bottom w:w="0" w:type="dxa"/>
          <w:right w:w="108" w:type="dxa"/>
        </w:tblCellMar>
      </w:tblPr>
      <w:tblGrid>
        <w:gridCol w:w="544"/>
        <w:gridCol w:w="870"/>
        <w:gridCol w:w="700"/>
        <w:gridCol w:w="773"/>
        <w:gridCol w:w="960"/>
        <w:gridCol w:w="492"/>
        <w:gridCol w:w="141"/>
        <w:gridCol w:w="698"/>
        <w:gridCol w:w="450"/>
        <w:gridCol w:w="452"/>
        <w:gridCol w:w="450"/>
        <w:gridCol w:w="450"/>
        <w:gridCol w:w="896"/>
        <w:gridCol w:w="959"/>
      </w:tblGrid>
      <w:tr w14:paraId="24E8AAFA">
        <w:tblPrEx>
          <w:tblCellMar>
            <w:top w:w="0" w:type="dxa"/>
            <w:left w:w="108" w:type="dxa"/>
            <w:bottom w:w="0" w:type="dxa"/>
            <w:right w:w="108" w:type="dxa"/>
          </w:tblCellMar>
        </w:tblPrEx>
        <w:trPr>
          <w:trHeight w:val="1273" w:hRule="atLeast"/>
        </w:trPr>
        <w:tc>
          <w:tcPr>
            <w:tcW w:w="544" w:type="dxa"/>
            <w:vMerge w:val="restart"/>
            <w:tcBorders>
              <w:top w:val="single" w:color="auto" w:sz="4" w:space="0"/>
              <w:left w:val="single" w:color="auto" w:sz="4" w:space="0"/>
              <w:right w:val="single" w:color="auto" w:sz="4" w:space="0"/>
            </w:tcBorders>
            <w:noWrap w:val="0"/>
            <w:vAlign w:val="center"/>
          </w:tcPr>
          <w:p w14:paraId="50A828D0">
            <w:pPr>
              <w:spacing w:line="500" w:lineRule="exact"/>
              <w:jc w:val="center"/>
              <w:rPr>
                <w:rFonts w:ascii="宋体" w:hAnsi="宋体"/>
                <w:color w:val="auto"/>
                <w:szCs w:val="21"/>
                <w:highlight w:val="none"/>
              </w:rPr>
            </w:pPr>
            <w:r>
              <w:rPr>
                <w:rFonts w:ascii="宋体" w:hAnsi="宋体"/>
                <w:color w:val="auto"/>
                <w:szCs w:val="21"/>
                <w:highlight w:val="none"/>
              </w:rPr>
              <w:t>序号</w:t>
            </w:r>
          </w:p>
        </w:tc>
        <w:tc>
          <w:tcPr>
            <w:tcW w:w="870" w:type="dxa"/>
            <w:vMerge w:val="restart"/>
            <w:tcBorders>
              <w:top w:val="single" w:color="auto" w:sz="4" w:space="0"/>
              <w:left w:val="single" w:color="auto" w:sz="4" w:space="0"/>
              <w:right w:val="single" w:color="auto" w:sz="4" w:space="0"/>
            </w:tcBorders>
            <w:noWrap w:val="0"/>
            <w:vAlign w:val="center"/>
          </w:tcPr>
          <w:p w14:paraId="7EADC092">
            <w:pPr>
              <w:spacing w:line="500" w:lineRule="exact"/>
              <w:jc w:val="center"/>
              <w:rPr>
                <w:rFonts w:ascii="宋体" w:hAnsi="宋体"/>
                <w:color w:val="auto"/>
                <w:szCs w:val="21"/>
                <w:highlight w:val="none"/>
              </w:rPr>
            </w:pPr>
            <w:r>
              <w:rPr>
                <w:rFonts w:ascii="宋体" w:hAnsi="宋体"/>
                <w:color w:val="auto"/>
                <w:szCs w:val="21"/>
                <w:highlight w:val="none"/>
              </w:rPr>
              <w:t>投标人</w:t>
            </w:r>
          </w:p>
        </w:tc>
        <w:tc>
          <w:tcPr>
            <w:tcW w:w="700" w:type="dxa"/>
            <w:vMerge w:val="restart"/>
            <w:tcBorders>
              <w:top w:val="single" w:color="auto" w:sz="4" w:space="0"/>
              <w:left w:val="single" w:color="auto" w:sz="4" w:space="0"/>
              <w:right w:val="single" w:color="auto" w:sz="4" w:space="0"/>
            </w:tcBorders>
            <w:noWrap w:val="0"/>
            <w:vAlign w:val="center"/>
          </w:tcPr>
          <w:p w14:paraId="1C095BE2">
            <w:pPr>
              <w:spacing w:line="500" w:lineRule="exact"/>
              <w:jc w:val="center"/>
              <w:rPr>
                <w:rFonts w:hint="eastAsia" w:ascii="宋体" w:hAnsi="宋体"/>
                <w:color w:val="auto"/>
                <w:szCs w:val="21"/>
                <w:highlight w:val="none"/>
              </w:rPr>
            </w:pPr>
            <w:r>
              <w:rPr>
                <w:rFonts w:hint="eastAsia" w:ascii="宋体" w:hAnsi="宋体"/>
                <w:color w:val="auto"/>
                <w:szCs w:val="21"/>
                <w:highlight w:val="none"/>
              </w:rPr>
              <w:t>解密情况</w:t>
            </w:r>
          </w:p>
        </w:tc>
        <w:tc>
          <w:tcPr>
            <w:tcW w:w="773" w:type="dxa"/>
            <w:vMerge w:val="restart"/>
            <w:tcBorders>
              <w:top w:val="single" w:color="auto" w:sz="4" w:space="0"/>
              <w:left w:val="single" w:color="auto" w:sz="4" w:space="0"/>
              <w:right w:val="single" w:color="auto" w:sz="4" w:space="0"/>
            </w:tcBorders>
            <w:noWrap w:val="0"/>
            <w:vAlign w:val="center"/>
          </w:tcPr>
          <w:p w14:paraId="744F77BA">
            <w:pPr>
              <w:spacing w:line="500" w:lineRule="exact"/>
              <w:jc w:val="center"/>
              <w:rPr>
                <w:rFonts w:ascii="宋体" w:hAnsi="宋体"/>
                <w:color w:val="auto"/>
                <w:szCs w:val="21"/>
                <w:highlight w:val="none"/>
              </w:rPr>
            </w:pPr>
            <w:r>
              <w:rPr>
                <w:rFonts w:ascii="宋体" w:hAnsi="宋体"/>
                <w:color w:val="auto"/>
                <w:szCs w:val="21"/>
                <w:highlight w:val="none"/>
              </w:rPr>
              <w:t>投标保证金</w:t>
            </w:r>
          </w:p>
        </w:tc>
        <w:tc>
          <w:tcPr>
            <w:tcW w:w="960" w:type="dxa"/>
            <w:vMerge w:val="restart"/>
            <w:tcBorders>
              <w:top w:val="single" w:color="auto" w:sz="4" w:space="0"/>
              <w:left w:val="single" w:color="auto" w:sz="4" w:space="0"/>
              <w:right w:val="single" w:color="auto" w:sz="4" w:space="0"/>
            </w:tcBorders>
            <w:noWrap w:val="0"/>
            <w:vAlign w:val="center"/>
          </w:tcPr>
          <w:p w14:paraId="29934B9F">
            <w:pPr>
              <w:spacing w:line="500" w:lineRule="exact"/>
              <w:jc w:val="center"/>
              <w:rPr>
                <w:rFonts w:ascii="宋体" w:hAnsi="宋体"/>
                <w:color w:val="auto"/>
                <w:szCs w:val="21"/>
                <w:highlight w:val="none"/>
              </w:rPr>
            </w:pPr>
            <w:r>
              <w:rPr>
                <w:rFonts w:ascii="宋体" w:hAnsi="宋体"/>
                <w:color w:val="auto"/>
                <w:szCs w:val="21"/>
                <w:highlight w:val="none"/>
              </w:rPr>
              <w:t>投标报价（元）</w:t>
            </w:r>
          </w:p>
        </w:tc>
        <w:tc>
          <w:tcPr>
            <w:tcW w:w="633" w:type="dxa"/>
            <w:gridSpan w:val="2"/>
            <w:vMerge w:val="restart"/>
            <w:tcBorders>
              <w:top w:val="single" w:color="auto" w:sz="4" w:space="0"/>
              <w:left w:val="single" w:color="auto" w:sz="4" w:space="0"/>
              <w:right w:val="single" w:color="auto" w:sz="4" w:space="0"/>
            </w:tcBorders>
            <w:noWrap w:val="0"/>
            <w:vAlign w:val="center"/>
          </w:tcPr>
          <w:p w14:paraId="2422225B">
            <w:pPr>
              <w:spacing w:line="500" w:lineRule="exact"/>
              <w:jc w:val="center"/>
              <w:rPr>
                <w:rFonts w:ascii="宋体" w:hAnsi="宋体"/>
                <w:color w:val="auto"/>
                <w:szCs w:val="21"/>
                <w:highlight w:val="none"/>
              </w:rPr>
            </w:pPr>
            <w:r>
              <w:rPr>
                <w:rFonts w:ascii="宋体" w:hAnsi="宋体"/>
                <w:color w:val="auto"/>
                <w:szCs w:val="21"/>
                <w:highlight w:val="none"/>
              </w:rPr>
              <w:t>质量</w:t>
            </w:r>
            <w:r>
              <w:rPr>
                <w:rFonts w:hint="eastAsia" w:ascii="宋体" w:hAnsi="宋体"/>
                <w:color w:val="auto"/>
                <w:szCs w:val="21"/>
                <w:highlight w:val="none"/>
              </w:rPr>
              <w:t>标准</w:t>
            </w:r>
          </w:p>
        </w:tc>
        <w:tc>
          <w:tcPr>
            <w:tcW w:w="698" w:type="dxa"/>
            <w:vMerge w:val="restart"/>
            <w:tcBorders>
              <w:top w:val="single" w:color="auto" w:sz="4" w:space="0"/>
              <w:left w:val="single" w:color="auto" w:sz="4" w:space="0"/>
              <w:right w:val="single" w:color="auto" w:sz="4" w:space="0"/>
            </w:tcBorders>
            <w:noWrap w:val="0"/>
            <w:vAlign w:val="center"/>
          </w:tcPr>
          <w:p w14:paraId="0EA1DAEC">
            <w:pPr>
              <w:spacing w:line="500" w:lineRule="exact"/>
              <w:jc w:val="center"/>
              <w:rPr>
                <w:rFonts w:hint="eastAsia" w:ascii="宋体" w:hAnsi="宋体"/>
                <w:color w:val="auto"/>
                <w:szCs w:val="21"/>
                <w:highlight w:val="none"/>
              </w:rPr>
            </w:pPr>
            <w:r>
              <w:rPr>
                <w:rFonts w:ascii="宋体" w:hAnsi="宋体"/>
                <w:color w:val="auto"/>
                <w:szCs w:val="21"/>
                <w:highlight w:val="none"/>
              </w:rPr>
              <w:t>工期</w:t>
            </w:r>
            <w:r>
              <w:rPr>
                <w:rFonts w:hint="eastAsia" w:ascii="宋体" w:hAnsi="宋体"/>
                <w:color w:val="auto"/>
                <w:szCs w:val="21"/>
                <w:highlight w:val="none"/>
              </w:rPr>
              <w:t>（天）</w:t>
            </w:r>
          </w:p>
        </w:tc>
        <w:tc>
          <w:tcPr>
            <w:tcW w:w="902" w:type="dxa"/>
            <w:gridSpan w:val="2"/>
            <w:tcBorders>
              <w:top w:val="single" w:color="auto" w:sz="4" w:space="0"/>
              <w:left w:val="single" w:color="auto" w:sz="4" w:space="0"/>
              <w:bottom w:val="single" w:color="auto" w:sz="4" w:space="0"/>
              <w:right w:val="single" w:color="auto" w:sz="4" w:space="0"/>
            </w:tcBorders>
            <w:noWrap w:val="0"/>
            <w:vAlign w:val="center"/>
          </w:tcPr>
          <w:p w14:paraId="319B0BF8">
            <w:pPr>
              <w:spacing w:line="500" w:lineRule="exact"/>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5B8D66C3">
            <w:pPr>
              <w:spacing w:line="500" w:lineRule="exact"/>
              <w:jc w:val="center"/>
              <w:rPr>
                <w:rFonts w:hint="eastAsia" w:ascii="宋体" w:hAnsi="宋体"/>
                <w:color w:val="auto"/>
                <w:szCs w:val="21"/>
                <w:highlight w:val="none"/>
              </w:rPr>
            </w:pPr>
            <w:r>
              <w:rPr>
                <w:rFonts w:hint="eastAsia" w:ascii="宋体" w:hAnsi="宋体"/>
                <w:color w:val="auto"/>
                <w:szCs w:val="21"/>
                <w:highlight w:val="none"/>
              </w:rPr>
              <w:t>专</w:t>
            </w:r>
            <w:r>
              <w:rPr>
                <w:rFonts w:hint="eastAsia" w:ascii="宋体" w:hAnsi="宋体"/>
                <w:color w:val="auto"/>
                <w:szCs w:val="21"/>
                <w:highlight w:val="none"/>
                <w:lang w:val="en-US" w:eastAsia="zh-CN"/>
              </w:rPr>
              <w:t>职</w:t>
            </w:r>
            <w:r>
              <w:rPr>
                <w:rFonts w:hint="eastAsia" w:ascii="宋体" w:hAnsi="宋体"/>
                <w:color w:val="auto"/>
                <w:szCs w:val="21"/>
                <w:highlight w:val="none"/>
              </w:rPr>
              <w:t>安全员</w:t>
            </w:r>
          </w:p>
        </w:tc>
        <w:tc>
          <w:tcPr>
            <w:tcW w:w="896" w:type="dxa"/>
            <w:vMerge w:val="restart"/>
            <w:tcBorders>
              <w:top w:val="single" w:color="auto" w:sz="4" w:space="0"/>
              <w:left w:val="single" w:color="auto" w:sz="4" w:space="0"/>
              <w:right w:val="single" w:color="auto" w:sz="4" w:space="0"/>
            </w:tcBorders>
            <w:noWrap w:val="0"/>
            <w:vAlign w:val="center"/>
          </w:tcPr>
          <w:p w14:paraId="23C506E3">
            <w:pPr>
              <w:spacing w:line="500" w:lineRule="exact"/>
              <w:jc w:val="center"/>
              <w:rPr>
                <w:rFonts w:hint="eastAsia" w:ascii="宋体" w:hAnsi="宋体"/>
                <w:color w:val="auto"/>
                <w:kern w:val="2"/>
                <w:sz w:val="21"/>
                <w:szCs w:val="21"/>
                <w:highlight w:val="none"/>
                <w:lang w:val="en-US" w:eastAsia="zh-CN" w:bidi="ar-SA"/>
              </w:rPr>
            </w:pPr>
            <w:r>
              <w:rPr>
                <w:rFonts w:ascii="宋体" w:hAnsi="宋体"/>
                <w:color w:val="auto"/>
                <w:szCs w:val="21"/>
                <w:highlight w:val="none"/>
              </w:rPr>
              <w:t>签名</w:t>
            </w:r>
          </w:p>
        </w:tc>
        <w:tc>
          <w:tcPr>
            <w:tcW w:w="959" w:type="dxa"/>
            <w:vMerge w:val="restart"/>
            <w:tcBorders>
              <w:top w:val="single" w:color="auto" w:sz="4" w:space="0"/>
              <w:left w:val="single" w:color="auto" w:sz="4" w:space="0"/>
              <w:right w:val="single" w:color="auto" w:sz="4" w:space="0"/>
            </w:tcBorders>
            <w:noWrap w:val="0"/>
            <w:vAlign w:val="center"/>
          </w:tcPr>
          <w:p w14:paraId="37570743">
            <w:pPr>
              <w:spacing w:line="50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1141BDF5">
        <w:tblPrEx>
          <w:tblCellMar>
            <w:top w:w="0" w:type="dxa"/>
            <w:left w:w="108" w:type="dxa"/>
            <w:bottom w:w="0" w:type="dxa"/>
            <w:right w:w="108" w:type="dxa"/>
          </w:tblCellMar>
        </w:tblPrEx>
        <w:trPr>
          <w:trHeight w:val="1233" w:hRule="atLeast"/>
        </w:trPr>
        <w:tc>
          <w:tcPr>
            <w:tcW w:w="544" w:type="dxa"/>
            <w:vMerge w:val="continue"/>
            <w:tcBorders>
              <w:left w:val="single" w:color="auto" w:sz="4" w:space="0"/>
              <w:bottom w:val="single" w:color="auto" w:sz="4" w:space="0"/>
              <w:right w:val="single" w:color="auto" w:sz="4" w:space="0"/>
            </w:tcBorders>
            <w:noWrap w:val="0"/>
            <w:vAlign w:val="center"/>
          </w:tcPr>
          <w:p w14:paraId="57C6AD9B">
            <w:pPr>
              <w:spacing w:line="500" w:lineRule="exact"/>
              <w:jc w:val="center"/>
              <w:rPr>
                <w:rFonts w:ascii="宋体" w:hAnsi="宋体"/>
                <w:color w:val="auto"/>
                <w:szCs w:val="21"/>
                <w:highlight w:val="none"/>
              </w:rPr>
            </w:pPr>
          </w:p>
        </w:tc>
        <w:tc>
          <w:tcPr>
            <w:tcW w:w="870" w:type="dxa"/>
            <w:vMerge w:val="continue"/>
            <w:tcBorders>
              <w:left w:val="single" w:color="auto" w:sz="4" w:space="0"/>
              <w:bottom w:val="single" w:color="auto" w:sz="4" w:space="0"/>
              <w:right w:val="single" w:color="auto" w:sz="4" w:space="0"/>
            </w:tcBorders>
            <w:noWrap w:val="0"/>
            <w:vAlign w:val="center"/>
          </w:tcPr>
          <w:p w14:paraId="7D6CEEB8">
            <w:pPr>
              <w:spacing w:line="500" w:lineRule="exact"/>
              <w:jc w:val="center"/>
              <w:rPr>
                <w:rFonts w:ascii="宋体" w:hAnsi="宋体"/>
                <w:color w:val="auto"/>
                <w:szCs w:val="21"/>
                <w:highlight w:val="none"/>
              </w:rPr>
            </w:pPr>
          </w:p>
        </w:tc>
        <w:tc>
          <w:tcPr>
            <w:tcW w:w="700" w:type="dxa"/>
            <w:vMerge w:val="continue"/>
            <w:tcBorders>
              <w:left w:val="single" w:color="auto" w:sz="4" w:space="0"/>
              <w:bottom w:val="single" w:color="auto" w:sz="4" w:space="0"/>
              <w:right w:val="single" w:color="auto" w:sz="4" w:space="0"/>
            </w:tcBorders>
            <w:noWrap w:val="0"/>
            <w:vAlign w:val="center"/>
          </w:tcPr>
          <w:p w14:paraId="60BB2DFF">
            <w:pPr>
              <w:spacing w:line="500" w:lineRule="exact"/>
              <w:jc w:val="center"/>
              <w:rPr>
                <w:rFonts w:hint="eastAsia" w:ascii="宋体" w:hAnsi="宋体"/>
                <w:color w:val="auto"/>
                <w:szCs w:val="21"/>
                <w:highlight w:val="none"/>
              </w:rPr>
            </w:pPr>
          </w:p>
        </w:tc>
        <w:tc>
          <w:tcPr>
            <w:tcW w:w="773" w:type="dxa"/>
            <w:vMerge w:val="continue"/>
            <w:tcBorders>
              <w:left w:val="single" w:color="auto" w:sz="4" w:space="0"/>
              <w:bottom w:val="single" w:color="auto" w:sz="4" w:space="0"/>
              <w:right w:val="single" w:color="auto" w:sz="4" w:space="0"/>
            </w:tcBorders>
            <w:noWrap w:val="0"/>
            <w:vAlign w:val="center"/>
          </w:tcPr>
          <w:p w14:paraId="60021D1D">
            <w:pPr>
              <w:spacing w:line="500" w:lineRule="exact"/>
              <w:jc w:val="center"/>
              <w:rPr>
                <w:rFonts w:ascii="宋体" w:hAnsi="宋体"/>
                <w:color w:val="auto"/>
                <w:szCs w:val="21"/>
                <w:highlight w:val="none"/>
              </w:rPr>
            </w:pPr>
          </w:p>
        </w:tc>
        <w:tc>
          <w:tcPr>
            <w:tcW w:w="960" w:type="dxa"/>
            <w:vMerge w:val="continue"/>
            <w:tcBorders>
              <w:left w:val="single" w:color="auto" w:sz="4" w:space="0"/>
              <w:bottom w:val="single" w:color="auto" w:sz="4" w:space="0"/>
              <w:right w:val="single" w:color="auto" w:sz="4" w:space="0"/>
            </w:tcBorders>
            <w:noWrap w:val="0"/>
            <w:vAlign w:val="center"/>
          </w:tcPr>
          <w:p w14:paraId="081FB230">
            <w:pPr>
              <w:spacing w:line="500" w:lineRule="exact"/>
              <w:jc w:val="center"/>
              <w:rPr>
                <w:rFonts w:ascii="宋体" w:hAnsi="宋体"/>
                <w:color w:val="auto"/>
                <w:szCs w:val="21"/>
                <w:highlight w:val="none"/>
              </w:rPr>
            </w:pPr>
          </w:p>
        </w:tc>
        <w:tc>
          <w:tcPr>
            <w:tcW w:w="633" w:type="dxa"/>
            <w:gridSpan w:val="2"/>
            <w:vMerge w:val="continue"/>
            <w:tcBorders>
              <w:left w:val="single" w:color="auto" w:sz="4" w:space="0"/>
              <w:bottom w:val="single" w:color="auto" w:sz="4" w:space="0"/>
              <w:right w:val="single" w:color="auto" w:sz="4" w:space="0"/>
            </w:tcBorders>
            <w:noWrap w:val="0"/>
            <w:vAlign w:val="center"/>
          </w:tcPr>
          <w:p w14:paraId="2D8D3F72">
            <w:pPr>
              <w:spacing w:line="500" w:lineRule="exact"/>
              <w:jc w:val="center"/>
              <w:rPr>
                <w:rFonts w:ascii="宋体" w:hAnsi="宋体"/>
                <w:color w:val="auto"/>
                <w:szCs w:val="21"/>
                <w:highlight w:val="none"/>
              </w:rPr>
            </w:pPr>
          </w:p>
        </w:tc>
        <w:tc>
          <w:tcPr>
            <w:tcW w:w="698" w:type="dxa"/>
            <w:vMerge w:val="continue"/>
            <w:tcBorders>
              <w:left w:val="single" w:color="auto" w:sz="4" w:space="0"/>
              <w:bottom w:val="single" w:color="auto" w:sz="4" w:space="0"/>
              <w:right w:val="single" w:color="auto" w:sz="4" w:space="0"/>
            </w:tcBorders>
            <w:noWrap w:val="0"/>
            <w:vAlign w:val="center"/>
          </w:tcPr>
          <w:p w14:paraId="1E250588">
            <w:pPr>
              <w:spacing w:line="500" w:lineRule="exact"/>
              <w:jc w:val="center"/>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07AC6817">
            <w:pPr>
              <w:spacing w:line="500" w:lineRule="exact"/>
              <w:jc w:val="center"/>
              <w:rPr>
                <w:rFonts w:hint="eastAsia" w:ascii="宋体" w:hAnsi="宋体"/>
                <w:color w:val="auto"/>
                <w:szCs w:val="21"/>
                <w:highlight w:val="none"/>
              </w:rPr>
            </w:pPr>
            <w:r>
              <w:rPr>
                <w:rFonts w:hint="eastAsia" w:ascii="宋体" w:hAnsi="宋体"/>
                <w:color w:val="auto"/>
                <w:szCs w:val="21"/>
                <w:highlight w:val="none"/>
              </w:rPr>
              <w:t>登记时</w:t>
            </w:r>
          </w:p>
        </w:tc>
        <w:tc>
          <w:tcPr>
            <w:tcW w:w="452" w:type="dxa"/>
            <w:tcBorders>
              <w:top w:val="single" w:color="auto" w:sz="4" w:space="0"/>
              <w:left w:val="single" w:color="auto" w:sz="4" w:space="0"/>
              <w:bottom w:val="single" w:color="auto" w:sz="4" w:space="0"/>
              <w:right w:val="single" w:color="auto" w:sz="4" w:space="0"/>
            </w:tcBorders>
            <w:noWrap w:val="0"/>
            <w:vAlign w:val="center"/>
          </w:tcPr>
          <w:p w14:paraId="0F14C8F6">
            <w:pPr>
              <w:spacing w:line="500" w:lineRule="exact"/>
              <w:jc w:val="center"/>
              <w:rPr>
                <w:rFonts w:hint="eastAsia" w:ascii="宋体" w:hAnsi="宋体"/>
                <w:color w:val="auto"/>
                <w:szCs w:val="21"/>
                <w:highlight w:val="none"/>
              </w:rPr>
            </w:pPr>
            <w:r>
              <w:rPr>
                <w:rFonts w:hint="eastAsia" w:ascii="宋体" w:hAnsi="宋体"/>
                <w:color w:val="auto"/>
                <w:szCs w:val="21"/>
                <w:highlight w:val="none"/>
              </w:rPr>
              <w:t>投标时</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026298C1">
            <w:pPr>
              <w:spacing w:line="500" w:lineRule="exact"/>
              <w:jc w:val="center"/>
              <w:rPr>
                <w:rFonts w:hint="eastAsia" w:ascii="宋体" w:hAnsi="宋体"/>
                <w:color w:val="auto"/>
                <w:szCs w:val="21"/>
                <w:highlight w:val="none"/>
              </w:rPr>
            </w:pPr>
            <w:r>
              <w:rPr>
                <w:rFonts w:hint="eastAsia" w:ascii="宋体" w:hAnsi="宋体"/>
                <w:color w:val="auto"/>
                <w:szCs w:val="21"/>
                <w:highlight w:val="none"/>
              </w:rPr>
              <w:t>登记时</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0657752E">
            <w:pPr>
              <w:spacing w:line="500" w:lineRule="exact"/>
              <w:jc w:val="center"/>
              <w:rPr>
                <w:rFonts w:hint="eastAsia" w:ascii="宋体" w:hAnsi="宋体"/>
                <w:color w:val="auto"/>
                <w:szCs w:val="21"/>
                <w:highlight w:val="none"/>
              </w:rPr>
            </w:pPr>
            <w:r>
              <w:rPr>
                <w:rFonts w:hint="eastAsia" w:ascii="宋体" w:hAnsi="宋体"/>
                <w:color w:val="auto"/>
                <w:szCs w:val="21"/>
                <w:highlight w:val="none"/>
              </w:rPr>
              <w:t>投标时</w:t>
            </w:r>
          </w:p>
        </w:tc>
        <w:tc>
          <w:tcPr>
            <w:tcW w:w="896" w:type="dxa"/>
            <w:vMerge w:val="continue"/>
            <w:tcBorders>
              <w:left w:val="single" w:color="auto" w:sz="4" w:space="0"/>
              <w:bottom w:val="single" w:color="auto" w:sz="4" w:space="0"/>
              <w:right w:val="single" w:color="auto" w:sz="4" w:space="0"/>
            </w:tcBorders>
            <w:noWrap w:val="0"/>
            <w:vAlign w:val="center"/>
          </w:tcPr>
          <w:p w14:paraId="01170358">
            <w:pPr>
              <w:spacing w:line="500" w:lineRule="exact"/>
              <w:jc w:val="center"/>
              <w:rPr>
                <w:rFonts w:ascii="宋体" w:hAnsi="宋体"/>
                <w:color w:val="auto"/>
                <w:szCs w:val="21"/>
                <w:highlight w:val="none"/>
              </w:rPr>
            </w:pPr>
          </w:p>
        </w:tc>
        <w:tc>
          <w:tcPr>
            <w:tcW w:w="959" w:type="dxa"/>
            <w:vMerge w:val="continue"/>
            <w:tcBorders>
              <w:left w:val="single" w:color="auto" w:sz="4" w:space="0"/>
              <w:bottom w:val="single" w:color="auto" w:sz="4" w:space="0"/>
              <w:right w:val="single" w:color="auto" w:sz="4" w:space="0"/>
            </w:tcBorders>
            <w:noWrap w:val="0"/>
            <w:vAlign w:val="center"/>
          </w:tcPr>
          <w:p w14:paraId="5CC77F67">
            <w:pPr>
              <w:spacing w:line="500" w:lineRule="exact"/>
              <w:jc w:val="center"/>
              <w:rPr>
                <w:rFonts w:hint="eastAsia" w:ascii="宋体" w:hAnsi="宋体"/>
                <w:color w:val="auto"/>
                <w:szCs w:val="21"/>
                <w:highlight w:val="none"/>
              </w:rPr>
            </w:pPr>
          </w:p>
        </w:tc>
      </w:tr>
      <w:tr w14:paraId="79893718">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14:paraId="566BAD9F">
            <w:pPr>
              <w:spacing w:line="500" w:lineRule="exact"/>
              <w:jc w:val="left"/>
              <w:rPr>
                <w:rFonts w:ascii="宋体" w:hAnsi="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39AF9CB7">
            <w:pPr>
              <w:spacing w:line="500" w:lineRule="exact"/>
              <w:jc w:val="left"/>
              <w:rPr>
                <w:rFonts w:ascii="宋体" w:hAnsi="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11841312">
            <w:pPr>
              <w:spacing w:line="500" w:lineRule="exact"/>
              <w:jc w:val="left"/>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65324247">
            <w:pPr>
              <w:spacing w:line="500" w:lineRule="exact"/>
              <w:jc w:val="left"/>
              <w:rPr>
                <w:rFonts w:ascii="宋体" w:hAnsi="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266CA973">
            <w:pPr>
              <w:spacing w:line="500" w:lineRule="exact"/>
              <w:jc w:val="left"/>
              <w:rPr>
                <w:rFonts w:ascii="宋体" w:hAnsi="宋体"/>
                <w:color w:val="auto"/>
                <w:szCs w:val="21"/>
                <w:highlight w:val="none"/>
              </w:rPr>
            </w:pPr>
          </w:p>
        </w:tc>
        <w:tc>
          <w:tcPr>
            <w:tcW w:w="633" w:type="dxa"/>
            <w:gridSpan w:val="2"/>
            <w:tcBorders>
              <w:top w:val="single" w:color="auto" w:sz="4" w:space="0"/>
              <w:left w:val="single" w:color="auto" w:sz="4" w:space="0"/>
              <w:bottom w:val="single" w:color="auto" w:sz="4" w:space="0"/>
              <w:right w:val="single" w:color="auto" w:sz="4" w:space="0"/>
            </w:tcBorders>
            <w:noWrap w:val="0"/>
            <w:vAlign w:val="top"/>
          </w:tcPr>
          <w:p w14:paraId="45DFE22A">
            <w:pPr>
              <w:spacing w:line="500" w:lineRule="exact"/>
              <w:jc w:val="left"/>
              <w:rPr>
                <w:rFonts w:ascii="宋体" w:hAnsi="宋体"/>
                <w:color w:val="auto"/>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14:paraId="2BA8CFA9">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5830E0D4">
            <w:pPr>
              <w:spacing w:line="500" w:lineRule="exact"/>
              <w:jc w:val="left"/>
              <w:rPr>
                <w:rFonts w:ascii="宋体" w:hAnsi="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14:paraId="3B289E10">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69E9A2DD">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158C8DDB">
            <w:pPr>
              <w:spacing w:line="500" w:lineRule="exact"/>
              <w:jc w:val="left"/>
              <w:rPr>
                <w:rFonts w:ascii="宋体" w:hAnsi="宋体"/>
                <w:color w:val="auto"/>
                <w:szCs w:val="21"/>
                <w:highlight w:val="none"/>
              </w:rPr>
            </w:pPr>
          </w:p>
        </w:tc>
        <w:tc>
          <w:tcPr>
            <w:tcW w:w="896" w:type="dxa"/>
            <w:tcBorders>
              <w:top w:val="single" w:color="auto" w:sz="4" w:space="0"/>
              <w:left w:val="single" w:color="auto" w:sz="4" w:space="0"/>
              <w:bottom w:val="single" w:color="auto" w:sz="4" w:space="0"/>
              <w:right w:val="single" w:color="auto" w:sz="4" w:space="0"/>
            </w:tcBorders>
            <w:noWrap w:val="0"/>
            <w:vAlign w:val="top"/>
          </w:tcPr>
          <w:p w14:paraId="74B52DE2">
            <w:pPr>
              <w:spacing w:line="500" w:lineRule="exact"/>
              <w:jc w:val="left"/>
              <w:rPr>
                <w:rFonts w:ascii="宋体" w:hAnsi="宋体"/>
                <w:color w:val="auto"/>
                <w:szCs w:val="21"/>
                <w:highlight w:val="none"/>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05DC4565">
            <w:pPr>
              <w:spacing w:line="500" w:lineRule="exact"/>
              <w:jc w:val="left"/>
              <w:rPr>
                <w:rFonts w:ascii="宋体" w:hAnsi="宋体"/>
                <w:color w:val="auto"/>
                <w:szCs w:val="21"/>
                <w:highlight w:val="none"/>
              </w:rPr>
            </w:pPr>
          </w:p>
        </w:tc>
      </w:tr>
      <w:tr w14:paraId="6D65A034">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14:paraId="0A156B0D">
            <w:pPr>
              <w:spacing w:line="500" w:lineRule="exact"/>
              <w:jc w:val="left"/>
              <w:rPr>
                <w:rFonts w:ascii="宋体" w:hAnsi="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381CE43F">
            <w:pPr>
              <w:spacing w:line="500" w:lineRule="exact"/>
              <w:jc w:val="left"/>
              <w:rPr>
                <w:rFonts w:ascii="宋体" w:hAnsi="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5B759257">
            <w:pPr>
              <w:spacing w:line="500" w:lineRule="exact"/>
              <w:jc w:val="left"/>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67BD08FB">
            <w:pPr>
              <w:spacing w:line="500" w:lineRule="exact"/>
              <w:jc w:val="left"/>
              <w:rPr>
                <w:rFonts w:ascii="宋体" w:hAnsi="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7FF3321E">
            <w:pPr>
              <w:spacing w:line="500" w:lineRule="exact"/>
              <w:jc w:val="left"/>
              <w:rPr>
                <w:rFonts w:ascii="宋体" w:hAnsi="宋体"/>
                <w:color w:val="auto"/>
                <w:szCs w:val="21"/>
                <w:highlight w:val="none"/>
              </w:rPr>
            </w:pPr>
          </w:p>
        </w:tc>
        <w:tc>
          <w:tcPr>
            <w:tcW w:w="633" w:type="dxa"/>
            <w:gridSpan w:val="2"/>
            <w:tcBorders>
              <w:top w:val="single" w:color="auto" w:sz="4" w:space="0"/>
              <w:left w:val="single" w:color="auto" w:sz="4" w:space="0"/>
              <w:bottom w:val="single" w:color="auto" w:sz="4" w:space="0"/>
              <w:right w:val="single" w:color="auto" w:sz="4" w:space="0"/>
            </w:tcBorders>
            <w:noWrap w:val="0"/>
            <w:vAlign w:val="top"/>
          </w:tcPr>
          <w:p w14:paraId="12EAC539">
            <w:pPr>
              <w:spacing w:line="500" w:lineRule="exact"/>
              <w:jc w:val="left"/>
              <w:rPr>
                <w:rFonts w:ascii="宋体" w:hAnsi="宋体"/>
                <w:color w:val="auto"/>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14:paraId="40B47768">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67DED6E8">
            <w:pPr>
              <w:spacing w:line="500" w:lineRule="exact"/>
              <w:jc w:val="left"/>
              <w:rPr>
                <w:rFonts w:ascii="宋体" w:hAnsi="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14:paraId="31F44693">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1E2E5462">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2ADB0675">
            <w:pPr>
              <w:spacing w:line="500" w:lineRule="exact"/>
              <w:jc w:val="left"/>
              <w:rPr>
                <w:rFonts w:ascii="宋体" w:hAnsi="宋体"/>
                <w:color w:val="auto"/>
                <w:szCs w:val="21"/>
                <w:highlight w:val="none"/>
              </w:rPr>
            </w:pPr>
          </w:p>
        </w:tc>
        <w:tc>
          <w:tcPr>
            <w:tcW w:w="896" w:type="dxa"/>
            <w:tcBorders>
              <w:top w:val="single" w:color="auto" w:sz="4" w:space="0"/>
              <w:left w:val="single" w:color="auto" w:sz="4" w:space="0"/>
              <w:bottom w:val="single" w:color="auto" w:sz="4" w:space="0"/>
              <w:right w:val="single" w:color="auto" w:sz="4" w:space="0"/>
            </w:tcBorders>
            <w:noWrap w:val="0"/>
            <w:vAlign w:val="top"/>
          </w:tcPr>
          <w:p w14:paraId="13D8BE12">
            <w:pPr>
              <w:spacing w:line="500" w:lineRule="exact"/>
              <w:jc w:val="left"/>
              <w:rPr>
                <w:rFonts w:ascii="宋体" w:hAnsi="宋体"/>
                <w:color w:val="auto"/>
                <w:szCs w:val="21"/>
                <w:highlight w:val="none"/>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1A59AD56">
            <w:pPr>
              <w:spacing w:line="500" w:lineRule="exact"/>
              <w:jc w:val="left"/>
              <w:rPr>
                <w:rFonts w:ascii="宋体" w:hAnsi="宋体"/>
                <w:color w:val="auto"/>
                <w:szCs w:val="21"/>
                <w:highlight w:val="none"/>
              </w:rPr>
            </w:pPr>
          </w:p>
        </w:tc>
      </w:tr>
      <w:tr w14:paraId="42C2FE85">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14:paraId="26536901">
            <w:pPr>
              <w:spacing w:line="500" w:lineRule="exact"/>
              <w:jc w:val="left"/>
              <w:rPr>
                <w:rFonts w:ascii="宋体" w:hAnsi="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20A27760">
            <w:pPr>
              <w:spacing w:line="500" w:lineRule="exact"/>
              <w:jc w:val="left"/>
              <w:rPr>
                <w:rFonts w:ascii="宋体" w:hAnsi="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650E2238">
            <w:pPr>
              <w:spacing w:line="500" w:lineRule="exact"/>
              <w:jc w:val="left"/>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025AFBF6">
            <w:pPr>
              <w:spacing w:line="500" w:lineRule="exact"/>
              <w:jc w:val="left"/>
              <w:rPr>
                <w:rFonts w:ascii="宋体" w:hAnsi="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6A6C4653">
            <w:pPr>
              <w:spacing w:line="500" w:lineRule="exact"/>
              <w:jc w:val="left"/>
              <w:rPr>
                <w:rFonts w:ascii="宋体" w:hAnsi="宋体"/>
                <w:color w:val="auto"/>
                <w:szCs w:val="21"/>
                <w:highlight w:val="none"/>
              </w:rPr>
            </w:pPr>
          </w:p>
        </w:tc>
        <w:tc>
          <w:tcPr>
            <w:tcW w:w="633" w:type="dxa"/>
            <w:gridSpan w:val="2"/>
            <w:tcBorders>
              <w:top w:val="single" w:color="auto" w:sz="4" w:space="0"/>
              <w:left w:val="single" w:color="auto" w:sz="4" w:space="0"/>
              <w:bottom w:val="single" w:color="auto" w:sz="4" w:space="0"/>
              <w:right w:val="single" w:color="auto" w:sz="4" w:space="0"/>
            </w:tcBorders>
            <w:noWrap w:val="0"/>
            <w:vAlign w:val="top"/>
          </w:tcPr>
          <w:p w14:paraId="481155AA">
            <w:pPr>
              <w:spacing w:line="500" w:lineRule="exact"/>
              <w:jc w:val="left"/>
              <w:rPr>
                <w:rFonts w:ascii="宋体" w:hAnsi="宋体"/>
                <w:color w:val="auto"/>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14:paraId="214537BA">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0E17B857">
            <w:pPr>
              <w:spacing w:line="500" w:lineRule="exact"/>
              <w:jc w:val="left"/>
              <w:rPr>
                <w:rFonts w:ascii="宋体" w:hAnsi="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14:paraId="01BD62BE">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375C3A2A">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6B0D790C">
            <w:pPr>
              <w:spacing w:line="500" w:lineRule="exact"/>
              <w:jc w:val="left"/>
              <w:rPr>
                <w:rFonts w:ascii="宋体" w:hAnsi="宋体"/>
                <w:color w:val="auto"/>
                <w:szCs w:val="21"/>
                <w:highlight w:val="none"/>
              </w:rPr>
            </w:pPr>
          </w:p>
        </w:tc>
        <w:tc>
          <w:tcPr>
            <w:tcW w:w="896" w:type="dxa"/>
            <w:tcBorders>
              <w:top w:val="single" w:color="auto" w:sz="4" w:space="0"/>
              <w:left w:val="single" w:color="auto" w:sz="4" w:space="0"/>
              <w:bottom w:val="single" w:color="auto" w:sz="4" w:space="0"/>
              <w:right w:val="single" w:color="auto" w:sz="4" w:space="0"/>
            </w:tcBorders>
            <w:noWrap w:val="0"/>
            <w:vAlign w:val="top"/>
          </w:tcPr>
          <w:p w14:paraId="1B9EA208">
            <w:pPr>
              <w:spacing w:line="500" w:lineRule="exact"/>
              <w:jc w:val="left"/>
              <w:rPr>
                <w:rFonts w:ascii="宋体" w:hAnsi="宋体"/>
                <w:color w:val="auto"/>
                <w:szCs w:val="21"/>
                <w:highlight w:val="none"/>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154C5FD0">
            <w:pPr>
              <w:spacing w:line="500" w:lineRule="exact"/>
              <w:jc w:val="left"/>
              <w:rPr>
                <w:rFonts w:ascii="宋体" w:hAnsi="宋体"/>
                <w:color w:val="auto"/>
                <w:szCs w:val="21"/>
                <w:highlight w:val="none"/>
              </w:rPr>
            </w:pPr>
          </w:p>
        </w:tc>
      </w:tr>
      <w:tr w14:paraId="66D1C58B">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14:paraId="66B467A3">
            <w:pPr>
              <w:spacing w:line="500" w:lineRule="exact"/>
              <w:jc w:val="left"/>
              <w:rPr>
                <w:rFonts w:ascii="宋体" w:hAnsi="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444DCF58">
            <w:pPr>
              <w:spacing w:line="500" w:lineRule="exact"/>
              <w:jc w:val="left"/>
              <w:rPr>
                <w:rFonts w:ascii="宋体" w:hAnsi="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422DB190">
            <w:pPr>
              <w:spacing w:line="500" w:lineRule="exact"/>
              <w:jc w:val="left"/>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7851340C">
            <w:pPr>
              <w:spacing w:line="500" w:lineRule="exact"/>
              <w:jc w:val="left"/>
              <w:rPr>
                <w:rFonts w:ascii="宋体" w:hAnsi="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3CD4C05E">
            <w:pPr>
              <w:spacing w:line="500" w:lineRule="exact"/>
              <w:jc w:val="left"/>
              <w:rPr>
                <w:rFonts w:ascii="宋体" w:hAnsi="宋体"/>
                <w:color w:val="auto"/>
                <w:szCs w:val="21"/>
                <w:highlight w:val="none"/>
              </w:rPr>
            </w:pPr>
          </w:p>
        </w:tc>
        <w:tc>
          <w:tcPr>
            <w:tcW w:w="633" w:type="dxa"/>
            <w:gridSpan w:val="2"/>
            <w:tcBorders>
              <w:top w:val="single" w:color="auto" w:sz="4" w:space="0"/>
              <w:left w:val="single" w:color="auto" w:sz="4" w:space="0"/>
              <w:bottom w:val="single" w:color="auto" w:sz="4" w:space="0"/>
              <w:right w:val="single" w:color="auto" w:sz="4" w:space="0"/>
            </w:tcBorders>
            <w:noWrap w:val="0"/>
            <w:vAlign w:val="top"/>
          </w:tcPr>
          <w:p w14:paraId="22BC8325">
            <w:pPr>
              <w:spacing w:line="500" w:lineRule="exact"/>
              <w:jc w:val="left"/>
              <w:rPr>
                <w:rFonts w:ascii="宋体" w:hAnsi="宋体"/>
                <w:color w:val="auto"/>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14:paraId="6436E37D">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168F1521">
            <w:pPr>
              <w:spacing w:line="500" w:lineRule="exact"/>
              <w:jc w:val="left"/>
              <w:rPr>
                <w:rFonts w:ascii="宋体" w:hAnsi="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14:paraId="7CBBB09E">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21E9CE5E">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2FFBE1B2">
            <w:pPr>
              <w:spacing w:line="500" w:lineRule="exact"/>
              <w:jc w:val="left"/>
              <w:rPr>
                <w:rFonts w:ascii="宋体" w:hAnsi="宋体"/>
                <w:color w:val="auto"/>
                <w:szCs w:val="21"/>
                <w:highlight w:val="none"/>
              </w:rPr>
            </w:pPr>
          </w:p>
        </w:tc>
        <w:tc>
          <w:tcPr>
            <w:tcW w:w="896" w:type="dxa"/>
            <w:tcBorders>
              <w:top w:val="single" w:color="auto" w:sz="4" w:space="0"/>
              <w:left w:val="single" w:color="auto" w:sz="4" w:space="0"/>
              <w:bottom w:val="single" w:color="auto" w:sz="4" w:space="0"/>
              <w:right w:val="single" w:color="auto" w:sz="4" w:space="0"/>
            </w:tcBorders>
            <w:noWrap w:val="0"/>
            <w:vAlign w:val="top"/>
          </w:tcPr>
          <w:p w14:paraId="47C8D3ED">
            <w:pPr>
              <w:spacing w:line="500" w:lineRule="exact"/>
              <w:jc w:val="left"/>
              <w:rPr>
                <w:rFonts w:ascii="宋体" w:hAnsi="宋体"/>
                <w:color w:val="auto"/>
                <w:szCs w:val="21"/>
                <w:highlight w:val="none"/>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2604C288">
            <w:pPr>
              <w:spacing w:line="500" w:lineRule="exact"/>
              <w:jc w:val="left"/>
              <w:rPr>
                <w:rFonts w:ascii="宋体" w:hAnsi="宋体"/>
                <w:color w:val="auto"/>
                <w:szCs w:val="21"/>
                <w:highlight w:val="none"/>
              </w:rPr>
            </w:pPr>
          </w:p>
        </w:tc>
      </w:tr>
      <w:tr w14:paraId="33383909">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14:paraId="353E23D6">
            <w:pPr>
              <w:spacing w:line="500" w:lineRule="exact"/>
              <w:jc w:val="left"/>
              <w:rPr>
                <w:rFonts w:ascii="宋体" w:hAnsi="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2AF6BBC9">
            <w:pPr>
              <w:spacing w:line="500" w:lineRule="exact"/>
              <w:jc w:val="left"/>
              <w:rPr>
                <w:rFonts w:ascii="宋体" w:hAnsi="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33AED0B6">
            <w:pPr>
              <w:spacing w:line="500" w:lineRule="exact"/>
              <w:jc w:val="left"/>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03417860">
            <w:pPr>
              <w:spacing w:line="500" w:lineRule="exact"/>
              <w:jc w:val="left"/>
              <w:rPr>
                <w:rFonts w:ascii="宋体" w:hAnsi="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429A0DEF">
            <w:pPr>
              <w:spacing w:line="500" w:lineRule="exact"/>
              <w:jc w:val="left"/>
              <w:rPr>
                <w:rFonts w:ascii="宋体" w:hAnsi="宋体"/>
                <w:color w:val="auto"/>
                <w:szCs w:val="21"/>
                <w:highlight w:val="none"/>
              </w:rPr>
            </w:pPr>
          </w:p>
        </w:tc>
        <w:tc>
          <w:tcPr>
            <w:tcW w:w="633" w:type="dxa"/>
            <w:gridSpan w:val="2"/>
            <w:tcBorders>
              <w:top w:val="single" w:color="auto" w:sz="4" w:space="0"/>
              <w:left w:val="single" w:color="auto" w:sz="4" w:space="0"/>
              <w:bottom w:val="single" w:color="auto" w:sz="4" w:space="0"/>
              <w:right w:val="single" w:color="auto" w:sz="4" w:space="0"/>
            </w:tcBorders>
            <w:noWrap w:val="0"/>
            <w:vAlign w:val="top"/>
          </w:tcPr>
          <w:p w14:paraId="3FB2F7CA">
            <w:pPr>
              <w:spacing w:line="500" w:lineRule="exact"/>
              <w:jc w:val="left"/>
              <w:rPr>
                <w:rFonts w:ascii="宋体" w:hAnsi="宋体"/>
                <w:color w:val="auto"/>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14:paraId="0D17E43F">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2BFF5EA6">
            <w:pPr>
              <w:spacing w:line="500" w:lineRule="exact"/>
              <w:jc w:val="left"/>
              <w:rPr>
                <w:rFonts w:ascii="宋体" w:hAnsi="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14:paraId="76F5EB7B">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3FFB2F9F">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4471BF81">
            <w:pPr>
              <w:spacing w:line="500" w:lineRule="exact"/>
              <w:jc w:val="left"/>
              <w:rPr>
                <w:rFonts w:ascii="宋体" w:hAnsi="宋体"/>
                <w:color w:val="auto"/>
                <w:szCs w:val="21"/>
                <w:highlight w:val="none"/>
              </w:rPr>
            </w:pPr>
          </w:p>
        </w:tc>
        <w:tc>
          <w:tcPr>
            <w:tcW w:w="896" w:type="dxa"/>
            <w:tcBorders>
              <w:top w:val="single" w:color="auto" w:sz="4" w:space="0"/>
              <w:left w:val="single" w:color="auto" w:sz="4" w:space="0"/>
              <w:bottom w:val="single" w:color="auto" w:sz="4" w:space="0"/>
              <w:right w:val="single" w:color="auto" w:sz="4" w:space="0"/>
            </w:tcBorders>
            <w:noWrap w:val="0"/>
            <w:vAlign w:val="top"/>
          </w:tcPr>
          <w:p w14:paraId="0F38C0D1">
            <w:pPr>
              <w:spacing w:line="500" w:lineRule="exact"/>
              <w:jc w:val="left"/>
              <w:rPr>
                <w:rFonts w:ascii="宋体" w:hAnsi="宋体"/>
                <w:color w:val="auto"/>
                <w:szCs w:val="21"/>
                <w:highlight w:val="none"/>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6302DDA2">
            <w:pPr>
              <w:spacing w:line="500" w:lineRule="exact"/>
              <w:jc w:val="left"/>
              <w:rPr>
                <w:rFonts w:ascii="宋体" w:hAnsi="宋体"/>
                <w:color w:val="auto"/>
                <w:szCs w:val="21"/>
                <w:highlight w:val="none"/>
              </w:rPr>
            </w:pPr>
          </w:p>
        </w:tc>
      </w:tr>
      <w:tr w14:paraId="56E35A10">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14:paraId="0829F9DA">
            <w:pPr>
              <w:spacing w:line="500" w:lineRule="exact"/>
              <w:jc w:val="left"/>
              <w:rPr>
                <w:rFonts w:ascii="宋体" w:hAnsi="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F78674B">
            <w:pPr>
              <w:spacing w:line="500" w:lineRule="exact"/>
              <w:jc w:val="left"/>
              <w:rPr>
                <w:rFonts w:ascii="宋体" w:hAnsi="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4AA72C7F">
            <w:pPr>
              <w:spacing w:line="500" w:lineRule="exact"/>
              <w:jc w:val="left"/>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63A1F84B">
            <w:pPr>
              <w:spacing w:line="500" w:lineRule="exact"/>
              <w:jc w:val="left"/>
              <w:rPr>
                <w:rFonts w:ascii="宋体" w:hAnsi="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3A981047">
            <w:pPr>
              <w:spacing w:line="500" w:lineRule="exact"/>
              <w:jc w:val="left"/>
              <w:rPr>
                <w:rFonts w:ascii="宋体" w:hAnsi="宋体"/>
                <w:color w:val="auto"/>
                <w:szCs w:val="21"/>
                <w:highlight w:val="none"/>
              </w:rPr>
            </w:pPr>
          </w:p>
        </w:tc>
        <w:tc>
          <w:tcPr>
            <w:tcW w:w="633" w:type="dxa"/>
            <w:gridSpan w:val="2"/>
            <w:tcBorders>
              <w:top w:val="single" w:color="auto" w:sz="4" w:space="0"/>
              <w:left w:val="single" w:color="auto" w:sz="4" w:space="0"/>
              <w:bottom w:val="single" w:color="auto" w:sz="4" w:space="0"/>
              <w:right w:val="single" w:color="auto" w:sz="4" w:space="0"/>
            </w:tcBorders>
            <w:noWrap w:val="0"/>
            <w:vAlign w:val="top"/>
          </w:tcPr>
          <w:p w14:paraId="43576F06">
            <w:pPr>
              <w:spacing w:line="500" w:lineRule="exact"/>
              <w:jc w:val="left"/>
              <w:rPr>
                <w:rFonts w:ascii="宋体" w:hAnsi="宋体"/>
                <w:color w:val="auto"/>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14:paraId="188903FB">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551EA5F7">
            <w:pPr>
              <w:spacing w:line="500" w:lineRule="exact"/>
              <w:jc w:val="left"/>
              <w:rPr>
                <w:rFonts w:ascii="宋体" w:hAnsi="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14:paraId="79DA2304">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6F3B21E4">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6AD2F72D">
            <w:pPr>
              <w:spacing w:line="500" w:lineRule="exact"/>
              <w:jc w:val="left"/>
              <w:rPr>
                <w:rFonts w:ascii="宋体" w:hAnsi="宋体"/>
                <w:color w:val="auto"/>
                <w:szCs w:val="21"/>
                <w:highlight w:val="none"/>
              </w:rPr>
            </w:pPr>
          </w:p>
        </w:tc>
        <w:tc>
          <w:tcPr>
            <w:tcW w:w="896" w:type="dxa"/>
            <w:tcBorders>
              <w:top w:val="single" w:color="auto" w:sz="4" w:space="0"/>
              <w:left w:val="single" w:color="auto" w:sz="4" w:space="0"/>
              <w:bottom w:val="single" w:color="auto" w:sz="4" w:space="0"/>
              <w:right w:val="single" w:color="auto" w:sz="4" w:space="0"/>
            </w:tcBorders>
            <w:noWrap w:val="0"/>
            <w:vAlign w:val="top"/>
          </w:tcPr>
          <w:p w14:paraId="74CB4822">
            <w:pPr>
              <w:spacing w:line="500" w:lineRule="exact"/>
              <w:jc w:val="left"/>
              <w:rPr>
                <w:rFonts w:ascii="宋体" w:hAnsi="宋体"/>
                <w:color w:val="auto"/>
                <w:szCs w:val="21"/>
                <w:highlight w:val="none"/>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12FE91DD">
            <w:pPr>
              <w:spacing w:line="500" w:lineRule="exact"/>
              <w:jc w:val="left"/>
              <w:rPr>
                <w:rFonts w:ascii="宋体" w:hAnsi="宋体"/>
                <w:color w:val="auto"/>
                <w:szCs w:val="21"/>
                <w:highlight w:val="none"/>
              </w:rPr>
            </w:pPr>
          </w:p>
        </w:tc>
      </w:tr>
      <w:tr w14:paraId="0F2376AC">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14:paraId="52EA4D6F">
            <w:pPr>
              <w:spacing w:line="500" w:lineRule="exact"/>
              <w:jc w:val="left"/>
              <w:rPr>
                <w:rFonts w:ascii="宋体" w:hAnsi="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FC8CE34">
            <w:pPr>
              <w:spacing w:line="500" w:lineRule="exact"/>
              <w:jc w:val="left"/>
              <w:rPr>
                <w:rFonts w:ascii="宋体" w:hAnsi="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7A151BFA">
            <w:pPr>
              <w:spacing w:line="500" w:lineRule="exact"/>
              <w:jc w:val="left"/>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7D0921A6">
            <w:pPr>
              <w:spacing w:line="500" w:lineRule="exact"/>
              <w:jc w:val="left"/>
              <w:rPr>
                <w:rFonts w:ascii="宋体" w:hAnsi="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4C2302F4">
            <w:pPr>
              <w:spacing w:line="500" w:lineRule="exact"/>
              <w:jc w:val="left"/>
              <w:rPr>
                <w:rFonts w:ascii="宋体" w:hAnsi="宋体"/>
                <w:color w:val="auto"/>
                <w:szCs w:val="21"/>
                <w:highlight w:val="none"/>
              </w:rPr>
            </w:pPr>
          </w:p>
        </w:tc>
        <w:tc>
          <w:tcPr>
            <w:tcW w:w="633" w:type="dxa"/>
            <w:gridSpan w:val="2"/>
            <w:tcBorders>
              <w:top w:val="single" w:color="auto" w:sz="4" w:space="0"/>
              <w:left w:val="single" w:color="auto" w:sz="4" w:space="0"/>
              <w:bottom w:val="single" w:color="auto" w:sz="4" w:space="0"/>
              <w:right w:val="single" w:color="auto" w:sz="4" w:space="0"/>
            </w:tcBorders>
            <w:noWrap w:val="0"/>
            <w:vAlign w:val="top"/>
          </w:tcPr>
          <w:p w14:paraId="4ECA271F">
            <w:pPr>
              <w:spacing w:line="500" w:lineRule="exact"/>
              <w:jc w:val="left"/>
              <w:rPr>
                <w:rFonts w:ascii="宋体" w:hAnsi="宋体"/>
                <w:color w:val="auto"/>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14:paraId="594128E2">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62E78A27">
            <w:pPr>
              <w:spacing w:line="500" w:lineRule="exact"/>
              <w:jc w:val="left"/>
              <w:rPr>
                <w:rFonts w:ascii="宋体" w:hAnsi="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14:paraId="7BF78432">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32BECB66">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59846939">
            <w:pPr>
              <w:spacing w:line="500" w:lineRule="exact"/>
              <w:jc w:val="left"/>
              <w:rPr>
                <w:rFonts w:ascii="宋体" w:hAnsi="宋体"/>
                <w:color w:val="auto"/>
                <w:szCs w:val="21"/>
                <w:highlight w:val="none"/>
              </w:rPr>
            </w:pPr>
          </w:p>
        </w:tc>
        <w:tc>
          <w:tcPr>
            <w:tcW w:w="896" w:type="dxa"/>
            <w:tcBorders>
              <w:top w:val="single" w:color="auto" w:sz="4" w:space="0"/>
              <w:left w:val="single" w:color="auto" w:sz="4" w:space="0"/>
              <w:bottom w:val="single" w:color="auto" w:sz="4" w:space="0"/>
              <w:right w:val="single" w:color="auto" w:sz="4" w:space="0"/>
            </w:tcBorders>
            <w:noWrap w:val="0"/>
            <w:vAlign w:val="top"/>
          </w:tcPr>
          <w:p w14:paraId="2724153D">
            <w:pPr>
              <w:spacing w:line="500" w:lineRule="exact"/>
              <w:jc w:val="left"/>
              <w:rPr>
                <w:rFonts w:ascii="宋体" w:hAnsi="宋体"/>
                <w:color w:val="auto"/>
                <w:szCs w:val="21"/>
                <w:highlight w:val="none"/>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7483B596">
            <w:pPr>
              <w:spacing w:line="500" w:lineRule="exact"/>
              <w:jc w:val="left"/>
              <w:rPr>
                <w:rFonts w:ascii="宋体" w:hAnsi="宋体"/>
                <w:color w:val="auto"/>
                <w:szCs w:val="21"/>
                <w:highlight w:val="none"/>
              </w:rPr>
            </w:pPr>
          </w:p>
        </w:tc>
      </w:tr>
      <w:tr w14:paraId="57401CBF">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14:paraId="2E0D4FEE">
            <w:pPr>
              <w:spacing w:line="500" w:lineRule="exact"/>
              <w:jc w:val="left"/>
              <w:rPr>
                <w:rFonts w:ascii="宋体" w:hAnsi="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8003827">
            <w:pPr>
              <w:spacing w:line="500" w:lineRule="exact"/>
              <w:jc w:val="left"/>
              <w:rPr>
                <w:rFonts w:ascii="宋体" w:hAnsi="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10FC88F9">
            <w:pPr>
              <w:spacing w:line="500" w:lineRule="exact"/>
              <w:jc w:val="left"/>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041B4708">
            <w:pPr>
              <w:spacing w:line="500" w:lineRule="exact"/>
              <w:jc w:val="left"/>
              <w:rPr>
                <w:rFonts w:ascii="宋体" w:hAnsi="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3D4BAC3F">
            <w:pPr>
              <w:spacing w:line="500" w:lineRule="exact"/>
              <w:jc w:val="left"/>
              <w:rPr>
                <w:rFonts w:ascii="宋体" w:hAnsi="宋体"/>
                <w:color w:val="auto"/>
                <w:szCs w:val="21"/>
                <w:highlight w:val="none"/>
              </w:rPr>
            </w:pPr>
          </w:p>
        </w:tc>
        <w:tc>
          <w:tcPr>
            <w:tcW w:w="633" w:type="dxa"/>
            <w:gridSpan w:val="2"/>
            <w:tcBorders>
              <w:top w:val="single" w:color="auto" w:sz="4" w:space="0"/>
              <w:left w:val="single" w:color="auto" w:sz="4" w:space="0"/>
              <w:bottom w:val="single" w:color="auto" w:sz="4" w:space="0"/>
              <w:right w:val="single" w:color="auto" w:sz="4" w:space="0"/>
            </w:tcBorders>
            <w:noWrap w:val="0"/>
            <w:vAlign w:val="top"/>
          </w:tcPr>
          <w:p w14:paraId="24B4BC00">
            <w:pPr>
              <w:spacing w:line="500" w:lineRule="exact"/>
              <w:jc w:val="left"/>
              <w:rPr>
                <w:rFonts w:ascii="宋体" w:hAnsi="宋体"/>
                <w:color w:val="auto"/>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14:paraId="4ABF664E">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0BCE37DD">
            <w:pPr>
              <w:spacing w:line="500" w:lineRule="exact"/>
              <w:jc w:val="left"/>
              <w:rPr>
                <w:rFonts w:ascii="宋体" w:hAnsi="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14:paraId="358FC7C1">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4B51D910">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2784D4B6">
            <w:pPr>
              <w:spacing w:line="500" w:lineRule="exact"/>
              <w:jc w:val="left"/>
              <w:rPr>
                <w:rFonts w:ascii="宋体" w:hAnsi="宋体"/>
                <w:color w:val="auto"/>
                <w:szCs w:val="21"/>
                <w:highlight w:val="none"/>
              </w:rPr>
            </w:pPr>
          </w:p>
        </w:tc>
        <w:tc>
          <w:tcPr>
            <w:tcW w:w="896" w:type="dxa"/>
            <w:tcBorders>
              <w:top w:val="single" w:color="auto" w:sz="4" w:space="0"/>
              <w:left w:val="single" w:color="auto" w:sz="4" w:space="0"/>
              <w:bottom w:val="single" w:color="auto" w:sz="4" w:space="0"/>
              <w:right w:val="single" w:color="auto" w:sz="4" w:space="0"/>
            </w:tcBorders>
            <w:noWrap w:val="0"/>
            <w:vAlign w:val="top"/>
          </w:tcPr>
          <w:p w14:paraId="3C4975F6">
            <w:pPr>
              <w:spacing w:line="500" w:lineRule="exact"/>
              <w:jc w:val="left"/>
              <w:rPr>
                <w:rFonts w:ascii="宋体" w:hAnsi="宋体"/>
                <w:color w:val="auto"/>
                <w:szCs w:val="21"/>
                <w:highlight w:val="none"/>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60926EEF">
            <w:pPr>
              <w:spacing w:line="500" w:lineRule="exact"/>
              <w:jc w:val="left"/>
              <w:rPr>
                <w:rFonts w:ascii="宋体" w:hAnsi="宋体"/>
                <w:color w:val="auto"/>
                <w:szCs w:val="21"/>
                <w:highlight w:val="none"/>
              </w:rPr>
            </w:pPr>
          </w:p>
        </w:tc>
      </w:tr>
      <w:tr w14:paraId="356C8B3D">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14:paraId="574D0C00">
            <w:pPr>
              <w:spacing w:line="500" w:lineRule="exact"/>
              <w:jc w:val="left"/>
              <w:rPr>
                <w:rFonts w:ascii="宋体" w:hAnsi="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B840A2D">
            <w:pPr>
              <w:spacing w:line="500" w:lineRule="exact"/>
              <w:jc w:val="left"/>
              <w:rPr>
                <w:rFonts w:ascii="宋体" w:hAnsi="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128BBBBF">
            <w:pPr>
              <w:spacing w:line="500" w:lineRule="exact"/>
              <w:jc w:val="left"/>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46C7F8A9">
            <w:pPr>
              <w:spacing w:line="500" w:lineRule="exact"/>
              <w:jc w:val="left"/>
              <w:rPr>
                <w:rFonts w:ascii="宋体" w:hAnsi="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3D7DE0C7">
            <w:pPr>
              <w:spacing w:line="500" w:lineRule="exact"/>
              <w:jc w:val="left"/>
              <w:rPr>
                <w:rFonts w:ascii="宋体" w:hAnsi="宋体"/>
                <w:color w:val="auto"/>
                <w:szCs w:val="21"/>
                <w:highlight w:val="none"/>
              </w:rPr>
            </w:pPr>
          </w:p>
        </w:tc>
        <w:tc>
          <w:tcPr>
            <w:tcW w:w="633" w:type="dxa"/>
            <w:gridSpan w:val="2"/>
            <w:tcBorders>
              <w:top w:val="single" w:color="auto" w:sz="4" w:space="0"/>
              <w:left w:val="single" w:color="auto" w:sz="4" w:space="0"/>
              <w:bottom w:val="single" w:color="auto" w:sz="4" w:space="0"/>
              <w:right w:val="single" w:color="auto" w:sz="4" w:space="0"/>
            </w:tcBorders>
            <w:noWrap w:val="0"/>
            <w:vAlign w:val="top"/>
          </w:tcPr>
          <w:p w14:paraId="30C88762">
            <w:pPr>
              <w:spacing w:line="500" w:lineRule="exact"/>
              <w:jc w:val="left"/>
              <w:rPr>
                <w:rFonts w:ascii="宋体" w:hAnsi="宋体"/>
                <w:color w:val="auto"/>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14:paraId="4E5EB520">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7A28568F">
            <w:pPr>
              <w:spacing w:line="500" w:lineRule="exact"/>
              <w:jc w:val="left"/>
              <w:rPr>
                <w:rFonts w:ascii="宋体" w:hAnsi="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14:paraId="2F0A4513">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3DB5921E">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2FE97D3F">
            <w:pPr>
              <w:spacing w:line="500" w:lineRule="exact"/>
              <w:jc w:val="left"/>
              <w:rPr>
                <w:rFonts w:ascii="宋体" w:hAnsi="宋体"/>
                <w:color w:val="auto"/>
                <w:szCs w:val="21"/>
                <w:highlight w:val="none"/>
              </w:rPr>
            </w:pPr>
          </w:p>
        </w:tc>
        <w:tc>
          <w:tcPr>
            <w:tcW w:w="896" w:type="dxa"/>
            <w:tcBorders>
              <w:top w:val="single" w:color="auto" w:sz="4" w:space="0"/>
              <w:left w:val="single" w:color="auto" w:sz="4" w:space="0"/>
              <w:bottom w:val="single" w:color="auto" w:sz="4" w:space="0"/>
              <w:right w:val="single" w:color="auto" w:sz="4" w:space="0"/>
            </w:tcBorders>
            <w:noWrap w:val="0"/>
            <w:vAlign w:val="top"/>
          </w:tcPr>
          <w:p w14:paraId="341AD1B2">
            <w:pPr>
              <w:spacing w:line="500" w:lineRule="exact"/>
              <w:jc w:val="left"/>
              <w:rPr>
                <w:rFonts w:ascii="宋体" w:hAnsi="宋体"/>
                <w:color w:val="auto"/>
                <w:szCs w:val="21"/>
                <w:highlight w:val="none"/>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21BA5904">
            <w:pPr>
              <w:spacing w:line="500" w:lineRule="exact"/>
              <w:jc w:val="left"/>
              <w:rPr>
                <w:rFonts w:ascii="宋体" w:hAnsi="宋体"/>
                <w:color w:val="auto"/>
                <w:szCs w:val="21"/>
                <w:highlight w:val="none"/>
              </w:rPr>
            </w:pPr>
          </w:p>
        </w:tc>
      </w:tr>
      <w:tr w14:paraId="5E07FF08">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noWrap w:val="0"/>
            <w:vAlign w:val="top"/>
          </w:tcPr>
          <w:p w14:paraId="06737D61">
            <w:pPr>
              <w:spacing w:line="500" w:lineRule="exact"/>
              <w:jc w:val="left"/>
              <w:rPr>
                <w:rFonts w:ascii="宋体" w:hAnsi="宋体"/>
                <w:color w:val="auto"/>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3920D9D7">
            <w:pPr>
              <w:spacing w:line="500" w:lineRule="exact"/>
              <w:jc w:val="left"/>
              <w:rPr>
                <w:rFonts w:ascii="宋体" w:hAnsi="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1EDE99CB">
            <w:pPr>
              <w:spacing w:line="500" w:lineRule="exact"/>
              <w:jc w:val="left"/>
              <w:rPr>
                <w:rFonts w:ascii="宋体" w:hAnsi="宋体"/>
                <w:color w:val="auto"/>
                <w:szCs w:val="21"/>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67415B81">
            <w:pPr>
              <w:spacing w:line="500" w:lineRule="exact"/>
              <w:jc w:val="left"/>
              <w:rPr>
                <w:rFonts w:ascii="宋体" w:hAnsi="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22ADA500">
            <w:pPr>
              <w:spacing w:line="500" w:lineRule="exact"/>
              <w:jc w:val="left"/>
              <w:rPr>
                <w:rFonts w:ascii="宋体" w:hAnsi="宋体"/>
                <w:color w:val="auto"/>
                <w:szCs w:val="21"/>
                <w:highlight w:val="none"/>
              </w:rPr>
            </w:pPr>
          </w:p>
        </w:tc>
        <w:tc>
          <w:tcPr>
            <w:tcW w:w="633" w:type="dxa"/>
            <w:gridSpan w:val="2"/>
            <w:tcBorders>
              <w:top w:val="single" w:color="auto" w:sz="4" w:space="0"/>
              <w:left w:val="single" w:color="auto" w:sz="4" w:space="0"/>
              <w:bottom w:val="single" w:color="auto" w:sz="4" w:space="0"/>
              <w:right w:val="single" w:color="auto" w:sz="4" w:space="0"/>
            </w:tcBorders>
            <w:noWrap w:val="0"/>
            <w:vAlign w:val="top"/>
          </w:tcPr>
          <w:p w14:paraId="2D43C308">
            <w:pPr>
              <w:spacing w:line="500" w:lineRule="exact"/>
              <w:jc w:val="left"/>
              <w:rPr>
                <w:rFonts w:ascii="宋体" w:hAnsi="宋体"/>
                <w:color w:val="auto"/>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0"/>
            <w:vAlign w:val="top"/>
          </w:tcPr>
          <w:p w14:paraId="261AC68C">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1F20B3D8">
            <w:pPr>
              <w:spacing w:line="500" w:lineRule="exact"/>
              <w:jc w:val="left"/>
              <w:rPr>
                <w:rFonts w:ascii="宋体" w:hAnsi="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top"/>
          </w:tcPr>
          <w:p w14:paraId="5D69574C">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785307BA">
            <w:pPr>
              <w:spacing w:line="500" w:lineRule="exact"/>
              <w:jc w:val="left"/>
              <w:rPr>
                <w:rFonts w:ascii="宋体" w:hAnsi="宋体"/>
                <w:color w:val="auto"/>
                <w:szCs w:val="21"/>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top"/>
          </w:tcPr>
          <w:p w14:paraId="71AA4CC6">
            <w:pPr>
              <w:spacing w:line="500" w:lineRule="exact"/>
              <w:jc w:val="left"/>
              <w:rPr>
                <w:rFonts w:ascii="宋体" w:hAnsi="宋体"/>
                <w:color w:val="auto"/>
                <w:szCs w:val="21"/>
                <w:highlight w:val="none"/>
              </w:rPr>
            </w:pPr>
          </w:p>
        </w:tc>
        <w:tc>
          <w:tcPr>
            <w:tcW w:w="896" w:type="dxa"/>
            <w:tcBorders>
              <w:top w:val="single" w:color="auto" w:sz="4" w:space="0"/>
              <w:left w:val="single" w:color="auto" w:sz="4" w:space="0"/>
              <w:bottom w:val="single" w:color="auto" w:sz="4" w:space="0"/>
              <w:right w:val="single" w:color="auto" w:sz="4" w:space="0"/>
            </w:tcBorders>
            <w:noWrap w:val="0"/>
            <w:vAlign w:val="top"/>
          </w:tcPr>
          <w:p w14:paraId="127F8ADE">
            <w:pPr>
              <w:spacing w:line="500" w:lineRule="exact"/>
              <w:jc w:val="left"/>
              <w:rPr>
                <w:rFonts w:ascii="宋体" w:hAnsi="宋体"/>
                <w:color w:val="auto"/>
                <w:szCs w:val="21"/>
                <w:highlight w:val="none"/>
              </w:rPr>
            </w:pPr>
          </w:p>
        </w:tc>
        <w:tc>
          <w:tcPr>
            <w:tcW w:w="959" w:type="dxa"/>
            <w:tcBorders>
              <w:top w:val="single" w:color="auto" w:sz="4" w:space="0"/>
              <w:left w:val="single" w:color="auto" w:sz="4" w:space="0"/>
              <w:bottom w:val="single" w:color="auto" w:sz="4" w:space="0"/>
              <w:right w:val="single" w:color="auto" w:sz="4" w:space="0"/>
            </w:tcBorders>
            <w:noWrap w:val="0"/>
            <w:vAlign w:val="top"/>
          </w:tcPr>
          <w:p w14:paraId="5EE2304D">
            <w:pPr>
              <w:spacing w:line="500" w:lineRule="exact"/>
              <w:jc w:val="left"/>
              <w:rPr>
                <w:rFonts w:ascii="宋体" w:hAnsi="宋体"/>
                <w:color w:val="auto"/>
                <w:szCs w:val="21"/>
                <w:highlight w:val="none"/>
              </w:rPr>
            </w:pPr>
          </w:p>
        </w:tc>
      </w:tr>
      <w:tr w14:paraId="0ABBEECD">
        <w:tblPrEx>
          <w:tblCellMar>
            <w:top w:w="0" w:type="dxa"/>
            <w:left w:w="108" w:type="dxa"/>
            <w:bottom w:w="0" w:type="dxa"/>
            <w:right w:w="108" w:type="dxa"/>
          </w:tblCellMar>
        </w:tblPrEx>
        <w:tc>
          <w:tcPr>
            <w:tcW w:w="4339" w:type="dxa"/>
            <w:gridSpan w:val="6"/>
            <w:tcBorders>
              <w:top w:val="single" w:color="auto" w:sz="4" w:space="0"/>
              <w:left w:val="single" w:color="auto" w:sz="4" w:space="0"/>
              <w:bottom w:val="single" w:color="auto" w:sz="4" w:space="0"/>
              <w:right w:val="single" w:color="auto" w:sz="4" w:space="0"/>
            </w:tcBorders>
            <w:noWrap w:val="0"/>
            <w:vAlign w:val="center"/>
          </w:tcPr>
          <w:p w14:paraId="4AFF7A86">
            <w:pPr>
              <w:spacing w:line="500" w:lineRule="exact"/>
              <w:rPr>
                <w:rFonts w:hint="eastAsia" w:ascii="宋体" w:hAnsi="宋体"/>
                <w:color w:val="auto"/>
                <w:szCs w:val="21"/>
                <w:highlight w:val="none"/>
              </w:rPr>
            </w:pPr>
            <w:r>
              <w:rPr>
                <w:rFonts w:ascii="宋体" w:hAnsi="宋体"/>
                <w:color w:val="auto"/>
                <w:szCs w:val="21"/>
                <w:highlight w:val="none"/>
              </w:rPr>
              <w:t>招标人编制</w:t>
            </w:r>
            <w:r>
              <w:rPr>
                <w:rFonts w:hint="eastAsia" w:ascii="宋体" w:hAnsi="宋体"/>
                <w:color w:val="auto"/>
                <w:szCs w:val="21"/>
                <w:highlight w:val="none"/>
              </w:rPr>
              <w:t>最高投标限价（单位：元）</w:t>
            </w:r>
          </w:p>
        </w:tc>
        <w:tc>
          <w:tcPr>
            <w:tcW w:w="4496" w:type="dxa"/>
            <w:gridSpan w:val="8"/>
            <w:tcBorders>
              <w:top w:val="single" w:color="auto" w:sz="4" w:space="0"/>
              <w:left w:val="single" w:color="auto" w:sz="4" w:space="0"/>
              <w:bottom w:val="single" w:color="auto" w:sz="4" w:space="0"/>
              <w:right w:val="single" w:color="auto" w:sz="4" w:space="0"/>
            </w:tcBorders>
            <w:noWrap w:val="0"/>
            <w:vAlign w:val="top"/>
          </w:tcPr>
          <w:p w14:paraId="636BF8FC">
            <w:pPr>
              <w:spacing w:line="500" w:lineRule="exact"/>
              <w:jc w:val="left"/>
              <w:rPr>
                <w:rFonts w:ascii="宋体" w:hAnsi="宋体"/>
                <w:color w:val="auto"/>
                <w:szCs w:val="21"/>
                <w:highlight w:val="none"/>
              </w:rPr>
            </w:pPr>
          </w:p>
        </w:tc>
      </w:tr>
    </w:tbl>
    <w:p w14:paraId="7C6CA329">
      <w:pPr>
        <w:spacing w:line="440" w:lineRule="exact"/>
        <w:rPr>
          <w:color w:val="auto"/>
          <w:highlight w:val="none"/>
          <w:u w:val="single"/>
        </w:rPr>
      </w:pPr>
      <w:r>
        <w:rPr>
          <w:rFonts w:hint="eastAsia"/>
          <w:color w:val="auto"/>
          <w:highlight w:val="none"/>
        </w:rPr>
        <w:t>招标人代表：</w:t>
      </w:r>
      <w:r>
        <w:rPr>
          <w:rFonts w:hint="eastAsia"/>
          <w:color w:val="auto"/>
          <w:highlight w:val="none"/>
          <w:u w:val="single"/>
        </w:rPr>
        <w:t xml:space="preserve">                 </w:t>
      </w:r>
      <w:r>
        <w:rPr>
          <w:rFonts w:hint="eastAsia"/>
          <w:color w:val="auto"/>
          <w:highlight w:val="none"/>
        </w:rPr>
        <w:t xml:space="preserve"> 记录人：</w:t>
      </w:r>
      <w:r>
        <w:rPr>
          <w:rFonts w:hint="eastAsia"/>
          <w:color w:val="auto"/>
          <w:highlight w:val="none"/>
          <w:u w:val="single"/>
        </w:rPr>
        <w:t xml:space="preserve">                 </w:t>
      </w:r>
      <w:r>
        <w:rPr>
          <w:rFonts w:hint="eastAsia"/>
          <w:color w:val="auto"/>
          <w:highlight w:val="none"/>
        </w:rPr>
        <w:t xml:space="preserve"> 监标人：</w:t>
      </w:r>
      <w:r>
        <w:rPr>
          <w:rFonts w:hint="eastAsia"/>
          <w:color w:val="auto"/>
          <w:highlight w:val="none"/>
          <w:u w:val="single"/>
        </w:rPr>
        <w:t xml:space="preserve">            </w:t>
      </w:r>
      <w:r>
        <w:rPr>
          <w:color w:val="auto"/>
          <w:highlight w:val="none"/>
          <w:u w:val="single"/>
        </w:rPr>
        <w:t xml:space="preserve">     </w:t>
      </w:r>
    </w:p>
    <w:p w14:paraId="417F4643">
      <w:pPr>
        <w:spacing w:line="440" w:lineRule="exact"/>
        <w:jc w:val="right"/>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6F5549BC">
      <w:pPr>
        <w:spacing w:line="440" w:lineRule="exact"/>
        <w:jc w:val="left"/>
        <w:rPr>
          <w:rFonts w:hint="eastAsia"/>
          <w:color w:val="auto"/>
          <w:highlight w:val="none"/>
        </w:rPr>
      </w:pPr>
      <w:r>
        <w:rPr>
          <w:rFonts w:hint="eastAsia" w:ascii="宋体" w:hAnsi="宋体" w:eastAsia="宋体" w:cs="宋体"/>
          <w:color w:val="auto"/>
          <w:highlight w:val="none"/>
          <w:u w:val="single"/>
          <w:lang w:val="en-US" w:eastAsia="zh-CN"/>
        </w:rPr>
        <w:t>注：</w:t>
      </w:r>
      <w:r>
        <w:rPr>
          <w:rFonts w:hint="eastAsia" w:ascii="宋体" w:hAnsi="宋体" w:eastAsia="宋体" w:cs="宋体"/>
          <w:color w:val="auto"/>
          <w:highlight w:val="none"/>
          <w:u w:val="single"/>
        </w:rPr>
        <w:t>本表仅供参考，具体以</w:t>
      </w:r>
      <w:r>
        <w:rPr>
          <w:rFonts w:hint="eastAsia" w:ascii="宋体" w:hAnsi="宋体" w:eastAsia="宋体" w:cs="宋体"/>
          <w:color w:val="auto"/>
          <w:highlight w:val="none"/>
          <w:u w:val="single"/>
          <w:lang w:val="en-US" w:eastAsia="zh-CN"/>
        </w:rPr>
        <w:t>交易平台</w:t>
      </w:r>
      <w:r>
        <w:rPr>
          <w:rFonts w:hint="eastAsia" w:ascii="宋体" w:hAnsi="宋体" w:eastAsia="宋体" w:cs="宋体"/>
          <w:color w:val="auto"/>
          <w:highlight w:val="none"/>
          <w:u w:val="single"/>
        </w:rPr>
        <w:t>开标时的开标记录表为准。</w:t>
      </w:r>
    </w:p>
    <w:p w14:paraId="29CF908A">
      <w:pPr>
        <w:spacing w:line="360" w:lineRule="auto"/>
        <w:jc w:val="center"/>
        <w:rPr>
          <w:rFonts w:hint="eastAsia" w:ascii="宋体" w:hAnsi="宋体"/>
          <w:b/>
          <w:color w:val="auto"/>
          <w:sz w:val="32"/>
          <w:szCs w:val="32"/>
          <w:highlight w:val="none"/>
        </w:rPr>
      </w:pPr>
    </w:p>
    <w:p w14:paraId="0446CB68">
      <w:pPr>
        <w:pStyle w:val="23"/>
        <w:rPr>
          <w:rFonts w:hint="eastAsia" w:ascii="宋体" w:hAnsi="宋体"/>
          <w:b/>
          <w:color w:val="auto"/>
          <w:sz w:val="32"/>
          <w:szCs w:val="32"/>
          <w:highlight w:val="none"/>
        </w:rPr>
      </w:pPr>
    </w:p>
    <w:p w14:paraId="172C1B7C">
      <w:pPr>
        <w:pStyle w:val="23"/>
        <w:rPr>
          <w:rFonts w:hint="eastAsia" w:ascii="宋体" w:hAnsi="宋体"/>
          <w:b/>
          <w:color w:val="auto"/>
          <w:sz w:val="32"/>
          <w:szCs w:val="32"/>
          <w:highlight w:val="none"/>
        </w:rPr>
      </w:pPr>
    </w:p>
    <w:p w14:paraId="0833AE8E">
      <w:pPr>
        <w:pStyle w:val="23"/>
        <w:rPr>
          <w:rFonts w:hint="eastAsia" w:ascii="宋体" w:hAnsi="宋体"/>
          <w:b/>
          <w:color w:val="auto"/>
          <w:sz w:val="32"/>
          <w:szCs w:val="32"/>
          <w:highlight w:val="none"/>
        </w:rPr>
      </w:pPr>
    </w:p>
    <w:p w14:paraId="4C06CEFF">
      <w:pPr>
        <w:spacing w:line="440" w:lineRule="exact"/>
        <w:rPr>
          <w:color w:val="auto"/>
          <w:szCs w:val="21"/>
          <w:highlight w:val="none"/>
        </w:rPr>
      </w:pPr>
    </w:p>
    <w:p w14:paraId="69C91399">
      <w:pPr>
        <w:spacing w:line="360" w:lineRule="auto"/>
        <w:jc w:val="left"/>
        <w:outlineLvl w:val="2"/>
        <w:rPr>
          <w:rFonts w:ascii="黑体" w:hAnsi="黑体" w:eastAsia="黑体"/>
          <w:color w:val="auto"/>
          <w:sz w:val="28"/>
          <w:szCs w:val="27"/>
          <w:highlight w:val="none"/>
        </w:rPr>
      </w:pPr>
      <w:bookmarkStart w:id="119" w:name="_Toc17452667"/>
      <w:bookmarkStart w:id="120" w:name="_Toc17454925"/>
      <w:bookmarkStart w:id="121" w:name="_Toc152045582"/>
      <w:bookmarkStart w:id="122" w:name="_Toc246996225"/>
      <w:bookmarkStart w:id="123" w:name="_Toc17451104"/>
      <w:bookmarkStart w:id="124" w:name="_Toc179632600"/>
      <w:bookmarkStart w:id="125" w:name="_Toc247085740"/>
      <w:bookmarkStart w:id="126" w:name="_Toc17451626"/>
      <w:bookmarkStart w:id="127" w:name="_Toc152042359"/>
      <w:bookmarkStart w:id="128" w:name="_Toc24111"/>
      <w:bookmarkStart w:id="129" w:name="_Toc17454874"/>
      <w:bookmarkStart w:id="130" w:name="_Toc144974549"/>
      <w:bookmarkStart w:id="131" w:name="_Toc246996968"/>
      <w:bookmarkStart w:id="132" w:name="_Toc17451581"/>
      <w:bookmarkStart w:id="133" w:name="_Toc332641307"/>
      <w:bookmarkStart w:id="134" w:name="_Toc17556879"/>
      <w:bookmarkStart w:id="135" w:name="_Toc19072"/>
      <w:r>
        <w:rPr>
          <w:rFonts w:ascii="黑体" w:hAnsi="黑体" w:eastAsia="黑体"/>
          <w:color w:val="auto"/>
          <w:sz w:val="28"/>
          <w:szCs w:val="27"/>
          <w:highlight w:val="none"/>
        </w:rPr>
        <w:t>附</w:t>
      </w:r>
      <w:r>
        <w:rPr>
          <w:rFonts w:hint="eastAsia" w:ascii="黑体" w:hAnsi="黑体" w:eastAsia="黑体"/>
          <w:color w:val="auto"/>
          <w:sz w:val="28"/>
          <w:szCs w:val="27"/>
          <w:highlight w:val="none"/>
        </w:rPr>
        <w:t>件</w:t>
      </w:r>
      <w:r>
        <w:rPr>
          <w:rFonts w:ascii="黑体" w:hAnsi="黑体" w:eastAsia="黑体"/>
          <w:color w:val="auto"/>
          <w:sz w:val="28"/>
          <w:szCs w:val="27"/>
          <w:highlight w:val="none"/>
        </w:rPr>
        <w:t>二：问题澄清通知</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BFFD68C">
      <w:pPr>
        <w:spacing w:line="440" w:lineRule="exact"/>
        <w:jc w:val="center"/>
        <w:rPr>
          <w:color w:val="auto"/>
          <w:szCs w:val="21"/>
          <w:highlight w:val="none"/>
        </w:rPr>
      </w:pPr>
    </w:p>
    <w:p w14:paraId="1EC22ED6">
      <w:pPr>
        <w:spacing w:line="440" w:lineRule="exact"/>
        <w:jc w:val="center"/>
        <w:rPr>
          <w:rFonts w:ascii="宋体" w:hAnsi="宋体"/>
          <w:b/>
          <w:color w:val="auto"/>
          <w:sz w:val="36"/>
          <w:szCs w:val="28"/>
          <w:highlight w:val="none"/>
        </w:rPr>
      </w:pPr>
      <w:r>
        <w:rPr>
          <w:rFonts w:ascii="宋体" w:hAnsi="宋体"/>
          <w:b/>
          <w:color w:val="auto"/>
          <w:sz w:val="36"/>
          <w:szCs w:val="28"/>
          <w:highlight w:val="none"/>
        </w:rPr>
        <w:t>问题澄清通知</w:t>
      </w:r>
    </w:p>
    <w:p w14:paraId="06EB5142">
      <w:pPr>
        <w:spacing w:line="440" w:lineRule="exact"/>
        <w:jc w:val="center"/>
        <w:rPr>
          <w:rFonts w:ascii="宋体" w:hAnsi="宋体"/>
          <w:color w:val="auto"/>
          <w:szCs w:val="21"/>
          <w:highlight w:val="none"/>
        </w:rPr>
      </w:pPr>
      <w:r>
        <w:rPr>
          <w:rFonts w:ascii="宋体" w:hAnsi="宋体"/>
          <w:color w:val="auto"/>
          <w:szCs w:val="21"/>
          <w:highlight w:val="none"/>
        </w:rPr>
        <w:t>编号：</w:t>
      </w:r>
      <w:r>
        <w:rPr>
          <w:rFonts w:hint="eastAsia" w:ascii="宋体" w:hAnsi="宋体"/>
          <w:color w:val="auto"/>
          <w:szCs w:val="21"/>
          <w:highlight w:val="none"/>
        </w:rPr>
        <w:t>__________________________</w:t>
      </w:r>
    </w:p>
    <w:p w14:paraId="7562D968">
      <w:pPr>
        <w:spacing w:line="440" w:lineRule="exact"/>
        <w:rPr>
          <w:rFonts w:ascii="宋体" w:hAnsi="宋体"/>
          <w:color w:val="auto"/>
          <w:szCs w:val="21"/>
          <w:highlight w:val="none"/>
        </w:rPr>
      </w:pPr>
    </w:p>
    <w:p w14:paraId="6A605280">
      <w:pPr>
        <w:spacing w:line="440" w:lineRule="exact"/>
        <w:rPr>
          <w:rFonts w:ascii="宋体" w:hAnsi="宋体"/>
          <w:color w:val="auto"/>
          <w:sz w:val="24"/>
          <w:szCs w:val="21"/>
          <w:highlight w:val="none"/>
        </w:rPr>
      </w:pPr>
      <w:r>
        <w:rPr>
          <w:rFonts w:ascii="宋体" w:hAnsi="宋体"/>
          <w:color w:val="auto"/>
          <w:sz w:val="24"/>
          <w:szCs w:val="21"/>
          <w:highlight w:val="none"/>
          <w:u w:val="single"/>
        </w:rPr>
        <w:t xml:space="preserve">            </w:t>
      </w:r>
      <w:r>
        <w:rPr>
          <w:rFonts w:ascii="宋体" w:hAnsi="宋体"/>
          <w:color w:val="auto"/>
          <w:sz w:val="24"/>
          <w:szCs w:val="21"/>
          <w:highlight w:val="none"/>
        </w:rPr>
        <w:t>（投标人名称）：</w:t>
      </w:r>
    </w:p>
    <w:p w14:paraId="2152FFDA">
      <w:pPr>
        <w:spacing w:line="440" w:lineRule="exact"/>
        <w:rPr>
          <w:rFonts w:ascii="宋体" w:hAnsi="宋体"/>
          <w:color w:val="auto"/>
          <w:szCs w:val="21"/>
          <w:highlight w:val="none"/>
        </w:rPr>
      </w:pPr>
    </w:p>
    <w:p w14:paraId="3042CB3A">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rPr>
        <w:t>（项目名称）招标的评标委员会，对你方的投标文件进行了仔细的审查，现需你方对下列问题以书面形式予以澄清：</w:t>
      </w:r>
    </w:p>
    <w:p w14:paraId="595983F5">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p>
    <w:p w14:paraId="686BEDFF">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p>
    <w:p w14:paraId="297FDF2D">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p>
    <w:p w14:paraId="4F9E3A29">
      <w:pPr>
        <w:spacing w:line="440" w:lineRule="exact"/>
        <w:rPr>
          <w:rFonts w:ascii="宋体" w:hAnsi="宋体"/>
          <w:color w:val="auto"/>
          <w:sz w:val="24"/>
          <w:szCs w:val="24"/>
          <w:highlight w:val="none"/>
        </w:rPr>
      </w:pPr>
      <w:r>
        <w:rPr>
          <w:rFonts w:ascii="宋体" w:hAnsi="宋体"/>
          <w:color w:val="auto"/>
          <w:sz w:val="24"/>
          <w:szCs w:val="24"/>
          <w:highlight w:val="none"/>
        </w:rPr>
        <w:t>　　请将上述问题的澄清于</w:t>
      </w:r>
      <w:r>
        <w:rPr>
          <w:rFonts w:ascii="宋体" w:hAnsi="宋体"/>
          <w:color w:val="auto"/>
          <w:sz w:val="24"/>
          <w:szCs w:val="24"/>
          <w:highlight w:val="none"/>
          <w:u w:val="single"/>
        </w:rPr>
        <w:t xml:space="preserve">        </w:t>
      </w:r>
      <w:r>
        <w:rPr>
          <w:rFonts w:ascii="宋体" w:hAnsi="宋体"/>
          <w:color w:val="auto"/>
          <w:sz w:val="24"/>
          <w:szCs w:val="24"/>
          <w:highlight w:val="none"/>
        </w:rPr>
        <w:t>年</w:t>
      </w:r>
      <w:r>
        <w:rPr>
          <w:rFonts w:ascii="宋体" w:hAnsi="宋体"/>
          <w:color w:val="auto"/>
          <w:sz w:val="24"/>
          <w:szCs w:val="24"/>
          <w:highlight w:val="none"/>
          <w:u w:val="single"/>
        </w:rPr>
        <w:t xml:space="preserve">        </w:t>
      </w:r>
      <w:r>
        <w:rPr>
          <w:rFonts w:ascii="宋体" w:hAnsi="宋体"/>
          <w:color w:val="auto"/>
          <w:sz w:val="24"/>
          <w:szCs w:val="24"/>
          <w:highlight w:val="none"/>
        </w:rPr>
        <w:t>月</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ascii="宋体" w:hAnsi="宋体"/>
          <w:color w:val="auto"/>
          <w:sz w:val="24"/>
          <w:szCs w:val="24"/>
          <w:highlight w:val="none"/>
          <w:u w:val="single"/>
        </w:rPr>
        <w:t xml:space="preserve">        </w:t>
      </w:r>
      <w:r>
        <w:rPr>
          <w:rFonts w:ascii="宋体" w:hAnsi="宋体"/>
          <w:color w:val="auto"/>
          <w:sz w:val="24"/>
          <w:szCs w:val="24"/>
          <w:highlight w:val="none"/>
        </w:rPr>
        <w:t>时前递交至</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（详细地址）</w:t>
      </w:r>
      <w:r>
        <w:rPr>
          <w:rFonts w:hint="eastAsia" w:ascii="宋体" w:hAnsi="宋体"/>
          <w:color w:val="auto"/>
          <w:sz w:val="24"/>
          <w:szCs w:val="24"/>
          <w:highlight w:val="none"/>
        </w:rPr>
        <w:t>或传真至</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（传真号码）。采用传真方式的，应在</w:t>
      </w:r>
      <w:r>
        <w:rPr>
          <w:rFonts w:ascii="宋体" w:hAnsi="宋体"/>
          <w:color w:val="auto"/>
          <w:sz w:val="24"/>
          <w:szCs w:val="24"/>
          <w:highlight w:val="none"/>
          <w:u w:val="single"/>
        </w:rPr>
        <w:t xml:space="preserve">       </w:t>
      </w:r>
      <w:r>
        <w:rPr>
          <w:rFonts w:ascii="宋体" w:hAnsi="宋体"/>
          <w:color w:val="auto"/>
          <w:sz w:val="24"/>
          <w:szCs w:val="24"/>
          <w:highlight w:val="none"/>
        </w:rPr>
        <w:t>年</w:t>
      </w:r>
      <w:r>
        <w:rPr>
          <w:rFonts w:ascii="宋体" w:hAnsi="宋体"/>
          <w:color w:val="auto"/>
          <w:sz w:val="24"/>
          <w:szCs w:val="24"/>
          <w:highlight w:val="none"/>
          <w:u w:val="single"/>
        </w:rPr>
        <w:t xml:space="preserve">        </w:t>
      </w:r>
      <w:r>
        <w:rPr>
          <w:rFonts w:ascii="宋体" w:hAnsi="宋体"/>
          <w:color w:val="auto"/>
          <w:sz w:val="24"/>
          <w:szCs w:val="24"/>
          <w:highlight w:val="none"/>
        </w:rPr>
        <w:t>月</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rPr>
        <w:t>时前将原件递交至</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（详细地址）。</w:t>
      </w:r>
    </w:p>
    <w:p w14:paraId="15CCBBAF">
      <w:pPr>
        <w:spacing w:line="440" w:lineRule="exact"/>
        <w:rPr>
          <w:rFonts w:ascii="宋体" w:hAnsi="宋体"/>
          <w:color w:val="auto"/>
          <w:szCs w:val="21"/>
          <w:highlight w:val="none"/>
        </w:rPr>
      </w:pPr>
    </w:p>
    <w:p w14:paraId="190F09EF">
      <w:pPr>
        <w:spacing w:line="440" w:lineRule="exact"/>
        <w:rPr>
          <w:rFonts w:ascii="宋体" w:hAnsi="宋体"/>
          <w:color w:val="auto"/>
          <w:szCs w:val="21"/>
          <w:highlight w:val="none"/>
        </w:rPr>
      </w:pPr>
    </w:p>
    <w:p w14:paraId="382E2257">
      <w:pPr>
        <w:spacing w:line="440" w:lineRule="exact"/>
        <w:rPr>
          <w:rFonts w:ascii="宋体" w:hAnsi="宋体"/>
          <w:color w:val="auto"/>
          <w:szCs w:val="21"/>
          <w:highlight w:val="none"/>
        </w:rPr>
      </w:pPr>
    </w:p>
    <w:p w14:paraId="2472271E">
      <w:pPr>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eastAsia="zh-CN"/>
        </w:rPr>
        <w:t>评标委员会签字</w:t>
      </w:r>
      <w:r>
        <w:rPr>
          <w:rFonts w:ascii="宋体" w:hAnsi="宋体"/>
          <w:color w:val="auto"/>
          <w:sz w:val="24"/>
          <w:szCs w:val="24"/>
          <w:highlight w:val="none"/>
        </w:rPr>
        <w:t>：</w:t>
      </w:r>
      <w:r>
        <w:rPr>
          <w:rFonts w:ascii="宋体" w:hAnsi="宋体"/>
          <w:color w:val="auto"/>
          <w:sz w:val="24"/>
          <w:szCs w:val="24"/>
          <w:highlight w:val="none"/>
          <w:u w:val="single"/>
        </w:rPr>
        <w:t xml:space="preserve">           </w:t>
      </w:r>
    </w:p>
    <w:p w14:paraId="230D0B9D">
      <w:pPr>
        <w:spacing w:line="360" w:lineRule="auto"/>
        <w:ind w:firstLine="3480" w:firstLineChars="1450"/>
        <w:jc w:val="right"/>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 xml:space="preserve">年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月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日</w:t>
      </w:r>
    </w:p>
    <w:p w14:paraId="71D4497A">
      <w:pPr>
        <w:spacing w:line="400" w:lineRule="exact"/>
        <w:rPr>
          <w:color w:val="auto"/>
          <w:highlight w:val="none"/>
        </w:rPr>
      </w:pPr>
      <w:r>
        <w:rPr>
          <w:color w:val="auto"/>
          <w:highlight w:val="none"/>
        </w:rPr>
        <w:br w:type="page"/>
      </w:r>
    </w:p>
    <w:p w14:paraId="5864E12A">
      <w:pPr>
        <w:spacing w:line="360" w:lineRule="auto"/>
        <w:jc w:val="left"/>
        <w:outlineLvl w:val="2"/>
        <w:rPr>
          <w:rFonts w:ascii="黑体" w:hAnsi="黑体" w:eastAsia="黑体"/>
          <w:color w:val="auto"/>
          <w:sz w:val="28"/>
          <w:szCs w:val="27"/>
          <w:highlight w:val="none"/>
        </w:rPr>
      </w:pPr>
      <w:bookmarkStart w:id="136" w:name="_Toc17451627"/>
      <w:bookmarkStart w:id="137" w:name="_Toc17454875"/>
      <w:bookmarkStart w:id="138" w:name="_Toc21477"/>
      <w:bookmarkStart w:id="139" w:name="_Toc152045583"/>
      <w:bookmarkStart w:id="140" w:name="_Toc332641308"/>
      <w:bookmarkStart w:id="141" w:name="_Toc179632601"/>
      <w:bookmarkStart w:id="142" w:name="_Toc246996969"/>
      <w:bookmarkStart w:id="143" w:name="_Toc17452668"/>
      <w:bookmarkStart w:id="144" w:name="_Toc17451105"/>
      <w:bookmarkStart w:id="145" w:name="_Toc152042360"/>
      <w:bookmarkStart w:id="146" w:name="_Toc144974550"/>
      <w:bookmarkStart w:id="147" w:name="_Toc247085741"/>
      <w:bookmarkStart w:id="148" w:name="_Toc17451582"/>
      <w:bookmarkStart w:id="149" w:name="_Toc17556880"/>
      <w:bookmarkStart w:id="150" w:name="_Toc246996226"/>
      <w:bookmarkStart w:id="151" w:name="_Toc17454926"/>
      <w:bookmarkStart w:id="152" w:name="_Toc20814"/>
      <w:r>
        <w:rPr>
          <w:rFonts w:hint="eastAsia" w:ascii="黑体" w:hAnsi="黑体" w:eastAsia="黑体"/>
          <w:color w:val="auto"/>
          <w:sz w:val="28"/>
          <w:szCs w:val="27"/>
          <w:highlight w:val="none"/>
        </w:rPr>
        <w:t>附件三：问题的澄清</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C8C2085">
      <w:pPr>
        <w:spacing w:line="400" w:lineRule="exact"/>
        <w:jc w:val="center"/>
        <w:rPr>
          <w:rFonts w:ascii="黑体" w:eastAsia="黑体"/>
          <w:color w:val="auto"/>
          <w:sz w:val="28"/>
          <w:szCs w:val="28"/>
          <w:highlight w:val="none"/>
        </w:rPr>
      </w:pPr>
    </w:p>
    <w:p w14:paraId="7B8F0B4A">
      <w:pPr>
        <w:spacing w:line="360" w:lineRule="auto"/>
        <w:jc w:val="center"/>
        <w:rPr>
          <w:rFonts w:ascii="宋体" w:hAnsi="宋体"/>
          <w:b/>
          <w:color w:val="auto"/>
          <w:sz w:val="36"/>
          <w:szCs w:val="24"/>
          <w:highlight w:val="none"/>
        </w:rPr>
      </w:pPr>
      <w:r>
        <w:rPr>
          <w:rFonts w:hint="eastAsia" w:ascii="宋体" w:hAnsi="宋体"/>
          <w:b/>
          <w:color w:val="auto"/>
          <w:sz w:val="36"/>
          <w:szCs w:val="24"/>
          <w:highlight w:val="none"/>
        </w:rPr>
        <w:t>问题的澄清</w:t>
      </w:r>
    </w:p>
    <w:p w14:paraId="18E38A73">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编号：_____________________</w:t>
      </w:r>
    </w:p>
    <w:p w14:paraId="7D9AD294">
      <w:pPr>
        <w:spacing w:line="360" w:lineRule="auto"/>
        <w:rPr>
          <w:rFonts w:ascii="宋体" w:hAnsi="宋体"/>
          <w:color w:val="auto"/>
          <w:sz w:val="24"/>
          <w:szCs w:val="24"/>
          <w:highlight w:val="none"/>
        </w:rPr>
      </w:pPr>
    </w:p>
    <w:p w14:paraId="5086C640">
      <w:pPr>
        <w:spacing w:line="440" w:lineRule="exact"/>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项目名称）招标评标委员会：</w:t>
      </w:r>
    </w:p>
    <w:p w14:paraId="3AD1116A">
      <w:pPr>
        <w:snapToGrid w:val="0"/>
        <w:spacing w:line="360" w:lineRule="auto"/>
        <w:ind w:firstLine="480" w:firstLineChars="200"/>
        <w:rPr>
          <w:rFonts w:ascii="宋体" w:hAnsi="宋体"/>
          <w:color w:val="auto"/>
          <w:sz w:val="24"/>
          <w:highlight w:val="none"/>
        </w:rPr>
      </w:pPr>
    </w:p>
    <w:p w14:paraId="2D76A5AF">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问题澄清通知（编号：</w:t>
      </w:r>
      <w:r>
        <w:rPr>
          <w:rFonts w:ascii="宋体" w:hAnsi="宋体"/>
          <w:color w:val="auto"/>
          <w:sz w:val="24"/>
          <w:highlight w:val="none"/>
          <w:u w:val="single"/>
        </w:rPr>
        <w:t xml:space="preserve">        </w:t>
      </w:r>
      <w:r>
        <w:rPr>
          <w:rFonts w:hint="eastAsia" w:ascii="宋体" w:hAnsi="宋体"/>
          <w:color w:val="auto"/>
          <w:sz w:val="24"/>
          <w:highlight w:val="none"/>
        </w:rPr>
        <w:t>______</w:t>
      </w:r>
      <w:r>
        <w:rPr>
          <w:rFonts w:ascii="宋体" w:hAnsi="宋体"/>
          <w:color w:val="auto"/>
          <w:sz w:val="24"/>
          <w:highlight w:val="none"/>
        </w:rPr>
        <w:t>）已收悉，现澄清如下：</w:t>
      </w:r>
    </w:p>
    <w:p w14:paraId="17A41A2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p>
    <w:p w14:paraId="767DB7F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p>
    <w:p w14:paraId="0455901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p>
    <w:p w14:paraId="19A687B6">
      <w:pPr>
        <w:snapToGrid w:val="0"/>
        <w:spacing w:line="360" w:lineRule="auto"/>
        <w:ind w:firstLine="480" w:firstLineChars="200"/>
        <w:rPr>
          <w:rFonts w:ascii="宋体" w:hAnsi="宋体"/>
          <w:color w:val="auto"/>
          <w:sz w:val="24"/>
          <w:highlight w:val="none"/>
        </w:rPr>
      </w:pPr>
    </w:p>
    <w:p w14:paraId="77E95B28">
      <w:pPr>
        <w:snapToGrid w:val="0"/>
        <w:spacing w:line="360" w:lineRule="auto"/>
        <w:ind w:firstLine="480" w:firstLineChars="200"/>
        <w:rPr>
          <w:rFonts w:ascii="宋体" w:hAnsi="宋体"/>
          <w:color w:val="auto"/>
          <w:sz w:val="24"/>
          <w:highlight w:val="none"/>
        </w:rPr>
      </w:pPr>
    </w:p>
    <w:p w14:paraId="2FFE4989">
      <w:pPr>
        <w:spacing w:line="440" w:lineRule="exact"/>
        <w:rPr>
          <w:rFonts w:ascii="宋体" w:hAnsi="宋体"/>
          <w:color w:val="auto"/>
          <w:sz w:val="24"/>
          <w:szCs w:val="24"/>
          <w:highlight w:val="none"/>
        </w:rPr>
      </w:pPr>
    </w:p>
    <w:p w14:paraId="4B4DEBFD">
      <w:pPr>
        <w:spacing w:line="440" w:lineRule="exact"/>
        <w:rPr>
          <w:rFonts w:ascii="宋体" w:hAnsi="宋体"/>
          <w:color w:val="auto"/>
          <w:sz w:val="24"/>
          <w:szCs w:val="24"/>
          <w:highlight w:val="none"/>
        </w:rPr>
      </w:pPr>
    </w:p>
    <w:p w14:paraId="0F1A14BF">
      <w:pPr>
        <w:spacing w:line="440" w:lineRule="exact"/>
        <w:rPr>
          <w:rFonts w:ascii="宋体" w:hAnsi="宋体"/>
          <w:color w:val="auto"/>
          <w:sz w:val="24"/>
          <w:szCs w:val="24"/>
          <w:highlight w:val="none"/>
        </w:rPr>
      </w:pPr>
    </w:p>
    <w:p w14:paraId="28900BAE">
      <w:pPr>
        <w:spacing w:line="440" w:lineRule="exact"/>
        <w:rPr>
          <w:rFonts w:ascii="宋体" w:hAnsi="宋体"/>
          <w:color w:val="auto"/>
          <w:sz w:val="24"/>
          <w:szCs w:val="24"/>
          <w:highlight w:val="none"/>
        </w:rPr>
      </w:pPr>
    </w:p>
    <w:p w14:paraId="0B8317A2">
      <w:pPr>
        <w:spacing w:line="440" w:lineRule="exact"/>
        <w:jc w:val="right"/>
        <w:rPr>
          <w:rFonts w:ascii="宋体" w:hAnsi="宋体"/>
          <w:color w:val="auto"/>
          <w:sz w:val="24"/>
          <w:szCs w:val="24"/>
          <w:highlight w:val="none"/>
        </w:rPr>
      </w:pPr>
      <w:r>
        <w:rPr>
          <w:rFonts w:ascii="宋体" w:hAnsi="宋体"/>
          <w:color w:val="auto"/>
          <w:sz w:val="24"/>
          <w:szCs w:val="24"/>
          <w:highlight w:val="none"/>
        </w:rPr>
        <w:t>投标人：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（盖单位章）</w:t>
      </w:r>
    </w:p>
    <w:p w14:paraId="68B1B6AD">
      <w:pPr>
        <w:spacing w:line="440" w:lineRule="exact"/>
        <w:jc w:val="right"/>
        <w:rPr>
          <w:rFonts w:ascii="宋体" w:hAnsi="宋体"/>
          <w:color w:val="auto"/>
          <w:sz w:val="24"/>
          <w:szCs w:val="24"/>
          <w:highlight w:val="none"/>
        </w:rPr>
      </w:pPr>
      <w:r>
        <w:rPr>
          <w:rFonts w:ascii="宋体" w:hAnsi="宋体"/>
          <w:color w:val="auto"/>
          <w:sz w:val="24"/>
          <w:szCs w:val="24"/>
          <w:highlight w:val="none"/>
        </w:rPr>
        <w:t>法定代表人或其委托代理人：</w:t>
      </w:r>
      <w:r>
        <w:rPr>
          <w:rFonts w:ascii="宋体" w:hAnsi="宋体"/>
          <w:color w:val="auto"/>
          <w:sz w:val="24"/>
          <w:szCs w:val="24"/>
          <w:highlight w:val="none"/>
          <w:u w:val="single"/>
        </w:rPr>
        <w:t xml:space="preserve">          </w:t>
      </w:r>
      <w:r>
        <w:rPr>
          <w:rFonts w:ascii="宋体" w:hAnsi="宋体"/>
          <w:color w:val="auto"/>
          <w:sz w:val="24"/>
          <w:szCs w:val="24"/>
          <w:highlight w:val="none"/>
        </w:rPr>
        <w:t>（签字）</w:t>
      </w:r>
    </w:p>
    <w:p w14:paraId="3920A34E">
      <w:pPr>
        <w:spacing w:line="440" w:lineRule="exact"/>
        <w:jc w:val="right"/>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年</w:t>
      </w:r>
      <w:r>
        <w:rPr>
          <w:rFonts w:ascii="宋体" w:hAnsi="宋体"/>
          <w:color w:val="auto"/>
          <w:sz w:val="24"/>
          <w:szCs w:val="24"/>
          <w:highlight w:val="none"/>
          <w:u w:val="single"/>
        </w:rPr>
        <w:t xml:space="preserve">        </w:t>
      </w:r>
      <w:r>
        <w:rPr>
          <w:rFonts w:ascii="宋体" w:hAnsi="宋体"/>
          <w:color w:val="auto"/>
          <w:sz w:val="24"/>
          <w:szCs w:val="24"/>
          <w:highlight w:val="none"/>
        </w:rPr>
        <w:t>月</w:t>
      </w:r>
      <w:r>
        <w:rPr>
          <w:rFonts w:ascii="宋体" w:hAnsi="宋体"/>
          <w:color w:val="auto"/>
          <w:sz w:val="24"/>
          <w:szCs w:val="24"/>
          <w:highlight w:val="none"/>
          <w:u w:val="single"/>
        </w:rPr>
        <w:t xml:space="preserve">        </w:t>
      </w:r>
      <w:r>
        <w:rPr>
          <w:rFonts w:ascii="宋体" w:hAnsi="宋体"/>
          <w:color w:val="auto"/>
          <w:sz w:val="24"/>
          <w:szCs w:val="24"/>
          <w:highlight w:val="none"/>
        </w:rPr>
        <w:t>日</w:t>
      </w:r>
    </w:p>
    <w:p w14:paraId="78C6F31D">
      <w:pPr>
        <w:spacing w:line="400" w:lineRule="exact"/>
        <w:rPr>
          <w:rFonts w:ascii="宋体" w:hAnsi="宋体"/>
          <w:color w:val="auto"/>
          <w:sz w:val="24"/>
          <w:szCs w:val="24"/>
          <w:highlight w:val="none"/>
        </w:rPr>
      </w:pPr>
    </w:p>
    <w:p w14:paraId="0800E0AC">
      <w:pPr>
        <w:spacing w:line="400" w:lineRule="exact"/>
        <w:rPr>
          <w:rFonts w:ascii="宋体" w:hAnsi="宋体"/>
          <w:color w:val="auto"/>
          <w:sz w:val="24"/>
          <w:szCs w:val="24"/>
          <w:highlight w:val="none"/>
        </w:rPr>
      </w:pPr>
      <w:r>
        <w:rPr>
          <w:rFonts w:ascii="宋体" w:hAnsi="宋体"/>
          <w:color w:val="auto"/>
          <w:sz w:val="24"/>
          <w:szCs w:val="24"/>
          <w:highlight w:val="none"/>
        </w:rPr>
        <w:br w:type="page"/>
      </w:r>
    </w:p>
    <w:p w14:paraId="78DB2DC5">
      <w:pPr>
        <w:spacing w:line="360" w:lineRule="auto"/>
        <w:jc w:val="left"/>
        <w:outlineLvl w:val="2"/>
        <w:rPr>
          <w:rFonts w:ascii="黑体" w:hAnsi="黑体" w:eastAsia="黑体"/>
          <w:color w:val="auto"/>
          <w:sz w:val="28"/>
          <w:szCs w:val="27"/>
          <w:highlight w:val="none"/>
        </w:rPr>
      </w:pPr>
      <w:bookmarkStart w:id="153" w:name="_Toc179632602"/>
      <w:bookmarkStart w:id="154" w:name="_Toc152045584"/>
      <w:bookmarkStart w:id="155" w:name="_Toc17454927"/>
      <w:bookmarkStart w:id="156" w:name="_Toc8125"/>
      <w:bookmarkStart w:id="157" w:name="_Toc17451628"/>
      <w:bookmarkStart w:id="158" w:name="_Toc246996970"/>
      <w:bookmarkStart w:id="159" w:name="_Toc17451583"/>
      <w:bookmarkStart w:id="160" w:name="_Toc247085742"/>
      <w:bookmarkStart w:id="161" w:name="_Toc17454876"/>
      <w:bookmarkStart w:id="162" w:name="_Toc144974551"/>
      <w:bookmarkStart w:id="163" w:name="_Toc246996227"/>
      <w:bookmarkStart w:id="164" w:name="_Toc332641309"/>
      <w:bookmarkStart w:id="165" w:name="_Toc152042361"/>
      <w:bookmarkStart w:id="166" w:name="_Toc17451106"/>
      <w:bookmarkStart w:id="167" w:name="_Toc17452669"/>
      <w:bookmarkStart w:id="168" w:name="_Toc17556881"/>
      <w:bookmarkStart w:id="169" w:name="_Toc23250"/>
      <w:r>
        <w:rPr>
          <w:rFonts w:hint="eastAsia" w:ascii="黑体" w:hAnsi="黑体" w:eastAsia="黑体"/>
          <w:color w:val="auto"/>
          <w:sz w:val="28"/>
          <w:szCs w:val="27"/>
          <w:highlight w:val="none"/>
        </w:rPr>
        <w:t>附件四：中标通知书</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33FBE73">
      <w:pPr>
        <w:spacing w:line="360" w:lineRule="auto"/>
        <w:rPr>
          <w:color w:val="auto"/>
          <w:sz w:val="24"/>
          <w:highlight w:val="none"/>
        </w:rPr>
      </w:pPr>
      <w:r>
        <w:rPr>
          <w:color w:val="auto"/>
          <w:sz w:val="24"/>
          <w:highlight w:val="none"/>
        </w:rPr>
        <w:t xml:space="preserve">                              </w:t>
      </w:r>
    </w:p>
    <w:p w14:paraId="6D318C8F">
      <w:pPr>
        <w:spacing w:line="360" w:lineRule="auto"/>
        <w:ind w:firstLine="480" w:firstLineChars="200"/>
        <w:jc w:val="left"/>
        <w:rPr>
          <w:rFonts w:ascii="宋体" w:hAnsi="宋体"/>
          <w:color w:val="auto"/>
          <w:sz w:val="32"/>
          <w:highlight w:val="none"/>
        </w:rPr>
      </w:pPr>
      <w:r>
        <w:rPr>
          <w:rFonts w:hint="eastAsia"/>
          <w:color w:val="auto"/>
          <w:sz w:val="24"/>
          <w:szCs w:val="21"/>
          <w:highlight w:val="none"/>
          <w:u w:val="single"/>
        </w:rPr>
        <w:t>（说明：中标通知书采用</w:t>
      </w:r>
      <w:r>
        <w:rPr>
          <w:rFonts w:hint="eastAsia"/>
          <w:color w:val="auto"/>
          <w:sz w:val="24"/>
          <w:szCs w:val="21"/>
          <w:highlight w:val="none"/>
          <w:u w:val="single"/>
          <w:lang w:eastAsia="zh-CN"/>
        </w:rPr>
        <w:t>广州交易集团有限公司（广州公共资源交易中心）</w:t>
      </w:r>
      <w:r>
        <w:rPr>
          <w:rFonts w:hint="eastAsia"/>
          <w:color w:val="auto"/>
          <w:sz w:val="24"/>
          <w:szCs w:val="21"/>
          <w:highlight w:val="none"/>
          <w:u w:val="single"/>
        </w:rPr>
        <w:t>规定的格式）</w:t>
      </w:r>
    </w:p>
    <w:p w14:paraId="3FDAA261">
      <w:pPr>
        <w:spacing w:line="360" w:lineRule="auto"/>
        <w:ind w:firstLine="640" w:firstLineChars="200"/>
        <w:jc w:val="left"/>
        <w:outlineLvl w:val="9"/>
        <w:rPr>
          <w:rFonts w:ascii="黑体" w:hAnsi="黑体" w:eastAsia="黑体"/>
          <w:color w:val="auto"/>
          <w:sz w:val="28"/>
          <w:szCs w:val="27"/>
          <w:highlight w:val="none"/>
        </w:rPr>
      </w:pPr>
      <w:bookmarkStart w:id="170" w:name="_Toc262229168"/>
      <w:bookmarkStart w:id="171" w:name="_Toc155150492"/>
      <w:r>
        <w:rPr>
          <w:rFonts w:ascii="黑体" w:hAnsi="黑体" w:eastAsia="黑体"/>
          <w:color w:val="auto"/>
          <w:sz w:val="32"/>
          <w:szCs w:val="27"/>
          <w:highlight w:val="none"/>
        </w:rPr>
        <w:br w:type="page"/>
      </w:r>
      <w:bookmarkStart w:id="172" w:name="_Toc17451107"/>
      <w:bookmarkStart w:id="173" w:name="_Toc17556882"/>
      <w:bookmarkStart w:id="174" w:name="_Toc17452670"/>
      <w:bookmarkStart w:id="175" w:name="_Toc17451584"/>
      <w:bookmarkStart w:id="176" w:name="_Toc17454928"/>
      <w:bookmarkStart w:id="177" w:name="_Toc17451629"/>
      <w:bookmarkStart w:id="178" w:name="_Toc17454877"/>
      <w:bookmarkStart w:id="179" w:name="_Toc124"/>
      <w:r>
        <w:rPr>
          <w:rFonts w:hint="eastAsia" w:ascii="黑体" w:hAnsi="黑体" w:eastAsia="黑体" w:cs="Times New Roman"/>
          <w:color w:val="auto"/>
          <w:sz w:val="28"/>
          <w:szCs w:val="27"/>
          <w:highlight w:val="none"/>
        </w:rPr>
        <w:t>附件</w:t>
      </w:r>
      <w:r>
        <w:rPr>
          <w:rFonts w:hint="eastAsia" w:ascii="黑体" w:hAnsi="黑体" w:eastAsia="黑体" w:cs="Times New Roman"/>
          <w:color w:val="auto"/>
          <w:sz w:val="28"/>
          <w:szCs w:val="27"/>
          <w:highlight w:val="none"/>
          <w:lang w:val="en-US" w:eastAsia="zh-CN"/>
        </w:rPr>
        <w:t>五</w:t>
      </w:r>
      <w:r>
        <w:rPr>
          <w:rFonts w:hint="eastAsia" w:ascii="黑体" w:hAnsi="黑体" w:eastAsia="黑体" w:cs="Times New Roman"/>
          <w:color w:val="auto"/>
          <w:sz w:val="28"/>
          <w:szCs w:val="27"/>
          <w:highlight w:val="none"/>
        </w:rPr>
        <w:t>：评标委员会成员声明</w:t>
      </w:r>
    </w:p>
    <w:p w14:paraId="07CEADBF">
      <w:pPr>
        <w:ind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评标委员会成员声明</w:t>
      </w:r>
    </w:p>
    <w:p w14:paraId="495C52A3">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u w:val="single"/>
        </w:rPr>
        <w:t xml:space="preserve">本项目招标人  </w:t>
      </w:r>
      <w:r>
        <w:rPr>
          <w:rFonts w:hint="eastAsia" w:ascii="宋体" w:hAnsi="宋体" w:eastAsia="宋体"/>
          <w:color w:val="auto"/>
          <w:sz w:val="24"/>
          <w:szCs w:val="24"/>
          <w:highlight w:val="none"/>
        </w:rPr>
        <w:t>：</w:t>
      </w:r>
    </w:p>
    <w:p w14:paraId="7925E59F">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本人就参与项目的评标工作，作出郑重声明：</w:t>
      </w:r>
    </w:p>
    <w:p w14:paraId="34DFB6A3">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19657F7">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4431D5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20D24C3">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40CFE1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338111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如果本人违反上述声明内容，造成的后果由本人自行承担。</w:t>
      </w:r>
    </w:p>
    <w:p w14:paraId="257C39CC">
      <w:pPr>
        <w:spacing w:line="360" w:lineRule="auto"/>
        <w:ind w:firstLine="480" w:firstLineChars="200"/>
        <w:rPr>
          <w:rFonts w:ascii="宋体" w:hAnsi="宋体" w:eastAsia="宋体"/>
          <w:color w:val="auto"/>
          <w:sz w:val="24"/>
          <w:szCs w:val="24"/>
          <w:highlight w:val="none"/>
        </w:rPr>
      </w:pPr>
    </w:p>
    <w:p w14:paraId="2D88344A">
      <w:pPr>
        <w:spacing w:line="360" w:lineRule="auto"/>
        <w:jc w:val="center"/>
        <w:outlineLvl w:val="1"/>
        <w:rPr>
          <w:rFonts w:hint="eastAsia" w:ascii="宋体" w:hAnsi="宋体" w:cs="宋体"/>
          <w:color w:val="auto"/>
          <w:sz w:val="32"/>
          <w:szCs w:val="27"/>
          <w:highlight w:val="none"/>
        </w:rPr>
      </w:pPr>
      <w:r>
        <w:rPr>
          <w:rFonts w:hint="eastAsia" w:ascii="宋体" w:hAnsi="宋体" w:eastAsia="宋体"/>
          <w:color w:val="auto"/>
          <w:sz w:val="24"/>
          <w:szCs w:val="24"/>
          <w:highlight w:val="none"/>
        </w:rPr>
        <w:t xml:space="preserve">                             </w:t>
      </w:r>
      <w:bookmarkStart w:id="180" w:name="_Toc17966"/>
      <w:r>
        <w:rPr>
          <w:rFonts w:hint="eastAsia" w:ascii="宋体" w:hAnsi="宋体" w:eastAsia="宋体"/>
          <w:color w:val="auto"/>
          <w:sz w:val="24"/>
          <w:szCs w:val="24"/>
          <w:highlight w:val="none"/>
        </w:rPr>
        <w:t>声明人：</w:t>
      </w:r>
      <w:r>
        <w:rPr>
          <w:rFonts w:hint="eastAsia" w:ascii="宋体" w:hAnsi="宋体" w:eastAsia="宋体"/>
          <w:color w:val="auto"/>
          <w:sz w:val="24"/>
          <w:szCs w:val="24"/>
          <w:highlight w:val="none"/>
          <w:u w:val="single"/>
        </w:rPr>
        <w:t>（签名）</w:t>
      </w:r>
      <w:bookmarkEnd w:id="180"/>
      <w:r>
        <w:rPr>
          <w:rFonts w:hint="eastAsia" w:ascii="宋体" w:hAnsi="宋体" w:eastAsia="宋体"/>
          <w:color w:val="auto"/>
          <w:sz w:val="24"/>
          <w:szCs w:val="24"/>
          <w:highlight w:val="none"/>
          <w:u w:val="single"/>
        </w:rPr>
        <w:t xml:space="preserve">  </w:t>
      </w:r>
    </w:p>
    <w:p w14:paraId="123C7D26">
      <w:pPr>
        <w:spacing w:line="360" w:lineRule="auto"/>
        <w:jc w:val="center"/>
        <w:outlineLvl w:val="1"/>
        <w:rPr>
          <w:rFonts w:hint="eastAsia" w:ascii="宋体" w:hAnsi="宋体" w:cs="宋体"/>
          <w:b/>
          <w:bCs/>
          <w:color w:val="auto"/>
          <w:sz w:val="30"/>
          <w:szCs w:val="30"/>
          <w:highlight w:val="none"/>
        </w:rPr>
        <w:sectPr>
          <w:footerReference r:id="rId5"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2879AA3C">
      <w:pPr>
        <w:spacing w:line="360" w:lineRule="auto"/>
        <w:jc w:val="center"/>
        <w:outlineLvl w:val="1"/>
        <w:rPr>
          <w:rFonts w:hint="eastAsia" w:ascii="黑体" w:hAnsi="黑体" w:eastAsia="黑体"/>
          <w:color w:val="auto"/>
          <w:sz w:val="32"/>
          <w:szCs w:val="27"/>
          <w:highlight w:val="none"/>
        </w:rPr>
      </w:pPr>
      <w:bookmarkStart w:id="181" w:name="_Toc1868"/>
      <w:r>
        <w:rPr>
          <w:rFonts w:hint="eastAsia" w:ascii="黑体" w:hAnsi="黑体" w:eastAsia="黑体"/>
          <w:color w:val="auto"/>
          <w:sz w:val="32"/>
          <w:szCs w:val="27"/>
          <w:highlight w:val="none"/>
        </w:rPr>
        <w:t>第三章 评标及定标办法</w:t>
      </w:r>
      <w:bookmarkEnd w:id="170"/>
      <w:bookmarkEnd w:id="171"/>
      <w:bookmarkEnd w:id="172"/>
      <w:bookmarkEnd w:id="173"/>
      <w:bookmarkEnd w:id="174"/>
      <w:bookmarkEnd w:id="175"/>
      <w:bookmarkEnd w:id="176"/>
      <w:bookmarkEnd w:id="177"/>
      <w:bookmarkEnd w:id="178"/>
      <w:bookmarkEnd w:id="179"/>
      <w:bookmarkEnd w:id="181"/>
    </w:p>
    <w:p w14:paraId="1ED84838">
      <w:pPr>
        <w:spacing w:line="360" w:lineRule="auto"/>
        <w:jc w:val="center"/>
        <w:outlineLvl w:val="2"/>
        <w:rPr>
          <w:rFonts w:ascii="黑体" w:hAnsi="黑体" w:eastAsia="黑体"/>
          <w:color w:val="auto"/>
          <w:sz w:val="28"/>
          <w:szCs w:val="27"/>
          <w:highlight w:val="none"/>
        </w:rPr>
      </w:pPr>
      <w:bookmarkStart w:id="182" w:name="_Toc28639"/>
      <w:bookmarkStart w:id="183" w:name="_Toc17556883"/>
      <w:bookmarkStart w:id="184" w:name="_Toc17451630"/>
      <w:bookmarkStart w:id="185" w:name="_Toc262229169"/>
      <w:bookmarkStart w:id="186" w:name="_Toc17452671"/>
      <w:bookmarkStart w:id="187" w:name="_Toc17451108"/>
      <w:bookmarkStart w:id="188" w:name="_Toc155150493"/>
      <w:bookmarkStart w:id="189" w:name="_Toc17454929"/>
      <w:bookmarkStart w:id="190" w:name="_Toc17454878"/>
      <w:bookmarkStart w:id="191" w:name="_Toc17451585"/>
      <w:bookmarkStart w:id="192" w:name="_Toc10637"/>
      <w:r>
        <w:rPr>
          <w:rFonts w:hint="eastAsia" w:ascii="黑体" w:hAnsi="黑体" w:eastAsia="黑体"/>
          <w:color w:val="auto"/>
          <w:sz w:val="28"/>
          <w:szCs w:val="27"/>
          <w:highlight w:val="none"/>
        </w:rPr>
        <w:t>一、评标及定标办法修改表</w:t>
      </w:r>
      <w:bookmarkEnd w:id="182"/>
      <w:bookmarkEnd w:id="183"/>
      <w:bookmarkEnd w:id="184"/>
      <w:bookmarkEnd w:id="185"/>
      <w:bookmarkEnd w:id="186"/>
      <w:bookmarkEnd w:id="187"/>
      <w:bookmarkEnd w:id="188"/>
      <w:bookmarkEnd w:id="189"/>
      <w:bookmarkEnd w:id="190"/>
      <w:bookmarkEnd w:id="191"/>
      <w:bookmarkEnd w:id="192"/>
    </w:p>
    <w:p w14:paraId="28505DF2">
      <w:pPr>
        <w:pBdr>
          <w:bottom w:val="single" w:color="auto" w:sz="6" w:space="1"/>
        </w:pBdr>
        <w:spacing w:line="360" w:lineRule="auto"/>
        <w:ind w:firstLine="540" w:firstLineChars="224"/>
        <w:rPr>
          <w:rFonts w:hint="eastAsia" w:ascii="宋体" w:hAnsi="宋体" w:cs="宋体"/>
          <w:color w:val="auto"/>
          <w:sz w:val="24"/>
          <w:szCs w:val="21"/>
          <w:highlight w:val="none"/>
        </w:rPr>
      </w:pPr>
      <w:r>
        <w:rPr>
          <w:rFonts w:hint="eastAsia" w:ascii="宋体" w:hAnsi="宋体" w:cs="宋体"/>
          <w:b/>
          <w:color w:val="auto"/>
          <w:sz w:val="24"/>
          <w:highlight w:val="none"/>
        </w:rPr>
        <w:t>本修改表是对评标及定标办法</w:t>
      </w:r>
      <w:r>
        <w:rPr>
          <w:rFonts w:hint="eastAsia" w:ascii="宋体" w:hAnsi="宋体" w:cs="宋体"/>
          <w:b/>
          <w:color w:val="auto"/>
          <w:sz w:val="24"/>
          <w:szCs w:val="21"/>
          <w:highlight w:val="none"/>
        </w:rPr>
        <w:t>通用条款的修改，与该通用条款不同之处，均在本表中列明，并以现文为准，原文不再有效</w:t>
      </w:r>
      <w:r>
        <w:rPr>
          <w:rFonts w:hint="eastAsia" w:ascii="宋体" w:hAnsi="宋体" w:cs="宋体"/>
          <w:color w:val="auto"/>
          <w:sz w:val="24"/>
          <w:szCs w:val="21"/>
          <w:highlight w:val="none"/>
        </w:rPr>
        <w:t>。</w:t>
      </w:r>
    </w:p>
    <w:p w14:paraId="4A4612F3">
      <w:pPr>
        <w:spacing w:line="360" w:lineRule="auto"/>
        <w:ind w:firstLine="540" w:firstLineChars="224"/>
        <w:rPr>
          <w:rFonts w:hint="eastAsia" w:ascii="宋体" w:hAnsi="宋体" w:cs="宋体"/>
          <w:color w:val="auto"/>
          <w:sz w:val="24"/>
          <w:szCs w:val="21"/>
          <w:highlight w:val="none"/>
        </w:rPr>
      </w:pPr>
      <w:r>
        <w:rPr>
          <w:rFonts w:hint="eastAsia" w:ascii="宋体" w:hAnsi="宋体" w:cs="宋体"/>
          <w:b/>
          <w:bCs/>
          <w:color w:val="auto"/>
          <w:sz w:val="24"/>
          <w:szCs w:val="21"/>
          <w:highlight w:val="none"/>
        </w:rPr>
        <w:t>条款号：</w:t>
      </w:r>
      <w:r>
        <w:rPr>
          <w:rFonts w:hint="eastAsia" w:ascii="宋体" w:hAnsi="宋体" w:cs="宋体"/>
          <w:b/>
          <w:bCs/>
          <w:color w:val="auto"/>
          <w:sz w:val="24"/>
          <w:szCs w:val="21"/>
          <w:highlight w:val="none"/>
          <w:lang w:val="en-US" w:eastAsia="zh-CN"/>
        </w:rPr>
        <w:t>/</w:t>
      </w:r>
      <w:r>
        <w:rPr>
          <w:rFonts w:hint="eastAsia" w:ascii="宋体" w:hAnsi="宋体" w:cs="宋体"/>
          <w:b/>
          <w:bCs/>
          <w:color w:val="auto"/>
          <w:sz w:val="24"/>
          <w:szCs w:val="21"/>
          <w:highlight w:val="none"/>
        </w:rPr>
        <w:t xml:space="preserve">             修改类型：删除</w:t>
      </w:r>
    </w:p>
    <w:p w14:paraId="14FA311C">
      <w:pPr>
        <w:pBdr>
          <w:bottom w:val="single" w:color="auto" w:sz="6" w:space="1"/>
        </w:pBdr>
        <w:spacing w:line="360" w:lineRule="auto"/>
        <w:ind w:firstLine="540" w:firstLineChars="224"/>
        <w:rPr>
          <w:rFonts w:hint="eastAsia" w:ascii="宋体" w:hAnsi="宋体" w:cs="宋体"/>
          <w:color w:val="auto"/>
          <w:sz w:val="24"/>
          <w:szCs w:val="21"/>
          <w:highlight w:val="none"/>
        </w:rPr>
      </w:pPr>
      <w:r>
        <w:rPr>
          <w:rFonts w:hint="eastAsia" w:ascii="宋体" w:hAnsi="宋体" w:cs="宋体"/>
          <w:b/>
          <w:bCs/>
          <w:color w:val="auto"/>
          <w:sz w:val="24"/>
          <w:szCs w:val="21"/>
          <w:highlight w:val="none"/>
        </w:rPr>
        <w:t>原文：</w:t>
      </w:r>
      <w:r>
        <w:rPr>
          <w:rFonts w:hint="eastAsia" w:ascii="宋体" w:hAnsi="宋体" w:cs="宋体"/>
          <w:color w:val="auto"/>
          <w:sz w:val="24"/>
          <w:szCs w:val="21"/>
          <w:highlight w:val="none"/>
        </w:rPr>
        <w:t>可选方法一：综合评估法一（综合评估分值由技术、商务、投标报价和诚信分数组成）</w:t>
      </w:r>
      <w:r>
        <w:rPr>
          <w:rFonts w:hint="eastAsia" w:ascii="宋体" w:hAnsi="宋体" w:cs="宋体"/>
          <w:color w:val="auto"/>
          <w:sz w:val="24"/>
          <w:szCs w:val="21"/>
          <w:highlight w:val="none"/>
          <w:lang w:val="en-US" w:eastAsia="zh-CN"/>
        </w:rPr>
        <w:t>；可选方法二：综合评估法二（综合评估分值由投标报价和诚信分数组成）（对不需技术标的，不做表中技术部分的评审）；</w:t>
      </w:r>
      <w:r>
        <w:rPr>
          <w:rFonts w:hint="eastAsia" w:ascii="宋体" w:hAnsi="宋体" w:cs="宋体"/>
          <w:color w:val="auto"/>
          <w:sz w:val="24"/>
          <w:szCs w:val="21"/>
          <w:highlight w:val="none"/>
        </w:rPr>
        <w:t>可选方法三：综合评估法三（综合评估分值由投标报价和诚信分数组成，投标人无需编制技术文件）</w:t>
      </w:r>
      <w:r>
        <w:rPr>
          <w:rFonts w:hint="eastAsia" w:ascii="宋体" w:hAnsi="宋体" w:cs="宋体"/>
          <w:color w:val="auto"/>
          <w:sz w:val="24"/>
          <w:szCs w:val="21"/>
          <w:highlight w:val="none"/>
          <w:lang w:eastAsia="zh-CN"/>
        </w:rPr>
        <w:t>；</w:t>
      </w:r>
      <w:r>
        <w:rPr>
          <w:rFonts w:hint="eastAsia" w:ascii="宋体" w:hAnsi="宋体" w:cs="宋体"/>
          <w:color w:val="auto"/>
          <w:sz w:val="24"/>
          <w:szCs w:val="21"/>
          <w:highlight w:val="none"/>
        </w:rPr>
        <w:t>评标办法（经评审的最低投标价法）</w:t>
      </w:r>
      <w:r>
        <w:rPr>
          <w:rFonts w:hint="eastAsia" w:ascii="宋体" w:hAnsi="宋体" w:cs="宋体"/>
          <w:color w:val="auto"/>
          <w:sz w:val="24"/>
          <w:szCs w:val="21"/>
          <w:highlight w:val="none"/>
          <w:lang w:eastAsia="zh-CN"/>
        </w:rPr>
        <w:t>；评标办法（两阶段评标法）</w:t>
      </w:r>
      <w:r>
        <w:rPr>
          <w:rFonts w:hint="eastAsia" w:ascii="宋体" w:hAnsi="宋体" w:cs="宋体"/>
          <w:color w:val="auto"/>
          <w:sz w:val="24"/>
          <w:szCs w:val="21"/>
          <w:highlight w:val="none"/>
        </w:rPr>
        <w:t>。</w:t>
      </w:r>
    </w:p>
    <w:p w14:paraId="557576F6">
      <w:pPr>
        <w:spacing w:line="360" w:lineRule="auto"/>
        <w:rPr>
          <w:rFonts w:hint="eastAsia" w:ascii="宋体" w:hAnsi="宋体" w:cs="宋体"/>
          <w:color w:val="auto"/>
          <w:sz w:val="24"/>
          <w:szCs w:val="21"/>
          <w:highlight w:val="none"/>
        </w:rPr>
      </w:pPr>
      <w:r>
        <w:rPr>
          <w:rFonts w:hint="eastAsia" w:ascii="宋体" w:hAnsi="宋体" w:cs="宋体"/>
          <w:color w:val="auto"/>
          <w:sz w:val="24"/>
          <w:szCs w:val="21"/>
          <w:highlight w:val="none"/>
        </w:rPr>
        <w:t>注：以上修改，仅限于本范本中有可供选择条款的情形。</w:t>
      </w:r>
    </w:p>
    <w:p w14:paraId="73C0C2D7">
      <w:pPr>
        <w:spacing w:line="360" w:lineRule="auto"/>
        <w:rPr>
          <w:rFonts w:hint="eastAsia" w:ascii="宋体" w:hAnsi="宋体" w:cs="宋体"/>
          <w:color w:val="auto"/>
          <w:sz w:val="24"/>
          <w:highlight w:val="none"/>
        </w:rPr>
      </w:pPr>
      <w:r>
        <w:rPr>
          <w:rFonts w:hint="eastAsia" w:ascii="宋体" w:hAnsi="宋体" w:cs="宋体"/>
          <w:color w:val="auto"/>
          <w:sz w:val="24"/>
          <w:szCs w:val="21"/>
          <w:highlight w:val="none"/>
        </w:rPr>
        <w:t>（以下无正文）</w:t>
      </w:r>
    </w:p>
    <w:p w14:paraId="292C8D57">
      <w:pPr>
        <w:widowControl/>
        <w:jc w:val="left"/>
        <w:rPr>
          <w:rFonts w:ascii="宋体" w:hAnsi="宋体"/>
          <w:color w:val="auto"/>
          <w:sz w:val="24"/>
          <w:highlight w:val="none"/>
        </w:rPr>
      </w:pPr>
      <w:r>
        <w:rPr>
          <w:rFonts w:ascii="宋体" w:hAnsi="宋体"/>
          <w:color w:val="auto"/>
          <w:sz w:val="24"/>
          <w:highlight w:val="none"/>
        </w:rPr>
        <w:br w:type="page"/>
      </w:r>
    </w:p>
    <w:p w14:paraId="26E54D15">
      <w:pPr>
        <w:spacing w:line="360" w:lineRule="auto"/>
        <w:jc w:val="center"/>
        <w:outlineLvl w:val="2"/>
        <w:rPr>
          <w:rFonts w:hint="eastAsia" w:ascii="宋体" w:hAnsi="宋体" w:cs="宋体"/>
          <w:color w:val="auto"/>
          <w:sz w:val="28"/>
          <w:szCs w:val="27"/>
          <w:highlight w:val="none"/>
        </w:rPr>
      </w:pPr>
      <w:bookmarkStart w:id="193" w:name="_Toc17451631"/>
      <w:bookmarkStart w:id="194" w:name="_Toc17451586"/>
      <w:bookmarkStart w:id="195" w:name="_Toc17454930"/>
      <w:bookmarkStart w:id="196" w:name="_Toc17451109"/>
      <w:bookmarkStart w:id="197" w:name="_Toc17452672"/>
      <w:bookmarkStart w:id="198" w:name="_Toc17454879"/>
      <w:bookmarkStart w:id="199" w:name="_Toc17556884"/>
      <w:bookmarkStart w:id="200" w:name="_Toc1132"/>
      <w:bookmarkStart w:id="201" w:name="_Toc262229174"/>
      <w:r>
        <w:rPr>
          <w:rFonts w:hint="eastAsia" w:ascii="宋体" w:hAnsi="宋体" w:cs="宋体"/>
          <w:color w:val="auto"/>
          <w:sz w:val="28"/>
          <w:szCs w:val="27"/>
          <w:highlight w:val="none"/>
        </w:rPr>
        <w:t>二、评标及定标办法通用条款</w:t>
      </w:r>
      <w:bookmarkEnd w:id="193"/>
      <w:bookmarkEnd w:id="194"/>
      <w:bookmarkEnd w:id="195"/>
      <w:bookmarkEnd w:id="196"/>
      <w:bookmarkEnd w:id="197"/>
      <w:bookmarkEnd w:id="198"/>
      <w:bookmarkEnd w:id="199"/>
      <w:bookmarkEnd w:id="200"/>
    </w:p>
    <w:p w14:paraId="2AA852FF">
      <w:pPr>
        <w:spacing w:line="360" w:lineRule="auto"/>
        <w:outlineLvl w:val="2"/>
        <w:rPr>
          <w:rFonts w:hint="eastAsia" w:ascii="宋体" w:hAnsi="宋体" w:cs="宋体"/>
          <w:strike w:val="0"/>
          <w:color w:val="auto"/>
          <w:sz w:val="28"/>
          <w:szCs w:val="27"/>
          <w:highlight w:val="none"/>
        </w:rPr>
      </w:pPr>
    </w:p>
    <w:p w14:paraId="181E5005">
      <w:pPr>
        <w:spacing w:line="360" w:lineRule="auto"/>
        <w:jc w:val="center"/>
        <w:outlineLvl w:val="2"/>
        <w:rPr>
          <w:rFonts w:hint="eastAsia" w:ascii="宋体" w:hAnsi="宋体" w:cs="宋体"/>
          <w:strike/>
          <w:dstrike w:val="0"/>
          <w:color w:val="auto"/>
          <w:sz w:val="28"/>
          <w:szCs w:val="27"/>
          <w:highlight w:val="none"/>
        </w:rPr>
      </w:pPr>
      <w:bookmarkStart w:id="202" w:name="_Toc5101"/>
      <w:bookmarkStart w:id="203" w:name="_Toc21787700"/>
      <w:bookmarkStart w:id="204" w:name="_Toc6041"/>
      <w:r>
        <w:rPr>
          <w:rFonts w:hint="eastAsia" w:ascii="黑体" w:hAnsi="黑体" w:eastAsia="黑体"/>
          <w:color w:val="auto"/>
          <w:sz w:val="28"/>
          <w:szCs w:val="27"/>
          <w:highlight w:val="none"/>
        </w:rPr>
        <w:t>可选方法：</w:t>
      </w:r>
      <w:bookmarkEnd w:id="202"/>
      <w:bookmarkEnd w:id="203"/>
      <w:r>
        <w:rPr>
          <w:rFonts w:hint="eastAsia" w:ascii="黑体" w:hAnsi="黑体" w:eastAsia="黑体"/>
          <w:color w:val="auto"/>
          <w:sz w:val="28"/>
          <w:szCs w:val="27"/>
          <w:highlight w:val="none"/>
        </w:rPr>
        <w:t>经评审的最低投标价法（二）（由招标人自行制定）</w:t>
      </w:r>
      <w:bookmarkEnd w:id="204"/>
    </w:p>
    <w:p w14:paraId="64DFA2BE">
      <w:pPr>
        <w:spacing w:line="360" w:lineRule="auto"/>
        <w:jc w:val="center"/>
        <w:rPr>
          <w:rFonts w:hint="eastAsia" w:ascii="宋体" w:hAnsi="宋体" w:cs="宋体"/>
          <w:b/>
          <w:strike w:val="0"/>
          <w:color w:val="auto"/>
          <w:sz w:val="28"/>
          <w:highlight w:val="none"/>
        </w:rPr>
      </w:pPr>
      <w:r>
        <w:rPr>
          <w:rFonts w:hint="eastAsia" w:ascii="宋体" w:hAnsi="宋体" w:cs="宋体"/>
          <w:b/>
          <w:strike w:val="0"/>
          <w:color w:val="auto"/>
          <w:sz w:val="28"/>
          <w:highlight w:val="none"/>
        </w:rPr>
        <w:t>评标办法前附表</w:t>
      </w:r>
    </w:p>
    <w:tbl>
      <w:tblPr>
        <w:tblStyle w:val="17"/>
        <w:tblW w:w="483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954"/>
        <w:gridCol w:w="2223"/>
        <w:gridCol w:w="5008"/>
      </w:tblGrid>
      <w:tr w14:paraId="0E3EB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957" w:type="pct"/>
            <w:gridSpan w:val="2"/>
            <w:tcBorders>
              <w:top w:val="single" w:color="auto" w:sz="4" w:space="0"/>
              <w:bottom w:val="single" w:color="auto" w:sz="4" w:space="0"/>
              <w:right w:val="single" w:color="auto" w:sz="4" w:space="0"/>
            </w:tcBorders>
            <w:noWrap w:val="0"/>
            <w:vAlign w:val="center"/>
          </w:tcPr>
          <w:p w14:paraId="66EAD194">
            <w:pPr>
              <w:spacing w:line="360" w:lineRule="auto"/>
              <w:jc w:val="center"/>
              <w:rPr>
                <w:rFonts w:hint="eastAsia" w:ascii="宋体" w:hAnsi="宋体" w:eastAsia="宋体" w:cs="宋体"/>
                <w:b/>
                <w:strike w:val="0"/>
                <w:color w:val="auto"/>
                <w:sz w:val="21"/>
                <w:szCs w:val="21"/>
                <w:highlight w:val="none"/>
              </w:rPr>
            </w:pPr>
            <w:r>
              <w:rPr>
                <w:rFonts w:hint="eastAsia" w:ascii="宋体" w:hAnsi="宋体" w:eastAsia="宋体" w:cs="宋体"/>
                <w:b/>
                <w:strike w:val="0"/>
                <w:color w:val="auto"/>
                <w:sz w:val="21"/>
                <w:szCs w:val="21"/>
                <w:highlight w:val="none"/>
              </w:rPr>
              <w:t>条款号</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68718B5C">
            <w:pPr>
              <w:spacing w:line="360" w:lineRule="auto"/>
              <w:jc w:val="center"/>
              <w:rPr>
                <w:rFonts w:hint="eastAsia" w:ascii="宋体" w:hAnsi="宋体" w:eastAsia="宋体" w:cs="宋体"/>
                <w:b/>
                <w:strike w:val="0"/>
                <w:color w:val="auto"/>
                <w:sz w:val="21"/>
                <w:szCs w:val="21"/>
                <w:highlight w:val="none"/>
              </w:rPr>
            </w:pPr>
            <w:r>
              <w:rPr>
                <w:rFonts w:hint="eastAsia" w:ascii="宋体" w:hAnsi="宋体" w:eastAsia="宋体" w:cs="宋体"/>
                <w:b/>
                <w:strike w:val="0"/>
                <w:color w:val="auto"/>
                <w:sz w:val="21"/>
                <w:szCs w:val="21"/>
                <w:highlight w:val="none"/>
              </w:rPr>
              <w:t>评审因素</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7BD47F25">
            <w:pPr>
              <w:spacing w:line="360" w:lineRule="auto"/>
              <w:jc w:val="center"/>
              <w:rPr>
                <w:rFonts w:hint="eastAsia" w:ascii="宋体" w:hAnsi="宋体" w:eastAsia="宋体" w:cs="宋体"/>
                <w:b/>
                <w:strike w:val="0"/>
                <w:color w:val="auto"/>
                <w:sz w:val="21"/>
                <w:szCs w:val="21"/>
                <w:highlight w:val="none"/>
              </w:rPr>
            </w:pPr>
            <w:r>
              <w:rPr>
                <w:rFonts w:hint="eastAsia" w:ascii="宋体" w:hAnsi="宋体" w:eastAsia="宋体" w:cs="宋体"/>
                <w:b/>
                <w:strike w:val="0"/>
                <w:color w:val="auto"/>
                <w:sz w:val="21"/>
                <w:szCs w:val="21"/>
                <w:highlight w:val="none"/>
              </w:rPr>
              <w:t>评审标准</w:t>
            </w:r>
          </w:p>
        </w:tc>
      </w:tr>
      <w:tr w14:paraId="5967C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restart"/>
            <w:tcBorders>
              <w:top w:val="single" w:color="auto" w:sz="4" w:space="0"/>
              <w:right w:val="single" w:color="auto" w:sz="4" w:space="0"/>
            </w:tcBorders>
            <w:noWrap w:val="0"/>
            <w:vAlign w:val="center"/>
          </w:tcPr>
          <w:p w14:paraId="1FC79E33">
            <w:pPr>
              <w:spacing w:line="360" w:lineRule="auto"/>
              <w:jc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2.1.1</w:t>
            </w:r>
          </w:p>
        </w:tc>
        <w:tc>
          <w:tcPr>
            <w:tcW w:w="533" w:type="pct"/>
            <w:vMerge w:val="restart"/>
            <w:tcBorders>
              <w:top w:val="single" w:color="auto" w:sz="4" w:space="0"/>
              <w:left w:val="single" w:color="auto" w:sz="4" w:space="0"/>
              <w:right w:val="single" w:color="auto" w:sz="4" w:space="0"/>
            </w:tcBorders>
            <w:noWrap w:val="0"/>
            <w:vAlign w:val="center"/>
          </w:tcPr>
          <w:p w14:paraId="638F1DB7">
            <w:pPr>
              <w:spacing w:line="360" w:lineRule="auto"/>
              <w:jc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资格评审标准（营业执照、安全生产许可证、资质等级、项目负责人资格、</w:t>
            </w:r>
            <w:r>
              <w:rPr>
                <w:rFonts w:hint="eastAsia" w:ascii="宋体" w:hAnsi="宋体" w:eastAsia="宋体" w:cs="宋体"/>
                <w:strike w:val="0"/>
                <w:color w:val="auto"/>
                <w:sz w:val="21"/>
                <w:szCs w:val="21"/>
                <w:highlight w:val="none"/>
                <w:lang w:val="en-US" w:eastAsia="zh-CN"/>
              </w:rPr>
              <w:t>专职</w:t>
            </w:r>
            <w:r>
              <w:rPr>
                <w:rFonts w:hint="eastAsia" w:ascii="宋体" w:hAnsi="宋体" w:eastAsia="宋体" w:cs="宋体"/>
                <w:strike w:val="0"/>
                <w:color w:val="auto"/>
                <w:sz w:val="21"/>
                <w:szCs w:val="21"/>
                <w:highlight w:val="none"/>
              </w:rPr>
              <w:t>安全员等信息取自交易中心信息库，其他在投标文件中提交）</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7D565AE8">
            <w:pPr>
              <w:spacing w:line="276" w:lineRule="auto"/>
              <w:jc w:val="center"/>
              <w:rPr>
                <w:rFonts w:hint="eastAsia" w:ascii="宋体" w:hAnsi="宋体" w:eastAsia="宋体" w:cs="宋体"/>
                <w:strike w:val="0"/>
                <w:color w:val="auto"/>
                <w:sz w:val="21"/>
                <w:szCs w:val="21"/>
                <w:highlight w:val="none"/>
                <w:u w:val="single"/>
              </w:rPr>
            </w:pPr>
            <w:r>
              <w:rPr>
                <w:rFonts w:hint="eastAsia" w:ascii="宋体" w:hAnsi="宋体"/>
                <w:color w:val="auto"/>
                <w:szCs w:val="21"/>
                <w:highlight w:val="none"/>
              </w:rPr>
              <w:t>营业执照</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7A0E0E9B">
            <w:pPr>
              <w:spacing w:line="276" w:lineRule="auto"/>
              <w:jc w:val="both"/>
              <w:rPr>
                <w:rFonts w:hint="eastAsia" w:ascii="宋体" w:hAnsi="宋体" w:eastAsia="宋体" w:cs="宋体"/>
                <w:strike w:val="0"/>
                <w:color w:val="auto"/>
                <w:sz w:val="21"/>
                <w:szCs w:val="21"/>
                <w:highlight w:val="none"/>
                <w:u w:val="single"/>
              </w:rPr>
            </w:pPr>
            <w:r>
              <w:rPr>
                <w:rFonts w:hint="eastAsia" w:ascii="宋体" w:hAnsi="宋体"/>
                <w:color w:val="auto"/>
                <w:szCs w:val="21"/>
                <w:highlight w:val="none"/>
              </w:rPr>
              <w:t>具备有效的营业执照</w:t>
            </w:r>
            <w:r>
              <w:rPr>
                <w:rFonts w:hint="eastAsia" w:ascii="宋体" w:hAnsi="宋体" w:cs="宋体"/>
                <w:color w:val="auto"/>
                <w:highlight w:val="none"/>
                <w:u w:val="single"/>
                <w:lang w:eastAsia="zh-CN"/>
              </w:rPr>
              <w:t>扫描件或电子证照</w:t>
            </w:r>
            <w:r>
              <w:rPr>
                <w:rFonts w:hint="eastAsia" w:ascii="宋体" w:hAnsi="宋体" w:eastAsia="宋体" w:cs="宋体"/>
                <w:color w:val="auto"/>
                <w:highlight w:val="none"/>
              </w:rPr>
              <w:t>。</w:t>
            </w:r>
          </w:p>
        </w:tc>
      </w:tr>
      <w:tr w14:paraId="329E4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5CA25030">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left w:val="single" w:color="auto" w:sz="4" w:space="0"/>
              <w:right w:val="single" w:color="auto" w:sz="4" w:space="0"/>
            </w:tcBorders>
            <w:noWrap w:val="0"/>
            <w:vAlign w:val="center"/>
          </w:tcPr>
          <w:p w14:paraId="79898335">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072C9963">
            <w:pPr>
              <w:spacing w:line="276" w:lineRule="auto"/>
              <w:jc w:val="center"/>
              <w:rPr>
                <w:rFonts w:hint="eastAsia" w:ascii="宋体" w:hAnsi="宋体" w:eastAsia="宋体" w:cs="宋体"/>
                <w:strike w:val="0"/>
                <w:color w:val="auto"/>
                <w:sz w:val="21"/>
                <w:szCs w:val="21"/>
                <w:highlight w:val="none"/>
                <w:u w:val="single"/>
              </w:rPr>
            </w:pPr>
            <w:r>
              <w:rPr>
                <w:rFonts w:hint="eastAsia" w:ascii="宋体" w:hAnsi="宋体"/>
                <w:color w:val="auto"/>
                <w:szCs w:val="21"/>
                <w:highlight w:val="none"/>
              </w:rPr>
              <w:t>安全生产许可证</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78F4C70A">
            <w:pPr>
              <w:spacing w:line="276" w:lineRule="auto"/>
              <w:jc w:val="both"/>
              <w:rPr>
                <w:rFonts w:hint="eastAsia" w:ascii="宋体" w:hAnsi="宋体" w:eastAsia="宋体" w:cs="宋体"/>
                <w:strike w:val="0"/>
                <w:color w:val="auto"/>
                <w:sz w:val="21"/>
                <w:szCs w:val="21"/>
                <w:highlight w:val="none"/>
                <w:u w:val="single"/>
              </w:rPr>
            </w:pPr>
            <w:r>
              <w:rPr>
                <w:rFonts w:hint="eastAsia" w:ascii="宋体" w:hAnsi="宋体"/>
                <w:color w:val="auto"/>
                <w:szCs w:val="21"/>
                <w:highlight w:val="none"/>
              </w:rPr>
              <w:t>具有有效的建设行政主管部门颁发的安全生产许可证</w:t>
            </w:r>
            <w:r>
              <w:rPr>
                <w:rFonts w:hint="eastAsia" w:ascii="宋体" w:hAnsi="宋体" w:cs="宋体"/>
                <w:color w:val="auto"/>
                <w:highlight w:val="none"/>
                <w:u w:val="single"/>
                <w:lang w:eastAsia="zh-CN"/>
              </w:rPr>
              <w:t>扫描件或电子证照</w:t>
            </w:r>
            <w:r>
              <w:rPr>
                <w:rFonts w:hint="eastAsia" w:ascii="宋体" w:hAnsi="宋体" w:eastAsia="宋体" w:cs="宋体"/>
                <w:color w:val="auto"/>
                <w:highlight w:val="none"/>
              </w:rPr>
              <w:t>。</w:t>
            </w:r>
          </w:p>
        </w:tc>
      </w:tr>
      <w:tr w14:paraId="45FC1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6031253F">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left w:val="single" w:color="auto" w:sz="4" w:space="0"/>
              <w:right w:val="single" w:color="auto" w:sz="4" w:space="0"/>
            </w:tcBorders>
            <w:noWrap w:val="0"/>
            <w:vAlign w:val="center"/>
          </w:tcPr>
          <w:p w14:paraId="7660D96E">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1AFC4C94">
            <w:pPr>
              <w:spacing w:line="276" w:lineRule="auto"/>
              <w:jc w:val="center"/>
              <w:rPr>
                <w:rFonts w:hint="eastAsia" w:ascii="宋体" w:hAnsi="宋体" w:eastAsia="宋体" w:cs="宋体"/>
                <w:strike w:val="0"/>
                <w:color w:val="auto"/>
                <w:sz w:val="21"/>
                <w:szCs w:val="21"/>
                <w:highlight w:val="none"/>
                <w:u w:val="single"/>
              </w:rPr>
            </w:pPr>
            <w:r>
              <w:rPr>
                <w:rFonts w:hint="eastAsia" w:ascii="宋体" w:hAnsi="宋体"/>
                <w:color w:val="auto"/>
                <w:szCs w:val="21"/>
                <w:highlight w:val="none"/>
              </w:rPr>
              <w:t>资质等级</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77CBAD77">
            <w:pPr>
              <w:spacing w:line="276" w:lineRule="auto"/>
              <w:jc w:val="both"/>
              <w:rPr>
                <w:rFonts w:hint="eastAsia" w:ascii="宋体" w:hAnsi="宋体" w:eastAsia="宋体" w:cs="宋体"/>
                <w:strike w:val="0"/>
                <w:color w:val="auto"/>
                <w:sz w:val="21"/>
                <w:szCs w:val="21"/>
                <w:highlight w:val="none"/>
                <w:u w:val="single"/>
                <w:lang w:eastAsia="zh-CN"/>
              </w:rPr>
            </w:pPr>
            <w:r>
              <w:rPr>
                <w:rFonts w:hint="eastAsia" w:ascii="宋体" w:hAnsi="宋体" w:eastAsia="宋体" w:cs="宋体"/>
                <w:color w:val="auto"/>
                <w:szCs w:val="21"/>
                <w:highlight w:val="none"/>
              </w:rPr>
              <w:t>符合第二章“投标人须知”第1.4.1项规定</w:t>
            </w:r>
            <w:r>
              <w:rPr>
                <w:rFonts w:hint="eastAsia" w:ascii="宋体" w:hAnsi="宋体" w:eastAsia="宋体" w:cs="宋体"/>
                <w:color w:val="auto"/>
                <w:szCs w:val="21"/>
                <w:highlight w:val="none"/>
                <w:lang w:eastAsia="zh-CN"/>
              </w:rPr>
              <w:t>。</w:t>
            </w:r>
          </w:p>
        </w:tc>
      </w:tr>
      <w:tr w14:paraId="55D9D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3343FAC3">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left w:val="single" w:color="auto" w:sz="4" w:space="0"/>
              <w:right w:val="single" w:color="auto" w:sz="4" w:space="0"/>
            </w:tcBorders>
            <w:noWrap w:val="0"/>
            <w:vAlign w:val="center"/>
          </w:tcPr>
          <w:p w14:paraId="56C181A7">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3AA6CE03">
            <w:pPr>
              <w:spacing w:line="276" w:lineRule="auto"/>
              <w:jc w:val="center"/>
              <w:rPr>
                <w:rFonts w:hint="eastAsia" w:ascii="宋体" w:hAnsi="宋体" w:eastAsia="宋体" w:cs="宋体"/>
                <w:strike w:val="0"/>
                <w:color w:val="auto"/>
                <w:sz w:val="21"/>
                <w:szCs w:val="21"/>
                <w:highlight w:val="none"/>
                <w:u w:val="single"/>
              </w:rPr>
            </w:pPr>
            <w:r>
              <w:rPr>
                <w:rFonts w:hint="eastAsia" w:ascii="宋体" w:hAnsi="宋体"/>
                <w:color w:val="auto"/>
                <w:szCs w:val="21"/>
                <w:highlight w:val="none"/>
              </w:rPr>
              <w:t>项目负责人</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0D2A233A">
            <w:pPr>
              <w:spacing w:line="276" w:lineRule="auto"/>
              <w:jc w:val="both"/>
              <w:rPr>
                <w:rFonts w:hint="eastAsia" w:ascii="宋体" w:hAnsi="宋体" w:eastAsia="宋体" w:cs="宋体"/>
                <w:strike w:val="0"/>
                <w:color w:val="auto"/>
                <w:sz w:val="21"/>
                <w:szCs w:val="21"/>
                <w:highlight w:val="none"/>
                <w:u w:val="single"/>
                <w:lang w:eastAsia="zh-CN"/>
              </w:rPr>
            </w:pPr>
            <w:r>
              <w:rPr>
                <w:rFonts w:hint="eastAsia" w:ascii="宋体" w:hAnsi="宋体" w:eastAsia="宋体" w:cs="宋体"/>
                <w:color w:val="auto"/>
                <w:szCs w:val="21"/>
                <w:highlight w:val="none"/>
              </w:rPr>
              <w:t>符合第二章“投标人须知”第1.4.1项规定</w:t>
            </w:r>
            <w:r>
              <w:rPr>
                <w:rFonts w:hint="eastAsia" w:ascii="宋体" w:hAnsi="宋体" w:eastAsia="宋体" w:cs="宋体"/>
                <w:color w:val="auto"/>
                <w:szCs w:val="21"/>
                <w:highlight w:val="none"/>
                <w:lang w:eastAsia="zh-CN"/>
              </w:rPr>
              <w:t>。</w:t>
            </w:r>
          </w:p>
        </w:tc>
      </w:tr>
      <w:tr w14:paraId="7455C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34936059">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left w:val="single" w:color="auto" w:sz="4" w:space="0"/>
              <w:right w:val="single" w:color="auto" w:sz="4" w:space="0"/>
            </w:tcBorders>
            <w:noWrap w:val="0"/>
            <w:vAlign w:val="center"/>
          </w:tcPr>
          <w:p w14:paraId="77526B17">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3908C5AB">
            <w:pPr>
              <w:spacing w:line="276" w:lineRule="auto"/>
              <w:jc w:val="center"/>
              <w:rPr>
                <w:rFonts w:hint="eastAsia" w:ascii="宋体" w:hAnsi="宋体" w:eastAsia="宋体" w:cs="宋体"/>
                <w:strike w:val="0"/>
                <w:color w:val="auto"/>
                <w:sz w:val="21"/>
                <w:szCs w:val="21"/>
                <w:highlight w:val="none"/>
                <w:u w:val="single"/>
              </w:rPr>
            </w:pPr>
            <w:r>
              <w:rPr>
                <w:rFonts w:hint="eastAsia" w:ascii="宋体" w:hAnsi="宋体"/>
                <w:color w:val="auto"/>
                <w:szCs w:val="21"/>
                <w:highlight w:val="none"/>
              </w:rPr>
              <w:t>安全生产考核合格证</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4A0B428B">
            <w:pPr>
              <w:spacing w:line="276" w:lineRule="auto"/>
              <w:jc w:val="both"/>
              <w:rPr>
                <w:rFonts w:hint="eastAsia" w:ascii="宋体" w:hAnsi="宋体" w:eastAsia="宋体" w:cs="宋体"/>
                <w:strike w:val="0"/>
                <w:color w:val="auto"/>
                <w:sz w:val="21"/>
                <w:szCs w:val="21"/>
                <w:highlight w:val="none"/>
                <w:u w:val="single"/>
              </w:rPr>
            </w:pPr>
            <w:r>
              <w:rPr>
                <w:rFonts w:hint="eastAsia" w:ascii="宋体" w:hAnsi="宋体"/>
                <w:color w:val="auto"/>
                <w:szCs w:val="21"/>
                <w:highlight w:val="none"/>
              </w:rPr>
              <w:t>项目负责人及专职安全员具备符合招标公告规定的行政主管部门颁发的有效安全生产考核合格证</w:t>
            </w:r>
            <w:r>
              <w:rPr>
                <w:rFonts w:hint="eastAsia" w:ascii="宋体" w:hAnsi="宋体" w:cs="宋体"/>
                <w:color w:val="auto"/>
                <w:highlight w:val="none"/>
                <w:u w:val="single"/>
                <w:lang w:eastAsia="zh-CN"/>
              </w:rPr>
              <w:t>扫描件或电子证照</w:t>
            </w:r>
            <w:r>
              <w:rPr>
                <w:rFonts w:hint="eastAsia" w:ascii="宋体" w:hAnsi="宋体"/>
                <w:color w:val="auto"/>
                <w:szCs w:val="21"/>
                <w:highlight w:val="none"/>
              </w:rPr>
              <w:t>。</w:t>
            </w:r>
          </w:p>
        </w:tc>
      </w:tr>
      <w:tr w14:paraId="2D3D7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22DCBA7D">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left w:val="single" w:color="auto" w:sz="4" w:space="0"/>
              <w:right w:val="single" w:color="auto" w:sz="4" w:space="0"/>
            </w:tcBorders>
            <w:noWrap w:val="0"/>
            <w:vAlign w:val="center"/>
          </w:tcPr>
          <w:p w14:paraId="6C8BD885">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4002489D">
            <w:pPr>
              <w:spacing w:line="276" w:lineRule="auto"/>
              <w:jc w:val="center"/>
              <w:rPr>
                <w:rFonts w:hint="eastAsia" w:ascii="宋体" w:hAnsi="宋体" w:eastAsia="宋体" w:cs="宋体"/>
                <w:strike w:val="0"/>
                <w:color w:val="auto"/>
                <w:sz w:val="21"/>
                <w:szCs w:val="21"/>
                <w:highlight w:val="none"/>
                <w:u w:val="single"/>
              </w:rPr>
            </w:pPr>
            <w:r>
              <w:rPr>
                <w:rFonts w:hint="eastAsia" w:ascii="宋体" w:hAnsi="宋体"/>
                <w:color w:val="auto"/>
                <w:szCs w:val="21"/>
                <w:highlight w:val="none"/>
              </w:rPr>
              <w:t>社保要求</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64137E6C">
            <w:pPr>
              <w:spacing w:line="276" w:lineRule="auto"/>
              <w:jc w:val="both"/>
              <w:rPr>
                <w:rFonts w:hint="eastAsia" w:ascii="宋体" w:hAnsi="宋体" w:eastAsia="宋体" w:cs="宋体"/>
                <w:strike w:val="0"/>
                <w:color w:val="auto"/>
                <w:sz w:val="21"/>
                <w:szCs w:val="21"/>
                <w:highlight w:val="none"/>
                <w:u w:val="single"/>
                <w:lang w:eastAsia="zh-CN"/>
              </w:rPr>
            </w:pPr>
            <w:r>
              <w:rPr>
                <w:rFonts w:hint="eastAsia" w:ascii="宋体" w:hAnsi="宋体" w:eastAsia="宋体" w:cs="宋体"/>
                <w:color w:val="auto"/>
                <w:szCs w:val="21"/>
                <w:highlight w:val="none"/>
              </w:rPr>
              <w:t>符合第二章“投标人须知”第1.4.1项规定</w:t>
            </w:r>
            <w:r>
              <w:rPr>
                <w:rFonts w:hint="eastAsia" w:ascii="宋体" w:hAnsi="宋体" w:eastAsia="宋体" w:cs="宋体"/>
                <w:color w:val="auto"/>
                <w:szCs w:val="21"/>
                <w:highlight w:val="none"/>
                <w:lang w:eastAsia="zh-CN"/>
              </w:rPr>
              <w:t>。</w:t>
            </w:r>
          </w:p>
        </w:tc>
      </w:tr>
      <w:tr w14:paraId="5F0B6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314D2047">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left w:val="single" w:color="auto" w:sz="4" w:space="0"/>
              <w:right w:val="single" w:color="auto" w:sz="4" w:space="0"/>
            </w:tcBorders>
            <w:noWrap w:val="0"/>
            <w:vAlign w:val="center"/>
          </w:tcPr>
          <w:p w14:paraId="539728BC">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288C5066">
            <w:pPr>
              <w:spacing w:line="360" w:lineRule="auto"/>
              <w:jc w:val="center"/>
              <w:rPr>
                <w:rFonts w:hint="eastAsia" w:ascii="宋体" w:hAnsi="宋体" w:eastAsia="宋体" w:cs="宋体"/>
                <w:strike w:val="0"/>
                <w:color w:val="auto"/>
                <w:sz w:val="21"/>
                <w:szCs w:val="21"/>
                <w:highlight w:val="none"/>
                <w:u w:val="single"/>
              </w:rPr>
            </w:pPr>
            <w:r>
              <w:rPr>
                <w:rFonts w:hint="eastAsia"/>
                <w:strike/>
                <w:color w:val="auto"/>
                <w:szCs w:val="21"/>
                <w:highlight w:val="none"/>
              </w:rPr>
              <w:t>类似项目业绩</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77C6EE09">
            <w:pPr>
              <w:spacing w:line="360" w:lineRule="auto"/>
              <w:jc w:val="left"/>
              <w:rPr>
                <w:rFonts w:hint="eastAsia" w:ascii="宋体" w:hAnsi="宋体" w:eastAsia="宋体" w:cs="宋体"/>
                <w:strike w:val="0"/>
                <w:color w:val="auto"/>
                <w:sz w:val="21"/>
                <w:szCs w:val="21"/>
                <w:highlight w:val="none"/>
                <w:u w:val="single"/>
              </w:rPr>
            </w:pPr>
            <w:r>
              <w:rPr>
                <w:rFonts w:hint="eastAsia"/>
                <w:strike/>
                <w:color w:val="auto"/>
                <w:szCs w:val="21"/>
                <w:highlight w:val="none"/>
              </w:rPr>
              <w:t>符合第二章</w:t>
            </w:r>
            <w:r>
              <w:rPr>
                <w:strike/>
                <w:color w:val="auto"/>
                <w:szCs w:val="21"/>
                <w:highlight w:val="none"/>
              </w:rPr>
              <w:t>“</w:t>
            </w:r>
            <w:r>
              <w:rPr>
                <w:rFonts w:hint="eastAsia"/>
                <w:strike/>
                <w:color w:val="auto"/>
                <w:szCs w:val="21"/>
                <w:highlight w:val="none"/>
              </w:rPr>
              <w:t>投标人须知</w:t>
            </w:r>
            <w:r>
              <w:rPr>
                <w:strike/>
                <w:color w:val="auto"/>
                <w:szCs w:val="21"/>
                <w:highlight w:val="none"/>
              </w:rPr>
              <w:t>”</w:t>
            </w:r>
            <w:r>
              <w:rPr>
                <w:rFonts w:hint="eastAsia"/>
                <w:strike/>
                <w:color w:val="auto"/>
                <w:szCs w:val="21"/>
                <w:highlight w:val="none"/>
              </w:rPr>
              <w:t>第</w:t>
            </w:r>
            <w:r>
              <w:rPr>
                <w:strike/>
                <w:color w:val="auto"/>
                <w:szCs w:val="21"/>
                <w:highlight w:val="none"/>
              </w:rPr>
              <w:t>1.4.1</w:t>
            </w:r>
            <w:r>
              <w:rPr>
                <w:rFonts w:hint="eastAsia"/>
                <w:strike/>
                <w:color w:val="auto"/>
                <w:szCs w:val="21"/>
                <w:highlight w:val="none"/>
              </w:rPr>
              <w:t>项规定</w:t>
            </w:r>
          </w:p>
        </w:tc>
      </w:tr>
      <w:tr w14:paraId="70152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25F3D231">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left w:val="single" w:color="auto" w:sz="4" w:space="0"/>
              <w:right w:val="single" w:color="auto" w:sz="4" w:space="0"/>
            </w:tcBorders>
            <w:noWrap w:val="0"/>
            <w:vAlign w:val="center"/>
          </w:tcPr>
          <w:p w14:paraId="48B4BDA7">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58C54BB1">
            <w:pPr>
              <w:spacing w:line="276" w:lineRule="auto"/>
              <w:jc w:val="center"/>
              <w:rPr>
                <w:rFonts w:ascii="宋体" w:hAnsi="宋体"/>
                <w:strike/>
                <w:color w:val="auto"/>
                <w:szCs w:val="21"/>
                <w:highlight w:val="none"/>
              </w:rPr>
            </w:pPr>
            <w:r>
              <w:rPr>
                <w:rFonts w:ascii="宋体" w:hAnsi="宋体"/>
                <w:color w:val="auto"/>
                <w:szCs w:val="21"/>
                <w:highlight w:val="none"/>
              </w:rPr>
              <w:t>联合体</w:t>
            </w:r>
            <w:r>
              <w:rPr>
                <w:rFonts w:hint="eastAsia" w:ascii="宋体" w:hAnsi="宋体"/>
                <w:color w:val="auto"/>
                <w:szCs w:val="21"/>
                <w:highlight w:val="none"/>
              </w:rPr>
              <w:t>要求</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238BEA12">
            <w:pPr>
              <w:spacing w:line="276" w:lineRule="auto"/>
              <w:jc w:val="both"/>
              <w:rPr>
                <w:rFonts w:hint="eastAsia" w:ascii="宋体" w:hAnsi="宋体" w:cs="宋体"/>
                <w:strike/>
                <w:color w:val="auto"/>
                <w:szCs w:val="21"/>
                <w:highlight w:val="none"/>
                <w:u w:val="single"/>
              </w:rPr>
            </w:pPr>
            <w:r>
              <w:rPr>
                <w:color w:val="auto"/>
                <w:szCs w:val="21"/>
                <w:highlight w:val="none"/>
              </w:rPr>
              <w:t>符合第</w:t>
            </w:r>
            <w:r>
              <w:rPr>
                <w:rFonts w:hint="eastAsia"/>
                <w:color w:val="auto"/>
                <w:szCs w:val="21"/>
                <w:highlight w:val="none"/>
              </w:rPr>
              <w:t>二</w:t>
            </w:r>
            <w:r>
              <w:rPr>
                <w:color w:val="auto"/>
                <w:szCs w:val="21"/>
                <w:highlight w:val="none"/>
              </w:rPr>
              <w:t>章“投标人须知”第1.4.2项规定</w:t>
            </w:r>
          </w:p>
        </w:tc>
      </w:tr>
      <w:tr w14:paraId="3AB06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2497CC3E">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left w:val="single" w:color="auto" w:sz="4" w:space="0"/>
              <w:right w:val="single" w:color="auto" w:sz="4" w:space="0"/>
            </w:tcBorders>
            <w:noWrap w:val="0"/>
            <w:vAlign w:val="center"/>
          </w:tcPr>
          <w:p w14:paraId="61A4F361">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6AB54854">
            <w:pPr>
              <w:spacing w:line="276" w:lineRule="auto"/>
              <w:jc w:val="center"/>
              <w:rPr>
                <w:rFonts w:hint="eastAsia" w:ascii="宋体" w:hAnsi="宋体" w:eastAsia="宋体" w:cs="宋体"/>
                <w:strike w:val="0"/>
                <w:color w:val="auto"/>
                <w:sz w:val="21"/>
                <w:szCs w:val="21"/>
                <w:highlight w:val="none"/>
                <w:u w:val="single"/>
              </w:rPr>
            </w:pPr>
            <w:r>
              <w:rPr>
                <w:rFonts w:hint="eastAsia" w:ascii="宋体" w:hAnsi="宋体"/>
                <w:color w:val="auto"/>
                <w:szCs w:val="21"/>
                <w:highlight w:val="none"/>
                <w:u w:val="single"/>
              </w:rPr>
              <w:t>投标人声明</w:t>
            </w:r>
            <w:r>
              <w:rPr>
                <w:rFonts w:hint="eastAsia" w:ascii="宋体" w:hAnsi="宋体"/>
                <w:color w:val="auto"/>
                <w:szCs w:val="21"/>
                <w:highlight w:val="none"/>
                <w:u w:val="single"/>
                <w:lang w:eastAsia="zh-CN"/>
              </w:rPr>
              <w:t>签字盖章</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31BEB1C9">
            <w:pPr>
              <w:spacing w:line="276" w:lineRule="auto"/>
              <w:jc w:val="both"/>
              <w:rPr>
                <w:rFonts w:hint="eastAsia" w:ascii="宋体" w:hAnsi="宋体" w:eastAsia="宋体" w:cs="宋体"/>
                <w:strike w:val="0"/>
                <w:color w:val="auto"/>
                <w:sz w:val="21"/>
                <w:szCs w:val="21"/>
                <w:highlight w:val="none"/>
                <w:u w:val="single"/>
              </w:rPr>
            </w:pPr>
            <w:r>
              <w:rPr>
                <w:rFonts w:hint="eastAsia" w:ascii="宋体" w:hAnsi="宋体" w:eastAsia="宋体" w:cs="宋体"/>
                <w:strike w:val="0"/>
                <w:color w:val="auto"/>
                <w:sz w:val="21"/>
                <w:szCs w:val="21"/>
                <w:highlight w:val="none"/>
                <w:u w:val="single"/>
              </w:rPr>
              <w:t>投标人声明有法定代表人、项目负责人、技术负责人签字或签章及加盖单位公章（签字和盖章要求见《投标人须知前附表》第3.6.</w:t>
            </w:r>
            <w:r>
              <w:rPr>
                <w:rFonts w:hint="eastAsia" w:ascii="宋体" w:hAnsi="宋体" w:eastAsia="宋体" w:cs="宋体"/>
                <w:strike w:val="0"/>
                <w:color w:val="auto"/>
                <w:sz w:val="21"/>
                <w:szCs w:val="21"/>
                <w:highlight w:val="none"/>
                <w:u w:val="single"/>
                <w:lang w:val="en-US" w:eastAsia="zh-CN"/>
              </w:rPr>
              <w:t>4</w:t>
            </w:r>
            <w:r>
              <w:rPr>
                <w:rFonts w:hint="eastAsia" w:ascii="宋体" w:hAnsi="宋体" w:eastAsia="宋体" w:cs="宋体"/>
                <w:strike w:val="0"/>
                <w:color w:val="auto"/>
                <w:sz w:val="21"/>
                <w:szCs w:val="21"/>
                <w:highlight w:val="none"/>
                <w:u w:val="single"/>
              </w:rPr>
              <w:t>项）</w:t>
            </w:r>
          </w:p>
        </w:tc>
      </w:tr>
      <w:tr w14:paraId="46760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74CFADED">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left w:val="single" w:color="auto" w:sz="4" w:space="0"/>
              <w:right w:val="single" w:color="auto" w:sz="4" w:space="0"/>
            </w:tcBorders>
            <w:noWrap w:val="0"/>
            <w:vAlign w:val="center"/>
          </w:tcPr>
          <w:p w14:paraId="70FC3EC3">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43376B7E">
            <w:pPr>
              <w:spacing w:line="276" w:lineRule="auto"/>
              <w:jc w:val="center"/>
              <w:rPr>
                <w:rFonts w:hint="eastAsia" w:ascii="宋体" w:hAnsi="宋体" w:eastAsia="宋体" w:cs="宋体"/>
                <w:strike w:val="0"/>
                <w:color w:val="auto"/>
                <w:sz w:val="21"/>
                <w:szCs w:val="21"/>
                <w:highlight w:val="none"/>
                <w:u w:val="single"/>
              </w:rPr>
            </w:pPr>
            <w:r>
              <w:rPr>
                <w:rFonts w:hint="eastAsia" w:ascii="宋体" w:hAnsi="宋体" w:cs="宋体"/>
                <w:color w:val="auto"/>
                <w:szCs w:val="21"/>
                <w:highlight w:val="none"/>
                <w:u w:val="single"/>
              </w:rPr>
              <w:t>未被纳入失信联合惩戒名单</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1F2D8C6A">
            <w:pPr>
              <w:wordWrap w:val="0"/>
              <w:spacing w:line="276" w:lineRule="auto"/>
              <w:jc w:val="both"/>
              <w:rPr>
                <w:rFonts w:hint="eastAsia" w:ascii="宋体" w:hAnsi="宋体" w:eastAsia="宋体" w:cs="宋体"/>
                <w:strike w:val="0"/>
                <w:color w:val="auto"/>
                <w:sz w:val="21"/>
                <w:szCs w:val="21"/>
                <w:highlight w:val="none"/>
                <w:u w:val="single"/>
              </w:rPr>
            </w:pPr>
            <w:r>
              <w:rPr>
                <w:rFonts w:hint="eastAsia" w:ascii="宋体" w:hAnsi="宋体" w:eastAsia="宋体" w:cs="宋体"/>
                <w:strike w:val="0"/>
                <w:color w:val="auto"/>
                <w:sz w:val="21"/>
                <w:szCs w:val="21"/>
                <w:highlight w:val="none"/>
                <w:u w:val="single"/>
                <w:lang w:val="en-US" w:eastAsia="zh-CN"/>
              </w:rPr>
              <w:t>具体名单以递交投标文件截止时间“信用广州”公布的“黑名单”为准。投标人可不提供资料，按项目评标当天网上查询结果进行评审。</w:t>
            </w:r>
          </w:p>
        </w:tc>
      </w:tr>
      <w:tr w14:paraId="57AA3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44BE6257">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left w:val="single" w:color="auto" w:sz="4" w:space="0"/>
              <w:right w:val="single" w:color="auto" w:sz="4" w:space="0"/>
            </w:tcBorders>
            <w:noWrap w:val="0"/>
            <w:vAlign w:val="center"/>
          </w:tcPr>
          <w:p w14:paraId="74035B4B">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01261C64">
            <w:pPr>
              <w:spacing w:line="276" w:lineRule="auto"/>
              <w:jc w:val="center"/>
              <w:rPr>
                <w:rFonts w:hint="eastAsia" w:ascii="宋体" w:hAnsi="宋体" w:eastAsia="宋体" w:cs="宋体"/>
                <w:strike w:val="0"/>
                <w:color w:val="auto"/>
                <w:sz w:val="21"/>
                <w:szCs w:val="21"/>
                <w:highlight w:val="none"/>
                <w:u w:val="single"/>
              </w:rPr>
            </w:pPr>
            <w:r>
              <w:rPr>
                <w:rFonts w:hint="eastAsia" w:ascii="宋体" w:hAnsi="宋体"/>
                <w:color w:val="auto"/>
                <w:szCs w:val="21"/>
                <w:highlight w:val="none"/>
              </w:rPr>
              <w:t>其他要求</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23910FDF">
            <w:pPr>
              <w:spacing w:line="276" w:lineRule="auto"/>
              <w:jc w:val="both"/>
              <w:rPr>
                <w:rFonts w:hint="eastAsia" w:ascii="宋体" w:hAnsi="宋体" w:eastAsia="宋体" w:cs="宋体"/>
                <w:strike w:val="0"/>
                <w:color w:val="auto"/>
                <w:sz w:val="21"/>
                <w:szCs w:val="21"/>
                <w:highlight w:val="none"/>
                <w:u w:val="single"/>
              </w:rPr>
            </w:pPr>
            <w:r>
              <w:rPr>
                <w:rFonts w:hint="eastAsia" w:ascii="宋体" w:hAnsi="宋体"/>
                <w:color w:val="auto"/>
                <w:szCs w:val="21"/>
                <w:highlight w:val="none"/>
                <w:u w:val="single"/>
              </w:rPr>
              <w:t>详见本项目招标公告。</w:t>
            </w:r>
          </w:p>
        </w:tc>
      </w:tr>
      <w:tr w14:paraId="69F56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restart"/>
            <w:tcBorders>
              <w:top w:val="single" w:color="auto" w:sz="4" w:space="0"/>
              <w:right w:val="single" w:color="auto" w:sz="4" w:space="0"/>
            </w:tcBorders>
            <w:noWrap w:val="0"/>
            <w:vAlign w:val="center"/>
          </w:tcPr>
          <w:p w14:paraId="2FABACF1">
            <w:pPr>
              <w:spacing w:line="360" w:lineRule="auto"/>
              <w:jc w:val="center"/>
              <w:rPr>
                <w:rFonts w:hint="default" w:ascii="宋体" w:hAnsi="宋体" w:eastAsia="宋体" w:cs="宋体"/>
                <w:strike w:val="0"/>
                <w:color w:val="auto"/>
                <w:sz w:val="21"/>
                <w:szCs w:val="21"/>
                <w:highlight w:val="none"/>
                <w:lang w:val="en-US" w:eastAsia="zh-CN"/>
              </w:rPr>
            </w:pPr>
            <w:r>
              <w:rPr>
                <w:rFonts w:hint="eastAsia" w:ascii="宋体" w:hAnsi="宋体" w:eastAsia="宋体" w:cs="宋体"/>
                <w:strike w:val="0"/>
                <w:color w:val="auto"/>
                <w:sz w:val="21"/>
                <w:szCs w:val="21"/>
                <w:highlight w:val="none"/>
                <w:lang w:val="en-US" w:eastAsia="zh-CN"/>
              </w:rPr>
              <w:t>2.1.2</w:t>
            </w:r>
          </w:p>
        </w:tc>
        <w:tc>
          <w:tcPr>
            <w:tcW w:w="533" w:type="pct"/>
            <w:vMerge w:val="restart"/>
            <w:tcBorders>
              <w:top w:val="single" w:color="auto" w:sz="4" w:space="0"/>
              <w:left w:val="single" w:color="auto" w:sz="4" w:space="0"/>
              <w:right w:val="single" w:color="auto" w:sz="4" w:space="0"/>
            </w:tcBorders>
            <w:noWrap w:val="0"/>
            <w:vAlign w:val="center"/>
          </w:tcPr>
          <w:p w14:paraId="6F85DBEF">
            <w:pPr>
              <w:spacing w:line="360" w:lineRule="auto"/>
              <w:jc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形式评审标准</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1B155C32">
            <w:pPr>
              <w:spacing w:line="276" w:lineRule="auto"/>
              <w:jc w:val="center"/>
              <w:rPr>
                <w:rFonts w:ascii="宋体" w:hAnsi="宋体"/>
                <w:color w:val="auto"/>
                <w:szCs w:val="21"/>
                <w:highlight w:val="none"/>
              </w:rPr>
            </w:pPr>
            <w:r>
              <w:rPr>
                <w:rFonts w:hint="eastAsia" w:ascii="宋体" w:hAnsi="宋体"/>
                <w:color w:val="auto"/>
                <w:szCs w:val="21"/>
                <w:highlight w:val="none"/>
                <w:u w:val="single"/>
              </w:rPr>
              <w:t>投标人参加投标的意思表达清楚，投标人代表被授权有效</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65E846DA">
            <w:pPr>
              <w:spacing w:line="276" w:lineRule="auto"/>
              <w:jc w:val="both"/>
              <w:rPr>
                <w:rFonts w:ascii="宋体" w:hAnsi="宋体"/>
                <w:color w:val="auto"/>
                <w:szCs w:val="21"/>
                <w:highlight w:val="none"/>
              </w:rPr>
            </w:pPr>
            <w:r>
              <w:rPr>
                <w:rFonts w:ascii="宋体" w:hAnsi="宋体" w:eastAsia="宋体" w:cs="宋体"/>
                <w:color w:val="auto"/>
                <w:sz w:val="21"/>
                <w:szCs w:val="21"/>
                <w:highlight w:val="none"/>
              </w:rPr>
              <w:t>投标人声明、廉洁承诺书、法定代表人证明书</w:t>
            </w:r>
            <w:r>
              <w:rPr>
                <w:rFonts w:hint="eastAsia" w:ascii="宋体" w:hAnsi="宋体" w:eastAsia="宋体" w:cs="宋体"/>
                <w:color w:val="auto"/>
                <w:sz w:val="21"/>
                <w:szCs w:val="21"/>
                <w:highlight w:val="none"/>
                <w:lang w:val="en-US" w:eastAsia="zh-CN"/>
              </w:rPr>
              <w:t>及法定代表人身份证正反面扫描件</w:t>
            </w:r>
            <w:r>
              <w:rPr>
                <w:rFonts w:ascii="宋体" w:hAnsi="宋体" w:eastAsia="宋体" w:cs="宋体"/>
                <w:color w:val="auto"/>
                <w:sz w:val="21"/>
                <w:szCs w:val="21"/>
                <w:highlight w:val="none"/>
              </w:rPr>
              <w:t>；委托投标的还应提供法人授权委托证明书</w:t>
            </w:r>
            <w:r>
              <w:rPr>
                <w:rFonts w:hint="eastAsia" w:ascii="宋体" w:hAnsi="宋体" w:eastAsia="宋体" w:cs="宋体"/>
                <w:color w:val="auto"/>
                <w:sz w:val="21"/>
                <w:szCs w:val="21"/>
                <w:highlight w:val="none"/>
                <w:lang w:val="en-US" w:eastAsia="zh-CN"/>
              </w:rPr>
              <w:t>及被委托人身份证正反面扫描件</w:t>
            </w:r>
            <w:r>
              <w:rPr>
                <w:rFonts w:hint="eastAsia" w:ascii="宋体" w:hAnsi="宋体"/>
                <w:color w:val="auto"/>
                <w:szCs w:val="21"/>
                <w:highlight w:val="none"/>
                <w:u w:val="single"/>
              </w:rPr>
              <w:t>。</w:t>
            </w:r>
          </w:p>
        </w:tc>
      </w:tr>
      <w:tr w14:paraId="465FB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33C2C9D9">
            <w:pPr>
              <w:spacing w:line="360" w:lineRule="auto"/>
              <w:jc w:val="center"/>
              <w:rPr>
                <w:rFonts w:hint="default" w:ascii="宋体" w:hAnsi="宋体" w:eastAsia="宋体" w:cs="宋体"/>
                <w:strike w:val="0"/>
                <w:color w:val="auto"/>
                <w:sz w:val="21"/>
                <w:szCs w:val="21"/>
                <w:highlight w:val="none"/>
                <w:lang w:val="en-US" w:eastAsia="zh-CN"/>
              </w:rPr>
            </w:pPr>
          </w:p>
        </w:tc>
        <w:tc>
          <w:tcPr>
            <w:tcW w:w="533" w:type="pct"/>
            <w:vMerge w:val="continue"/>
            <w:tcBorders>
              <w:left w:val="single" w:color="auto" w:sz="4" w:space="0"/>
              <w:right w:val="single" w:color="auto" w:sz="4" w:space="0"/>
            </w:tcBorders>
            <w:noWrap w:val="0"/>
            <w:vAlign w:val="center"/>
          </w:tcPr>
          <w:p w14:paraId="7BF7364F">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740CF377">
            <w:pPr>
              <w:spacing w:line="276" w:lineRule="auto"/>
              <w:jc w:val="center"/>
              <w:rPr>
                <w:rFonts w:hint="eastAsia" w:ascii="宋体" w:hAnsi="宋体" w:eastAsia="宋体" w:cs="宋体"/>
                <w:strike w:val="0"/>
                <w:color w:val="auto"/>
                <w:sz w:val="21"/>
                <w:szCs w:val="21"/>
                <w:highlight w:val="none"/>
                <w:u w:val="single"/>
                <w:lang w:eastAsia="zh-CN"/>
              </w:rPr>
            </w:pPr>
            <w:r>
              <w:rPr>
                <w:rFonts w:ascii="宋体" w:hAnsi="宋体"/>
                <w:color w:val="auto"/>
                <w:szCs w:val="21"/>
                <w:highlight w:val="none"/>
              </w:rPr>
              <w:t>投标人名称</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40EADA82">
            <w:pPr>
              <w:spacing w:line="276" w:lineRule="auto"/>
              <w:jc w:val="both"/>
              <w:rPr>
                <w:rFonts w:hint="eastAsia" w:ascii="宋体" w:hAnsi="宋体" w:eastAsia="宋体" w:cs="宋体"/>
                <w:strike w:val="0"/>
                <w:color w:val="auto"/>
                <w:sz w:val="21"/>
                <w:szCs w:val="21"/>
                <w:highlight w:val="none"/>
                <w:u w:val="single"/>
                <w:lang w:val="en-US" w:eastAsia="zh-CN"/>
              </w:rPr>
            </w:pPr>
            <w:r>
              <w:rPr>
                <w:rFonts w:ascii="宋体" w:hAnsi="宋体"/>
                <w:color w:val="auto"/>
                <w:szCs w:val="21"/>
                <w:highlight w:val="none"/>
              </w:rPr>
              <w:t>与营业执照、资质证书</w:t>
            </w:r>
            <w:r>
              <w:rPr>
                <w:rFonts w:hint="eastAsia" w:ascii="宋体" w:hAnsi="宋体"/>
                <w:color w:val="auto"/>
                <w:szCs w:val="21"/>
                <w:highlight w:val="none"/>
              </w:rPr>
              <w:t>、安全生产许可证</w:t>
            </w:r>
            <w:r>
              <w:rPr>
                <w:rFonts w:ascii="宋体" w:hAnsi="宋体"/>
                <w:color w:val="auto"/>
                <w:szCs w:val="21"/>
                <w:highlight w:val="none"/>
              </w:rPr>
              <w:t>一致</w:t>
            </w:r>
            <w:r>
              <w:rPr>
                <w:rFonts w:hint="eastAsia" w:ascii="宋体" w:hAnsi="宋体"/>
                <w:color w:val="auto"/>
                <w:szCs w:val="21"/>
                <w:highlight w:val="none"/>
              </w:rPr>
              <w:t>。</w:t>
            </w:r>
          </w:p>
        </w:tc>
      </w:tr>
      <w:tr w14:paraId="2B553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423" w:type="pct"/>
            <w:vMerge w:val="continue"/>
            <w:tcBorders>
              <w:right w:val="single" w:color="auto" w:sz="4" w:space="0"/>
            </w:tcBorders>
            <w:noWrap w:val="0"/>
            <w:vAlign w:val="center"/>
          </w:tcPr>
          <w:p w14:paraId="0BB62F1F">
            <w:pPr>
              <w:spacing w:line="360" w:lineRule="auto"/>
              <w:jc w:val="center"/>
              <w:rPr>
                <w:rFonts w:hint="eastAsia" w:ascii="宋体" w:hAnsi="宋体" w:eastAsia="宋体" w:cs="宋体"/>
                <w:strike w:val="0"/>
                <w:color w:val="auto"/>
                <w:sz w:val="21"/>
                <w:szCs w:val="21"/>
                <w:highlight w:val="none"/>
                <w:lang w:val="en-US" w:eastAsia="zh-CN"/>
              </w:rPr>
            </w:pPr>
          </w:p>
        </w:tc>
        <w:tc>
          <w:tcPr>
            <w:tcW w:w="533" w:type="pct"/>
            <w:vMerge w:val="continue"/>
            <w:tcBorders>
              <w:left w:val="single" w:color="auto" w:sz="4" w:space="0"/>
              <w:right w:val="single" w:color="auto" w:sz="4" w:space="0"/>
            </w:tcBorders>
            <w:noWrap w:val="0"/>
            <w:vAlign w:val="center"/>
          </w:tcPr>
          <w:p w14:paraId="4A3F6CD7">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560E76B8">
            <w:pPr>
              <w:spacing w:line="276" w:lineRule="auto"/>
              <w:jc w:val="center"/>
              <w:rPr>
                <w:rFonts w:hint="eastAsia" w:ascii="宋体" w:hAnsi="宋体" w:eastAsia="宋体" w:cs="宋体"/>
                <w:strike w:val="0"/>
                <w:color w:val="auto"/>
                <w:sz w:val="21"/>
                <w:szCs w:val="21"/>
                <w:highlight w:val="none"/>
                <w:u w:val="single"/>
                <w:lang w:eastAsia="zh-CN"/>
              </w:rPr>
            </w:pPr>
            <w:r>
              <w:rPr>
                <w:rFonts w:hint="eastAsia" w:ascii="宋体" w:hAnsi="宋体"/>
                <w:color w:val="auto"/>
                <w:szCs w:val="21"/>
                <w:highlight w:val="none"/>
              </w:rPr>
              <w:t>投标函签字盖章</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37A34C9A">
            <w:pPr>
              <w:spacing w:line="276" w:lineRule="auto"/>
              <w:jc w:val="both"/>
              <w:rPr>
                <w:rFonts w:hint="eastAsia" w:ascii="宋体" w:hAnsi="宋体" w:eastAsia="宋体" w:cs="宋体"/>
                <w:strike w:val="0"/>
                <w:color w:val="auto"/>
                <w:sz w:val="21"/>
                <w:szCs w:val="21"/>
                <w:highlight w:val="none"/>
                <w:u w:val="single"/>
                <w:lang w:val="en-US" w:eastAsia="zh-CN"/>
              </w:rPr>
            </w:pPr>
            <w:r>
              <w:rPr>
                <w:rFonts w:hint="eastAsia" w:ascii="宋体" w:hAnsi="宋体"/>
                <w:color w:val="auto"/>
                <w:szCs w:val="21"/>
                <w:highlight w:val="none"/>
              </w:rPr>
              <w:t>法定代表人或其委托代理人签字或签章及加盖单位公章（签字和盖章要求见《投标人须知前附表》第</w:t>
            </w:r>
            <w:r>
              <w:rPr>
                <w:rFonts w:ascii="宋体" w:hAnsi="宋体"/>
                <w:color w:val="auto"/>
                <w:szCs w:val="21"/>
                <w:highlight w:val="none"/>
              </w:rPr>
              <w:t>3.6.</w:t>
            </w:r>
            <w:r>
              <w:rPr>
                <w:rFonts w:hint="eastAsia" w:ascii="宋体" w:hAnsi="宋体"/>
                <w:color w:val="auto"/>
                <w:szCs w:val="21"/>
                <w:highlight w:val="none"/>
                <w:lang w:val="en-US" w:eastAsia="zh-CN"/>
              </w:rPr>
              <w:t>4</w:t>
            </w:r>
            <w:r>
              <w:rPr>
                <w:rFonts w:ascii="宋体" w:hAnsi="宋体"/>
                <w:color w:val="auto"/>
                <w:szCs w:val="21"/>
                <w:highlight w:val="none"/>
              </w:rPr>
              <w:t>条）。</w:t>
            </w:r>
          </w:p>
        </w:tc>
      </w:tr>
      <w:tr w14:paraId="15D30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12756FCF">
            <w:pPr>
              <w:spacing w:line="360" w:lineRule="auto"/>
              <w:jc w:val="center"/>
              <w:rPr>
                <w:rFonts w:hint="eastAsia" w:ascii="宋体" w:hAnsi="宋体" w:eastAsia="宋体" w:cs="宋体"/>
                <w:strike w:val="0"/>
                <w:color w:val="auto"/>
                <w:sz w:val="21"/>
                <w:szCs w:val="21"/>
                <w:highlight w:val="none"/>
                <w:lang w:val="en-US" w:eastAsia="zh-CN"/>
              </w:rPr>
            </w:pPr>
          </w:p>
        </w:tc>
        <w:tc>
          <w:tcPr>
            <w:tcW w:w="533" w:type="pct"/>
            <w:vMerge w:val="continue"/>
            <w:tcBorders>
              <w:left w:val="single" w:color="auto" w:sz="4" w:space="0"/>
              <w:right w:val="single" w:color="auto" w:sz="4" w:space="0"/>
            </w:tcBorders>
            <w:noWrap w:val="0"/>
            <w:vAlign w:val="center"/>
          </w:tcPr>
          <w:p w14:paraId="74318883">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7D4A6629">
            <w:pPr>
              <w:spacing w:line="276" w:lineRule="auto"/>
              <w:jc w:val="center"/>
              <w:rPr>
                <w:rFonts w:hint="eastAsia" w:ascii="宋体" w:hAnsi="宋体" w:eastAsia="宋体" w:cs="宋体"/>
                <w:strike w:val="0"/>
                <w:color w:val="auto"/>
                <w:sz w:val="21"/>
                <w:szCs w:val="21"/>
                <w:highlight w:val="none"/>
                <w:u w:val="single"/>
                <w:lang w:eastAsia="zh-CN"/>
              </w:rPr>
            </w:pPr>
            <w:r>
              <w:rPr>
                <w:rFonts w:hint="eastAsia" w:ascii="宋体" w:hAnsi="宋体"/>
                <w:color w:val="auto"/>
                <w:szCs w:val="21"/>
                <w:highlight w:val="none"/>
              </w:rPr>
              <w:t>投标文件格式</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18E86E5F">
            <w:pPr>
              <w:spacing w:line="276" w:lineRule="auto"/>
              <w:jc w:val="both"/>
              <w:rPr>
                <w:rFonts w:hint="eastAsia" w:ascii="宋体" w:hAnsi="宋体" w:eastAsia="宋体" w:cs="宋体"/>
                <w:strike w:val="0"/>
                <w:color w:val="auto"/>
                <w:sz w:val="21"/>
                <w:szCs w:val="21"/>
                <w:highlight w:val="none"/>
                <w:u w:val="single"/>
                <w:lang w:val="en-US" w:eastAsia="zh-CN"/>
              </w:rPr>
            </w:pPr>
            <w:r>
              <w:rPr>
                <w:rFonts w:hint="eastAsia" w:ascii="宋体" w:hAnsi="宋体"/>
                <w:color w:val="auto"/>
                <w:szCs w:val="21"/>
                <w:highlight w:val="none"/>
              </w:rPr>
              <w:t>符合第八章“投标文件格式”的要求。</w:t>
            </w:r>
          </w:p>
        </w:tc>
      </w:tr>
      <w:tr w14:paraId="759C1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24ABC5A1">
            <w:pPr>
              <w:spacing w:line="360" w:lineRule="auto"/>
              <w:jc w:val="center"/>
              <w:rPr>
                <w:rFonts w:hint="eastAsia" w:ascii="宋体" w:hAnsi="宋体" w:eastAsia="宋体" w:cs="宋体"/>
                <w:strike w:val="0"/>
                <w:color w:val="auto"/>
                <w:sz w:val="21"/>
                <w:szCs w:val="21"/>
                <w:highlight w:val="none"/>
                <w:lang w:val="en-US" w:eastAsia="zh-CN"/>
              </w:rPr>
            </w:pPr>
          </w:p>
        </w:tc>
        <w:tc>
          <w:tcPr>
            <w:tcW w:w="533" w:type="pct"/>
            <w:vMerge w:val="continue"/>
            <w:tcBorders>
              <w:left w:val="single" w:color="auto" w:sz="4" w:space="0"/>
              <w:right w:val="single" w:color="auto" w:sz="4" w:space="0"/>
            </w:tcBorders>
            <w:noWrap w:val="0"/>
            <w:vAlign w:val="center"/>
          </w:tcPr>
          <w:p w14:paraId="00FCFBB4">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240BF961">
            <w:pPr>
              <w:spacing w:line="276" w:lineRule="auto"/>
              <w:jc w:val="center"/>
              <w:rPr>
                <w:rFonts w:hint="eastAsia" w:ascii="宋体" w:hAnsi="宋体" w:eastAsia="宋体" w:cs="宋体"/>
                <w:strike w:val="0"/>
                <w:color w:val="auto"/>
                <w:sz w:val="21"/>
                <w:szCs w:val="21"/>
                <w:highlight w:val="none"/>
                <w:u w:val="single"/>
                <w:lang w:eastAsia="zh-CN"/>
              </w:rPr>
            </w:pPr>
            <w:r>
              <w:rPr>
                <w:rFonts w:hint="eastAsia" w:ascii="宋体" w:hAnsi="宋体"/>
                <w:color w:val="auto"/>
                <w:szCs w:val="21"/>
                <w:highlight w:val="none"/>
              </w:rPr>
              <w:t>报价唯一</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414C920E">
            <w:pPr>
              <w:spacing w:line="276" w:lineRule="auto"/>
              <w:jc w:val="both"/>
              <w:rPr>
                <w:rFonts w:hint="eastAsia" w:ascii="宋体" w:hAnsi="宋体" w:eastAsia="宋体" w:cs="宋体"/>
                <w:strike w:val="0"/>
                <w:color w:val="auto"/>
                <w:sz w:val="21"/>
                <w:szCs w:val="21"/>
                <w:highlight w:val="none"/>
                <w:u w:val="single"/>
                <w:lang w:val="en-US" w:eastAsia="zh-CN"/>
              </w:rPr>
            </w:pPr>
            <w:r>
              <w:rPr>
                <w:rFonts w:hint="eastAsia" w:ascii="宋体" w:hAnsi="宋体"/>
                <w:color w:val="auto"/>
                <w:szCs w:val="21"/>
                <w:highlight w:val="none"/>
              </w:rPr>
              <w:t>只能有一个有效报价，有效报价是指符合第三章“评标办法”</w:t>
            </w:r>
            <w:r>
              <w:rPr>
                <w:rFonts w:ascii="宋体" w:hAnsi="宋体"/>
                <w:color w:val="auto"/>
                <w:szCs w:val="21"/>
                <w:highlight w:val="none"/>
              </w:rPr>
              <w:t>2.</w:t>
            </w:r>
            <w:r>
              <w:rPr>
                <w:rFonts w:hint="eastAsia" w:ascii="宋体" w:hAnsi="宋体"/>
                <w:color w:val="auto"/>
                <w:szCs w:val="21"/>
                <w:highlight w:val="none"/>
                <w:lang w:val="en-US" w:eastAsia="zh-CN"/>
              </w:rPr>
              <w:t>3</w:t>
            </w:r>
            <w:r>
              <w:rPr>
                <w:rFonts w:ascii="宋体" w:hAnsi="宋体"/>
                <w:color w:val="auto"/>
                <w:szCs w:val="21"/>
                <w:highlight w:val="none"/>
              </w:rPr>
              <w:t>的投标报价</w:t>
            </w:r>
            <w:r>
              <w:rPr>
                <w:rFonts w:hint="eastAsia" w:ascii="宋体" w:hAnsi="宋体"/>
                <w:color w:val="auto"/>
                <w:szCs w:val="21"/>
                <w:highlight w:val="none"/>
              </w:rPr>
              <w:t>。</w:t>
            </w:r>
          </w:p>
        </w:tc>
      </w:tr>
      <w:tr w14:paraId="0565B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bottom w:val="single" w:color="auto" w:sz="4" w:space="0"/>
              <w:right w:val="single" w:color="auto" w:sz="4" w:space="0"/>
            </w:tcBorders>
            <w:noWrap w:val="0"/>
            <w:vAlign w:val="center"/>
          </w:tcPr>
          <w:p w14:paraId="30B3A683">
            <w:pPr>
              <w:spacing w:line="360" w:lineRule="auto"/>
              <w:jc w:val="center"/>
              <w:rPr>
                <w:rFonts w:hint="eastAsia" w:ascii="宋体" w:hAnsi="宋体" w:eastAsia="宋体" w:cs="宋体"/>
                <w:strike w:val="0"/>
                <w:color w:val="auto"/>
                <w:sz w:val="21"/>
                <w:szCs w:val="21"/>
                <w:highlight w:val="none"/>
                <w:lang w:val="en-US" w:eastAsia="zh-CN"/>
              </w:rPr>
            </w:pPr>
          </w:p>
        </w:tc>
        <w:tc>
          <w:tcPr>
            <w:tcW w:w="533" w:type="pct"/>
            <w:vMerge w:val="continue"/>
            <w:tcBorders>
              <w:left w:val="single" w:color="auto" w:sz="4" w:space="0"/>
              <w:bottom w:val="single" w:color="auto" w:sz="4" w:space="0"/>
              <w:right w:val="single" w:color="auto" w:sz="4" w:space="0"/>
            </w:tcBorders>
            <w:noWrap w:val="0"/>
            <w:vAlign w:val="center"/>
          </w:tcPr>
          <w:p w14:paraId="58AA8345">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top"/>
          </w:tcPr>
          <w:p w14:paraId="71B431F7">
            <w:pPr>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投标人与其他投标人加密打包投标文件电脑机器特征码</w:t>
            </w:r>
            <w:r>
              <w:rPr>
                <w:rFonts w:hint="eastAsia" w:ascii="宋体" w:hAnsi="宋体" w:eastAsia="宋体" w:cs="Times New Roman"/>
                <w:color w:val="auto"/>
                <w:szCs w:val="21"/>
                <w:highlight w:val="none"/>
                <w:lang w:eastAsia="zh-CN"/>
              </w:rPr>
              <w:t>不</w:t>
            </w:r>
            <w:r>
              <w:rPr>
                <w:rFonts w:hint="eastAsia" w:ascii="宋体" w:hAnsi="宋体" w:eastAsia="宋体" w:cs="Times New Roman"/>
                <w:color w:val="auto"/>
                <w:szCs w:val="21"/>
                <w:highlight w:val="none"/>
              </w:rPr>
              <w:t>一致的</w:t>
            </w:r>
          </w:p>
        </w:tc>
        <w:tc>
          <w:tcPr>
            <w:tcW w:w="2799" w:type="pct"/>
            <w:tcBorders>
              <w:top w:val="single" w:color="auto" w:sz="4" w:space="0"/>
              <w:left w:val="single" w:color="auto" w:sz="4" w:space="0"/>
              <w:bottom w:val="single" w:color="auto" w:sz="4" w:space="0"/>
              <w:right w:val="single" w:color="auto" w:sz="4" w:space="0"/>
            </w:tcBorders>
            <w:noWrap w:val="0"/>
            <w:vAlign w:val="top"/>
          </w:tcPr>
          <w:p w14:paraId="59F4F0F3">
            <w:pPr>
              <w:spacing w:line="276"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投标人与</w:t>
            </w:r>
            <w:r>
              <w:rPr>
                <w:rFonts w:hint="eastAsia" w:ascii="宋体" w:hAnsi="宋体" w:eastAsia="宋体" w:cs="Times New Roman"/>
                <w:color w:val="auto"/>
                <w:szCs w:val="21"/>
                <w:highlight w:val="none"/>
                <w:lang w:eastAsia="zh-CN"/>
              </w:rPr>
              <w:t>本项目</w:t>
            </w:r>
            <w:r>
              <w:rPr>
                <w:rFonts w:hint="eastAsia" w:ascii="宋体" w:hAnsi="宋体" w:eastAsia="宋体" w:cs="Times New Roman"/>
                <w:color w:val="auto"/>
                <w:szCs w:val="21"/>
                <w:highlight w:val="none"/>
              </w:rPr>
              <w:t>其他投标人加密打包投标文件电脑机器特征码</w:t>
            </w:r>
            <w:r>
              <w:rPr>
                <w:rFonts w:hint="eastAsia" w:ascii="宋体" w:hAnsi="宋体" w:eastAsia="宋体" w:cs="Times New Roman"/>
                <w:color w:val="auto"/>
                <w:szCs w:val="21"/>
                <w:highlight w:val="none"/>
                <w:lang w:eastAsia="zh-CN"/>
              </w:rPr>
              <w:t>不</w:t>
            </w:r>
            <w:r>
              <w:rPr>
                <w:rFonts w:hint="eastAsia" w:ascii="宋体" w:hAnsi="宋体" w:eastAsia="宋体" w:cs="Times New Roman"/>
                <w:color w:val="auto"/>
                <w:szCs w:val="21"/>
                <w:highlight w:val="none"/>
              </w:rPr>
              <w:t>一致的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以</w:t>
            </w:r>
            <w:r>
              <w:rPr>
                <w:rFonts w:hint="eastAsia" w:ascii="宋体" w:hAnsi="宋体" w:eastAsia="宋体" w:cs="Times New Roman"/>
                <w:color w:val="auto"/>
                <w:szCs w:val="21"/>
                <w:highlight w:val="none"/>
                <w:lang w:eastAsia="zh-CN"/>
              </w:rPr>
              <w:t>广州交易集团有限公司（广州公共资源交易中心）交易</w:t>
            </w:r>
            <w:r>
              <w:rPr>
                <w:rFonts w:hint="eastAsia" w:ascii="宋体" w:hAnsi="宋体" w:eastAsia="宋体" w:cs="Times New Roman"/>
                <w:color w:val="auto"/>
                <w:szCs w:val="21"/>
                <w:highlight w:val="none"/>
              </w:rPr>
              <w:t>平台</w:t>
            </w:r>
            <w:r>
              <w:rPr>
                <w:rFonts w:hint="eastAsia" w:ascii="宋体" w:hAnsi="宋体" w:eastAsia="宋体" w:cs="Times New Roman"/>
                <w:color w:val="auto"/>
                <w:szCs w:val="21"/>
                <w:highlight w:val="none"/>
                <w:lang w:eastAsia="zh-CN"/>
              </w:rPr>
              <w:t>开标</w:t>
            </w:r>
            <w:r>
              <w:rPr>
                <w:rFonts w:hint="eastAsia" w:ascii="宋体" w:hAnsi="宋体" w:eastAsia="宋体" w:cs="Times New Roman"/>
                <w:color w:val="auto"/>
                <w:szCs w:val="21"/>
                <w:highlight w:val="none"/>
              </w:rPr>
              <w:t>系统的检索信息为准</w:t>
            </w:r>
            <w:r>
              <w:rPr>
                <w:rFonts w:hint="eastAsia" w:ascii="宋体" w:hAnsi="宋体" w:eastAsia="宋体" w:cs="Times New Roman"/>
                <w:color w:val="auto"/>
                <w:szCs w:val="21"/>
                <w:highlight w:val="none"/>
                <w:lang w:eastAsia="zh-CN"/>
              </w:rPr>
              <w:t>）</w:t>
            </w:r>
          </w:p>
        </w:tc>
      </w:tr>
      <w:tr w14:paraId="37B2D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bottom w:val="single" w:color="auto" w:sz="4" w:space="0"/>
              <w:right w:val="single" w:color="auto" w:sz="4" w:space="0"/>
            </w:tcBorders>
            <w:noWrap w:val="0"/>
            <w:vAlign w:val="center"/>
          </w:tcPr>
          <w:p w14:paraId="4C9AB077">
            <w:pPr>
              <w:spacing w:line="360" w:lineRule="auto"/>
              <w:jc w:val="center"/>
              <w:rPr>
                <w:rFonts w:hint="eastAsia" w:ascii="宋体" w:hAnsi="宋体" w:eastAsia="宋体" w:cs="宋体"/>
                <w:strike w:val="0"/>
                <w:color w:val="auto"/>
                <w:sz w:val="21"/>
                <w:szCs w:val="21"/>
                <w:highlight w:val="none"/>
                <w:lang w:val="en-US" w:eastAsia="zh-CN"/>
              </w:rPr>
            </w:pPr>
          </w:p>
        </w:tc>
        <w:tc>
          <w:tcPr>
            <w:tcW w:w="533" w:type="pct"/>
            <w:vMerge w:val="continue"/>
            <w:tcBorders>
              <w:left w:val="single" w:color="auto" w:sz="4" w:space="0"/>
              <w:bottom w:val="single" w:color="auto" w:sz="4" w:space="0"/>
              <w:right w:val="single" w:color="auto" w:sz="4" w:space="0"/>
            </w:tcBorders>
            <w:noWrap w:val="0"/>
            <w:vAlign w:val="center"/>
          </w:tcPr>
          <w:p w14:paraId="717AC4F8">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4A8E84DF">
            <w:pPr>
              <w:spacing w:line="276" w:lineRule="auto"/>
              <w:jc w:val="center"/>
              <w:rPr>
                <w:rFonts w:hint="eastAsia" w:ascii="宋体" w:hAnsi="宋体" w:eastAsia="宋体" w:cs="Times New Roman"/>
                <w:strike w:val="0"/>
                <w:color w:val="auto"/>
                <w:sz w:val="21"/>
                <w:szCs w:val="21"/>
                <w:highlight w:val="none"/>
                <w:u w:val="none"/>
                <w:lang w:eastAsia="zh-CN"/>
              </w:rPr>
            </w:pPr>
            <w:r>
              <w:rPr>
                <w:rFonts w:hint="eastAsia" w:ascii="宋体" w:hAnsi="宋体" w:eastAsia="宋体" w:cs="Times New Roman"/>
                <w:color w:val="auto"/>
                <w:szCs w:val="21"/>
                <w:highlight w:val="none"/>
              </w:rPr>
              <w:t>投标人与其他投标人</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投标文件</w:t>
            </w:r>
            <w:r>
              <w:rPr>
                <w:rFonts w:hint="eastAsia" w:ascii="宋体" w:hAnsi="宋体" w:eastAsia="宋体" w:cs="Times New Roman"/>
                <w:color w:val="auto"/>
                <w:szCs w:val="21"/>
                <w:highlight w:val="none"/>
                <w:lang w:eastAsia="zh-CN"/>
              </w:rPr>
              <w:t>工程量清单编制机器硬件信息不</w:t>
            </w:r>
            <w:r>
              <w:rPr>
                <w:rFonts w:hint="eastAsia" w:ascii="宋体" w:hAnsi="宋体" w:eastAsia="宋体" w:cs="Times New Roman"/>
                <w:color w:val="auto"/>
                <w:szCs w:val="21"/>
                <w:highlight w:val="none"/>
              </w:rPr>
              <w:t>一致的</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0B960920">
            <w:pPr>
              <w:spacing w:line="276" w:lineRule="auto"/>
              <w:jc w:val="center"/>
              <w:rPr>
                <w:rFonts w:hint="eastAsia" w:ascii="宋体" w:hAnsi="宋体" w:eastAsia="宋体" w:cs="Times New Roman"/>
                <w:strike w:val="0"/>
                <w:color w:val="auto"/>
                <w:sz w:val="21"/>
                <w:szCs w:val="21"/>
                <w:highlight w:val="none"/>
                <w:u w:val="none"/>
                <w:lang w:val="en-US" w:eastAsia="zh-CN"/>
              </w:rPr>
            </w:pPr>
            <w:r>
              <w:rPr>
                <w:rFonts w:hint="eastAsia" w:ascii="宋体" w:hAnsi="宋体" w:eastAsia="宋体" w:cs="Times New Roman"/>
                <w:color w:val="auto"/>
                <w:szCs w:val="21"/>
                <w:highlight w:val="none"/>
              </w:rPr>
              <w:t>投标人与</w:t>
            </w:r>
            <w:r>
              <w:rPr>
                <w:rFonts w:hint="eastAsia" w:ascii="宋体" w:hAnsi="宋体" w:eastAsia="宋体" w:cs="Times New Roman"/>
                <w:color w:val="auto"/>
                <w:szCs w:val="21"/>
                <w:highlight w:val="none"/>
                <w:lang w:eastAsia="zh-CN"/>
              </w:rPr>
              <w:t>本项目</w:t>
            </w:r>
            <w:r>
              <w:rPr>
                <w:rFonts w:hint="eastAsia" w:ascii="宋体" w:hAnsi="宋体" w:eastAsia="宋体" w:cs="Times New Roman"/>
                <w:color w:val="auto"/>
                <w:szCs w:val="21"/>
                <w:highlight w:val="none"/>
              </w:rPr>
              <w:t>其他投标人</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投标文件</w:t>
            </w:r>
            <w:r>
              <w:rPr>
                <w:rFonts w:hint="eastAsia" w:ascii="宋体" w:hAnsi="宋体" w:eastAsia="宋体" w:cs="Times New Roman"/>
                <w:color w:val="auto"/>
                <w:szCs w:val="21"/>
                <w:highlight w:val="none"/>
                <w:lang w:eastAsia="zh-CN"/>
              </w:rPr>
              <w:t>工程量清单编制机器硬件信息不</w:t>
            </w:r>
            <w:r>
              <w:rPr>
                <w:rFonts w:hint="eastAsia" w:ascii="宋体" w:hAnsi="宋体" w:eastAsia="宋体" w:cs="Times New Roman"/>
                <w:color w:val="auto"/>
                <w:szCs w:val="21"/>
                <w:highlight w:val="none"/>
              </w:rPr>
              <w:t>一致的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以</w:t>
            </w:r>
            <w:r>
              <w:rPr>
                <w:rFonts w:hint="eastAsia" w:ascii="宋体" w:hAnsi="宋体" w:eastAsia="宋体" w:cs="Times New Roman"/>
                <w:color w:val="auto"/>
                <w:szCs w:val="21"/>
                <w:highlight w:val="none"/>
                <w:lang w:eastAsia="zh-CN"/>
              </w:rPr>
              <w:t>广州交易集团有限公司（广州公共资源交易中心）</w:t>
            </w:r>
            <w:r>
              <w:rPr>
                <w:rFonts w:hint="eastAsia" w:ascii="宋体" w:hAnsi="宋体" w:eastAsia="宋体" w:cs="Times New Roman"/>
                <w:color w:val="auto"/>
                <w:szCs w:val="21"/>
                <w:highlight w:val="none"/>
              </w:rPr>
              <w:t>交易平台</w:t>
            </w:r>
            <w:r>
              <w:rPr>
                <w:rFonts w:hint="eastAsia" w:ascii="宋体" w:hAnsi="宋体" w:eastAsia="宋体" w:cs="Times New Roman"/>
                <w:color w:val="auto"/>
                <w:szCs w:val="21"/>
                <w:highlight w:val="none"/>
                <w:lang w:val="en-US" w:eastAsia="zh-CN"/>
              </w:rPr>
              <w:t>评标系统</w:t>
            </w:r>
            <w:r>
              <w:rPr>
                <w:rFonts w:hint="eastAsia" w:ascii="宋体" w:hAnsi="宋体" w:eastAsia="宋体" w:cs="Times New Roman"/>
                <w:color w:val="auto"/>
                <w:szCs w:val="21"/>
                <w:highlight w:val="none"/>
              </w:rPr>
              <w:t>的检索信息为准)</w:t>
            </w:r>
          </w:p>
        </w:tc>
      </w:tr>
      <w:tr w14:paraId="2EDB7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restart"/>
            <w:tcBorders>
              <w:top w:val="single" w:color="auto" w:sz="4" w:space="0"/>
              <w:right w:val="single" w:color="auto" w:sz="4" w:space="0"/>
            </w:tcBorders>
            <w:noWrap w:val="0"/>
            <w:vAlign w:val="center"/>
          </w:tcPr>
          <w:p w14:paraId="51916E6E">
            <w:pPr>
              <w:spacing w:line="360" w:lineRule="auto"/>
              <w:jc w:val="center"/>
              <w:rPr>
                <w:rFonts w:hint="default" w:ascii="宋体" w:hAnsi="宋体" w:eastAsia="宋体" w:cs="宋体"/>
                <w:strike w:val="0"/>
                <w:color w:val="auto"/>
                <w:sz w:val="21"/>
                <w:szCs w:val="21"/>
                <w:highlight w:val="none"/>
                <w:lang w:val="en-US" w:eastAsia="zh-CN"/>
              </w:rPr>
            </w:pPr>
            <w:r>
              <w:rPr>
                <w:rFonts w:hint="eastAsia" w:ascii="宋体" w:hAnsi="宋体" w:eastAsia="宋体" w:cs="宋体"/>
                <w:strike w:val="0"/>
                <w:color w:val="auto"/>
                <w:sz w:val="21"/>
                <w:szCs w:val="21"/>
                <w:highlight w:val="none"/>
                <w:lang w:val="en-US" w:eastAsia="zh-CN"/>
              </w:rPr>
              <w:t>2.1.3</w:t>
            </w:r>
          </w:p>
        </w:tc>
        <w:tc>
          <w:tcPr>
            <w:tcW w:w="533" w:type="pct"/>
            <w:vMerge w:val="restart"/>
            <w:tcBorders>
              <w:top w:val="single" w:color="auto" w:sz="4" w:space="0"/>
              <w:left w:val="single" w:color="auto" w:sz="4" w:space="0"/>
              <w:right w:val="single" w:color="auto" w:sz="4" w:space="0"/>
            </w:tcBorders>
            <w:noWrap w:val="0"/>
            <w:vAlign w:val="center"/>
          </w:tcPr>
          <w:p w14:paraId="204AD606">
            <w:pPr>
              <w:spacing w:line="360" w:lineRule="auto"/>
              <w:jc w:val="center"/>
              <w:rPr>
                <w:rFonts w:hint="eastAsia" w:ascii="宋体" w:hAnsi="宋体" w:eastAsia="宋体" w:cs="宋体"/>
                <w:strike w:val="0"/>
                <w:color w:val="auto"/>
                <w:sz w:val="21"/>
                <w:szCs w:val="21"/>
                <w:highlight w:val="none"/>
              </w:rPr>
            </w:pPr>
            <w:r>
              <w:rPr>
                <w:rFonts w:ascii="宋体" w:hAnsi="宋体"/>
                <w:color w:val="auto"/>
                <w:szCs w:val="21"/>
                <w:highlight w:val="none"/>
              </w:rPr>
              <w:t>响应性评审标准</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4EE880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color w:val="auto"/>
                <w:szCs w:val="21"/>
                <w:highlight w:val="none"/>
              </w:rPr>
            </w:pPr>
            <w:r>
              <w:rPr>
                <w:rFonts w:hint="eastAsia" w:ascii="宋体" w:hAnsi="宋体" w:eastAsia="宋体" w:cs="宋体"/>
                <w:color w:val="auto"/>
                <w:szCs w:val="21"/>
                <w:highlight w:val="none"/>
              </w:rPr>
              <w:t>投标报价</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50A9BB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rPr>
              <w:t>符合第二章“投标人须知”第3.2.3</w:t>
            </w:r>
            <w:r>
              <w:rPr>
                <w:rFonts w:hint="eastAsia" w:ascii="宋体" w:hAnsi="宋体" w:eastAsia="宋体" w:cs="宋体"/>
                <w:color w:val="auto"/>
                <w:szCs w:val="21"/>
                <w:highlight w:val="none"/>
                <w:lang w:eastAsia="zh-CN"/>
              </w:rPr>
              <w:t>、3.2.4项</w:t>
            </w:r>
            <w:r>
              <w:rPr>
                <w:rFonts w:hint="eastAsia" w:ascii="宋体" w:hAnsi="宋体" w:eastAsia="宋体" w:cs="宋体"/>
                <w:color w:val="auto"/>
                <w:szCs w:val="21"/>
                <w:highlight w:val="none"/>
              </w:rPr>
              <w:t>规定</w:t>
            </w:r>
            <w:r>
              <w:rPr>
                <w:rFonts w:hint="eastAsia" w:ascii="宋体" w:hAnsi="宋体" w:eastAsia="宋体" w:cs="宋体"/>
                <w:color w:val="auto"/>
                <w:szCs w:val="21"/>
                <w:highlight w:val="none"/>
                <w:lang w:eastAsia="zh-CN"/>
              </w:rPr>
              <w:t>。</w:t>
            </w:r>
          </w:p>
        </w:tc>
      </w:tr>
      <w:tr w14:paraId="60E32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270D6B0B">
            <w:pPr>
              <w:spacing w:line="360" w:lineRule="auto"/>
              <w:jc w:val="center"/>
              <w:rPr>
                <w:rFonts w:hint="default" w:ascii="宋体" w:hAnsi="宋体" w:eastAsia="宋体" w:cs="宋体"/>
                <w:strike w:val="0"/>
                <w:color w:val="auto"/>
                <w:sz w:val="21"/>
                <w:szCs w:val="21"/>
                <w:highlight w:val="none"/>
                <w:lang w:val="en-US" w:eastAsia="zh-CN"/>
              </w:rPr>
            </w:pPr>
          </w:p>
        </w:tc>
        <w:tc>
          <w:tcPr>
            <w:tcW w:w="533" w:type="pct"/>
            <w:vMerge w:val="continue"/>
            <w:tcBorders>
              <w:left w:val="single" w:color="auto" w:sz="4" w:space="0"/>
              <w:right w:val="single" w:color="auto" w:sz="4" w:space="0"/>
            </w:tcBorders>
            <w:noWrap w:val="0"/>
            <w:vAlign w:val="center"/>
          </w:tcPr>
          <w:p w14:paraId="24F9FAA1">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6AF08F8D">
            <w:pPr>
              <w:spacing w:line="276" w:lineRule="auto"/>
              <w:jc w:val="center"/>
              <w:rPr>
                <w:rFonts w:hint="eastAsia" w:ascii="宋体" w:hAnsi="宋体" w:eastAsia="宋体" w:cs="宋体"/>
                <w:strike w:val="0"/>
                <w:color w:val="auto"/>
                <w:sz w:val="21"/>
                <w:szCs w:val="21"/>
                <w:highlight w:val="none"/>
                <w:u w:val="single"/>
                <w:lang w:eastAsia="zh-CN"/>
              </w:rPr>
            </w:pPr>
            <w:r>
              <w:rPr>
                <w:rFonts w:hint="eastAsia" w:ascii="宋体" w:hAnsi="宋体"/>
                <w:color w:val="auto"/>
                <w:szCs w:val="21"/>
                <w:highlight w:val="none"/>
              </w:rPr>
              <w:t>投标内容</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33155949">
            <w:pPr>
              <w:spacing w:line="276" w:lineRule="auto"/>
              <w:jc w:val="left"/>
              <w:rPr>
                <w:rFonts w:hint="eastAsia" w:ascii="宋体" w:hAnsi="宋体" w:eastAsia="宋体" w:cs="宋体"/>
                <w:strike w:val="0"/>
                <w:color w:val="auto"/>
                <w:sz w:val="21"/>
                <w:szCs w:val="21"/>
                <w:highlight w:val="none"/>
                <w:u w:val="single"/>
                <w:lang w:val="en-US" w:eastAsia="zh-CN"/>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章“投标人须知”第1.3.1项规定</w:t>
            </w:r>
            <w:r>
              <w:rPr>
                <w:rFonts w:hint="eastAsia" w:ascii="宋体" w:hAnsi="宋体"/>
                <w:color w:val="auto"/>
                <w:szCs w:val="21"/>
                <w:highlight w:val="none"/>
              </w:rPr>
              <w:t>。</w:t>
            </w:r>
          </w:p>
        </w:tc>
      </w:tr>
      <w:tr w14:paraId="5D3B3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35F71EF0">
            <w:pPr>
              <w:spacing w:line="360" w:lineRule="auto"/>
              <w:jc w:val="center"/>
              <w:rPr>
                <w:rFonts w:hint="eastAsia" w:ascii="宋体" w:hAnsi="宋体" w:eastAsia="宋体" w:cs="宋体"/>
                <w:strike w:val="0"/>
                <w:color w:val="auto"/>
                <w:sz w:val="21"/>
                <w:szCs w:val="21"/>
                <w:highlight w:val="none"/>
                <w:lang w:val="en-US" w:eastAsia="zh-CN"/>
              </w:rPr>
            </w:pPr>
          </w:p>
        </w:tc>
        <w:tc>
          <w:tcPr>
            <w:tcW w:w="533" w:type="pct"/>
            <w:vMerge w:val="continue"/>
            <w:tcBorders>
              <w:left w:val="single" w:color="auto" w:sz="4" w:space="0"/>
              <w:right w:val="single" w:color="auto" w:sz="4" w:space="0"/>
            </w:tcBorders>
            <w:noWrap w:val="0"/>
            <w:vAlign w:val="center"/>
          </w:tcPr>
          <w:p w14:paraId="70EAE3A6">
            <w:pPr>
              <w:spacing w:line="360" w:lineRule="auto"/>
              <w:jc w:val="center"/>
              <w:rPr>
                <w:rFonts w:ascii="宋体" w:hAnsi="宋体"/>
                <w:color w:val="auto"/>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05D2FBBF">
            <w:pPr>
              <w:spacing w:line="276" w:lineRule="auto"/>
              <w:jc w:val="center"/>
              <w:rPr>
                <w:rFonts w:hint="eastAsia" w:ascii="宋体" w:hAnsi="宋体" w:eastAsia="宋体" w:cs="宋体"/>
                <w:strike w:val="0"/>
                <w:color w:val="auto"/>
                <w:sz w:val="21"/>
                <w:szCs w:val="21"/>
                <w:highlight w:val="none"/>
                <w:u w:val="single"/>
                <w:lang w:eastAsia="zh-CN"/>
              </w:rPr>
            </w:pPr>
            <w:r>
              <w:rPr>
                <w:rFonts w:ascii="宋体" w:hAnsi="宋体"/>
                <w:color w:val="auto"/>
                <w:szCs w:val="21"/>
                <w:highlight w:val="none"/>
              </w:rPr>
              <w:t>工期</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0F261FD3">
            <w:pPr>
              <w:spacing w:line="276" w:lineRule="auto"/>
              <w:jc w:val="left"/>
              <w:rPr>
                <w:rFonts w:hint="eastAsia" w:ascii="宋体" w:hAnsi="宋体" w:eastAsia="宋体" w:cs="宋体"/>
                <w:strike w:val="0"/>
                <w:color w:val="auto"/>
                <w:sz w:val="21"/>
                <w:szCs w:val="21"/>
                <w:highlight w:val="none"/>
                <w:u w:val="single"/>
                <w:lang w:val="en-US" w:eastAsia="zh-CN"/>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章“投标人须知”第1.3.2项规定</w:t>
            </w:r>
            <w:r>
              <w:rPr>
                <w:rFonts w:hint="eastAsia" w:ascii="宋体" w:hAnsi="宋体"/>
                <w:color w:val="auto"/>
                <w:szCs w:val="21"/>
                <w:highlight w:val="none"/>
              </w:rPr>
              <w:t>。</w:t>
            </w:r>
          </w:p>
        </w:tc>
      </w:tr>
      <w:tr w14:paraId="3B570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53D1B514">
            <w:pPr>
              <w:spacing w:line="360" w:lineRule="auto"/>
              <w:jc w:val="center"/>
              <w:rPr>
                <w:rFonts w:hint="eastAsia" w:ascii="宋体" w:hAnsi="宋体" w:eastAsia="宋体" w:cs="宋体"/>
                <w:strike w:val="0"/>
                <w:color w:val="auto"/>
                <w:sz w:val="21"/>
                <w:szCs w:val="21"/>
                <w:highlight w:val="none"/>
                <w:lang w:val="en-US" w:eastAsia="zh-CN"/>
              </w:rPr>
            </w:pPr>
          </w:p>
        </w:tc>
        <w:tc>
          <w:tcPr>
            <w:tcW w:w="533" w:type="pct"/>
            <w:vMerge w:val="continue"/>
            <w:tcBorders>
              <w:left w:val="single" w:color="auto" w:sz="4" w:space="0"/>
              <w:right w:val="single" w:color="auto" w:sz="4" w:space="0"/>
            </w:tcBorders>
            <w:noWrap w:val="0"/>
            <w:vAlign w:val="center"/>
          </w:tcPr>
          <w:p w14:paraId="037CEF30">
            <w:pPr>
              <w:spacing w:line="360" w:lineRule="auto"/>
              <w:jc w:val="center"/>
              <w:rPr>
                <w:rFonts w:ascii="宋体" w:hAnsi="宋体"/>
                <w:color w:val="auto"/>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12AACF6D">
            <w:pPr>
              <w:spacing w:line="276" w:lineRule="auto"/>
              <w:jc w:val="center"/>
              <w:rPr>
                <w:rFonts w:hint="eastAsia" w:ascii="宋体" w:hAnsi="宋体" w:eastAsia="宋体" w:cs="宋体"/>
                <w:strike w:val="0"/>
                <w:color w:val="auto"/>
                <w:sz w:val="21"/>
                <w:szCs w:val="21"/>
                <w:highlight w:val="none"/>
                <w:u w:val="single"/>
                <w:lang w:eastAsia="zh-CN"/>
              </w:rPr>
            </w:pPr>
            <w:r>
              <w:rPr>
                <w:rFonts w:ascii="宋体" w:hAnsi="宋体"/>
                <w:color w:val="auto"/>
                <w:szCs w:val="21"/>
                <w:highlight w:val="none"/>
              </w:rPr>
              <w:t>工程质量</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36E34E93">
            <w:pPr>
              <w:spacing w:line="276" w:lineRule="auto"/>
              <w:jc w:val="left"/>
              <w:rPr>
                <w:rFonts w:hint="eastAsia" w:ascii="宋体" w:hAnsi="宋体" w:eastAsia="宋体" w:cs="宋体"/>
                <w:strike w:val="0"/>
                <w:color w:val="auto"/>
                <w:sz w:val="21"/>
                <w:szCs w:val="21"/>
                <w:highlight w:val="none"/>
                <w:u w:val="single"/>
                <w:lang w:val="en-US" w:eastAsia="zh-CN"/>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章“投标人须知”第1.3.3项规定</w:t>
            </w:r>
            <w:r>
              <w:rPr>
                <w:rFonts w:hint="eastAsia" w:ascii="宋体" w:hAnsi="宋体"/>
                <w:color w:val="auto"/>
                <w:szCs w:val="21"/>
                <w:highlight w:val="none"/>
              </w:rPr>
              <w:t>。</w:t>
            </w:r>
          </w:p>
        </w:tc>
      </w:tr>
      <w:tr w14:paraId="22749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090A3FBE">
            <w:pPr>
              <w:spacing w:line="360" w:lineRule="auto"/>
              <w:jc w:val="center"/>
              <w:rPr>
                <w:rFonts w:hint="eastAsia" w:ascii="宋体" w:hAnsi="宋体" w:eastAsia="宋体" w:cs="宋体"/>
                <w:strike w:val="0"/>
                <w:color w:val="auto"/>
                <w:sz w:val="21"/>
                <w:szCs w:val="21"/>
                <w:highlight w:val="none"/>
                <w:lang w:val="en-US" w:eastAsia="zh-CN"/>
              </w:rPr>
            </w:pPr>
          </w:p>
        </w:tc>
        <w:tc>
          <w:tcPr>
            <w:tcW w:w="533" w:type="pct"/>
            <w:vMerge w:val="continue"/>
            <w:tcBorders>
              <w:left w:val="single" w:color="auto" w:sz="4" w:space="0"/>
              <w:right w:val="single" w:color="auto" w:sz="4" w:space="0"/>
            </w:tcBorders>
            <w:noWrap w:val="0"/>
            <w:vAlign w:val="center"/>
          </w:tcPr>
          <w:p w14:paraId="42272BE4">
            <w:pPr>
              <w:spacing w:line="360" w:lineRule="auto"/>
              <w:jc w:val="center"/>
              <w:rPr>
                <w:rFonts w:ascii="宋体" w:hAnsi="宋体"/>
                <w:color w:val="auto"/>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5264F2D1">
            <w:pPr>
              <w:spacing w:line="276" w:lineRule="auto"/>
              <w:jc w:val="center"/>
              <w:rPr>
                <w:rFonts w:hint="eastAsia" w:ascii="宋体" w:hAnsi="宋体" w:eastAsia="宋体" w:cs="宋体"/>
                <w:strike w:val="0"/>
                <w:color w:val="auto"/>
                <w:sz w:val="21"/>
                <w:szCs w:val="21"/>
                <w:highlight w:val="none"/>
                <w:u w:val="single"/>
                <w:lang w:eastAsia="zh-CN"/>
              </w:rPr>
            </w:pPr>
            <w:r>
              <w:rPr>
                <w:rFonts w:hint="eastAsia" w:ascii="宋体" w:hAnsi="宋体"/>
                <w:color w:val="auto"/>
                <w:szCs w:val="21"/>
                <w:highlight w:val="none"/>
              </w:rPr>
              <w:t>投标有效期</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77DFACC1">
            <w:pPr>
              <w:spacing w:line="276" w:lineRule="auto"/>
              <w:jc w:val="left"/>
              <w:rPr>
                <w:rFonts w:hint="eastAsia" w:ascii="宋体" w:hAnsi="宋体" w:eastAsia="宋体" w:cs="宋体"/>
                <w:strike w:val="0"/>
                <w:color w:val="auto"/>
                <w:sz w:val="21"/>
                <w:szCs w:val="21"/>
                <w:highlight w:val="none"/>
                <w:u w:val="single"/>
                <w:lang w:val="en-US" w:eastAsia="zh-CN"/>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章“投标人须知”第3.3.1项规定</w:t>
            </w:r>
            <w:r>
              <w:rPr>
                <w:rFonts w:hint="eastAsia" w:ascii="宋体" w:hAnsi="宋体"/>
                <w:color w:val="auto"/>
                <w:szCs w:val="21"/>
                <w:highlight w:val="none"/>
              </w:rPr>
              <w:t>。</w:t>
            </w:r>
          </w:p>
        </w:tc>
      </w:tr>
      <w:tr w14:paraId="5FB57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5326268D">
            <w:pPr>
              <w:spacing w:line="360" w:lineRule="auto"/>
              <w:jc w:val="center"/>
              <w:rPr>
                <w:rFonts w:hint="eastAsia" w:ascii="宋体" w:hAnsi="宋体" w:eastAsia="宋体" w:cs="宋体"/>
                <w:strike w:val="0"/>
                <w:color w:val="auto"/>
                <w:sz w:val="21"/>
                <w:szCs w:val="21"/>
                <w:highlight w:val="none"/>
                <w:lang w:val="en-US" w:eastAsia="zh-CN"/>
              </w:rPr>
            </w:pPr>
          </w:p>
        </w:tc>
        <w:tc>
          <w:tcPr>
            <w:tcW w:w="533" w:type="pct"/>
            <w:vMerge w:val="continue"/>
            <w:tcBorders>
              <w:left w:val="single" w:color="auto" w:sz="4" w:space="0"/>
              <w:right w:val="single" w:color="auto" w:sz="4" w:space="0"/>
            </w:tcBorders>
            <w:noWrap w:val="0"/>
            <w:vAlign w:val="center"/>
          </w:tcPr>
          <w:p w14:paraId="18B273CA">
            <w:pPr>
              <w:spacing w:line="360" w:lineRule="auto"/>
              <w:jc w:val="center"/>
              <w:rPr>
                <w:rFonts w:ascii="宋体" w:hAnsi="宋体"/>
                <w:color w:val="auto"/>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6EA41479">
            <w:pPr>
              <w:spacing w:line="360" w:lineRule="auto"/>
              <w:jc w:val="center"/>
              <w:rPr>
                <w:rFonts w:ascii="宋体" w:hAnsi="宋体"/>
                <w:strike/>
                <w:color w:val="auto"/>
                <w:szCs w:val="21"/>
                <w:highlight w:val="none"/>
              </w:rPr>
            </w:pPr>
            <w:r>
              <w:rPr>
                <w:strike/>
                <w:color w:val="auto"/>
                <w:szCs w:val="21"/>
                <w:highlight w:val="none"/>
              </w:rPr>
              <w:t>投标保证金</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00693E88">
            <w:pPr>
              <w:spacing w:line="360" w:lineRule="auto"/>
              <w:jc w:val="center"/>
              <w:rPr>
                <w:rFonts w:ascii="宋体" w:hAnsi="宋体"/>
                <w:strike/>
                <w:color w:val="auto"/>
                <w:szCs w:val="21"/>
                <w:highlight w:val="none"/>
              </w:rPr>
            </w:pPr>
            <w:r>
              <w:rPr>
                <w:strike/>
                <w:color w:val="auto"/>
                <w:szCs w:val="21"/>
                <w:highlight w:val="none"/>
              </w:rPr>
              <w:t>符合第</w:t>
            </w:r>
            <w:r>
              <w:rPr>
                <w:rFonts w:hint="eastAsia"/>
                <w:strike/>
                <w:color w:val="auto"/>
                <w:szCs w:val="21"/>
                <w:highlight w:val="none"/>
              </w:rPr>
              <w:t>二</w:t>
            </w:r>
            <w:r>
              <w:rPr>
                <w:strike/>
                <w:color w:val="auto"/>
                <w:szCs w:val="21"/>
                <w:highlight w:val="none"/>
              </w:rPr>
              <w:t>章“投标人须知”第3.4</w:t>
            </w:r>
            <w:r>
              <w:rPr>
                <w:rFonts w:hint="eastAsia"/>
                <w:strike/>
                <w:color w:val="auto"/>
                <w:szCs w:val="21"/>
                <w:highlight w:val="none"/>
              </w:rPr>
              <w:t>.1项</w:t>
            </w:r>
            <w:r>
              <w:rPr>
                <w:strike/>
                <w:color w:val="auto"/>
                <w:szCs w:val="21"/>
                <w:highlight w:val="none"/>
              </w:rPr>
              <w:t>规定</w:t>
            </w:r>
          </w:p>
        </w:tc>
      </w:tr>
      <w:tr w14:paraId="52D6D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7F149684">
            <w:pPr>
              <w:spacing w:line="360" w:lineRule="auto"/>
              <w:jc w:val="center"/>
              <w:rPr>
                <w:rFonts w:hint="eastAsia" w:ascii="宋体" w:hAnsi="宋体" w:eastAsia="宋体" w:cs="宋体"/>
                <w:strike w:val="0"/>
                <w:color w:val="auto"/>
                <w:sz w:val="21"/>
                <w:szCs w:val="21"/>
                <w:highlight w:val="none"/>
                <w:lang w:val="en-US" w:eastAsia="zh-CN"/>
              </w:rPr>
            </w:pPr>
          </w:p>
        </w:tc>
        <w:tc>
          <w:tcPr>
            <w:tcW w:w="533" w:type="pct"/>
            <w:vMerge w:val="continue"/>
            <w:tcBorders>
              <w:left w:val="single" w:color="auto" w:sz="4" w:space="0"/>
              <w:right w:val="single" w:color="auto" w:sz="4" w:space="0"/>
            </w:tcBorders>
            <w:noWrap w:val="0"/>
            <w:vAlign w:val="center"/>
          </w:tcPr>
          <w:p w14:paraId="2403A9A9">
            <w:pPr>
              <w:spacing w:line="360" w:lineRule="auto"/>
              <w:jc w:val="center"/>
              <w:rPr>
                <w:rFonts w:ascii="宋体" w:hAnsi="宋体"/>
                <w:color w:val="auto"/>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2FF7E304">
            <w:pPr>
              <w:spacing w:line="276" w:lineRule="auto"/>
              <w:jc w:val="center"/>
              <w:rPr>
                <w:rFonts w:hint="eastAsia" w:ascii="宋体" w:hAnsi="宋体" w:eastAsia="宋体" w:cs="宋体"/>
                <w:strike w:val="0"/>
                <w:color w:val="auto"/>
                <w:sz w:val="21"/>
                <w:szCs w:val="21"/>
                <w:highlight w:val="none"/>
                <w:u w:val="single"/>
                <w:lang w:eastAsia="zh-CN"/>
              </w:rPr>
            </w:pPr>
            <w:r>
              <w:rPr>
                <w:rFonts w:ascii="宋体" w:hAnsi="宋体"/>
                <w:color w:val="auto"/>
                <w:szCs w:val="21"/>
                <w:highlight w:val="none"/>
              </w:rPr>
              <w:t>已标价工程量清单</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64D0DA38">
            <w:pPr>
              <w:spacing w:line="276" w:lineRule="auto"/>
              <w:jc w:val="left"/>
              <w:rPr>
                <w:rFonts w:hint="eastAsia" w:ascii="宋体" w:hAnsi="宋体" w:eastAsia="宋体" w:cs="宋体"/>
                <w:strike w:val="0"/>
                <w:color w:val="auto"/>
                <w:sz w:val="21"/>
                <w:szCs w:val="21"/>
                <w:highlight w:val="none"/>
                <w:u w:val="single"/>
                <w:lang w:val="en-US" w:eastAsia="zh-CN"/>
              </w:rPr>
            </w:pPr>
            <w:r>
              <w:rPr>
                <w:rFonts w:ascii="宋体" w:hAnsi="宋体"/>
                <w:color w:val="auto"/>
                <w:szCs w:val="21"/>
                <w:highlight w:val="none"/>
              </w:rPr>
              <w:t>符合第</w:t>
            </w:r>
            <w:r>
              <w:rPr>
                <w:rFonts w:hint="eastAsia" w:ascii="宋体" w:hAnsi="宋体"/>
                <w:color w:val="auto"/>
                <w:szCs w:val="21"/>
                <w:highlight w:val="none"/>
              </w:rPr>
              <w:t>五</w:t>
            </w:r>
            <w:r>
              <w:rPr>
                <w:rFonts w:ascii="宋体" w:hAnsi="宋体"/>
                <w:color w:val="auto"/>
                <w:szCs w:val="21"/>
                <w:highlight w:val="none"/>
              </w:rPr>
              <w:t>章“工程量清单”给出的范围及数量</w:t>
            </w:r>
            <w:r>
              <w:rPr>
                <w:rFonts w:hint="eastAsia" w:ascii="宋体" w:hAnsi="宋体"/>
                <w:color w:val="auto"/>
                <w:szCs w:val="21"/>
                <w:highlight w:val="none"/>
              </w:rPr>
              <w:t>。</w:t>
            </w:r>
          </w:p>
        </w:tc>
      </w:tr>
      <w:tr w14:paraId="644C6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7B4006A9">
            <w:pPr>
              <w:spacing w:line="360" w:lineRule="auto"/>
              <w:jc w:val="center"/>
              <w:rPr>
                <w:rFonts w:hint="eastAsia" w:ascii="宋体" w:hAnsi="宋体" w:eastAsia="宋体" w:cs="宋体"/>
                <w:strike w:val="0"/>
                <w:color w:val="auto"/>
                <w:sz w:val="21"/>
                <w:szCs w:val="21"/>
                <w:highlight w:val="none"/>
                <w:lang w:val="en-US" w:eastAsia="zh-CN"/>
              </w:rPr>
            </w:pPr>
          </w:p>
        </w:tc>
        <w:tc>
          <w:tcPr>
            <w:tcW w:w="533" w:type="pct"/>
            <w:vMerge w:val="continue"/>
            <w:tcBorders>
              <w:left w:val="single" w:color="auto" w:sz="4" w:space="0"/>
              <w:right w:val="single" w:color="auto" w:sz="4" w:space="0"/>
            </w:tcBorders>
            <w:noWrap w:val="0"/>
            <w:vAlign w:val="center"/>
          </w:tcPr>
          <w:p w14:paraId="735AFE56">
            <w:pPr>
              <w:spacing w:line="360" w:lineRule="auto"/>
              <w:jc w:val="center"/>
              <w:rPr>
                <w:rFonts w:ascii="宋体" w:hAnsi="宋体"/>
                <w:color w:val="auto"/>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49CA7B17">
            <w:pPr>
              <w:spacing w:line="276" w:lineRule="auto"/>
              <w:jc w:val="center"/>
              <w:rPr>
                <w:rFonts w:hint="eastAsia" w:ascii="宋体" w:hAnsi="宋体" w:eastAsia="宋体" w:cs="宋体"/>
                <w:strike w:val="0"/>
                <w:color w:val="auto"/>
                <w:sz w:val="21"/>
                <w:szCs w:val="21"/>
                <w:highlight w:val="none"/>
                <w:u w:val="single"/>
                <w:lang w:eastAsia="zh-CN"/>
              </w:rPr>
            </w:pPr>
            <w:r>
              <w:rPr>
                <w:rFonts w:hint="eastAsia" w:ascii="宋体" w:hAnsi="宋体" w:cs="宋体"/>
                <w:color w:val="auto"/>
                <w:szCs w:val="21"/>
                <w:highlight w:val="none"/>
                <w:u w:val="single"/>
              </w:rPr>
              <w:t>投标承诺</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50E9523A">
            <w:pPr>
              <w:spacing w:line="276" w:lineRule="auto"/>
              <w:jc w:val="left"/>
              <w:rPr>
                <w:rFonts w:hint="eastAsia" w:ascii="宋体" w:hAnsi="宋体" w:eastAsia="宋体" w:cs="宋体"/>
                <w:strike w:val="0"/>
                <w:color w:val="auto"/>
                <w:sz w:val="21"/>
                <w:szCs w:val="21"/>
                <w:highlight w:val="none"/>
                <w:u w:val="single"/>
                <w:lang w:val="en-US" w:eastAsia="zh-CN"/>
              </w:rPr>
            </w:pPr>
            <w:r>
              <w:rPr>
                <w:rFonts w:hint="eastAsia" w:ascii="宋体" w:hAnsi="宋体" w:eastAsia="宋体" w:cs="宋体"/>
                <w:strike w:val="0"/>
                <w:color w:val="auto"/>
                <w:sz w:val="21"/>
                <w:szCs w:val="21"/>
                <w:highlight w:val="none"/>
                <w:u w:val="single"/>
                <w:lang w:val="en-US" w:eastAsia="zh-CN"/>
              </w:rPr>
              <w:t>按规定的格式及内容要求提供《投标人廉政承诺书》、《关于建筑垃圾源头控制、建筑垃圾综合利用产品的使用和运输措施承诺书》、《对投标文件编制的承诺》、《标函承诺书》、《项目负责人驻场承诺书》。</w:t>
            </w:r>
          </w:p>
        </w:tc>
      </w:tr>
      <w:tr w14:paraId="74132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42ED6ECC">
            <w:pPr>
              <w:spacing w:line="360" w:lineRule="auto"/>
              <w:jc w:val="center"/>
              <w:rPr>
                <w:rFonts w:hint="eastAsia" w:ascii="宋体" w:hAnsi="宋体" w:eastAsia="宋体" w:cs="宋体"/>
                <w:strike w:val="0"/>
                <w:color w:val="auto"/>
                <w:sz w:val="21"/>
                <w:szCs w:val="21"/>
                <w:highlight w:val="none"/>
                <w:lang w:val="en-US" w:eastAsia="zh-CN"/>
              </w:rPr>
            </w:pPr>
          </w:p>
        </w:tc>
        <w:tc>
          <w:tcPr>
            <w:tcW w:w="533" w:type="pct"/>
            <w:vMerge w:val="continue"/>
            <w:tcBorders>
              <w:left w:val="single" w:color="auto" w:sz="4" w:space="0"/>
              <w:right w:val="single" w:color="auto" w:sz="4" w:space="0"/>
            </w:tcBorders>
            <w:noWrap w:val="0"/>
            <w:vAlign w:val="center"/>
          </w:tcPr>
          <w:p w14:paraId="161BA5A3">
            <w:pPr>
              <w:spacing w:line="360" w:lineRule="auto"/>
              <w:jc w:val="center"/>
              <w:rPr>
                <w:rFonts w:ascii="宋体" w:hAnsi="宋体"/>
                <w:color w:val="auto"/>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01C65AE6">
            <w:pPr>
              <w:spacing w:line="276" w:lineRule="auto"/>
              <w:jc w:val="center"/>
              <w:rPr>
                <w:rFonts w:hint="eastAsia" w:ascii="宋体" w:hAnsi="宋体" w:eastAsia="宋体" w:cs="宋体"/>
                <w:strike w:val="0"/>
                <w:color w:val="auto"/>
                <w:sz w:val="21"/>
                <w:szCs w:val="21"/>
                <w:highlight w:val="none"/>
                <w:u w:val="single"/>
                <w:lang w:eastAsia="zh-CN"/>
              </w:rPr>
            </w:pPr>
            <w:r>
              <w:rPr>
                <w:rFonts w:hint="eastAsia" w:ascii="宋体" w:hAnsi="宋体" w:cs="宋体"/>
                <w:color w:val="auto"/>
                <w:szCs w:val="21"/>
                <w:highlight w:val="none"/>
                <w:u w:val="single"/>
              </w:rPr>
              <w:t>不存在禁止投标的情形</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67402E32">
            <w:pPr>
              <w:spacing w:line="276" w:lineRule="auto"/>
              <w:jc w:val="left"/>
              <w:rPr>
                <w:rFonts w:hint="eastAsia" w:ascii="宋体" w:hAnsi="宋体" w:eastAsia="宋体" w:cs="宋体"/>
                <w:strike w:val="0"/>
                <w:color w:val="auto"/>
                <w:sz w:val="21"/>
                <w:szCs w:val="21"/>
                <w:highlight w:val="none"/>
                <w:u w:val="single"/>
                <w:lang w:val="en-US" w:eastAsia="zh-CN"/>
              </w:rPr>
            </w:pPr>
            <w:r>
              <w:rPr>
                <w:rFonts w:hint="eastAsia" w:ascii="宋体" w:hAnsi="宋体" w:cs="宋体"/>
                <w:color w:val="auto"/>
                <w:szCs w:val="21"/>
                <w:highlight w:val="none"/>
                <w:u w:val="single"/>
              </w:rPr>
              <w:t>不存在第二章“投标人须知”第</w:t>
            </w:r>
            <w:r>
              <w:rPr>
                <w:rFonts w:ascii="宋体" w:hAnsi="宋体" w:cs="宋体"/>
                <w:color w:val="auto"/>
                <w:szCs w:val="21"/>
                <w:highlight w:val="none"/>
                <w:u w:val="single"/>
              </w:rPr>
              <w:t>1.4.3项规定的任何一种情形（以《投标函》为准）</w:t>
            </w:r>
            <w:r>
              <w:rPr>
                <w:rFonts w:hint="eastAsia" w:ascii="宋体" w:hAnsi="宋体" w:cs="宋体"/>
                <w:color w:val="auto"/>
                <w:szCs w:val="21"/>
                <w:highlight w:val="none"/>
                <w:u w:val="single"/>
              </w:rPr>
              <w:t>。</w:t>
            </w:r>
          </w:p>
        </w:tc>
      </w:tr>
      <w:tr w14:paraId="134E1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restart"/>
            <w:tcBorders>
              <w:top w:val="single" w:color="auto" w:sz="4" w:space="0"/>
              <w:right w:val="single" w:color="auto" w:sz="4" w:space="0"/>
            </w:tcBorders>
            <w:noWrap w:val="0"/>
            <w:vAlign w:val="center"/>
          </w:tcPr>
          <w:p w14:paraId="14C4D87E">
            <w:pPr>
              <w:spacing w:line="360" w:lineRule="auto"/>
              <w:jc w:val="center"/>
              <w:rPr>
                <w:rFonts w:hint="default" w:ascii="宋体" w:hAnsi="宋体" w:eastAsia="宋体" w:cs="宋体"/>
                <w:strike w:val="0"/>
                <w:color w:val="auto"/>
                <w:sz w:val="21"/>
                <w:szCs w:val="21"/>
                <w:highlight w:val="none"/>
                <w:lang w:val="en-US" w:eastAsia="zh-CN"/>
              </w:rPr>
            </w:pPr>
            <w:r>
              <w:rPr>
                <w:rFonts w:hint="eastAsia" w:ascii="宋体" w:hAnsi="宋体" w:eastAsia="宋体" w:cs="宋体"/>
                <w:strike w:val="0"/>
                <w:color w:val="auto"/>
                <w:sz w:val="21"/>
                <w:szCs w:val="21"/>
                <w:highlight w:val="none"/>
                <w:lang w:val="en-US" w:eastAsia="zh-CN"/>
              </w:rPr>
              <w:t>2.1.4</w:t>
            </w:r>
          </w:p>
        </w:tc>
        <w:tc>
          <w:tcPr>
            <w:tcW w:w="533" w:type="pct"/>
            <w:vMerge w:val="restart"/>
            <w:tcBorders>
              <w:top w:val="single" w:color="auto" w:sz="4" w:space="0"/>
              <w:right w:val="single" w:color="auto" w:sz="4" w:space="0"/>
            </w:tcBorders>
            <w:noWrap w:val="0"/>
            <w:vAlign w:val="center"/>
          </w:tcPr>
          <w:p w14:paraId="78C1D148">
            <w:pPr>
              <w:spacing w:line="360" w:lineRule="auto"/>
              <w:jc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技术部分</w:t>
            </w:r>
          </w:p>
        </w:tc>
        <w:tc>
          <w:tcPr>
            <w:tcW w:w="1242" w:type="pct"/>
            <w:tcBorders>
              <w:top w:val="single" w:color="auto" w:sz="4" w:space="0"/>
              <w:left w:val="single" w:color="auto" w:sz="4" w:space="0"/>
              <w:bottom w:val="single" w:color="auto" w:sz="4" w:space="0"/>
              <w:right w:val="single" w:color="auto" w:sz="4" w:space="0"/>
            </w:tcBorders>
            <w:noWrap w:val="0"/>
            <w:vAlign w:val="center"/>
          </w:tcPr>
          <w:p w14:paraId="39A60414">
            <w:pPr>
              <w:spacing w:line="360" w:lineRule="auto"/>
              <w:jc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施工组织设计内容完整性和编制水平</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17411492">
            <w:pPr>
              <w:spacing w:line="360" w:lineRule="auto"/>
              <w:jc w:val="both"/>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合格或不合格</w:t>
            </w:r>
          </w:p>
        </w:tc>
      </w:tr>
      <w:tr w14:paraId="259D4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6F9DD8E8">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right w:val="single" w:color="auto" w:sz="4" w:space="0"/>
            </w:tcBorders>
            <w:noWrap w:val="0"/>
            <w:vAlign w:val="center"/>
          </w:tcPr>
          <w:p w14:paraId="451FAB6F">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1FAA2064">
            <w:pPr>
              <w:spacing w:line="360" w:lineRule="auto"/>
              <w:jc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施工方案与技术措施的合理性、科学性与可行性</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13415131">
            <w:pPr>
              <w:spacing w:line="360" w:lineRule="auto"/>
              <w:jc w:val="both"/>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合格或不合格</w:t>
            </w:r>
          </w:p>
        </w:tc>
      </w:tr>
      <w:tr w14:paraId="0637D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08A0644E">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right w:val="single" w:color="auto" w:sz="4" w:space="0"/>
            </w:tcBorders>
            <w:noWrap w:val="0"/>
            <w:vAlign w:val="center"/>
          </w:tcPr>
          <w:p w14:paraId="6489AC51">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3C9D4A00">
            <w:pPr>
              <w:spacing w:line="360" w:lineRule="auto"/>
              <w:jc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质量管理体系与措施</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3C78D186">
            <w:pPr>
              <w:spacing w:line="360" w:lineRule="auto"/>
              <w:jc w:val="both"/>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合格或不合格</w:t>
            </w:r>
          </w:p>
        </w:tc>
      </w:tr>
      <w:tr w14:paraId="79CF1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4E49D83D">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right w:val="single" w:color="auto" w:sz="4" w:space="0"/>
            </w:tcBorders>
            <w:noWrap w:val="0"/>
            <w:vAlign w:val="center"/>
          </w:tcPr>
          <w:p w14:paraId="6A0A2F72">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57F98164">
            <w:pPr>
              <w:spacing w:line="360" w:lineRule="auto"/>
              <w:jc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安全管理体系与措施</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6CFE8B8A">
            <w:pPr>
              <w:spacing w:line="360" w:lineRule="auto"/>
              <w:jc w:val="both"/>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合格或不合格</w:t>
            </w:r>
          </w:p>
        </w:tc>
      </w:tr>
      <w:tr w14:paraId="789EE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153D152B">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right w:val="single" w:color="auto" w:sz="4" w:space="0"/>
            </w:tcBorders>
            <w:noWrap w:val="0"/>
            <w:vAlign w:val="center"/>
          </w:tcPr>
          <w:p w14:paraId="7186A049">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59E2F471">
            <w:pPr>
              <w:spacing w:line="360" w:lineRule="auto"/>
              <w:jc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环境保护管理体系与措施</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021D7026">
            <w:pPr>
              <w:spacing w:line="360" w:lineRule="auto"/>
              <w:jc w:val="both"/>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合格或不合格</w:t>
            </w:r>
          </w:p>
        </w:tc>
      </w:tr>
      <w:tr w14:paraId="03B7D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4EE416B0">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right w:val="single" w:color="auto" w:sz="4" w:space="0"/>
            </w:tcBorders>
            <w:noWrap w:val="0"/>
            <w:vAlign w:val="center"/>
          </w:tcPr>
          <w:p w14:paraId="2A776741">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2B67BE7C">
            <w:pPr>
              <w:spacing w:line="360" w:lineRule="auto"/>
              <w:jc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工程建设进度计划与措施</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40221FCE">
            <w:pPr>
              <w:spacing w:line="360" w:lineRule="auto"/>
              <w:jc w:val="both"/>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合格或不合格</w:t>
            </w:r>
          </w:p>
        </w:tc>
      </w:tr>
      <w:tr w14:paraId="0A3C5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76054858">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right w:val="single" w:color="auto" w:sz="4" w:space="0"/>
            </w:tcBorders>
            <w:noWrap w:val="0"/>
            <w:vAlign w:val="center"/>
          </w:tcPr>
          <w:p w14:paraId="302A83EF">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536B7089">
            <w:pPr>
              <w:spacing w:line="360" w:lineRule="auto"/>
              <w:jc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资源配备计划</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748E3C57">
            <w:pPr>
              <w:spacing w:line="360" w:lineRule="auto"/>
              <w:jc w:val="both"/>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合格或不合格</w:t>
            </w:r>
          </w:p>
        </w:tc>
      </w:tr>
      <w:tr w14:paraId="528DA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3" w:type="pct"/>
            <w:vMerge w:val="continue"/>
            <w:tcBorders>
              <w:right w:val="single" w:color="auto" w:sz="4" w:space="0"/>
            </w:tcBorders>
            <w:noWrap w:val="0"/>
            <w:vAlign w:val="center"/>
          </w:tcPr>
          <w:p w14:paraId="16CDBC8E">
            <w:pPr>
              <w:spacing w:line="360" w:lineRule="auto"/>
              <w:jc w:val="center"/>
              <w:rPr>
                <w:rFonts w:hint="eastAsia" w:ascii="宋体" w:hAnsi="宋体" w:eastAsia="宋体" w:cs="宋体"/>
                <w:strike w:val="0"/>
                <w:color w:val="auto"/>
                <w:sz w:val="21"/>
                <w:szCs w:val="21"/>
                <w:highlight w:val="none"/>
              </w:rPr>
            </w:pPr>
          </w:p>
        </w:tc>
        <w:tc>
          <w:tcPr>
            <w:tcW w:w="533" w:type="pct"/>
            <w:vMerge w:val="continue"/>
            <w:tcBorders>
              <w:bottom w:val="single" w:color="auto" w:sz="4" w:space="0"/>
              <w:right w:val="single" w:color="auto" w:sz="4" w:space="0"/>
            </w:tcBorders>
            <w:noWrap w:val="0"/>
            <w:vAlign w:val="center"/>
          </w:tcPr>
          <w:p w14:paraId="49BAC8C7">
            <w:pPr>
              <w:spacing w:line="360" w:lineRule="auto"/>
              <w:jc w:val="center"/>
              <w:rPr>
                <w:rFonts w:hint="eastAsia" w:ascii="宋体" w:hAnsi="宋体" w:eastAsia="宋体" w:cs="宋体"/>
                <w:strike w:val="0"/>
                <w:color w:val="auto"/>
                <w:sz w:val="21"/>
                <w:szCs w:val="21"/>
                <w:highlight w:val="none"/>
              </w:rPr>
            </w:pPr>
          </w:p>
        </w:tc>
        <w:tc>
          <w:tcPr>
            <w:tcW w:w="1242" w:type="pct"/>
            <w:tcBorders>
              <w:top w:val="single" w:color="auto" w:sz="4" w:space="0"/>
              <w:left w:val="single" w:color="auto" w:sz="4" w:space="0"/>
              <w:bottom w:val="single" w:color="auto" w:sz="4" w:space="0"/>
              <w:right w:val="single" w:color="auto" w:sz="4" w:space="0"/>
            </w:tcBorders>
            <w:noWrap w:val="0"/>
            <w:vAlign w:val="center"/>
          </w:tcPr>
          <w:p w14:paraId="1947CFE1">
            <w:pPr>
              <w:spacing w:line="360" w:lineRule="auto"/>
              <w:jc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lang w:eastAsia="zh-CN"/>
              </w:rPr>
              <w:t>绿色施工</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07FBD252">
            <w:pPr>
              <w:spacing w:line="360" w:lineRule="auto"/>
              <w:jc w:val="both"/>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合格或不合格</w:t>
            </w:r>
          </w:p>
        </w:tc>
      </w:tr>
      <w:tr w14:paraId="6B8442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6" w:hRule="atLeast"/>
        </w:trPr>
        <w:tc>
          <w:tcPr>
            <w:tcW w:w="423" w:type="pct"/>
            <w:tcBorders>
              <w:top w:val="single" w:color="auto" w:sz="4" w:space="0"/>
              <w:left w:val="single" w:color="auto" w:sz="4" w:space="0"/>
              <w:bottom w:val="single" w:color="auto" w:sz="4" w:space="0"/>
              <w:right w:val="single" w:color="auto" w:sz="4" w:space="0"/>
            </w:tcBorders>
            <w:noWrap w:val="0"/>
            <w:vAlign w:val="center"/>
          </w:tcPr>
          <w:p w14:paraId="09A9EB15">
            <w:pPr>
              <w:spacing w:line="360" w:lineRule="auto"/>
              <w:jc w:val="center"/>
              <w:rPr>
                <w:rFonts w:hint="eastAsia" w:ascii="宋体" w:hAnsi="宋体" w:eastAsia="宋体" w:cs="宋体"/>
                <w:b/>
                <w:bCs w:val="0"/>
                <w:strike w:val="0"/>
                <w:color w:val="auto"/>
                <w:kern w:val="2"/>
                <w:sz w:val="21"/>
                <w:szCs w:val="21"/>
                <w:highlight w:val="none"/>
                <w:lang w:val="en-US" w:eastAsia="zh-CN" w:bidi="ar-SA"/>
              </w:rPr>
            </w:pPr>
            <w:r>
              <w:rPr>
                <w:rFonts w:hint="eastAsia" w:ascii="宋体" w:hAnsi="宋体" w:eastAsia="宋体" w:cs="宋体"/>
                <w:b/>
                <w:bCs w:val="0"/>
                <w:strike w:val="0"/>
                <w:color w:val="auto"/>
                <w:sz w:val="21"/>
                <w:szCs w:val="21"/>
                <w:highlight w:val="none"/>
              </w:rPr>
              <w:t>条款号</w:t>
            </w:r>
          </w:p>
        </w:tc>
        <w:tc>
          <w:tcPr>
            <w:tcW w:w="1776" w:type="pct"/>
            <w:gridSpan w:val="2"/>
            <w:tcBorders>
              <w:top w:val="single" w:color="auto" w:sz="4" w:space="0"/>
              <w:left w:val="single" w:color="auto" w:sz="4" w:space="0"/>
              <w:bottom w:val="single" w:color="auto" w:sz="4" w:space="0"/>
              <w:right w:val="single" w:color="auto" w:sz="4" w:space="0"/>
            </w:tcBorders>
            <w:noWrap w:val="0"/>
            <w:vAlign w:val="center"/>
          </w:tcPr>
          <w:p w14:paraId="00D67EA6">
            <w:pPr>
              <w:spacing w:line="360" w:lineRule="auto"/>
              <w:jc w:val="center"/>
              <w:rPr>
                <w:rFonts w:hint="eastAsia" w:ascii="宋体" w:hAnsi="宋体" w:eastAsia="宋体" w:cs="宋体"/>
                <w:b/>
                <w:bCs w:val="0"/>
                <w:strike w:val="0"/>
                <w:color w:val="auto"/>
                <w:kern w:val="2"/>
                <w:sz w:val="21"/>
                <w:szCs w:val="21"/>
                <w:highlight w:val="none"/>
                <w:lang w:val="en-US" w:eastAsia="zh-CN" w:bidi="ar-SA"/>
              </w:rPr>
            </w:pPr>
            <w:r>
              <w:rPr>
                <w:rFonts w:hint="eastAsia" w:ascii="宋体" w:hAnsi="宋体" w:eastAsia="宋体" w:cs="宋体"/>
                <w:b/>
                <w:bCs w:val="0"/>
                <w:strike w:val="0"/>
                <w:color w:val="auto"/>
                <w:sz w:val="21"/>
                <w:szCs w:val="21"/>
                <w:highlight w:val="none"/>
              </w:rPr>
              <w:t>条款内容</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588C26AF">
            <w:pPr>
              <w:spacing w:line="360" w:lineRule="auto"/>
              <w:jc w:val="center"/>
              <w:rPr>
                <w:rFonts w:hint="eastAsia" w:ascii="宋体" w:hAnsi="宋体" w:eastAsia="宋体" w:cs="宋体"/>
                <w:b/>
                <w:bCs w:val="0"/>
                <w:strike w:val="0"/>
                <w:color w:val="auto"/>
                <w:kern w:val="2"/>
                <w:sz w:val="21"/>
                <w:szCs w:val="21"/>
                <w:highlight w:val="none"/>
                <w:lang w:val="en-US" w:eastAsia="zh-CN" w:bidi="ar-SA"/>
              </w:rPr>
            </w:pPr>
            <w:r>
              <w:rPr>
                <w:rFonts w:hint="eastAsia" w:ascii="宋体" w:hAnsi="宋体" w:eastAsia="宋体" w:cs="宋体"/>
                <w:b/>
                <w:bCs w:val="0"/>
                <w:strike w:val="0"/>
                <w:color w:val="auto"/>
                <w:sz w:val="21"/>
                <w:szCs w:val="21"/>
                <w:highlight w:val="none"/>
              </w:rPr>
              <w:t>编列内容</w:t>
            </w:r>
          </w:p>
        </w:tc>
      </w:tr>
      <w:tr w14:paraId="1976EC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6" w:hRule="atLeast"/>
        </w:trPr>
        <w:tc>
          <w:tcPr>
            <w:tcW w:w="423" w:type="pct"/>
            <w:tcBorders>
              <w:top w:val="single" w:color="auto" w:sz="4" w:space="0"/>
              <w:left w:val="single" w:color="auto" w:sz="4" w:space="0"/>
              <w:bottom w:val="single" w:color="auto" w:sz="4" w:space="0"/>
              <w:right w:val="single" w:color="auto" w:sz="4" w:space="0"/>
            </w:tcBorders>
            <w:noWrap w:val="0"/>
            <w:vAlign w:val="center"/>
          </w:tcPr>
          <w:p w14:paraId="13B7E212">
            <w:pPr>
              <w:spacing w:line="360" w:lineRule="auto"/>
              <w:jc w:val="center"/>
              <w:rPr>
                <w:rFonts w:hint="eastAsia" w:ascii="宋体" w:hAnsi="宋体" w:eastAsia="宋体" w:cs="宋体"/>
                <w:strike w:val="0"/>
                <w:color w:val="auto"/>
                <w:kern w:val="2"/>
                <w:sz w:val="21"/>
                <w:szCs w:val="21"/>
                <w:highlight w:val="none"/>
                <w:lang w:val="en-US" w:eastAsia="zh-CN" w:bidi="ar-SA"/>
              </w:rPr>
            </w:pPr>
            <w:r>
              <w:rPr>
                <w:rFonts w:hint="eastAsia" w:ascii="宋体" w:hAnsi="宋体" w:eastAsia="宋体" w:cs="宋体"/>
                <w:strike w:val="0"/>
                <w:color w:val="auto"/>
                <w:sz w:val="21"/>
                <w:szCs w:val="21"/>
                <w:highlight w:val="none"/>
              </w:rPr>
              <w:t>2.</w:t>
            </w:r>
            <w:r>
              <w:rPr>
                <w:rFonts w:hint="eastAsia" w:ascii="宋体" w:hAnsi="宋体" w:eastAsia="宋体" w:cs="宋体"/>
                <w:strike w:val="0"/>
                <w:color w:val="auto"/>
                <w:sz w:val="21"/>
                <w:szCs w:val="21"/>
                <w:highlight w:val="none"/>
                <w:lang w:val="en-US" w:eastAsia="zh-CN"/>
              </w:rPr>
              <w:t>1.</w:t>
            </w:r>
            <w:r>
              <w:rPr>
                <w:rFonts w:hint="eastAsia" w:ascii="宋体" w:hAnsi="宋体" w:eastAsia="宋体" w:cs="宋体"/>
                <w:strike w:val="0"/>
                <w:color w:val="auto"/>
                <w:sz w:val="21"/>
                <w:szCs w:val="21"/>
                <w:highlight w:val="none"/>
              </w:rPr>
              <w:t>5</w:t>
            </w:r>
          </w:p>
        </w:tc>
        <w:tc>
          <w:tcPr>
            <w:tcW w:w="1776" w:type="pct"/>
            <w:gridSpan w:val="2"/>
            <w:tcBorders>
              <w:top w:val="single" w:color="auto" w:sz="4" w:space="0"/>
              <w:left w:val="single" w:color="auto" w:sz="4" w:space="0"/>
              <w:bottom w:val="single" w:color="auto" w:sz="4" w:space="0"/>
              <w:right w:val="single" w:color="auto" w:sz="4" w:space="0"/>
            </w:tcBorders>
            <w:noWrap w:val="0"/>
            <w:vAlign w:val="center"/>
          </w:tcPr>
          <w:p w14:paraId="3505832B">
            <w:pPr>
              <w:spacing w:line="360" w:lineRule="auto"/>
              <w:jc w:val="center"/>
              <w:rPr>
                <w:rFonts w:hint="eastAsia" w:ascii="宋体" w:hAnsi="宋体" w:eastAsia="宋体" w:cs="宋体"/>
                <w:strike w:val="0"/>
                <w:color w:val="auto"/>
                <w:kern w:val="2"/>
                <w:sz w:val="21"/>
                <w:szCs w:val="21"/>
                <w:highlight w:val="none"/>
                <w:lang w:val="en-US" w:eastAsia="zh-CN" w:bidi="ar-SA"/>
              </w:rPr>
            </w:pPr>
            <w:r>
              <w:rPr>
                <w:rFonts w:hint="eastAsia" w:ascii="宋体" w:hAnsi="宋体" w:eastAsia="宋体" w:cs="宋体"/>
                <w:strike w:val="0"/>
                <w:color w:val="auto"/>
                <w:sz w:val="21"/>
                <w:szCs w:val="21"/>
                <w:highlight w:val="none"/>
              </w:rPr>
              <w:t>投标报价</w:t>
            </w:r>
            <w:r>
              <w:rPr>
                <w:rFonts w:hint="eastAsia" w:ascii="宋体" w:hAnsi="宋体" w:eastAsia="宋体" w:cs="宋体"/>
                <w:strike w:val="0"/>
                <w:color w:val="auto"/>
                <w:sz w:val="21"/>
                <w:szCs w:val="21"/>
                <w:highlight w:val="none"/>
                <w:lang w:val="en-US" w:eastAsia="zh-CN"/>
              </w:rPr>
              <w:t>折算</w:t>
            </w:r>
            <w:r>
              <w:rPr>
                <w:rFonts w:hint="eastAsia" w:ascii="宋体" w:hAnsi="宋体" w:eastAsia="宋体" w:cs="宋体"/>
                <w:strike w:val="0"/>
                <w:color w:val="auto"/>
                <w:sz w:val="21"/>
                <w:szCs w:val="21"/>
                <w:highlight w:val="none"/>
              </w:rPr>
              <w:t>标准</w:t>
            </w:r>
          </w:p>
        </w:tc>
        <w:tc>
          <w:tcPr>
            <w:tcW w:w="2799" w:type="pct"/>
            <w:tcBorders>
              <w:top w:val="single" w:color="auto" w:sz="4" w:space="0"/>
              <w:left w:val="single" w:color="auto" w:sz="4" w:space="0"/>
              <w:bottom w:val="single" w:color="auto" w:sz="4" w:space="0"/>
              <w:right w:val="single" w:color="auto" w:sz="4" w:space="0"/>
            </w:tcBorders>
            <w:noWrap w:val="0"/>
            <w:vAlign w:val="center"/>
          </w:tcPr>
          <w:p w14:paraId="571E83F5">
            <w:pPr>
              <w:spacing w:line="360" w:lineRule="auto"/>
              <w:jc w:val="left"/>
              <w:rPr>
                <w:rFonts w:hint="eastAsia" w:ascii="宋体" w:hAnsi="宋体" w:eastAsia="宋体" w:cs="宋体"/>
                <w:strike w:val="0"/>
                <w:color w:val="auto"/>
                <w:kern w:val="2"/>
                <w:sz w:val="21"/>
                <w:szCs w:val="21"/>
                <w:highlight w:val="none"/>
                <w:lang w:val="en-US" w:eastAsia="zh-CN" w:bidi="ar-SA"/>
              </w:rPr>
            </w:pPr>
            <w:r>
              <w:rPr>
                <w:rFonts w:hint="eastAsia" w:ascii="宋体" w:hAnsi="宋体" w:eastAsia="宋体" w:cs="宋体"/>
                <w:strike w:val="0"/>
                <w:color w:val="auto"/>
                <w:sz w:val="21"/>
                <w:szCs w:val="21"/>
                <w:highlight w:val="none"/>
                <w:lang w:val="en-US" w:eastAsia="zh-CN"/>
              </w:rPr>
              <w:t>详见评标办法附表4《投标报价折算标准表》。</w:t>
            </w:r>
          </w:p>
        </w:tc>
      </w:tr>
    </w:tbl>
    <w:p w14:paraId="169C7BE2">
      <w:pPr>
        <w:spacing w:line="360" w:lineRule="auto"/>
        <w:ind w:firstLine="480" w:firstLineChars="200"/>
        <w:rPr>
          <w:rFonts w:hint="eastAsia" w:ascii="宋体" w:hAnsi="宋体" w:cs="宋体"/>
          <w:strike w:val="0"/>
          <w:color w:val="auto"/>
          <w:sz w:val="24"/>
          <w:highlight w:val="none"/>
        </w:rPr>
      </w:pPr>
    </w:p>
    <w:p w14:paraId="20F9006E">
      <w:pPr>
        <w:pStyle w:val="4"/>
        <w:numPr>
          <w:ilvl w:val="0"/>
          <w:numId w:val="2"/>
        </w:numPr>
        <w:jc w:val="left"/>
        <w:rPr>
          <w:color w:val="auto"/>
          <w:highlight w:val="none"/>
        </w:rPr>
      </w:pPr>
      <w:r>
        <w:rPr>
          <w:rFonts w:hint="eastAsia" w:ascii="宋体" w:hAnsi="宋体" w:eastAsia="宋体" w:cs="宋体"/>
          <w:b/>
          <w:bCs/>
          <w:strike w:val="0"/>
          <w:color w:val="auto"/>
          <w:sz w:val="24"/>
          <w:szCs w:val="24"/>
          <w:highlight w:val="none"/>
        </w:rPr>
        <w:br w:type="page"/>
      </w:r>
      <w:bookmarkStart w:id="205" w:name="_Toc16439"/>
      <w:bookmarkStart w:id="206" w:name="_Toc21787702"/>
      <w:bookmarkStart w:id="207" w:name="_Toc30887"/>
      <w:r>
        <w:rPr>
          <w:rFonts w:hint="eastAsia"/>
          <w:color w:val="auto"/>
          <w:highlight w:val="none"/>
        </w:rPr>
        <w:t>评标方法</w:t>
      </w:r>
      <w:bookmarkEnd w:id="205"/>
      <w:bookmarkEnd w:id="206"/>
      <w:r>
        <w:rPr>
          <w:rFonts w:hint="eastAsia"/>
          <w:color w:val="auto"/>
          <w:highlight w:val="none"/>
          <w:lang w:eastAsia="zh-CN"/>
        </w:rPr>
        <w:t>：</w:t>
      </w:r>
      <w:r>
        <w:rPr>
          <w:rFonts w:hint="eastAsia"/>
          <w:color w:val="auto"/>
          <w:highlight w:val="none"/>
        </w:rPr>
        <w:t>经评审的最低投标价法（二）（由招标人自行制定）</w:t>
      </w:r>
      <w:bookmarkEnd w:id="207"/>
    </w:p>
    <w:p w14:paraId="17D967DA">
      <w:pPr>
        <w:spacing w:line="360" w:lineRule="auto"/>
        <w:ind w:firstLine="482" w:firstLineChars="200"/>
        <w:jc w:val="left"/>
        <w:rPr>
          <w:rFonts w:hint="eastAsia" w:ascii="宋体" w:hAnsi="宋体"/>
          <w:b/>
          <w:bCs/>
          <w:color w:val="auto"/>
          <w:sz w:val="24"/>
          <w:szCs w:val="24"/>
          <w:highlight w:val="none"/>
        </w:rPr>
      </w:pPr>
      <w:r>
        <w:rPr>
          <w:rFonts w:hint="eastAsia" w:ascii="宋体" w:hAnsi="宋体"/>
          <w:b/>
          <w:bCs/>
          <w:color w:val="auto"/>
          <w:sz w:val="24"/>
          <w:szCs w:val="24"/>
          <w:highlight w:val="none"/>
        </w:rPr>
        <w:t>本项目采用评定分离办法，</w:t>
      </w:r>
    </w:p>
    <w:p w14:paraId="2858D125">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1、评标采用：“有限数量制评审法”。</w:t>
      </w:r>
    </w:p>
    <w:p w14:paraId="7CB7A53A">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（1）当通过初步评审的投标人数＜3家时，招标人应重新招标。</w:t>
      </w:r>
    </w:p>
    <w:p w14:paraId="0B916123">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（2）当通过初步评审的投标人数≥3家且≤5家时，则通过初步评审的所有投标人全部</w:t>
      </w:r>
      <w:r>
        <w:rPr>
          <w:rFonts w:hint="eastAsia" w:ascii="宋体" w:hAnsi="宋体"/>
          <w:color w:val="auto"/>
          <w:sz w:val="24"/>
          <w:szCs w:val="24"/>
          <w:highlight w:val="none"/>
          <w:lang w:val="en-US" w:eastAsia="zh-CN"/>
        </w:rPr>
        <w:t>推荐为合格中标候选人</w:t>
      </w:r>
      <w:r>
        <w:rPr>
          <w:rFonts w:hint="eastAsia" w:ascii="宋体" w:hAnsi="宋体"/>
          <w:color w:val="auto"/>
          <w:sz w:val="24"/>
          <w:szCs w:val="24"/>
          <w:highlight w:val="none"/>
        </w:rPr>
        <w:t>进入定标阶段。</w:t>
      </w:r>
    </w:p>
    <w:p w14:paraId="1D293C8E">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（3）当通过初步评审的投标人数＞5家时，则：</w:t>
      </w:r>
    </w:p>
    <w:p w14:paraId="743469A5">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①若经评审的投标报价介于经评审的最低投标价（含本数）与工程</w:t>
      </w:r>
      <w:r>
        <w:rPr>
          <w:rFonts w:hint="eastAsia" w:ascii="宋体" w:hAnsi="宋体"/>
          <w:color w:val="auto"/>
          <w:sz w:val="24"/>
          <w:szCs w:val="24"/>
          <w:highlight w:val="none"/>
          <w:lang w:eastAsia="zh-CN"/>
        </w:rPr>
        <w:t>成本警示价</w:t>
      </w:r>
      <w:r>
        <w:rPr>
          <w:rFonts w:hint="eastAsia" w:ascii="宋体" w:hAnsi="宋体"/>
          <w:color w:val="auto"/>
          <w:sz w:val="24"/>
          <w:szCs w:val="24"/>
          <w:highlight w:val="none"/>
        </w:rPr>
        <w:t>（含本数）之间的数量≥5家时，则经评审的投标报价介于经评审的最低投标价（含本数）与工程</w:t>
      </w:r>
      <w:r>
        <w:rPr>
          <w:rFonts w:hint="eastAsia" w:ascii="宋体" w:hAnsi="宋体"/>
          <w:color w:val="auto"/>
          <w:sz w:val="24"/>
          <w:szCs w:val="24"/>
          <w:highlight w:val="none"/>
          <w:lang w:eastAsia="zh-CN"/>
        </w:rPr>
        <w:t>成本警示价</w:t>
      </w:r>
      <w:r>
        <w:rPr>
          <w:rFonts w:hint="eastAsia" w:ascii="宋体" w:hAnsi="宋体"/>
          <w:color w:val="auto"/>
          <w:sz w:val="24"/>
          <w:szCs w:val="24"/>
          <w:highlight w:val="none"/>
        </w:rPr>
        <w:t>（含本数）之间的投标人全部</w:t>
      </w:r>
      <w:r>
        <w:rPr>
          <w:rFonts w:hint="eastAsia" w:ascii="宋体" w:hAnsi="宋体"/>
          <w:color w:val="auto"/>
          <w:sz w:val="24"/>
          <w:szCs w:val="24"/>
          <w:highlight w:val="none"/>
          <w:lang w:val="en-US" w:eastAsia="zh-CN"/>
        </w:rPr>
        <w:t>推荐为合格中标候选人</w:t>
      </w:r>
      <w:r>
        <w:rPr>
          <w:rFonts w:hint="eastAsia" w:ascii="宋体" w:hAnsi="宋体"/>
          <w:color w:val="auto"/>
          <w:sz w:val="24"/>
          <w:szCs w:val="24"/>
          <w:highlight w:val="none"/>
        </w:rPr>
        <w:t>进入定标阶段；</w:t>
      </w:r>
    </w:p>
    <w:p w14:paraId="69358648">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②若经评审的投标报价介于经评审的最低投标价（含本数）与工程</w:t>
      </w:r>
      <w:r>
        <w:rPr>
          <w:rFonts w:hint="eastAsia" w:ascii="宋体" w:hAnsi="宋体"/>
          <w:color w:val="auto"/>
          <w:sz w:val="24"/>
          <w:szCs w:val="24"/>
          <w:highlight w:val="none"/>
          <w:lang w:eastAsia="zh-CN"/>
        </w:rPr>
        <w:t>成本警示价</w:t>
      </w:r>
      <w:r>
        <w:rPr>
          <w:rFonts w:hint="eastAsia" w:ascii="宋体" w:hAnsi="宋体"/>
          <w:color w:val="auto"/>
          <w:sz w:val="24"/>
          <w:szCs w:val="24"/>
          <w:highlight w:val="none"/>
        </w:rPr>
        <w:t>（含本数）之间的数量＜5家时，则按经评审的投标报价由低到高选取5家不排序的合格中标候选人进入定标阶段。</w:t>
      </w:r>
    </w:p>
    <w:p w14:paraId="2955290E">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注：进入定标阶段的合格中标候选人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0893556F">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评标办法选用：经评审的最低投标价法（二）（由招标人自行制定）。具体内容如下：</w:t>
      </w:r>
    </w:p>
    <w:p w14:paraId="184F5A60">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只有通过初步评审的投标人才能进入详细评审。通过投标人的信用情况[投标人的诚信评价总分取自本项目招标公告发布第1天所在季度的上一季度“广州市水务工程建设管理数字化监管平台”（http://112.94.68.142:8012/#/website）中的“企业诚信排名&gt;&gt;施工—</w:t>
      </w:r>
      <w:r>
        <w:rPr>
          <w:rFonts w:hint="eastAsia" w:ascii="宋体" w:hAnsi="宋体"/>
          <w:color w:val="auto"/>
          <w:sz w:val="24"/>
          <w:szCs w:val="24"/>
          <w:highlight w:val="none"/>
          <w:lang w:val="en-US" w:eastAsia="zh-CN"/>
        </w:rPr>
        <w:t>给排水</w:t>
      </w:r>
      <w:r>
        <w:rPr>
          <w:rFonts w:hint="eastAsia" w:ascii="宋体" w:hAnsi="宋体"/>
          <w:color w:val="auto"/>
          <w:sz w:val="24"/>
          <w:szCs w:val="24"/>
          <w:highlight w:val="none"/>
        </w:rPr>
        <w:t>”中“诚信综合评价”分。]对投标报价进行折算，以经评审的最低投标价作为推荐中标候选人的依据。</w:t>
      </w:r>
    </w:p>
    <w:p w14:paraId="036B6D63">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2、在评标评审完成后，评标委员会编写评标报告，推荐不超过5家（经评审的投标报价介于经评审的最低投标价（含本数）与工程</w:t>
      </w:r>
      <w:r>
        <w:rPr>
          <w:rFonts w:hint="eastAsia" w:ascii="宋体" w:hAnsi="宋体"/>
          <w:color w:val="auto"/>
          <w:sz w:val="24"/>
          <w:szCs w:val="24"/>
          <w:highlight w:val="none"/>
          <w:lang w:eastAsia="zh-CN"/>
        </w:rPr>
        <w:t>成本警示价</w:t>
      </w:r>
      <w:r>
        <w:rPr>
          <w:rFonts w:hint="eastAsia" w:ascii="宋体" w:hAnsi="宋体"/>
          <w:color w:val="auto"/>
          <w:sz w:val="24"/>
          <w:szCs w:val="24"/>
          <w:highlight w:val="none"/>
        </w:rPr>
        <w:t>（含本数）之间的投标人数量≥5家时除外）不排序的合格中标候选人进入定标阶段。</w:t>
      </w:r>
    </w:p>
    <w:p w14:paraId="46674964">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注：若投标人经评审的价格相同，以企业信用评价分数高的排前；若价格、企业信用评价分数均相同，则对具有相同情况的投标人，按入围合格的中标候选人数量规定，由评标委员会采用记名投票方式，确定投标人的排序，并确定进入定标阶段的合格的中标候选人。</w:t>
      </w:r>
    </w:p>
    <w:p w14:paraId="06669AEC">
      <w:pPr>
        <w:spacing w:line="360" w:lineRule="auto"/>
        <w:ind w:firstLine="480" w:firstLineChars="200"/>
        <w:jc w:val="left"/>
        <w:rPr>
          <w:color w:val="auto"/>
          <w:sz w:val="24"/>
          <w:szCs w:val="24"/>
          <w:highlight w:val="none"/>
        </w:rPr>
      </w:pPr>
      <w:r>
        <w:rPr>
          <w:rFonts w:hint="eastAsia" w:ascii="宋体" w:hAnsi="宋体"/>
          <w:color w:val="auto"/>
          <w:sz w:val="24"/>
          <w:szCs w:val="24"/>
          <w:highlight w:val="none"/>
        </w:rPr>
        <w:t>记名投票方式确定排序的具体操作步骤为：由评标委员会对出现该情况的投标人采取记名投票的方式确定，按得票数高低进行排序，以得票数高的排前，根据得票数高低确定中标候选人排序。</w:t>
      </w:r>
      <w:r>
        <w:rPr>
          <w:rFonts w:hint="eastAsia"/>
          <w:b/>
          <w:bCs/>
          <w:color w:val="auto"/>
          <w:sz w:val="24"/>
          <w:szCs w:val="24"/>
          <w:highlight w:val="none"/>
          <w:u w:val="single"/>
          <w:lang w:eastAsia="zh-CN"/>
        </w:rPr>
        <w:t>（</w:t>
      </w:r>
      <w:r>
        <w:rPr>
          <w:rFonts w:hint="eastAsia"/>
          <w:b/>
          <w:bCs/>
          <w:color w:val="auto"/>
          <w:sz w:val="24"/>
          <w:szCs w:val="24"/>
          <w:highlight w:val="none"/>
          <w:u w:val="single"/>
          <w:lang w:val="en-US" w:eastAsia="zh-CN"/>
        </w:rPr>
        <w:t>注：具体</w:t>
      </w:r>
      <w:r>
        <w:rPr>
          <w:rFonts w:hint="eastAsia"/>
          <w:b/>
          <w:bCs/>
          <w:color w:val="auto"/>
          <w:sz w:val="24"/>
          <w:szCs w:val="24"/>
          <w:highlight w:val="none"/>
          <w:u w:val="single"/>
          <w:lang w:eastAsia="zh-CN"/>
        </w:rPr>
        <w:t>由招标人自行确定）</w:t>
      </w:r>
    </w:p>
    <w:p w14:paraId="2AAF596C">
      <w:pPr>
        <w:pStyle w:val="4"/>
        <w:numPr>
          <w:ilvl w:val="0"/>
          <w:numId w:val="2"/>
        </w:numPr>
        <w:jc w:val="left"/>
        <w:rPr>
          <w:color w:val="auto"/>
          <w:highlight w:val="none"/>
        </w:rPr>
      </w:pPr>
      <w:bookmarkStart w:id="208" w:name="_Toc21787703"/>
      <w:bookmarkStart w:id="209" w:name="_Toc12656"/>
      <w:bookmarkStart w:id="210" w:name="_Toc13291"/>
      <w:r>
        <w:rPr>
          <w:rFonts w:hint="eastAsia"/>
          <w:color w:val="auto"/>
          <w:highlight w:val="none"/>
        </w:rPr>
        <w:t>评审标准</w:t>
      </w:r>
      <w:bookmarkEnd w:id="208"/>
      <w:bookmarkEnd w:id="209"/>
      <w:bookmarkEnd w:id="210"/>
    </w:p>
    <w:p w14:paraId="7E34F295">
      <w:pPr>
        <w:numPr>
          <w:ilvl w:val="1"/>
          <w:numId w:val="3"/>
        </w:numPr>
        <w:spacing w:line="360" w:lineRule="auto"/>
        <w:ind w:left="1401" w:leftChars="0" w:hanging="1401" w:firstLineChars="0"/>
        <w:outlineLvl w:val="2"/>
        <w:rPr>
          <w:rFonts w:hint="eastAsia" w:ascii="黑体" w:hAnsi="黑体" w:eastAsia="黑体" w:cs="Times New Roman"/>
          <w:b/>
          <w:color w:val="auto"/>
          <w:sz w:val="28"/>
          <w:szCs w:val="28"/>
          <w:highlight w:val="none"/>
        </w:rPr>
      </w:pPr>
      <w:bookmarkStart w:id="211" w:name="_Toc21787704"/>
      <w:bookmarkStart w:id="212" w:name="_Toc19114"/>
      <w:bookmarkStart w:id="213" w:name="_Toc7235"/>
      <w:r>
        <w:rPr>
          <w:rFonts w:hint="eastAsia" w:ascii="黑体" w:hAnsi="黑体" w:eastAsia="黑体" w:cs="Times New Roman"/>
          <w:b/>
          <w:color w:val="auto"/>
          <w:sz w:val="28"/>
          <w:szCs w:val="28"/>
          <w:highlight w:val="none"/>
        </w:rPr>
        <w:t>初步评审标准</w:t>
      </w:r>
      <w:bookmarkEnd w:id="211"/>
      <w:bookmarkEnd w:id="212"/>
      <w:bookmarkEnd w:id="213"/>
    </w:p>
    <w:p w14:paraId="773F4C1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2.1.1资格评审标准：见评标办法前附表。</w:t>
      </w:r>
    </w:p>
    <w:p w14:paraId="0F093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2.1.2形式评审标准：见评标办法前附表。</w:t>
      </w:r>
    </w:p>
    <w:p w14:paraId="1B7A926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2.1.3响应性评审标准：见评标办法前附表。</w:t>
      </w:r>
    </w:p>
    <w:p w14:paraId="34271715">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2.1.4技术评审标准：见评标办法前附表</w:t>
      </w:r>
      <w:r>
        <w:rPr>
          <w:rFonts w:hint="eastAsia" w:ascii="宋体" w:hAnsi="宋体"/>
          <w:color w:val="auto"/>
          <w:sz w:val="24"/>
          <w:highlight w:val="none"/>
          <w:lang w:eastAsia="zh-CN"/>
        </w:rPr>
        <w:t>。</w:t>
      </w:r>
    </w:p>
    <w:p w14:paraId="670251B9">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lang w:val="en-US" w:eastAsia="zh-CN"/>
        </w:rPr>
        <w:t>2.1.5投标报价折算</w:t>
      </w:r>
      <w:r>
        <w:rPr>
          <w:rFonts w:hint="eastAsia" w:ascii="宋体" w:hAnsi="宋体"/>
          <w:b/>
          <w:bCs/>
          <w:color w:val="auto"/>
          <w:sz w:val="24"/>
          <w:highlight w:val="none"/>
        </w:rPr>
        <w:t>标准：见评标办法附表4</w:t>
      </w:r>
      <w:r>
        <w:rPr>
          <w:rFonts w:hint="eastAsia" w:ascii="宋体" w:hAnsi="宋体"/>
          <w:b/>
          <w:bCs/>
          <w:color w:val="auto"/>
          <w:sz w:val="24"/>
          <w:highlight w:val="none"/>
          <w:lang w:eastAsia="zh-CN"/>
        </w:rPr>
        <w:t>《</w:t>
      </w:r>
      <w:r>
        <w:rPr>
          <w:rFonts w:hint="eastAsia" w:ascii="宋体" w:hAnsi="宋体"/>
          <w:b/>
          <w:bCs/>
          <w:color w:val="auto"/>
          <w:sz w:val="24"/>
          <w:highlight w:val="none"/>
        </w:rPr>
        <w:t>投标报价折算标准表</w:t>
      </w:r>
      <w:r>
        <w:rPr>
          <w:rFonts w:hint="eastAsia" w:ascii="宋体" w:hAnsi="宋体"/>
          <w:b/>
          <w:bCs/>
          <w:color w:val="auto"/>
          <w:sz w:val="24"/>
          <w:highlight w:val="none"/>
          <w:lang w:eastAsia="zh-CN"/>
        </w:rPr>
        <w:t>》</w:t>
      </w:r>
      <w:r>
        <w:rPr>
          <w:rFonts w:hint="eastAsia" w:ascii="宋体" w:hAnsi="宋体"/>
          <w:b/>
          <w:bCs/>
          <w:color w:val="auto"/>
          <w:sz w:val="24"/>
          <w:highlight w:val="none"/>
        </w:rPr>
        <w:t>。</w:t>
      </w:r>
    </w:p>
    <w:p w14:paraId="5FB37EC3">
      <w:pPr>
        <w:pStyle w:val="11"/>
        <w:spacing w:line="360" w:lineRule="auto"/>
        <w:rPr>
          <w:rFonts w:hint="default" w:eastAsia="楷体_GB2312"/>
          <w:color w:val="auto"/>
          <w:highlight w:val="none"/>
          <w:lang w:val="en-US" w:eastAsia="zh-CN"/>
        </w:rPr>
      </w:pPr>
      <w:r>
        <w:rPr>
          <w:rFonts w:hint="eastAsia" w:hAnsi="宋体"/>
          <w:color w:val="auto"/>
          <w:sz w:val="24"/>
          <w:highlight w:val="none"/>
          <w:lang w:val="en-US" w:eastAsia="zh-CN"/>
        </w:rPr>
        <w:t xml:space="preserve">    </w:t>
      </w:r>
      <w:r>
        <w:rPr>
          <w:rFonts w:hint="eastAsia" w:ascii="Calibri" w:hAnsi="Calibri" w:eastAsia="宋体" w:cs="Times New Roman"/>
          <w:color w:val="auto"/>
          <w:kern w:val="2"/>
          <w:sz w:val="24"/>
          <w:highlight w:val="none"/>
          <w:u w:val="none"/>
          <w:lang w:val="en-US" w:eastAsia="zh-CN"/>
        </w:rPr>
        <w:t>注：</w:t>
      </w:r>
      <w:r>
        <w:rPr>
          <w:rFonts w:hint="eastAsia" w:ascii="Calibri" w:hAnsi="Calibri" w:eastAsia="宋体" w:cs="Times New Roman"/>
          <w:b w:val="0"/>
          <w:bCs w:val="0"/>
          <w:color w:val="auto"/>
          <w:kern w:val="2"/>
          <w:sz w:val="24"/>
          <w:highlight w:val="none"/>
          <w:u w:val="none"/>
        </w:rPr>
        <w:t>不得将文件顺序、明显的文字错误等列为否决投标的情形。评委发现</w:t>
      </w:r>
      <w:r>
        <w:rPr>
          <w:rFonts w:hint="eastAsia" w:ascii="Calibri" w:hAnsi="Calibri" w:eastAsia="宋体" w:cs="Times New Roman"/>
          <w:b w:val="0"/>
          <w:bCs w:val="0"/>
          <w:color w:val="auto"/>
          <w:kern w:val="2"/>
          <w:sz w:val="24"/>
          <w:highlight w:val="none"/>
          <w:u w:val="none"/>
          <w:lang w:eastAsia="zh-CN"/>
        </w:rPr>
        <w:t>投标</w:t>
      </w:r>
      <w:r>
        <w:rPr>
          <w:rFonts w:hint="eastAsia" w:ascii="Calibri" w:hAnsi="Calibri" w:eastAsia="宋体" w:cs="Times New Roman"/>
          <w:b w:val="0"/>
          <w:bCs w:val="0"/>
          <w:color w:val="auto"/>
          <w:kern w:val="2"/>
          <w:sz w:val="24"/>
          <w:highlight w:val="none"/>
          <w:u w:val="none"/>
        </w:rPr>
        <w:t>文件中含义不明确、对同类问题表述不一致、有明显文字和计算错误</w:t>
      </w:r>
      <w:r>
        <w:rPr>
          <w:rFonts w:hint="eastAsia" w:ascii="Calibri" w:hAnsi="Calibri" w:eastAsia="宋体" w:cs="Times New Roman"/>
          <w:b w:val="0"/>
          <w:bCs w:val="0"/>
          <w:color w:val="auto"/>
          <w:kern w:val="2"/>
          <w:sz w:val="24"/>
          <w:highlight w:val="none"/>
          <w:u w:val="none"/>
          <w:lang w:eastAsia="zh-CN"/>
        </w:rPr>
        <w:t>、投标报价可能低于成本影响履约的，</w:t>
      </w:r>
      <w:r>
        <w:rPr>
          <w:rFonts w:hint="eastAsia" w:ascii="Calibri" w:hAnsi="Calibri" w:eastAsia="宋体" w:cs="Times New Roman"/>
          <w:b w:val="0"/>
          <w:bCs w:val="0"/>
          <w:color w:val="auto"/>
          <w:kern w:val="2"/>
          <w:sz w:val="24"/>
          <w:highlight w:val="none"/>
          <w:u w:val="none"/>
        </w:rPr>
        <w:t>应当要求投标人作必要的澄清、说明后再判定投标人是否通过</w:t>
      </w:r>
      <w:r>
        <w:rPr>
          <w:rFonts w:hint="eastAsia" w:ascii="Calibri" w:hAnsi="Calibri" w:eastAsia="宋体" w:cs="Times New Roman"/>
          <w:b w:val="0"/>
          <w:bCs w:val="0"/>
          <w:color w:val="auto"/>
          <w:kern w:val="2"/>
          <w:sz w:val="24"/>
          <w:highlight w:val="none"/>
          <w:u w:val="none"/>
          <w:lang w:eastAsia="zh-CN"/>
        </w:rPr>
        <w:t>初步评审</w:t>
      </w:r>
      <w:r>
        <w:rPr>
          <w:rFonts w:hint="eastAsia" w:ascii="Calibri" w:hAnsi="Calibri" w:eastAsia="宋体" w:cs="Times New Roman"/>
          <w:b w:val="0"/>
          <w:bCs w:val="0"/>
          <w:color w:val="auto"/>
          <w:kern w:val="2"/>
          <w:sz w:val="24"/>
          <w:highlight w:val="none"/>
          <w:u w:val="none"/>
        </w:rPr>
        <w:t>，不得直接认定其不通过</w:t>
      </w:r>
      <w:r>
        <w:rPr>
          <w:rFonts w:hint="eastAsia" w:ascii="Calibri" w:hAnsi="Calibri" w:eastAsia="宋体" w:cs="Times New Roman"/>
          <w:b w:val="0"/>
          <w:bCs w:val="0"/>
          <w:color w:val="auto"/>
          <w:kern w:val="2"/>
          <w:sz w:val="24"/>
          <w:highlight w:val="none"/>
          <w:u w:val="none"/>
          <w:lang w:eastAsia="zh-CN"/>
        </w:rPr>
        <w:t>初步评审</w:t>
      </w:r>
      <w:r>
        <w:rPr>
          <w:rFonts w:hint="eastAsia" w:ascii="Calibri" w:hAnsi="Calibri" w:eastAsia="宋体" w:cs="Times New Roman"/>
          <w:b w:val="0"/>
          <w:bCs w:val="0"/>
          <w:color w:val="auto"/>
          <w:kern w:val="2"/>
          <w:sz w:val="24"/>
          <w:highlight w:val="none"/>
          <w:u w:val="none"/>
        </w:rPr>
        <w:t>。</w:t>
      </w:r>
    </w:p>
    <w:p w14:paraId="1064762B">
      <w:pPr>
        <w:pStyle w:val="4"/>
        <w:numPr>
          <w:ilvl w:val="0"/>
          <w:numId w:val="2"/>
        </w:numPr>
        <w:jc w:val="left"/>
        <w:rPr>
          <w:rFonts w:ascii="宋体" w:hAnsi="宋体"/>
          <w:color w:val="auto"/>
          <w:sz w:val="24"/>
          <w:szCs w:val="24"/>
          <w:highlight w:val="none"/>
        </w:rPr>
      </w:pPr>
      <w:bookmarkStart w:id="214" w:name="_Toc30710"/>
      <w:bookmarkStart w:id="215" w:name="_Toc21787706"/>
      <w:bookmarkStart w:id="216" w:name="_Toc13438"/>
      <w:r>
        <w:rPr>
          <w:rFonts w:hint="eastAsia"/>
          <w:color w:val="auto"/>
          <w:highlight w:val="none"/>
        </w:rPr>
        <w:t>评标程序</w:t>
      </w:r>
      <w:bookmarkEnd w:id="214"/>
      <w:bookmarkEnd w:id="215"/>
      <w:bookmarkEnd w:id="216"/>
    </w:p>
    <w:p w14:paraId="0CB69F0A">
      <w:pPr>
        <w:numPr>
          <w:ilvl w:val="1"/>
          <w:numId w:val="4"/>
        </w:numPr>
        <w:spacing w:line="360" w:lineRule="auto"/>
        <w:ind w:left="1322" w:leftChars="0" w:hanging="1322" w:firstLineChars="0"/>
        <w:jc w:val="left"/>
        <w:outlineLvl w:val="2"/>
        <w:rPr>
          <w:rFonts w:hint="eastAsia" w:ascii="黑体" w:hAnsi="黑体" w:eastAsia="黑体" w:cs="Times New Roman"/>
          <w:b/>
          <w:color w:val="auto"/>
          <w:sz w:val="28"/>
          <w:szCs w:val="28"/>
          <w:highlight w:val="none"/>
        </w:rPr>
      </w:pPr>
      <w:bookmarkStart w:id="217" w:name="_Toc2017"/>
      <w:bookmarkStart w:id="218" w:name="_Toc21787707"/>
      <w:bookmarkStart w:id="219" w:name="_Toc22771"/>
      <w:r>
        <w:rPr>
          <w:rFonts w:hint="eastAsia" w:ascii="黑体" w:hAnsi="黑体" w:eastAsia="黑体" w:cs="Times New Roman"/>
          <w:b/>
          <w:color w:val="auto"/>
          <w:sz w:val="28"/>
          <w:szCs w:val="28"/>
          <w:highlight w:val="none"/>
        </w:rPr>
        <w:t>初步评审</w:t>
      </w:r>
      <w:bookmarkEnd w:id="217"/>
      <w:bookmarkEnd w:id="218"/>
      <w:bookmarkEnd w:id="219"/>
    </w:p>
    <w:p w14:paraId="6505A3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3.1.1评标委员会依据本章第2.1节规定的标准对投标文件进行初步评审。初步评审只进行合格性审查，具体包括资格评审、形式评审、响应性评审、技术部分评审。有一项不符合评审标准的，评标委员会应当否决其投标。</w:t>
      </w:r>
    </w:p>
    <w:p w14:paraId="707F624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w:t>
      </w:r>
      <w:r>
        <w:rPr>
          <w:rFonts w:hint="eastAsia" w:ascii="宋体" w:hAnsi="宋体"/>
          <w:color w:val="auto"/>
          <w:sz w:val="24"/>
          <w:highlight w:val="none"/>
          <w:lang w:val="en-US" w:eastAsia="zh-CN"/>
        </w:rPr>
        <w:t>2</w:t>
      </w:r>
      <w:r>
        <w:rPr>
          <w:rFonts w:hint="eastAsia" w:ascii="宋体" w:hAnsi="宋体"/>
          <w:color w:val="auto"/>
          <w:sz w:val="24"/>
          <w:highlight w:val="none"/>
        </w:rPr>
        <w:t xml:space="preserve"> 投标人有以下情形之一的，评标委员会应当否决其投标：</w:t>
      </w:r>
    </w:p>
    <w:p w14:paraId="0A57E96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（1）第二章“投标人须知”第</w:t>
      </w:r>
      <w:r>
        <w:rPr>
          <w:rFonts w:hint="eastAsia" w:ascii="宋体" w:hAnsi="宋体"/>
          <w:color w:val="auto"/>
          <w:sz w:val="24"/>
          <w:highlight w:val="none"/>
          <w:lang w:val="en-US" w:eastAsia="zh-CN"/>
        </w:rPr>
        <w:t>1.4.3</w:t>
      </w:r>
      <w:r>
        <w:rPr>
          <w:rFonts w:hint="eastAsia" w:ascii="宋体" w:hAnsi="宋体"/>
          <w:color w:val="auto"/>
          <w:sz w:val="24"/>
          <w:highlight w:val="none"/>
        </w:rPr>
        <w:t>项规定的任何一种情形的；</w:t>
      </w:r>
    </w:p>
    <w:p w14:paraId="40EB4CE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（2）串通投标或弄虚作假或有其他违法行为的；</w:t>
      </w:r>
    </w:p>
    <w:p w14:paraId="6A646B4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（3）不按评标委员会要求澄清、说明或补正的。</w:t>
      </w:r>
    </w:p>
    <w:p w14:paraId="47A8AA6F">
      <w:pPr>
        <w:spacing w:line="360" w:lineRule="auto"/>
        <w:ind w:firstLine="480" w:firstLineChars="200"/>
        <w:rPr>
          <w:rFonts w:ascii="宋体" w:hAnsi="宋体"/>
          <w:color w:val="auto"/>
          <w:sz w:val="24"/>
          <w:szCs w:val="24"/>
          <w:highlight w:val="none"/>
        </w:rPr>
      </w:pPr>
      <w:r>
        <w:rPr>
          <w:rFonts w:hint="eastAsia" w:cs="Times New Roman"/>
          <w:color w:val="auto"/>
          <w:sz w:val="24"/>
          <w:szCs w:val="24"/>
          <w:highlight w:val="none"/>
          <w:u w:val="none"/>
          <w:lang w:eastAsia="zh-CN"/>
        </w:rPr>
        <w:t>（</w:t>
      </w:r>
      <w:r>
        <w:rPr>
          <w:rFonts w:hint="eastAsia" w:cs="Times New Roman"/>
          <w:color w:val="auto"/>
          <w:sz w:val="24"/>
          <w:szCs w:val="24"/>
          <w:highlight w:val="none"/>
          <w:u w:val="none"/>
          <w:lang w:val="en-US" w:eastAsia="zh-CN"/>
        </w:rPr>
        <w:t>4</w:t>
      </w:r>
      <w:r>
        <w:rPr>
          <w:rFonts w:hint="eastAsia" w:cs="Times New Roman"/>
          <w:color w:val="auto"/>
          <w:sz w:val="24"/>
          <w:szCs w:val="24"/>
          <w:highlight w:val="none"/>
          <w:u w:val="none"/>
          <w:lang w:eastAsia="zh-CN"/>
        </w:rPr>
        <w:t>）</w:t>
      </w:r>
      <w:r>
        <w:rPr>
          <w:rFonts w:hint="eastAsia" w:ascii="宋体" w:hAnsi="宋体" w:eastAsia="宋体" w:cs="Times New Roman"/>
          <w:color w:val="auto"/>
          <w:sz w:val="24"/>
          <w:szCs w:val="24"/>
          <w:highlight w:val="none"/>
          <w:u w:val="none"/>
          <w:lang w:eastAsia="zh-CN"/>
        </w:rPr>
        <w:t>两个（含两个）以上</w:t>
      </w:r>
      <w:r>
        <w:rPr>
          <w:rFonts w:hint="eastAsia" w:ascii="宋体" w:hAnsi="宋体" w:eastAsia="Times New Roman" w:cs="Times New Roman"/>
          <w:color w:val="auto"/>
          <w:sz w:val="24"/>
          <w:szCs w:val="24"/>
          <w:highlight w:val="none"/>
          <w:u w:val="none"/>
        </w:rPr>
        <w:t>投标人加密打包投标文件</w:t>
      </w:r>
      <w:r>
        <w:rPr>
          <w:rFonts w:hint="eastAsia" w:ascii="宋体" w:hAnsi="宋体" w:eastAsia="宋体" w:cs="Times New Roman"/>
          <w:color w:val="auto"/>
          <w:sz w:val="24"/>
          <w:szCs w:val="24"/>
          <w:highlight w:val="none"/>
          <w:u w:val="none"/>
          <w:lang w:eastAsia="zh-CN"/>
        </w:rPr>
        <w:t>工程量清单编制</w:t>
      </w:r>
      <w:r>
        <w:rPr>
          <w:rFonts w:hint="eastAsia" w:ascii="宋体" w:hAnsi="宋体" w:eastAsia="Times New Roman" w:cs="Times New Roman"/>
          <w:color w:val="auto"/>
          <w:sz w:val="24"/>
          <w:szCs w:val="24"/>
          <w:highlight w:val="none"/>
          <w:u w:val="none"/>
        </w:rPr>
        <w:t>机器</w:t>
      </w:r>
      <w:r>
        <w:rPr>
          <w:rFonts w:hint="eastAsia" w:ascii="宋体" w:hAnsi="宋体" w:eastAsia="宋体" w:cs="Times New Roman"/>
          <w:color w:val="auto"/>
          <w:sz w:val="24"/>
          <w:szCs w:val="24"/>
          <w:highlight w:val="none"/>
          <w:u w:val="none"/>
          <w:lang w:eastAsia="zh-CN"/>
        </w:rPr>
        <w:t>硬件信息</w:t>
      </w:r>
      <w:r>
        <w:rPr>
          <w:rFonts w:hint="eastAsia" w:ascii="宋体" w:hAnsi="宋体" w:eastAsia="Times New Roman" w:cs="Times New Roman"/>
          <w:color w:val="auto"/>
          <w:sz w:val="24"/>
          <w:szCs w:val="24"/>
          <w:highlight w:val="none"/>
          <w:u w:val="none"/>
        </w:rPr>
        <w:t>一致的</w:t>
      </w:r>
      <w:r>
        <w:rPr>
          <w:rFonts w:hint="eastAsia" w:eastAsia="宋体" w:cs="Times New Roman"/>
          <w:color w:val="auto"/>
          <w:sz w:val="24"/>
          <w:szCs w:val="24"/>
          <w:highlight w:val="none"/>
          <w:u w:val="none"/>
          <w:lang w:eastAsia="zh-CN"/>
        </w:rPr>
        <w:t>。</w:t>
      </w:r>
    </w:p>
    <w:p w14:paraId="1B69E019">
      <w:pPr>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3.1.3投标报价有算术错误的，评标委员会按以下原则对投标报价进行修正，修正的价格经投标人书面确认后具有约束力。投标人不接受修正价格的，其投标作否决投标处理。如评标委员会成员的</w:t>
      </w:r>
      <w:r>
        <w:rPr>
          <w:rFonts w:hint="eastAsia" w:ascii="宋体" w:hAnsi="宋体"/>
          <w:color w:val="auto"/>
          <w:sz w:val="24"/>
          <w:szCs w:val="24"/>
          <w:highlight w:val="none"/>
        </w:rPr>
        <w:t>评审意见不一致时，以评标委员会过半数成员的意见作为评标委员会对该情形的认定结论。</w:t>
      </w:r>
    </w:p>
    <w:p w14:paraId="10B9FC9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（1）投标文件中的大写金额与小写金额不一致的，以大写金额为准。</w:t>
      </w:r>
    </w:p>
    <w:p w14:paraId="551B75CC">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（2）总价金额与依据单价计算出的结果不一致的，以单价金额为准修正总价，但单价金额小数点有明显错误的除外。</w:t>
      </w:r>
    </w:p>
    <w:p w14:paraId="371B550C">
      <w:pPr>
        <w:numPr>
          <w:ilvl w:val="1"/>
          <w:numId w:val="4"/>
        </w:numPr>
        <w:spacing w:line="360" w:lineRule="auto"/>
        <w:ind w:left="1322" w:leftChars="0" w:hanging="1322" w:firstLineChars="0"/>
        <w:jc w:val="left"/>
        <w:outlineLvl w:val="2"/>
        <w:rPr>
          <w:rFonts w:hint="eastAsia" w:ascii="黑体" w:hAnsi="黑体" w:eastAsia="黑体" w:cs="Times New Roman"/>
          <w:b/>
          <w:color w:val="auto"/>
          <w:sz w:val="28"/>
          <w:szCs w:val="28"/>
          <w:highlight w:val="none"/>
        </w:rPr>
      </w:pPr>
      <w:bookmarkStart w:id="220" w:name="_Toc21787708"/>
      <w:bookmarkStart w:id="221" w:name="_Toc29063"/>
      <w:bookmarkStart w:id="222" w:name="_Toc16725"/>
      <w:r>
        <w:rPr>
          <w:rFonts w:hint="eastAsia" w:ascii="黑体" w:hAnsi="黑体" w:eastAsia="黑体" w:cs="Times New Roman"/>
          <w:b/>
          <w:color w:val="auto"/>
          <w:sz w:val="28"/>
          <w:szCs w:val="28"/>
          <w:highlight w:val="none"/>
        </w:rPr>
        <w:t>详细评审</w:t>
      </w:r>
      <w:bookmarkEnd w:id="220"/>
      <w:bookmarkEnd w:id="221"/>
      <w:bookmarkEnd w:id="222"/>
    </w:p>
    <w:p w14:paraId="4DC3231B">
      <w:pPr>
        <w:spacing w:line="360" w:lineRule="auto"/>
        <w:ind w:firstLine="480" w:firstLineChars="200"/>
        <w:rPr>
          <w:rFonts w:hint="eastAsia" w:ascii="宋体" w:hAnsi="宋体"/>
          <w:b/>
          <w:bCs/>
          <w:color w:val="auto"/>
          <w:sz w:val="24"/>
          <w:highlight w:val="none"/>
        </w:rPr>
      </w:pPr>
      <w:r>
        <w:rPr>
          <w:rFonts w:hint="eastAsia" w:ascii="宋体" w:hAnsi="宋体"/>
          <w:color w:val="auto"/>
          <w:sz w:val="24"/>
          <w:highlight w:val="none"/>
        </w:rPr>
        <w:t>3.2.1通过初步评审的投标人全部进入详细评审。详细评审</w:t>
      </w:r>
      <w:r>
        <w:rPr>
          <w:rFonts w:hint="eastAsia" w:ascii="宋体" w:hAnsi="宋体"/>
          <w:color w:val="auto"/>
          <w:sz w:val="24"/>
          <w:highlight w:val="none"/>
          <w:lang w:val="en-US" w:eastAsia="zh-CN"/>
        </w:rPr>
        <w:t>为</w:t>
      </w:r>
      <w:r>
        <w:rPr>
          <w:rFonts w:hint="eastAsia" w:ascii="宋体" w:hAnsi="宋体"/>
          <w:color w:val="auto"/>
          <w:sz w:val="24"/>
          <w:highlight w:val="none"/>
        </w:rPr>
        <w:t>投标报价</w:t>
      </w:r>
      <w:r>
        <w:rPr>
          <w:rFonts w:hint="eastAsia" w:ascii="宋体" w:hAnsi="宋体"/>
          <w:color w:val="auto"/>
          <w:sz w:val="24"/>
          <w:highlight w:val="none"/>
          <w:lang w:val="en-US" w:eastAsia="zh-CN"/>
        </w:rPr>
        <w:t>折算</w:t>
      </w:r>
      <w:r>
        <w:rPr>
          <w:rFonts w:hint="eastAsia" w:ascii="宋体" w:hAnsi="宋体"/>
          <w:color w:val="auto"/>
          <w:sz w:val="24"/>
          <w:highlight w:val="none"/>
        </w:rPr>
        <w:t>评审。</w:t>
      </w:r>
      <w:r>
        <w:rPr>
          <w:rFonts w:hint="eastAsia" w:ascii="宋体" w:hAnsi="宋体" w:eastAsia="宋体" w:cs="Times New Roman"/>
          <w:b/>
          <w:bCs/>
          <w:color w:val="auto"/>
          <w:sz w:val="24"/>
          <w:szCs w:val="22"/>
          <w:highlight w:val="none"/>
          <w:u w:val="none"/>
          <w:lang w:eastAsia="zh-CN"/>
        </w:rPr>
        <w:t>（投标报价折算标准：</w:t>
      </w:r>
      <w:r>
        <w:rPr>
          <w:rFonts w:hint="eastAsia" w:ascii="宋体" w:hAnsi="宋体" w:eastAsia="宋体" w:cs="Times New Roman"/>
          <w:b/>
          <w:bCs/>
          <w:color w:val="auto"/>
          <w:sz w:val="24"/>
          <w:szCs w:val="22"/>
          <w:highlight w:val="none"/>
          <w:u w:val="none"/>
          <w:lang w:val="en-US" w:eastAsia="zh-CN"/>
        </w:rPr>
        <w:t>详</w:t>
      </w:r>
      <w:r>
        <w:rPr>
          <w:rFonts w:hint="eastAsia" w:ascii="宋体" w:hAnsi="宋体" w:eastAsia="宋体" w:cs="Times New Roman"/>
          <w:b/>
          <w:bCs/>
          <w:color w:val="auto"/>
          <w:sz w:val="24"/>
          <w:szCs w:val="22"/>
          <w:highlight w:val="none"/>
          <w:u w:val="none"/>
          <w:lang w:eastAsia="zh-CN"/>
        </w:rPr>
        <w:t>见评标办法附表4《投标报价折算标准表》）。</w:t>
      </w:r>
      <w:r>
        <w:rPr>
          <w:rFonts w:hint="eastAsia" w:ascii="宋体" w:hAnsi="宋体" w:eastAsia="宋体" w:cs="Times New Roman"/>
          <w:b/>
          <w:bCs/>
          <w:color w:val="auto"/>
          <w:sz w:val="24"/>
          <w:szCs w:val="22"/>
          <w:highlight w:val="none"/>
          <w:u w:val="none"/>
          <w:lang w:val="en-US" w:eastAsia="zh-CN"/>
        </w:rPr>
        <w:t>进行投标报价折算后的投标报价为经评审的投标报价。</w:t>
      </w:r>
    </w:p>
    <w:p w14:paraId="11A5C15A">
      <w:pPr>
        <w:numPr>
          <w:ilvl w:val="1"/>
          <w:numId w:val="4"/>
        </w:numPr>
        <w:spacing w:line="360" w:lineRule="auto"/>
        <w:ind w:left="1322" w:leftChars="0" w:hanging="1322" w:firstLineChars="0"/>
        <w:jc w:val="left"/>
        <w:outlineLvl w:val="2"/>
        <w:rPr>
          <w:rFonts w:hint="eastAsia" w:ascii="黑体" w:hAnsi="黑体" w:eastAsia="黑体" w:cs="Times New Roman"/>
          <w:b/>
          <w:color w:val="auto"/>
          <w:sz w:val="28"/>
          <w:szCs w:val="28"/>
          <w:highlight w:val="none"/>
        </w:rPr>
      </w:pPr>
      <w:bookmarkStart w:id="223" w:name="_Toc21787709"/>
      <w:bookmarkStart w:id="224" w:name="_Toc11476"/>
      <w:bookmarkStart w:id="225" w:name="_Toc28512"/>
      <w:r>
        <w:rPr>
          <w:rFonts w:hint="eastAsia" w:ascii="黑体" w:hAnsi="黑体" w:eastAsia="黑体" w:cs="Times New Roman"/>
          <w:b/>
          <w:color w:val="auto"/>
          <w:sz w:val="28"/>
          <w:szCs w:val="28"/>
          <w:highlight w:val="none"/>
        </w:rPr>
        <w:t>投标文件的澄清和补正</w:t>
      </w:r>
      <w:bookmarkEnd w:id="223"/>
      <w:bookmarkEnd w:id="224"/>
      <w:bookmarkEnd w:id="225"/>
    </w:p>
    <w:p w14:paraId="786BC23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3.3.1为有助于投标文件的审查、评价和比较，在评标过程中，经评标委员会中两人以上（含两人）以书面形式提出动议，评标委员会应当书面发出澄清通知，要求投标人对投标文件含义不明确的内容作出澄清或说明，或者对细微偏差进行补正。评标委员会不接受投标人主动提出的澄清、说明或补正。</w:t>
      </w:r>
    </w:p>
    <w:p w14:paraId="74AB5C1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1E81CC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评标委员会对投标人提交的澄清、说明或补正有疑问的，可以要求投标人进一步澄清、说明或补正，直至满足评标委员会的要求。</w:t>
      </w:r>
    </w:p>
    <w:p w14:paraId="7F465B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3.3.3 评标委员会均应当阅读投标人的澄清，但应独立参考澄清对投标文件进行评审。</w:t>
      </w:r>
    </w:p>
    <w:p w14:paraId="5A13E3D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3.3.4如果投标文件实质上不响应招标文件的各项要求，评标委员会将按照符合性审查标准予以拒绝，不接受投标人通过修改或撤销其不符合要求的差异或保留，使之成为具有响应性的投标。</w:t>
      </w:r>
    </w:p>
    <w:p w14:paraId="1C4BFC0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7601F57">
      <w:pPr>
        <w:numPr>
          <w:ilvl w:val="1"/>
          <w:numId w:val="4"/>
        </w:numPr>
        <w:spacing w:line="360" w:lineRule="auto"/>
        <w:ind w:left="1322" w:leftChars="0" w:hanging="1322" w:firstLineChars="0"/>
        <w:jc w:val="left"/>
        <w:outlineLvl w:val="2"/>
        <w:rPr>
          <w:rFonts w:hint="eastAsia" w:ascii="黑体" w:hAnsi="黑体" w:eastAsia="黑体" w:cs="Times New Roman"/>
          <w:b/>
          <w:color w:val="auto"/>
          <w:sz w:val="28"/>
          <w:szCs w:val="28"/>
          <w:highlight w:val="none"/>
        </w:rPr>
      </w:pPr>
      <w:bookmarkStart w:id="226" w:name="_Toc1253"/>
      <w:bookmarkStart w:id="227" w:name="_Toc21787710"/>
      <w:bookmarkStart w:id="228" w:name="_Toc13914"/>
      <w:r>
        <w:rPr>
          <w:rFonts w:hint="eastAsia" w:ascii="黑体" w:hAnsi="黑体" w:eastAsia="黑体" w:cs="Times New Roman"/>
          <w:b/>
          <w:color w:val="auto"/>
          <w:sz w:val="28"/>
          <w:szCs w:val="28"/>
          <w:highlight w:val="none"/>
        </w:rPr>
        <w:t>评标过程应急预案</w:t>
      </w:r>
      <w:bookmarkEnd w:id="226"/>
      <w:bookmarkEnd w:id="227"/>
      <w:bookmarkEnd w:id="228"/>
    </w:p>
    <w:p w14:paraId="0755005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3.4.1在评标过程中，当采用全流程电子化招投标系统发生评审故障时，若当天可解除评审故障，则继续采用电子化系统评标；若当天无法解除评审故障，则评标委员会依据电子投标文件对未完成的评标活动采用手动评审，提交包含已完成电子评审成果在内的纸质评标报告。评审故障情况评估以</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交易平台的认定为准。当交易平台的系统维护人员在评标室告知评标委员会当天无法解除评审故障后，评标委员会即可对未完成的评标活动启动手动评审。</w:t>
      </w:r>
    </w:p>
    <w:p w14:paraId="37A81FB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3.4.2</w:t>
      </w:r>
      <w:r>
        <w:rPr>
          <w:rFonts w:ascii="宋体" w:hAnsi="宋体"/>
          <w:color w:val="auto"/>
          <w:sz w:val="24"/>
          <w:highlight w:val="none"/>
        </w:rPr>
        <w:t>在电子评标过程中，无论遇到任何系统异常或故障，评标委员会均应出具评标报告。</w:t>
      </w:r>
    </w:p>
    <w:p w14:paraId="32621604">
      <w:pPr>
        <w:numPr>
          <w:ilvl w:val="1"/>
          <w:numId w:val="4"/>
        </w:numPr>
        <w:spacing w:line="360" w:lineRule="auto"/>
        <w:ind w:left="1322" w:leftChars="0" w:hanging="1322" w:firstLineChars="0"/>
        <w:jc w:val="left"/>
        <w:outlineLvl w:val="2"/>
        <w:rPr>
          <w:rFonts w:ascii="黑体" w:hAnsi="黑体" w:eastAsia="黑体"/>
          <w:b/>
          <w:color w:val="auto"/>
          <w:sz w:val="28"/>
          <w:szCs w:val="28"/>
          <w:highlight w:val="none"/>
        </w:rPr>
      </w:pPr>
      <w:bookmarkStart w:id="229" w:name="_Toc18102"/>
      <w:bookmarkStart w:id="230" w:name="_Toc21787711"/>
      <w:bookmarkStart w:id="231" w:name="_Toc6669"/>
      <w:r>
        <w:rPr>
          <w:rFonts w:hint="eastAsia" w:ascii="黑体" w:hAnsi="黑体" w:eastAsia="黑体"/>
          <w:b/>
          <w:color w:val="auto"/>
          <w:sz w:val="28"/>
          <w:szCs w:val="28"/>
          <w:highlight w:val="none"/>
        </w:rPr>
        <w:t>评标结果</w:t>
      </w:r>
      <w:bookmarkEnd w:id="229"/>
      <w:bookmarkEnd w:id="230"/>
      <w:bookmarkEnd w:id="231"/>
    </w:p>
    <w:p w14:paraId="7A63353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3.5.1本项目采用评定分离办法，</w:t>
      </w:r>
    </w:p>
    <w:p w14:paraId="3BBAB83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评标采用：“有限数量制评审法”。</w:t>
      </w:r>
    </w:p>
    <w:p w14:paraId="3A89810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（1）当通过</w:t>
      </w:r>
      <w:r>
        <w:rPr>
          <w:rFonts w:hint="eastAsia" w:ascii="宋体" w:hAnsi="宋体"/>
          <w:color w:val="auto"/>
          <w:sz w:val="24"/>
          <w:highlight w:val="none"/>
          <w:lang w:eastAsia="zh-CN"/>
        </w:rPr>
        <w:t>初步评审</w:t>
      </w:r>
      <w:r>
        <w:rPr>
          <w:rFonts w:hint="eastAsia" w:ascii="宋体" w:hAnsi="宋体"/>
          <w:color w:val="auto"/>
          <w:sz w:val="24"/>
          <w:highlight w:val="none"/>
        </w:rPr>
        <w:t>的投标人数＜3家时，招标人应重新招标。</w:t>
      </w:r>
    </w:p>
    <w:p w14:paraId="6C56DC8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（2）当通过</w:t>
      </w:r>
      <w:r>
        <w:rPr>
          <w:rFonts w:hint="eastAsia" w:ascii="宋体" w:hAnsi="宋体"/>
          <w:color w:val="auto"/>
          <w:sz w:val="24"/>
          <w:highlight w:val="none"/>
          <w:lang w:eastAsia="zh-CN"/>
        </w:rPr>
        <w:t>初步评审</w:t>
      </w:r>
      <w:r>
        <w:rPr>
          <w:rFonts w:hint="eastAsia" w:ascii="宋体" w:hAnsi="宋体"/>
          <w:color w:val="auto"/>
          <w:sz w:val="24"/>
          <w:highlight w:val="none"/>
        </w:rPr>
        <w:t>的投标人数≥3家且≤5家时，则通过</w:t>
      </w:r>
      <w:r>
        <w:rPr>
          <w:rFonts w:hint="eastAsia" w:ascii="宋体" w:hAnsi="宋体"/>
          <w:color w:val="auto"/>
          <w:sz w:val="24"/>
          <w:highlight w:val="none"/>
          <w:lang w:eastAsia="zh-CN"/>
        </w:rPr>
        <w:t>初步评审</w:t>
      </w:r>
      <w:r>
        <w:rPr>
          <w:rFonts w:hint="eastAsia" w:ascii="宋体" w:hAnsi="宋体"/>
          <w:color w:val="auto"/>
          <w:sz w:val="24"/>
          <w:highlight w:val="none"/>
        </w:rPr>
        <w:t>的所有投标人全部</w:t>
      </w:r>
      <w:r>
        <w:rPr>
          <w:rFonts w:hint="eastAsia" w:ascii="宋体" w:hAnsi="宋体"/>
          <w:color w:val="auto"/>
          <w:sz w:val="24"/>
          <w:highlight w:val="none"/>
          <w:lang w:val="en-US" w:eastAsia="zh-CN"/>
        </w:rPr>
        <w:t>推荐为合格中标候选人</w:t>
      </w:r>
      <w:r>
        <w:rPr>
          <w:rFonts w:hint="eastAsia" w:ascii="宋体" w:hAnsi="宋体"/>
          <w:color w:val="auto"/>
          <w:sz w:val="24"/>
          <w:highlight w:val="none"/>
        </w:rPr>
        <w:t>进入定标阶段。</w:t>
      </w:r>
    </w:p>
    <w:p w14:paraId="0FF259D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（3）当通过</w:t>
      </w:r>
      <w:r>
        <w:rPr>
          <w:rFonts w:hint="eastAsia" w:ascii="宋体" w:hAnsi="宋体"/>
          <w:color w:val="auto"/>
          <w:sz w:val="24"/>
          <w:highlight w:val="none"/>
          <w:lang w:eastAsia="zh-CN"/>
        </w:rPr>
        <w:t>初步评审</w:t>
      </w:r>
      <w:r>
        <w:rPr>
          <w:rFonts w:hint="eastAsia" w:ascii="宋体" w:hAnsi="宋体"/>
          <w:color w:val="auto"/>
          <w:sz w:val="24"/>
          <w:highlight w:val="none"/>
        </w:rPr>
        <w:t>的投标人数＞5家时，则：</w:t>
      </w:r>
    </w:p>
    <w:p w14:paraId="7A5CA21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①若经评审的投标报价介于经评审的最低投标价（含本数）与工程</w:t>
      </w:r>
      <w:r>
        <w:rPr>
          <w:rFonts w:hint="eastAsia" w:ascii="宋体" w:hAnsi="宋体"/>
          <w:color w:val="auto"/>
          <w:sz w:val="24"/>
          <w:highlight w:val="none"/>
          <w:lang w:eastAsia="zh-CN"/>
        </w:rPr>
        <w:t>成本警示价</w:t>
      </w:r>
      <w:r>
        <w:rPr>
          <w:rFonts w:hint="eastAsia" w:ascii="宋体" w:hAnsi="宋体"/>
          <w:color w:val="auto"/>
          <w:sz w:val="24"/>
          <w:highlight w:val="none"/>
        </w:rPr>
        <w:t>（含本数）之间的数量≥5家时，则经评审的投标报价介于经评审的最低投标价（含本数）与工程</w:t>
      </w:r>
      <w:r>
        <w:rPr>
          <w:rFonts w:hint="eastAsia" w:ascii="宋体" w:hAnsi="宋体"/>
          <w:color w:val="auto"/>
          <w:sz w:val="24"/>
          <w:highlight w:val="none"/>
          <w:lang w:eastAsia="zh-CN"/>
        </w:rPr>
        <w:t>成本警示价</w:t>
      </w:r>
      <w:r>
        <w:rPr>
          <w:rFonts w:hint="eastAsia" w:ascii="宋体" w:hAnsi="宋体"/>
          <w:color w:val="auto"/>
          <w:sz w:val="24"/>
          <w:highlight w:val="none"/>
        </w:rPr>
        <w:t>（含本数）之间的投标人全部</w:t>
      </w:r>
      <w:r>
        <w:rPr>
          <w:rFonts w:hint="eastAsia" w:ascii="宋体" w:hAnsi="宋体"/>
          <w:color w:val="auto"/>
          <w:sz w:val="24"/>
          <w:highlight w:val="none"/>
          <w:lang w:val="en-US" w:eastAsia="zh-CN"/>
        </w:rPr>
        <w:t>推荐合格中标候选人</w:t>
      </w:r>
      <w:r>
        <w:rPr>
          <w:rFonts w:hint="eastAsia" w:ascii="宋体" w:hAnsi="宋体"/>
          <w:color w:val="auto"/>
          <w:sz w:val="24"/>
          <w:highlight w:val="none"/>
        </w:rPr>
        <w:t>进入定标阶段；</w:t>
      </w:r>
    </w:p>
    <w:p w14:paraId="5098571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②若经评审的投标报价介于经评审的最低投标价（含本数）与工程</w:t>
      </w:r>
      <w:r>
        <w:rPr>
          <w:rFonts w:hint="eastAsia" w:ascii="宋体" w:hAnsi="宋体"/>
          <w:color w:val="auto"/>
          <w:sz w:val="24"/>
          <w:highlight w:val="none"/>
          <w:lang w:eastAsia="zh-CN"/>
        </w:rPr>
        <w:t>成本警示价</w:t>
      </w:r>
      <w:r>
        <w:rPr>
          <w:rFonts w:hint="eastAsia" w:ascii="宋体" w:hAnsi="宋体"/>
          <w:color w:val="auto"/>
          <w:sz w:val="24"/>
          <w:highlight w:val="none"/>
        </w:rPr>
        <w:t>（含本数）之间的数量＜5家时，则按经评审的投标报价由低到高选取5家不排序的合格中标候选人</w:t>
      </w:r>
      <w:r>
        <w:rPr>
          <w:rFonts w:hint="eastAsia" w:ascii="宋体" w:hAnsi="宋体"/>
          <w:color w:val="auto"/>
          <w:sz w:val="24"/>
          <w:highlight w:val="none"/>
          <w:lang w:val="en-US" w:eastAsia="zh-CN"/>
        </w:rPr>
        <w:t>推荐为合格中标候选人</w:t>
      </w:r>
      <w:r>
        <w:rPr>
          <w:rFonts w:hint="eastAsia" w:ascii="宋体" w:hAnsi="宋体"/>
          <w:color w:val="auto"/>
          <w:sz w:val="24"/>
          <w:highlight w:val="none"/>
        </w:rPr>
        <w:t>进入定标阶段。</w:t>
      </w:r>
    </w:p>
    <w:p w14:paraId="1C7EE5E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进入定标阶段的合格中标候选人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r>
        <w:rPr>
          <w:rFonts w:ascii="宋体" w:hAnsi="宋体"/>
          <w:color w:val="auto"/>
          <w:sz w:val="24"/>
          <w:highlight w:val="none"/>
        </w:rPr>
        <w:t>。</w:t>
      </w:r>
    </w:p>
    <w:p w14:paraId="52CE760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3.5.2 评标委员会完成评标后，应当向招标人提交书面评标报告。</w:t>
      </w:r>
    </w:p>
    <w:p w14:paraId="50AEB3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40" w:lineRule="exact"/>
        <w:ind w:firstLine="0" w:firstLineChars="0"/>
        <w:jc w:val="center"/>
        <w:textAlignment w:val="auto"/>
        <w:rPr>
          <w:rFonts w:hint="eastAsia" w:ascii="宋体" w:hAnsi="宋体" w:eastAsia="宋体" w:cs="宋体"/>
          <w:color w:val="auto"/>
          <w:sz w:val="36"/>
          <w:szCs w:val="36"/>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（二）定标办法</w:t>
      </w:r>
    </w:p>
    <w:p w14:paraId="21C770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u w:val="single"/>
        </w:rPr>
      </w:pPr>
      <w:r>
        <w:rPr>
          <w:rFonts w:hint="eastAsia" w:ascii="宋体" w:hAnsi="宋体"/>
          <w:color w:val="auto"/>
          <w:sz w:val="24"/>
          <w:szCs w:val="24"/>
          <w:highlight w:val="none"/>
          <w:u w:val="single"/>
        </w:rPr>
        <w:t>1</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定标时间和地点</w:t>
      </w:r>
    </w:p>
    <w:p w14:paraId="2863CD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招标人在合格中标候选人公示结束后</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个工作日内在广州交易集团有限公司（广州公共资源交易中心）开展定标工作，招标人按规定程序在投标人须知的时间和地点完成定标工作。</w:t>
      </w:r>
    </w:p>
    <w:p w14:paraId="2B5E7B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定标委员会：</w:t>
      </w:r>
      <w:r>
        <w:rPr>
          <w:rFonts w:hint="eastAsia" w:ascii="宋体" w:hAnsi="宋体"/>
          <w:color w:val="auto"/>
          <w:sz w:val="24"/>
          <w:szCs w:val="24"/>
          <w:highlight w:val="none"/>
          <w:u w:val="single"/>
        </w:rPr>
        <w:t>成员数量为5人，由招标人组建。</w:t>
      </w:r>
    </w:p>
    <w:p w14:paraId="6686A8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监督小组：</w:t>
      </w:r>
      <w:r>
        <w:rPr>
          <w:rFonts w:hint="eastAsia" w:ascii="宋体" w:hAnsi="宋体"/>
          <w:color w:val="auto"/>
          <w:sz w:val="24"/>
          <w:szCs w:val="24"/>
          <w:highlight w:val="none"/>
          <w:u w:val="single"/>
        </w:rPr>
        <w:t>成员数量为</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人，由招标人组建。</w:t>
      </w:r>
    </w:p>
    <w:p w14:paraId="2525AB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定标办法：</w:t>
      </w:r>
      <w:r>
        <w:rPr>
          <w:rFonts w:hint="eastAsia" w:ascii="宋体" w:hAnsi="宋体"/>
          <w:color w:val="auto"/>
          <w:sz w:val="24"/>
          <w:szCs w:val="24"/>
          <w:highlight w:val="none"/>
          <w:u w:val="single"/>
        </w:rPr>
        <w:t>定标采用评分法，定标委员会从评标委员会推荐的合格中标候选人中，依据评分法选出得分最高的候选人，确定为中标人</w:t>
      </w:r>
      <w:r>
        <w:rPr>
          <w:rFonts w:hint="eastAsia" w:ascii="宋体" w:hAnsi="宋体"/>
          <w:color w:val="auto"/>
          <w:sz w:val="24"/>
          <w:szCs w:val="24"/>
          <w:highlight w:val="none"/>
          <w:u w:val="single"/>
          <w:lang w:eastAsia="zh-CN"/>
        </w:rPr>
        <w:t>。</w:t>
      </w:r>
    </w:p>
    <w:p w14:paraId="1EEE88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rPr>
        <w:t>本次定标采用“方案因素”＋“价格因素”，其中总得分（100分）=方案因素得分（100分）*方案因素权重（70%）+价格因素得分（100分）*价格因素权重（30%）</w:t>
      </w:r>
      <w:r>
        <w:rPr>
          <w:rFonts w:hint="eastAsia" w:ascii="宋体" w:hAnsi="宋体"/>
          <w:color w:val="auto"/>
          <w:sz w:val="24"/>
          <w:szCs w:val="24"/>
          <w:highlight w:val="none"/>
          <w:u w:val="single"/>
          <w:lang w:eastAsia="zh-CN"/>
        </w:rPr>
        <w:t>。</w:t>
      </w:r>
    </w:p>
    <w:p w14:paraId="74D030D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lang w:val="en-US" w:eastAsia="zh-CN"/>
        </w:rPr>
        <w:t>5、</w:t>
      </w:r>
      <w:r>
        <w:rPr>
          <w:rFonts w:hint="eastAsia" w:ascii="宋体" w:hAnsi="宋体"/>
          <w:b/>
          <w:bCs/>
          <w:color w:val="auto"/>
          <w:sz w:val="24"/>
          <w:szCs w:val="24"/>
          <w:highlight w:val="none"/>
          <w:u w:val="single"/>
        </w:rPr>
        <w:t>定标因素：（1）方案因素：对合格中标候选人定标方案进行评审：①拟投入本项目的团队配置②本项目施工管理措施③本项目成本控制措施④本项目资金管理措施等内容。</w:t>
      </w:r>
    </w:p>
    <w:p w14:paraId="5B7DEB0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b/>
          <w:bCs/>
          <w:color w:val="auto"/>
          <w:sz w:val="24"/>
          <w:szCs w:val="24"/>
          <w:highlight w:val="none"/>
          <w:u w:val="single"/>
        </w:rPr>
      </w:pPr>
      <w:r>
        <w:rPr>
          <w:rFonts w:hint="eastAsia" w:ascii="宋体" w:hAnsi="宋体"/>
          <w:b/>
          <w:bCs/>
          <w:color w:val="auto"/>
          <w:sz w:val="24"/>
          <w:szCs w:val="24"/>
          <w:highlight w:val="none"/>
          <w:u w:val="single"/>
        </w:rPr>
        <w:t>（2）价格因素：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100分。投标报价比定标基准价每高1%扣1.5分；每低1%扣1.0分，扣至0分为止。得出价格因素得分，分数出现小数点时，保留小数点后二位，第三位小数四舍五入。</w:t>
      </w:r>
    </w:p>
    <w:p w14:paraId="694F04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u w:val="single"/>
        </w:rPr>
      </w:pPr>
      <w:r>
        <w:rPr>
          <w:rFonts w:hint="eastAsia" w:ascii="宋体" w:hAnsi="宋体"/>
          <w:color w:val="auto"/>
          <w:sz w:val="24"/>
          <w:szCs w:val="24"/>
          <w:highlight w:val="none"/>
          <w:u w:val="single"/>
        </w:rPr>
        <w:t>5</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定标程序</w:t>
      </w:r>
    </w:p>
    <w:p w14:paraId="16BCC64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招标人或其委托的招标代理机构应安排1名熟悉情况的工作人员在定标会场担任招标项目负责人，按程序组织定标工作：</w:t>
      </w:r>
    </w:p>
    <w:p w14:paraId="651C77D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（1）招标项目负责人宣读定标委员会组建情况及成员名单，宣读定标纪律，签订廉政责任书。</w:t>
      </w:r>
    </w:p>
    <w:p w14:paraId="0697247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（2）由招标人的法定代表人或法定代表人授权的本单位正式职工担任定标委员会组长并开展定标工作。</w:t>
      </w:r>
    </w:p>
    <w:p w14:paraId="6A378D9C">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（3）发放定标辅助资料：招标文件、合格中标候选人提交的</w:t>
      </w:r>
      <w:r>
        <w:rPr>
          <w:rFonts w:hint="eastAsia" w:ascii="宋体" w:hAnsi="宋体" w:cs="宋体"/>
          <w:strike w:val="0"/>
          <w:dstrike w:val="0"/>
          <w:color w:val="auto"/>
          <w:sz w:val="24"/>
          <w:szCs w:val="24"/>
          <w:highlight w:val="none"/>
          <w:lang w:val="en-US" w:eastAsia="zh-CN"/>
        </w:rPr>
        <w:t>定标文件</w:t>
      </w:r>
      <w:r>
        <w:rPr>
          <w:rFonts w:hint="eastAsia" w:ascii="宋体" w:hAnsi="宋体" w:eastAsia="宋体" w:cs="宋体"/>
          <w:strike w:val="0"/>
          <w:dstrike w:val="0"/>
          <w:color w:val="auto"/>
          <w:sz w:val="24"/>
          <w:szCs w:val="24"/>
          <w:highlight w:val="none"/>
          <w:lang w:val="en-US" w:eastAsia="zh-CN"/>
        </w:rPr>
        <w:t>。</w:t>
      </w:r>
    </w:p>
    <w:p w14:paraId="3EC9654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trike w:val="0"/>
          <w:dstrike w:val="0"/>
          <w:color w:val="auto"/>
          <w:sz w:val="24"/>
          <w:szCs w:val="24"/>
          <w:highlight w:val="none"/>
          <w:u w:val="single"/>
          <w:lang w:val="en-US" w:eastAsia="zh-CN"/>
        </w:rPr>
      </w:pPr>
      <w:r>
        <w:rPr>
          <w:rFonts w:hint="eastAsia" w:ascii="宋体" w:hAnsi="宋体" w:eastAsia="宋体" w:cs="宋体"/>
          <w:strike w:val="0"/>
          <w:dstrike w:val="0"/>
          <w:color w:val="auto"/>
          <w:sz w:val="24"/>
          <w:szCs w:val="24"/>
          <w:highlight w:val="none"/>
          <w:lang w:val="en-US" w:eastAsia="zh-CN"/>
        </w:rPr>
        <w:t>（4）</w:t>
      </w:r>
      <w:r>
        <w:rPr>
          <w:rFonts w:hint="eastAsia" w:ascii="宋体" w:hAnsi="宋体" w:eastAsia="宋体" w:cs="宋体"/>
          <w:strike w:val="0"/>
          <w:dstrike w:val="0"/>
          <w:color w:val="auto"/>
          <w:sz w:val="24"/>
          <w:szCs w:val="24"/>
          <w:highlight w:val="none"/>
          <w:u w:val="single"/>
          <w:lang w:val="en-US" w:eastAsia="zh-CN"/>
        </w:rPr>
        <w:t>定标委员会按《定标因素表》的标准，根据合格中标候选人提交的定标文件，对方案因素及价格因素进行评审打分。</w:t>
      </w:r>
    </w:p>
    <w:p w14:paraId="116A501A">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u w:val="single"/>
          <w:lang w:val="en-US" w:eastAsia="zh-CN"/>
        </w:rPr>
        <w:t>将所有定标委员会成员对同一投标人的评分进行相加【总得分（100分）=方案因素得分（100分）*方案因素权重（70%）+价格因素得分（100分）*价格因素权重（30%）】，总分由高至低排序，总分最高的为中标人；其中，</w:t>
      </w:r>
      <w:r>
        <w:rPr>
          <w:rFonts w:hint="eastAsia" w:ascii="宋体" w:hAnsi="宋体" w:eastAsia="宋体" w:cs="宋体"/>
          <w:color w:val="auto"/>
          <w:sz w:val="24"/>
          <w:szCs w:val="24"/>
          <w:highlight w:val="none"/>
          <w:u w:val="single"/>
        </w:rPr>
        <w:t>合格中标候选人定标方案得分为所有定标委员会成员对同一投标人</w:t>
      </w:r>
      <w:r>
        <w:rPr>
          <w:rFonts w:hint="eastAsia" w:ascii="宋体" w:hAnsi="宋体" w:eastAsia="宋体" w:cs="宋体"/>
          <w:color w:val="auto"/>
          <w:sz w:val="24"/>
          <w:szCs w:val="24"/>
          <w:highlight w:val="none"/>
          <w:u w:val="single"/>
          <w:lang w:eastAsia="zh-CN"/>
        </w:rPr>
        <w:t>方案因素的</w:t>
      </w:r>
      <w:r>
        <w:rPr>
          <w:rFonts w:hint="eastAsia" w:ascii="宋体" w:hAnsi="宋体" w:cs="宋体"/>
          <w:color w:val="auto"/>
          <w:sz w:val="24"/>
          <w:szCs w:val="24"/>
          <w:highlight w:val="none"/>
          <w:u w:val="single"/>
          <w:lang w:eastAsia="zh-CN"/>
        </w:rPr>
        <w:t>各项</w:t>
      </w:r>
      <w:r>
        <w:rPr>
          <w:rFonts w:hint="eastAsia" w:ascii="宋体" w:hAnsi="宋体" w:cs="宋体"/>
          <w:b w:val="0"/>
          <w:color w:val="auto"/>
          <w:sz w:val="24"/>
          <w:szCs w:val="24"/>
          <w:highlight w:val="none"/>
          <w:u w:val="single"/>
          <w:lang w:eastAsia="zh-CN"/>
        </w:rPr>
        <w:t>评</w:t>
      </w:r>
      <w:r>
        <w:rPr>
          <w:rFonts w:hint="eastAsia" w:ascii="宋体" w:hAnsi="宋体" w:eastAsia="宋体" w:cs="宋体"/>
          <w:b w:val="0"/>
          <w:color w:val="auto"/>
          <w:sz w:val="24"/>
          <w:szCs w:val="24"/>
          <w:highlight w:val="none"/>
          <w:u w:val="single"/>
        </w:rPr>
        <w:t>分</w:t>
      </w:r>
      <w:r>
        <w:rPr>
          <w:rFonts w:hint="eastAsia" w:ascii="宋体" w:hAnsi="宋体" w:cs="宋体"/>
          <w:b w:val="0"/>
          <w:color w:val="auto"/>
          <w:sz w:val="24"/>
          <w:szCs w:val="24"/>
          <w:highlight w:val="none"/>
          <w:u w:val="single"/>
          <w:lang w:eastAsia="zh-CN"/>
        </w:rPr>
        <w:t>相加</w:t>
      </w:r>
      <w:r>
        <w:rPr>
          <w:rFonts w:hint="eastAsia" w:ascii="宋体" w:hAnsi="宋体" w:eastAsia="宋体" w:cs="宋体"/>
          <w:b w:val="0"/>
          <w:color w:val="auto"/>
          <w:sz w:val="24"/>
          <w:szCs w:val="24"/>
          <w:highlight w:val="none"/>
          <w:u w:val="single"/>
        </w:rPr>
        <w:t>去掉一个最高分和一个最低分后计取的算术平均分（分数出现小数点时，保留小数点后二位，第三位小数四舍五入）。</w:t>
      </w:r>
    </w:p>
    <w:p w14:paraId="670A2D1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trike w:val="0"/>
          <w:dstrike w:val="0"/>
          <w:color w:val="auto"/>
          <w:sz w:val="24"/>
          <w:szCs w:val="24"/>
          <w:highlight w:val="none"/>
          <w:u w:val="single"/>
        </w:rPr>
      </w:pPr>
      <w:r>
        <w:rPr>
          <w:rFonts w:hint="eastAsia" w:ascii="宋体" w:hAnsi="宋体" w:eastAsia="宋体" w:cs="宋体"/>
          <w:strike w:val="0"/>
          <w:dstrike w:val="0"/>
          <w:color w:val="auto"/>
          <w:sz w:val="24"/>
          <w:szCs w:val="24"/>
          <w:highlight w:val="none"/>
          <w:u w:val="single"/>
        </w:rPr>
        <w:t>注：若合格中标候选人总得分相同且影响定标排序的，以方案因素得分高的排前；若方案因素得分仍相同的，以价格因素得分高的排前，若价格因素得分仍相同的，由定标委员会投票确定排序。</w:t>
      </w:r>
    </w:p>
    <w:p w14:paraId="230676E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trike w:val="0"/>
          <w:dstrike w:val="0"/>
          <w:color w:val="auto"/>
          <w:sz w:val="24"/>
          <w:szCs w:val="24"/>
          <w:highlight w:val="none"/>
          <w:u w:val="single"/>
        </w:rPr>
      </w:pPr>
      <w:r>
        <w:rPr>
          <w:rFonts w:hint="eastAsia" w:ascii="宋体" w:hAnsi="宋体" w:eastAsia="宋体" w:cs="宋体"/>
          <w:strike w:val="0"/>
          <w:dstrike w:val="0"/>
          <w:color w:val="auto"/>
          <w:sz w:val="24"/>
          <w:szCs w:val="24"/>
          <w:highlight w:val="none"/>
          <w:lang w:val="en-US" w:eastAsia="zh-CN"/>
        </w:rPr>
        <w:t>（6）</w:t>
      </w:r>
      <w:r>
        <w:rPr>
          <w:rFonts w:hint="eastAsia" w:ascii="宋体" w:hAnsi="宋体" w:eastAsia="宋体" w:cs="宋体"/>
          <w:strike w:val="0"/>
          <w:dstrike w:val="0"/>
          <w:color w:val="auto"/>
          <w:sz w:val="24"/>
          <w:szCs w:val="24"/>
          <w:highlight w:val="none"/>
          <w:u w:val="single"/>
        </w:rPr>
        <w:t>定标委员会根据评分情况及定标原则确定中标人。</w:t>
      </w:r>
    </w:p>
    <w:p w14:paraId="5BEFCC8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trike w:val="0"/>
          <w:dstrike w:val="0"/>
          <w:color w:val="auto"/>
          <w:sz w:val="24"/>
          <w:szCs w:val="24"/>
          <w:highlight w:val="none"/>
          <w:u w:val="single"/>
          <w:lang w:val="en-US" w:eastAsia="zh-CN"/>
        </w:rPr>
      </w:pPr>
      <w:r>
        <w:rPr>
          <w:rFonts w:hint="eastAsia" w:ascii="宋体" w:hAnsi="宋体" w:eastAsia="宋体" w:cs="宋体"/>
          <w:strike w:val="0"/>
          <w:dstrike w:val="0"/>
          <w:color w:val="auto"/>
          <w:sz w:val="24"/>
          <w:szCs w:val="24"/>
          <w:highlight w:val="none"/>
          <w:lang w:val="en-US" w:eastAsia="zh-CN"/>
        </w:rPr>
        <w:t>（6-1）</w:t>
      </w:r>
      <w:r>
        <w:rPr>
          <w:rFonts w:hint="eastAsia" w:ascii="宋体" w:hAnsi="宋体" w:eastAsia="宋体" w:cs="宋体"/>
          <w:strike w:val="0"/>
          <w:dstrike w:val="0"/>
          <w:color w:val="auto"/>
          <w:sz w:val="24"/>
          <w:szCs w:val="24"/>
          <w:highlight w:val="none"/>
          <w:u w:val="single"/>
          <w:lang w:val="en-US" w:eastAsia="zh-CN"/>
        </w:rPr>
        <w:t>编写定标报告，定标委员会全体确认后签署定标报告。</w:t>
      </w:r>
    </w:p>
    <w:p w14:paraId="2CB3FA5F">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（7）招标人应当在定标工作完成后3日内公示中标结果。</w:t>
      </w:r>
    </w:p>
    <w:p w14:paraId="7B5506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u w:val="single"/>
        </w:rPr>
      </w:pPr>
      <w:r>
        <w:rPr>
          <w:rFonts w:hint="eastAsia" w:ascii="宋体" w:hAnsi="宋体"/>
          <w:color w:val="auto"/>
          <w:sz w:val="24"/>
          <w:szCs w:val="24"/>
          <w:highlight w:val="none"/>
          <w:u w:val="single"/>
          <w:lang w:val="en-US" w:eastAsia="zh-CN"/>
        </w:rPr>
        <w:t>（8）</w:t>
      </w:r>
      <w:r>
        <w:rPr>
          <w:rFonts w:hint="eastAsia" w:ascii="宋体" w:hAnsi="宋体"/>
          <w:color w:val="auto"/>
          <w:sz w:val="24"/>
          <w:szCs w:val="24"/>
          <w:highlight w:val="none"/>
          <w:u w:val="single"/>
        </w:rPr>
        <w:t>重新评标或定标的，评标信息（含业绩、奖项等）、定标信息仍以投标截止时投标人的信息为准。因特殊原因需要延长投标有效期，投标人拒绝延长投标有效期的，仍参与评标、定标，但不被推荐为合格中标候选人。</w:t>
      </w:r>
    </w:p>
    <w:p w14:paraId="343E49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u w:val="single"/>
        </w:rPr>
      </w:pPr>
      <w:r>
        <w:rPr>
          <w:rFonts w:hint="eastAsia" w:ascii="宋体" w:hAnsi="宋体"/>
          <w:color w:val="auto"/>
          <w:sz w:val="24"/>
          <w:szCs w:val="24"/>
          <w:highlight w:val="none"/>
          <w:u w:val="single"/>
          <w:lang w:val="en-US" w:eastAsia="zh-CN"/>
        </w:rPr>
        <w:t>（9）</w:t>
      </w:r>
      <w:r>
        <w:rPr>
          <w:rFonts w:hint="eastAsia" w:ascii="宋体" w:hAnsi="宋体" w:eastAsia="宋体" w:cs="宋体"/>
          <w:strike w:val="0"/>
          <w:dstrike w:val="0"/>
          <w:color w:val="auto"/>
          <w:sz w:val="24"/>
          <w:szCs w:val="24"/>
          <w:highlight w:val="none"/>
          <w:u w:val="single"/>
          <w:lang w:val="en-US" w:eastAsia="zh-CN"/>
        </w:rPr>
        <w:t>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r>
        <w:rPr>
          <w:rFonts w:hint="eastAsia" w:ascii="宋体" w:hAnsi="宋体"/>
          <w:color w:val="auto"/>
          <w:sz w:val="24"/>
          <w:szCs w:val="24"/>
          <w:highlight w:val="none"/>
          <w:u w:val="single"/>
        </w:rPr>
        <w:t>。</w:t>
      </w:r>
    </w:p>
    <w:p w14:paraId="73C0F8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u w:val="single"/>
        </w:rPr>
      </w:pPr>
      <w:r>
        <w:rPr>
          <w:rFonts w:hint="eastAsia" w:ascii="宋体" w:hAnsi="宋体"/>
          <w:color w:val="auto"/>
          <w:sz w:val="24"/>
          <w:szCs w:val="24"/>
          <w:highlight w:val="none"/>
          <w:u w:val="single"/>
          <w:lang w:val="en-US" w:eastAsia="zh-CN"/>
        </w:rPr>
        <w:t>（10）</w:t>
      </w:r>
      <w:r>
        <w:rPr>
          <w:rFonts w:hint="eastAsia" w:ascii="宋体" w:hAnsi="宋体" w:eastAsia="宋体" w:cs="宋体"/>
          <w:strike w:val="0"/>
          <w:dstrike w:val="0"/>
          <w:color w:val="auto"/>
          <w:sz w:val="24"/>
          <w:szCs w:val="24"/>
          <w:highlight w:val="none"/>
          <w:u w:val="single"/>
          <w:lang w:val="en-US" w:eastAsia="zh-CN"/>
        </w:rPr>
        <w:t>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r>
        <w:rPr>
          <w:rFonts w:hint="eastAsia" w:ascii="宋体" w:hAnsi="宋体"/>
          <w:color w:val="auto"/>
          <w:sz w:val="24"/>
          <w:szCs w:val="24"/>
          <w:highlight w:val="none"/>
          <w:u w:val="single"/>
        </w:rPr>
        <w:t>。</w:t>
      </w:r>
    </w:p>
    <w:p w14:paraId="08C97F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Times New Roman"/>
          <w:color w:val="auto"/>
          <w:sz w:val="24"/>
          <w:szCs w:val="24"/>
          <w:highlight w:val="none"/>
          <w:u w:val="single"/>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Times New Roman"/>
          <w:color w:val="auto"/>
          <w:sz w:val="24"/>
          <w:szCs w:val="24"/>
          <w:highlight w:val="none"/>
          <w:u w:val="single"/>
          <w:lang w:val="en-US" w:eastAsia="zh-CN"/>
        </w:rPr>
        <w:t>（11）定标表格：见后附表5-附表12。</w:t>
      </w:r>
    </w:p>
    <w:p w14:paraId="4DF095B1">
      <w:pPr>
        <w:rPr>
          <w:rFonts w:hint="eastAsia" w:ascii="宋体" w:hAnsi="宋体"/>
          <w:color w:val="auto"/>
          <w:kern w:val="0"/>
          <w:highlight w:val="none"/>
        </w:rPr>
      </w:pPr>
    </w:p>
    <w:p w14:paraId="72358CA8">
      <w:pPr>
        <w:pStyle w:val="27"/>
        <w:rPr>
          <w:color w:val="auto"/>
          <w:highlight w:val="none"/>
        </w:rPr>
      </w:pPr>
      <w:bookmarkStart w:id="232" w:name="_Toc321"/>
      <w:r>
        <w:rPr>
          <w:rFonts w:hint="eastAsia"/>
          <w:color w:val="auto"/>
          <w:highlight w:val="none"/>
        </w:rPr>
        <w:t>附表1：</w:t>
      </w:r>
      <w:r>
        <w:rPr>
          <w:color w:val="auto"/>
          <w:highlight w:val="none"/>
        </w:rPr>
        <w:t>资格评审意见记录表</w:t>
      </w:r>
      <w:r>
        <w:rPr>
          <w:rFonts w:hint="eastAsia"/>
          <w:color w:val="auto"/>
          <w:highlight w:val="none"/>
        </w:rPr>
        <w:t>（格式）</w:t>
      </w:r>
      <w:bookmarkEnd w:id="232"/>
    </w:p>
    <w:p w14:paraId="5E8ED590">
      <w:pPr>
        <w:jc w:val="center"/>
        <w:rPr>
          <w:rFonts w:ascii="宋体" w:hAnsi="宋体"/>
          <w:b/>
          <w:color w:val="auto"/>
          <w:sz w:val="30"/>
          <w:szCs w:val="30"/>
          <w:highlight w:val="none"/>
        </w:rPr>
      </w:pPr>
      <w:r>
        <w:rPr>
          <w:rFonts w:hint="eastAsia" w:ascii="宋体" w:hAnsi="宋体"/>
          <w:b/>
          <w:color w:val="auto"/>
          <w:sz w:val="30"/>
          <w:szCs w:val="30"/>
          <w:highlight w:val="none"/>
        </w:rPr>
        <w:t>资格审查个人</w:t>
      </w:r>
      <w:r>
        <w:rPr>
          <w:rFonts w:ascii="宋体" w:hAnsi="宋体"/>
          <w:b/>
          <w:color w:val="auto"/>
          <w:sz w:val="30"/>
          <w:szCs w:val="30"/>
          <w:highlight w:val="none"/>
        </w:rPr>
        <w:t>表</w:t>
      </w:r>
    </w:p>
    <w:p w14:paraId="5D44AC11">
      <w:pPr>
        <w:rPr>
          <w:rFonts w:ascii="宋体" w:hAnsi="宋体"/>
          <w:color w:val="auto"/>
          <w:highlight w:val="none"/>
        </w:rPr>
      </w:pPr>
      <w:r>
        <w:rPr>
          <w:rFonts w:hint="eastAsia" w:ascii="宋体" w:hAnsi="宋体"/>
          <w:color w:val="auto"/>
          <w:highlight w:val="none"/>
        </w:rPr>
        <w:t>项目编号：</w:t>
      </w:r>
    </w:p>
    <w:p w14:paraId="3599970F">
      <w:pPr>
        <w:rPr>
          <w:rFonts w:ascii="宋体" w:hAnsi="宋体"/>
          <w:color w:val="auto"/>
          <w:highlight w:val="none"/>
        </w:rPr>
      </w:pPr>
      <w:r>
        <w:rPr>
          <w:rFonts w:hint="eastAsia" w:ascii="宋体" w:hAnsi="宋体"/>
          <w:color w:val="auto"/>
          <w:highlight w:val="none"/>
        </w:rPr>
        <w:t>项目名称：</w:t>
      </w:r>
    </w:p>
    <w:tbl>
      <w:tblPr>
        <w:tblStyle w:val="17"/>
        <w:tblpPr w:leftFromText="180" w:rightFromText="180" w:vertAnchor="text" w:tblpXSpec="center" w:tblpY="1"/>
        <w:tblOverlap w:val="never"/>
        <w:tblW w:w="140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382"/>
        <w:gridCol w:w="1885"/>
        <w:gridCol w:w="1925"/>
        <w:gridCol w:w="1924"/>
        <w:gridCol w:w="1787"/>
        <w:gridCol w:w="1787"/>
        <w:gridCol w:w="1653"/>
      </w:tblGrid>
      <w:tr w14:paraId="5FD5A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restart"/>
            <w:tcBorders>
              <w:top w:val="single" w:color="auto" w:sz="4" w:space="0"/>
              <w:left w:val="single" w:color="auto" w:sz="4" w:space="0"/>
              <w:right w:val="single" w:color="auto" w:sz="4" w:space="0"/>
            </w:tcBorders>
            <w:noWrap w:val="0"/>
            <w:vAlign w:val="center"/>
          </w:tcPr>
          <w:p w14:paraId="3C0C47E6">
            <w:pPr>
              <w:jc w:val="center"/>
              <w:rPr>
                <w:rFonts w:ascii="宋体" w:hAnsi="宋体"/>
                <w:b/>
                <w:color w:val="auto"/>
                <w:szCs w:val="21"/>
                <w:highlight w:val="none"/>
              </w:rPr>
            </w:pPr>
            <w:r>
              <w:rPr>
                <w:rFonts w:ascii="宋体" w:hAnsi="宋体"/>
                <w:b/>
                <w:color w:val="auto"/>
                <w:szCs w:val="21"/>
                <w:highlight w:val="none"/>
              </w:rPr>
              <w:t>序号</w:t>
            </w:r>
          </w:p>
        </w:tc>
        <w:tc>
          <w:tcPr>
            <w:tcW w:w="2382" w:type="dxa"/>
            <w:vMerge w:val="restart"/>
            <w:tcBorders>
              <w:top w:val="single" w:color="auto" w:sz="4" w:space="0"/>
              <w:left w:val="single" w:color="auto" w:sz="4" w:space="0"/>
              <w:right w:val="single" w:color="auto" w:sz="4" w:space="0"/>
            </w:tcBorders>
            <w:noWrap w:val="0"/>
            <w:vAlign w:val="center"/>
          </w:tcPr>
          <w:p w14:paraId="1AF8F80E">
            <w:pPr>
              <w:jc w:val="center"/>
              <w:rPr>
                <w:rFonts w:ascii="宋体" w:hAnsi="宋体"/>
                <w:b/>
                <w:color w:val="auto"/>
                <w:szCs w:val="21"/>
                <w:highlight w:val="none"/>
              </w:rPr>
            </w:pPr>
            <w:r>
              <w:rPr>
                <w:rFonts w:ascii="宋体" w:hAnsi="宋体"/>
                <w:b/>
                <w:color w:val="auto"/>
                <w:szCs w:val="21"/>
                <w:highlight w:val="none"/>
              </w:rPr>
              <w:t>评审因素</w:t>
            </w:r>
          </w:p>
        </w:tc>
        <w:tc>
          <w:tcPr>
            <w:tcW w:w="10961" w:type="dxa"/>
            <w:gridSpan w:val="6"/>
            <w:tcBorders>
              <w:top w:val="single" w:color="auto" w:sz="4" w:space="0"/>
              <w:left w:val="single" w:color="auto" w:sz="4" w:space="0"/>
              <w:bottom w:val="single" w:color="auto" w:sz="4" w:space="0"/>
              <w:right w:val="single" w:color="auto" w:sz="4" w:space="0"/>
            </w:tcBorders>
            <w:noWrap w:val="0"/>
            <w:vAlign w:val="center"/>
          </w:tcPr>
          <w:p w14:paraId="49755EA2">
            <w:pPr>
              <w:jc w:val="center"/>
              <w:rPr>
                <w:rFonts w:ascii="宋体" w:hAnsi="宋体"/>
                <w:b/>
                <w:color w:val="auto"/>
                <w:szCs w:val="21"/>
                <w:highlight w:val="none"/>
              </w:rPr>
            </w:pPr>
            <w:r>
              <w:rPr>
                <w:rFonts w:hint="eastAsia" w:ascii="宋体" w:hAnsi="宋体"/>
                <w:b/>
                <w:color w:val="auto"/>
                <w:szCs w:val="21"/>
                <w:highlight w:val="none"/>
              </w:rPr>
              <w:t>投标单位名称及评审意见</w:t>
            </w:r>
          </w:p>
        </w:tc>
      </w:tr>
      <w:tr w14:paraId="31DA5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left w:val="single" w:color="auto" w:sz="4" w:space="0"/>
              <w:bottom w:val="single" w:color="auto" w:sz="4" w:space="0"/>
              <w:right w:val="single" w:color="auto" w:sz="4" w:space="0"/>
            </w:tcBorders>
            <w:noWrap w:val="0"/>
            <w:vAlign w:val="center"/>
          </w:tcPr>
          <w:p w14:paraId="187E80A2">
            <w:pPr>
              <w:jc w:val="center"/>
              <w:rPr>
                <w:rFonts w:ascii="宋体" w:hAnsi="宋体"/>
                <w:b/>
                <w:color w:val="auto"/>
                <w:szCs w:val="21"/>
                <w:highlight w:val="none"/>
              </w:rPr>
            </w:pPr>
          </w:p>
        </w:tc>
        <w:tc>
          <w:tcPr>
            <w:tcW w:w="2382" w:type="dxa"/>
            <w:vMerge w:val="continue"/>
            <w:tcBorders>
              <w:left w:val="single" w:color="auto" w:sz="4" w:space="0"/>
              <w:bottom w:val="single" w:color="auto" w:sz="4" w:space="0"/>
              <w:right w:val="single" w:color="auto" w:sz="4" w:space="0"/>
            </w:tcBorders>
            <w:noWrap w:val="0"/>
            <w:vAlign w:val="center"/>
          </w:tcPr>
          <w:p w14:paraId="6A42D52D">
            <w:pPr>
              <w:jc w:val="center"/>
              <w:rPr>
                <w:rFonts w:ascii="宋体" w:hAnsi="宋体"/>
                <w:b/>
                <w:color w:val="auto"/>
                <w:szCs w:val="21"/>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9594AF6">
            <w:pPr>
              <w:jc w:val="center"/>
              <w:rPr>
                <w:rFonts w:ascii="宋体" w:hAnsi="宋体"/>
                <w:color w:val="auto"/>
                <w:szCs w:val="21"/>
                <w:highlight w:val="none"/>
              </w:rPr>
            </w:pPr>
            <w:r>
              <w:rPr>
                <w:rFonts w:hint="eastAsia" w:ascii="宋体" w:hAnsi="宋体"/>
                <w:color w:val="auto"/>
                <w:szCs w:val="21"/>
                <w:highlight w:val="none"/>
              </w:rPr>
              <w:t>投标人一</w:t>
            </w:r>
          </w:p>
        </w:tc>
        <w:tc>
          <w:tcPr>
            <w:tcW w:w="1925" w:type="dxa"/>
            <w:tcBorders>
              <w:top w:val="single" w:color="auto" w:sz="4" w:space="0"/>
              <w:left w:val="single" w:color="auto" w:sz="4" w:space="0"/>
              <w:bottom w:val="single" w:color="auto" w:sz="4" w:space="0"/>
              <w:right w:val="single" w:color="auto" w:sz="4" w:space="0"/>
            </w:tcBorders>
            <w:noWrap w:val="0"/>
            <w:vAlign w:val="center"/>
          </w:tcPr>
          <w:p w14:paraId="26D12007">
            <w:pPr>
              <w:jc w:val="center"/>
              <w:rPr>
                <w:rFonts w:ascii="宋体" w:hAnsi="宋体"/>
                <w:color w:val="auto"/>
                <w:szCs w:val="21"/>
                <w:highlight w:val="none"/>
              </w:rPr>
            </w:pPr>
            <w:r>
              <w:rPr>
                <w:rFonts w:hint="eastAsia" w:ascii="宋体" w:hAnsi="宋体"/>
                <w:color w:val="auto"/>
                <w:szCs w:val="21"/>
                <w:highlight w:val="none"/>
              </w:rPr>
              <w:t>投标人二</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D7707C1">
            <w:pPr>
              <w:jc w:val="center"/>
              <w:rPr>
                <w:rFonts w:ascii="宋体" w:hAnsi="宋体"/>
                <w:color w:val="auto"/>
                <w:szCs w:val="21"/>
                <w:highlight w:val="none"/>
              </w:rPr>
            </w:pPr>
            <w:r>
              <w:rPr>
                <w:rFonts w:hint="eastAsia" w:ascii="宋体" w:hAnsi="宋体"/>
                <w:color w:val="auto"/>
                <w:szCs w:val="21"/>
                <w:highlight w:val="none"/>
              </w:rPr>
              <w:t>投标人三</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0759BD63">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4C862CF9">
            <w:pPr>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6BE916A9">
            <w:pPr>
              <w:jc w:val="center"/>
              <w:rPr>
                <w:rFonts w:ascii="宋体" w:hAnsi="宋体"/>
                <w:color w:val="auto"/>
                <w:szCs w:val="21"/>
                <w:highlight w:val="none"/>
              </w:rPr>
            </w:pPr>
          </w:p>
        </w:tc>
      </w:tr>
      <w:tr w14:paraId="4CC93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B576061">
            <w:pPr>
              <w:jc w:val="center"/>
              <w:rPr>
                <w:rFonts w:ascii="宋体" w:hAnsi="宋体"/>
                <w:color w:val="auto"/>
                <w:szCs w:val="21"/>
                <w:highlight w:val="none"/>
              </w:rPr>
            </w:pPr>
            <w:r>
              <w:rPr>
                <w:rFonts w:hint="eastAsia" w:ascii="宋体" w:hAnsi="宋体"/>
                <w:color w:val="auto"/>
                <w:szCs w:val="21"/>
                <w:highlight w:val="none"/>
              </w:rPr>
              <w:t>1</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09FC7FC5">
            <w:pPr>
              <w:spacing w:line="276" w:lineRule="auto"/>
              <w:jc w:val="center"/>
              <w:rPr>
                <w:rFonts w:ascii="宋体" w:hAnsi="宋体"/>
                <w:color w:val="auto"/>
                <w:szCs w:val="21"/>
                <w:highlight w:val="none"/>
              </w:rPr>
            </w:pPr>
            <w:r>
              <w:rPr>
                <w:rFonts w:hint="eastAsia" w:ascii="宋体" w:hAnsi="宋体"/>
                <w:color w:val="auto"/>
                <w:szCs w:val="21"/>
                <w:highlight w:val="none"/>
              </w:rPr>
              <w:t>营业执照</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03F1F79">
            <w:pPr>
              <w:jc w:val="center"/>
              <w:rPr>
                <w:rFonts w:ascii="宋体" w:hAnsi="宋体"/>
                <w:color w:val="auto"/>
                <w:szCs w:val="21"/>
                <w:highlight w:val="none"/>
              </w:rPr>
            </w:pPr>
            <w:r>
              <w:rPr>
                <w:rFonts w:hint="eastAsia" w:ascii="宋体" w:hAnsi="宋体"/>
                <w:color w:val="auto"/>
                <w:szCs w:val="21"/>
                <w:highlight w:val="none"/>
              </w:rPr>
              <w:t>通过或不通过</w:t>
            </w:r>
          </w:p>
        </w:tc>
        <w:tc>
          <w:tcPr>
            <w:tcW w:w="1925" w:type="dxa"/>
            <w:tcBorders>
              <w:top w:val="single" w:color="auto" w:sz="4" w:space="0"/>
              <w:left w:val="single" w:color="auto" w:sz="4" w:space="0"/>
              <w:bottom w:val="single" w:color="auto" w:sz="4" w:space="0"/>
              <w:right w:val="single" w:color="auto" w:sz="4" w:space="0"/>
            </w:tcBorders>
            <w:noWrap w:val="0"/>
            <w:vAlign w:val="center"/>
          </w:tcPr>
          <w:p w14:paraId="2CA6A6B4">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0ABE33B">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1F14E53D">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AEE7627">
            <w:pPr>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4D87448C">
            <w:pPr>
              <w:jc w:val="center"/>
              <w:rPr>
                <w:rFonts w:ascii="宋体" w:hAnsi="宋体"/>
                <w:color w:val="auto"/>
                <w:szCs w:val="21"/>
                <w:highlight w:val="none"/>
              </w:rPr>
            </w:pPr>
          </w:p>
        </w:tc>
      </w:tr>
      <w:tr w14:paraId="2E0BC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46CFC3D">
            <w:pPr>
              <w:jc w:val="center"/>
              <w:rPr>
                <w:rFonts w:ascii="宋体" w:hAnsi="宋体"/>
                <w:color w:val="auto"/>
                <w:szCs w:val="21"/>
                <w:highlight w:val="none"/>
              </w:rPr>
            </w:pPr>
            <w:r>
              <w:rPr>
                <w:rFonts w:hint="eastAsia" w:ascii="宋体" w:hAnsi="宋体"/>
                <w:color w:val="auto"/>
                <w:szCs w:val="21"/>
                <w:highlight w:val="none"/>
              </w:rPr>
              <w:t>2</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520E4549">
            <w:pPr>
              <w:spacing w:line="276" w:lineRule="auto"/>
              <w:jc w:val="center"/>
              <w:rPr>
                <w:rFonts w:ascii="宋体" w:hAnsi="宋体"/>
                <w:color w:val="auto"/>
                <w:szCs w:val="21"/>
                <w:highlight w:val="none"/>
              </w:rPr>
            </w:pPr>
            <w:r>
              <w:rPr>
                <w:rFonts w:hint="eastAsia" w:ascii="宋体" w:hAnsi="宋体"/>
                <w:color w:val="auto"/>
                <w:szCs w:val="21"/>
                <w:highlight w:val="none"/>
              </w:rPr>
              <w:t>安全生产许可证</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9F69755">
            <w:pPr>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49E50DAE">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6C38B57">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DADF4DF">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4BDEDAAE">
            <w:pPr>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41A3D278">
            <w:pPr>
              <w:jc w:val="center"/>
              <w:rPr>
                <w:rFonts w:ascii="宋体" w:hAnsi="宋体"/>
                <w:color w:val="auto"/>
                <w:szCs w:val="21"/>
                <w:highlight w:val="none"/>
              </w:rPr>
            </w:pPr>
          </w:p>
        </w:tc>
      </w:tr>
      <w:tr w14:paraId="5E7B1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B297682">
            <w:pPr>
              <w:jc w:val="center"/>
              <w:rPr>
                <w:rFonts w:ascii="宋体" w:hAnsi="宋体"/>
                <w:color w:val="auto"/>
                <w:szCs w:val="21"/>
                <w:highlight w:val="none"/>
              </w:rPr>
            </w:pPr>
            <w:r>
              <w:rPr>
                <w:rFonts w:hint="eastAsia" w:ascii="宋体" w:hAnsi="宋体"/>
                <w:color w:val="auto"/>
                <w:szCs w:val="21"/>
                <w:highlight w:val="none"/>
              </w:rPr>
              <w:t>3</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3321EA41">
            <w:pPr>
              <w:spacing w:line="276" w:lineRule="auto"/>
              <w:jc w:val="center"/>
              <w:rPr>
                <w:rFonts w:ascii="宋体" w:hAnsi="宋体"/>
                <w:color w:val="auto"/>
                <w:szCs w:val="21"/>
                <w:highlight w:val="none"/>
              </w:rPr>
            </w:pPr>
            <w:r>
              <w:rPr>
                <w:rFonts w:hint="eastAsia" w:ascii="宋体" w:hAnsi="宋体"/>
                <w:color w:val="auto"/>
                <w:szCs w:val="21"/>
                <w:highlight w:val="none"/>
              </w:rPr>
              <w:t>资质等级</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D0055A0">
            <w:pPr>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34D34EE7">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4220611">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7D43FFF">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4B0300E4">
            <w:pPr>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22C1EDCC">
            <w:pPr>
              <w:jc w:val="center"/>
              <w:rPr>
                <w:rFonts w:ascii="宋体" w:hAnsi="宋体"/>
                <w:color w:val="auto"/>
                <w:szCs w:val="21"/>
                <w:highlight w:val="none"/>
              </w:rPr>
            </w:pPr>
          </w:p>
        </w:tc>
      </w:tr>
      <w:tr w14:paraId="56033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26476F8">
            <w:pPr>
              <w:jc w:val="center"/>
              <w:rPr>
                <w:rFonts w:ascii="宋体" w:hAnsi="宋体"/>
                <w:color w:val="auto"/>
                <w:szCs w:val="21"/>
                <w:highlight w:val="none"/>
              </w:rPr>
            </w:pPr>
            <w:r>
              <w:rPr>
                <w:rFonts w:hint="eastAsia" w:ascii="宋体" w:hAnsi="宋体"/>
                <w:color w:val="auto"/>
                <w:szCs w:val="21"/>
                <w:highlight w:val="none"/>
              </w:rPr>
              <w:t>4</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289FEA9B">
            <w:pPr>
              <w:spacing w:line="276"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DA020E7">
            <w:pPr>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7BC80C2B">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0A92CA2">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89DF9C1">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1F7FF807">
            <w:pPr>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19EC3F5D">
            <w:pPr>
              <w:jc w:val="center"/>
              <w:rPr>
                <w:rFonts w:ascii="宋体" w:hAnsi="宋体"/>
                <w:color w:val="auto"/>
                <w:szCs w:val="21"/>
                <w:highlight w:val="none"/>
              </w:rPr>
            </w:pPr>
          </w:p>
        </w:tc>
      </w:tr>
      <w:tr w14:paraId="070D8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1439F04">
            <w:pPr>
              <w:jc w:val="center"/>
              <w:rPr>
                <w:rFonts w:ascii="宋体" w:hAnsi="宋体"/>
                <w:color w:val="auto"/>
                <w:szCs w:val="21"/>
                <w:highlight w:val="none"/>
              </w:rPr>
            </w:pPr>
            <w:r>
              <w:rPr>
                <w:rFonts w:hint="eastAsia" w:ascii="宋体" w:hAnsi="宋体"/>
                <w:color w:val="auto"/>
                <w:szCs w:val="21"/>
                <w:highlight w:val="none"/>
              </w:rPr>
              <w:t>5</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43EF14CD">
            <w:pPr>
              <w:spacing w:line="276" w:lineRule="auto"/>
              <w:jc w:val="center"/>
              <w:rPr>
                <w:rFonts w:ascii="宋体" w:hAnsi="宋体"/>
                <w:color w:val="auto"/>
                <w:szCs w:val="21"/>
                <w:highlight w:val="none"/>
              </w:rPr>
            </w:pPr>
            <w:r>
              <w:rPr>
                <w:rFonts w:hint="eastAsia" w:ascii="宋体" w:hAnsi="宋体"/>
                <w:color w:val="auto"/>
                <w:szCs w:val="21"/>
                <w:highlight w:val="none"/>
              </w:rPr>
              <w:t>安全生产考核合格证</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768903B">
            <w:pPr>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75A289BC">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FFC3946">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2D3CC5B">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39606A8">
            <w:pPr>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0A06661C">
            <w:pPr>
              <w:jc w:val="center"/>
              <w:rPr>
                <w:rFonts w:ascii="宋体" w:hAnsi="宋体"/>
                <w:color w:val="auto"/>
                <w:szCs w:val="21"/>
                <w:highlight w:val="none"/>
              </w:rPr>
            </w:pPr>
          </w:p>
        </w:tc>
      </w:tr>
      <w:tr w14:paraId="225C1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B4BEFD8">
            <w:pPr>
              <w:jc w:val="center"/>
              <w:rPr>
                <w:rFonts w:ascii="宋体" w:hAnsi="宋体"/>
                <w:color w:val="auto"/>
                <w:szCs w:val="21"/>
                <w:highlight w:val="none"/>
              </w:rPr>
            </w:pPr>
            <w:r>
              <w:rPr>
                <w:rFonts w:hint="eastAsia" w:ascii="宋体" w:hAnsi="宋体"/>
                <w:color w:val="auto"/>
                <w:szCs w:val="21"/>
                <w:highlight w:val="none"/>
              </w:rPr>
              <w:t>6</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16E271B6">
            <w:pPr>
              <w:spacing w:line="276" w:lineRule="auto"/>
              <w:jc w:val="center"/>
              <w:rPr>
                <w:rFonts w:ascii="宋体" w:hAnsi="宋体"/>
                <w:color w:val="auto"/>
                <w:szCs w:val="21"/>
                <w:highlight w:val="none"/>
              </w:rPr>
            </w:pPr>
            <w:r>
              <w:rPr>
                <w:rFonts w:hint="eastAsia" w:ascii="宋体" w:hAnsi="宋体"/>
                <w:color w:val="auto"/>
                <w:szCs w:val="21"/>
                <w:highlight w:val="none"/>
              </w:rPr>
              <w:t>社保要求</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7933ED4">
            <w:pPr>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7BEADD78">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02C210D">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3A8A100">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4DED630">
            <w:pPr>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42D204C1">
            <w:pPr>
              <w:jc w:val="center"/>
              <w:rPr>
                <w:rFonts w:ascii="宋体" w:hAnsi="宋体"/>
                <w:color w:val="auto"/>
                <w:szCs w:val="21"/>
                <w:highlight w:val="none"/>
              </w:rPr>
            </w:pPr>
          </w:p>
        </w:tc>
      </w:tr>
      <w:tr w14:paraId="02EF3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C8094B9">
            <w:pPr>
              <w:jc w:val="center"/>
              <w:rPr>
                <w:rFonts w:ascii="宋体" w:hAnsi="宋体"/>
                <w:color w:val="auto"/>
                <w:szCs w:val="21"/>
                <w:highlight w:val="none"/>
              </w:rPr>
            </w:pPr>
            <w:r>
              <w:rPr>
                <w:rFonts w:hint="eastAsia" w:ascii="宋体" w:hAnsi="宋体"/>
                <w:color w:val="auto"/>
                <w:szCs w:val="21"/>
                <w:highlight w:val="none"/>
              </w:rPr>
              <w:t>7</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1CBD0DC2">
            <w:pPr>
              <w:spacing w:line="360" w:lineRule="auto"/>
              <w:jc w:val="center"/>
              <w:rPr>
                <w:rFonts w:ascii="宋体" w:hAnsi="宋体"/>
                <w:color w:val="auto"/>
                <w:szCs w:val="21"/>
                <w:highlight w:val="none"/>
              </w:rPr>
            </w:pPr>
            <w:r>
              <w:rPr>
                <w:rFonts w:hint="eastAsia"/>
                <w:strike/>
                <w:color w:val="auto"/>
                <w:szCs w:val="21"/>
                <w:highlight w:val="none"/>
              </w:rPr>
              <w:t>类似项目业绩</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D44CC61">
            <w:pPr>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451E3BA4">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BD6B1D3">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20161C2">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0812AC1F">
            <w:pPr>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7C2A2CE9">
            <w:pPr>
              <w:jc w:val="center"/>
              <w:rPr>
                <w:rFonts w:ascii="宋体" w:hAnsi="宋体"/>
                <w:color w:val="auto"/>
                <w:szCs w:val="21"/>
                <w:highlight w:val="none"/>
              </w:rPr>
            </w:pPr>
          </w:p>
        </w:tc>
      </w:tr>
      <w:tr w14:paraId="013BC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1F5BCBA">
            <w:pPr>
              <w:jc w:val="center"/>
              <w:rPr>
                <w:rFonts w:ascii="宋体" w:hAnsi="宋体"/>
                <w:color w:val="auto"/>
                <w:szCs w:val="21"/>
                <w:highlight w:val="none"/>
              </w:rPr>
            </w:pPr>
            <w:r>
              <w:rPr>
                <w:rFonts w:hint="eastAsia" w:ascii="宋体" w:hAnsi="宋体"/>
                <w:color w:val="auto"/>
                <w:szCs w:val="21"/>
                <w:highlight w:val="none"/>
              </w:rPr>
              <w:t>8</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42DF2C39">
            <w:pPr>
              <w:spacing w:line="276" w:lineRule="auto"/>
              <w:jc w:val="center"/>
              <w:rPr>
                <w:rFonts w:ascii="宋体" w:hAnsi="宋体"/>
                <w:color w:val="auto"/>
                <w:szCs w:val="21"/>
                <w:highlight w:val="none"/>
              </w:rPr>
            </w:pPr>
            <w:r>
              <w:rPr>
                <w:rFonts w:ascii="宋体" w:hAnsi="宋体"/>
                <w:color w:val="auto"/>
                <w:szCs w:val="21"/>
                <w:highlight w:val="none"/>
              </w:rPr>
              <w:t>联合体</w:t>
            </w:r>
            <w:r>
              <w:rPr>
                <w:rFonts w:hint="eastAsia" w:ascii="宋体" w:hAnsi="宋体"/>
                <w:color w:val="auto"/>
                <w:szCs w:val="21"/>
                <w:highlight w:val="none"/>
              </w:rPr>
              <w:t>要求</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752E93E">
            <w:pPr>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5CDE30AD">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205CB4C">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28587710">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7C7F3564">
            <w:pPr>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347247B2">
            <w:pPr>
              <w:jc w:val="center"/>
              <w:rPr>
                <w:rFonts w:ascii="宋体" w:hAnsi="宋体"/>
                <w:color w:val="auto"/>
                <w:szCs w:val="21"/>
                <w:highlight w:val="none"/>
              </w:rPr>
            </w:pPr>
          </w:p>
        </w:tc>
      </w:tr>
      <w:tr w14:paraId="4D97E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C9D1479">
            <w:pPr>
              <w:jc w:val="center"/>
              <w:rPr>
                <w:rFonts w:ascii="宋体" w:hAnsi="宋体"/>
                <w:color w:val="auto"/>
                <w:szCs w:val="21"/>
                <w:highlight w:val="none"/>
              </w:rPr>
            </w:pPr>
            <w:r>
              <w:rPr>
                <w:rFonts w:hint="eastAsia" w:ascii="宋体" w:hAnsi="宋体"/>
                <w:color w:val="auto"/>
                <w:szCs w:val="21"/>
                <w:highlight w:val="none"/>
              </w:rPr>
              <w:t>9</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52BBC181">
            <w:pPr>
              <w:spacing w:line="276" w:lineRule="auto"/>
              <w:jc w:val="center"/>
              <w:rPr>
                <w:rFonts w:ascii="宋体" w:hAnsi="宋体"/>
                <w:color w:val="auto"/>
                <w:szCs w:val="21"/>
                <w:highlight w:val="none"/>
              </w:rPr>
            </w:pPr>
            <w:r>
              <w:rPr>
                <w:rFonts w:hint="eastAsia" w:ascii="宋体" w:hAnsi="宋体"/>
                <w:color w:val="auto"/>
                <w:szCs w:val="21"/>
                <w:highlight w:val="none"/>
                <w:u w:val="single"/>
              </w:rPr>
              <w:t>投标人声明</w:t>
            </w:r>
            <w:r>
              <w:rPr>
                <w:rFonts w:hint="eastAsia" w:ascii="宋体" w:hAnsi="宋体"/>
                <w:color w:val="auto"/>
                <w:szCs w:val="21"/>
                <w:highlight w:val="none"/>
                <w:u w:val="single"/>
                <w:lang w:eastAsia="zh-CN"/>
              </w:rPr>
              <w:t>签字盖章</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9A305C6">
            <w:pPr>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1786702F">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A850B75">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0A538668">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0E1D6EF7">
            <w:pPr>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5A3473D4">
            <w:pPr>
              <w:jc w:val="center"/>
              <w:rPr>
                <w:rFonts w:ascii="宋体" w:hAnsi="宋体"/>
                <w:color w:val="auto"/>
                <w:szCs w:val="21"/>
                <w:highlight w:val="none"/>
              </w:rPr>
            </w:pPr>
          </w:p>
        </w:tc>
      </w:tr>
      <w:tr w14:paraId="4ECC9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32D3AD4">
            <w:pPr>
              <w:jc w:val="center"/>
              <w:rPr>
                <w:rFonts w:ascii="宋体" w:hAnsi="宋体"/>
                <w:color w:val="auto"/>
                <w:szCs w:val="21"/>
                <w:highlight w:val="none"/>
              </w:rPr>
            </w:pPr>
            <w:r>
              <w:rPr>
                <w:rFonts w:hint="eastAsia" w:ascii="宋体" w:hAnsi="宋体"/>
                <w:color w:val="auto"/>
                <w:szCs w:val="21"/>
                <w:highlight w:val="none"/>
              </w:rPr>
              <w:t>10</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0045BBD1">
            <w:pPr>
              <w:spacing w:line="276" w:lineRule="auto"/>
              <w:jc w:val="center"/>
              <w:rPr>
                <w:rFonts w:ascii="宋体" w:hAnsi="宋体"/>
                <w:color w:val="auto"/>
                <w:szCs w:val="21"/>
                <w:highlight w:val="none"/>
              </w:rPr>
            </w:pPr>
            <w:r>
              <w:rPr>
                <w:rFonts w:hint="eastAsia" w:ascii="宋体" w:hAnsi="宋体" w:cs="宋体"/>
                <w:color w:val="auto"/>
                <w:szCs w:val="21"/>
                <w:highlight w:val="none"/>
                <w:u w:val="single"/>
              </w:rPr>
              <w:t>未被纳入失信联合惩戒名单</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E80253B">
            <w:pPr>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04B655D2">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178E755">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21811268">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D875EFC">
            <w:pPr>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05D931B7">
            <w:pPr>
              <w:jc w:val="center"/>
              <w:rPr>
                <w:rFonts w:ascii="宋体" w:hAnsi="宋体"/>
                <w:color w:val="auto"/>
                <w:szCs w:val="21"/>
                <w:highlight w:val="none"/>
              </w:rPr>
            </w:pPr>
          </w:p>
        </w:tc>
      </w:tr>
      <w:tr w14:paraId="35424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CD62574">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382" w:type="dxa"/>
            <w:tcBorders>
              <w:top w:val="single" w:color="auto" w:sz="4" w:space="0"/>
              <w:left w:val="single" w:color="auto" w:sz="4" w:space="0"/>
              <w:bottom w:val="single" w:color="auto" w:sz="4" w:space="0"/>
              <w:right w:val="single" w:color="auto" w:sz="4" w:space="0"/>
            </w:tcBorders>
            <w:noWrap w:val="0"/>
            <w:vAlign w:val="center"/>
          </w:tcPr>
          <w:p w14:paraId="75A2BEB0">
            <w:pPr>
              <w:jc w:val="center"/>
              <w:rPr>
                <w:rFonts w:hint="eastAsia" w:ascii="宋体" w:hAnsi="宋体" w:cs="宋体"/>
                <w:color w:val="auto"/>
                <w:szCs w:val="21"/>
                <w:highlight w:val="none"/>
                <w:u w:val="single"/>
              </w:rPr>
            </w:pPr>
            <w:r>
              <w:rPr>
                <w:rFonts w:hint="eastAsia" w:ascii="宋体" w:hAnsi="宋体"/>
                <w:color w:val="auto"/>
                <w:szCs w:val="21"/>
                <w:highlight w:val="none"/>
              </w:rPr>
              <w:t>其他要求</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C00A5D1">
            <w:pPr>
              <w:jc w:val="center"/>
              <w:rPr>
                <w:rFonts w:ascii="宋体" w:hAnsi="宋体"/>
                <w:color w:val="auto"/>
                <w:szCs w:val="21"/>
                <w:highlight w:val="none"/>
              </w:rPr>
            </w:pPr>
          </w:p>
        </w:tc>
        <w:tc>
          <w:tcPr>
            <w:tcW w:w="1925" w:type="dxa"/>
            <w:tcBorders>
              <w:top w:val="single" w:color="auto" w:sz="4" w:space="0"/>
              <w:left w:val="single" w:color="auto" w:sz="4" w:space="0"/>
              <w:bottom w:val="single" w:color="auto" w:sz="4" w:space="0"/>
              <w:right w:val="single" w:color="auto" w:sz="4" w:space="0"/>
            </w:tcBorders>
            <w:noWrap w:val="0"/>
            <w:vAlign w:val="center"/>
          </w:tcPr>
          <w:p w14:paraId="1EB2A1E5">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FBBD57A">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497BAAC2">
            <w:pPr>
              <w:jc w:val="center"/>
              <w:rPr>
                <w:rFonts w:ascii="宋体" w:hAnsi="宋体"/>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DA99777">
            <w:pPr>
              <w:jc w:val="center"/>
              <w:rPr>
                <w:rFonts w:ascii="宋体" w:hAnsi="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57AF32BB">
            <w:pPr>
              <w:jc w:val="center"/>
              <w:rPr>
                <w:rFonts w:ascii="宋体" w:hAnsi="宋体"/>
                <w:color w:val="auto"/>
                <w:szCs w:val="21"/>
                <w:highlight w:val="none"/>
              </w:rPr>
            </w:pPr>
          </w:p>
        </w:tc>
      </w:tr>
    </w:tbl>
    <w:p w14:paraId="31AC9848">
      <w:pPr>
        <w:pStyle w:val="29"/>
        <w:spacing w:line="276" w:lineRule="auto"/>
        <w:rPr>
          <w:rFonts w:ascii="宋体" w:hAnsi="宋体"/>
          <w:color w:val="auto"/>
          <w:highlight w:val="none"/>
        </w:rPr>
        <w:sectPr>
          <w:pgSz w:w="16838" w:h="11906" w:orient="landscape"/>
          <w:pgMar w:top="1440" w:right="1440" w:bottom="1440" w:left="1440" w:header="851" w:footer="992" w:gutter="0"/>
          <w:pgNumType w:fmt="decimal"/>
          <w:cols w:space="720" w:num="1"/>
          <w:rtlGutter w:val="0"/>
          <w:docGrid w:linePitch="312" w:charSpace="0"/>
        </w:sectPr>
      </w:pPr>
      <w:r>
        <w:rPr>
          <w:rFonts w:hint="eastAsia" w:ascii="宋体" w:hAnsi="宋体"/>
          <w:color w:val="auto"/>
          <w:highlight w:val="none"/>
        </w:rPr>
        <w:t>注：表格最终以</w:t>
      </w:r>
      <w:r>
        <w:rPr>
          <w:rFonts w:hint="eastAsia" w:ascii="宋体" w:hAnsi="宋体"/>
          <w:color w:val="auto"/>
          <w:highlight w:val="none"/>
          <w:u w:val="single"/>
        </w:rPr>
        <w:t>广州交易集团有限公司（</w:t>
      </w:r>
      <w:r>
        <w:rPr>
          <w:rFonts w:hint="eastAsia" w:ascii="宋体" w:hAnsi="宋体"/>
          <w:color w:val="auto"/>
          <w:highlight w:val="none"/>
          <w:u w:val="single"/>
          <w:lang w:eastAsia="zh-CN"/>
        </w:rPr>
        <w:t>广州交易集团有限公司（广州公共资源交易中心）</w:t>
      </w:r>
      <w:r>
        <w:rPr>
          <w:rFonts w:hint="eastAsia" w:ascii="宋体" w:hAnsi="宋体"/>
          <w:color w:val="auto"/>
          <w:highlight w:val="none"/>
          <w:u w:val="single"/>
        </w:rPr>
        <w:t>）</w:t>
      </w:r>
      <w:r>
        <w:rPr>
          <w:rFonts w:hint="eastAsia" w:ascii="宋体" w:hAnsi="宋体"/>
          <w:color w:val="auto"/>
          <w:highlight w:val="none"/>
        </w:rPr>
        <w:t>系统生成的为准。</w:t>
      </w:r>
    </w:p>
    <w:p w14:paraId="1351C0C1">
      <w:pPr>
        <w:jc w:val="center"/>
        <w:rPr>
          <w:rFonts w:ascii="宋体" w:hAnsi="宋体"/>
          <w:b/>
          <w:color w:val="auto"/>
          <w:sz w:val="30"/>
          <w:szCs w:val="30"/>
          <w:highlight w:val="none"/>
        </w:rPr>
      </w:pPr>
      <w:r>
        <w:rPr>
          <w:rFonts w:ascii="宋体" w:hAnsi="宋体"/>
          <w:b/>
          <w:color w:val="auto"/>
          <w:sz w:val="30"/>
          <w:szCs w:val="30"/>
          <w:highlight w:val="none"/>
        </w:rPr>
        <w:t>资格评审结果汇总表</w:t>
      </w:r>
    </w:p>
    <w:p w14:paraId="7E472887">
      <w:pPr>
        <w:rPr>
          <w:rFonts w:ascii="宋体" w:hAnsi="宋体"/>
          <w:color w:val="auto"/>
          <w:highlight w:val="none"/>
        </w:rPr>
      </w:pPr>
      <w:r>
        <w:rPr>
          <w:rFonts w:hint="eastAsia" w:ascii="宋体" w:hAnsi="宋体"/>
          <w:color w:val="auto"/>
          <w:highlight w:val="none"/>
        </w:rPr>
        <w:t>项目编号：</w:t>
      </w:r>
    </w:p>
    <w:p w14:paraId="588385B8">
      <w:pPr>
        <w:rPr>
          <w:rFonts w:ascii="宋体" w:hAnsi="宋体"/>
          <w:color w:val="auto"/>
          <w:highlight w:val="none"/>
        </w:rPr>
      </w:pPr>
      <w:r>
        <w:rPr>
          <w:rFonts w:hint="eastAsia" w:ascii="宋体" w:hAnsi="宋体"/>
          <w:color w:val="auto"/>
          <w:highlight w:val="none"/>
        </w:rPr>
        <w:t>项目名称：</w:t>
      </w:r>
    </w:p>
    <w:tbl>
      <w:tblPr>
        <w:tblStyle w:val="17"/>
        <w:tblpPr w:leftFromText="180" w:rightFromText="180" w:vertAnchor="text" w:tblpXSpec="center" w:tblpY="1"/>
        <w:tblOverlap w:val="never"/>
        <w:tblW w:w="138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368"/>
        <w:gridCol w:w="12"/>
        <w:gridCol w:w="1554"/>
        <w:gridCol w:w="12"/>
        <w:gridCol w:w="1627"/>
        <w:gridCol w:w="12"/>
        <w:gridCol w:w="1361"/>
        <w:gridCol w:w="1037"/>
        <w:gridCol w:w="1036"/>
        <w:gridCol w:w="1036"/>
        <w:gridCol w:w="1037"/>
        <w:gridCol w:w="1036"/>
        <w:gridCol w:w="1041"/>
        <w:gridCol w:w="9"/>
      </w:tblGrid>
      <w:tr w14:paraId="26A22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restart"/>
            <w:tcBorders>
              <w:top w:val="single" w:color="auto" w:sz="4" w:space="0"/>
              <w:left w:val="single" w:color="auto" w:sz="4" w:space="0"/>
              <w:right w:val="single" w:color="auto" w:sz="4" w:space="0"/>
            </w:tcBorders>
            <w:noWrap w:val="0"/>
            <w:vAlign w:val="center"/>
          </w:tcPr>
          <w:p w14:paraId="0DAA02EE">
            <w:pPr>
              <w:jc w:val="center"/>
              <w:rPr>
                <w:rFonts w:ascii="宋体" w:hAnsi="宋体"/>
                <w:b/>
                <w:color w:val="auto"/>
                <w:szCs w:val="21"/>
                <w:highlight w:val="none"/>
              </w:rPr>
            </w:pPr>
            <w:r>
              <w:rPr>
                <w:rFonts w:ascii="宋体" w:hAnsi="宋体"/>
                <w:b/>
                <w:color w:val="auto"/>
                <w:szCs w:val="21"/>
                <w:highlight w:val="none"/>
              </w:rPr>
              <w:t>序号</w:t>
            </w:r>
          </w:p>
        </w:tc>
        <w:tc>
          <w:tcPr>
            <w:tcW w:w="2368" w:type="dxa"/>
            <w:vMerge w:val="restart"/>
            <w:tcBorders>
              <w:top w:val="single" w:color="auto" w:sz="4" w:space="0"/>
              <w:left w:val="single" w:color="auto" w:sz="4" w:space="0"/>
              <w:right w:val="single" w:color="auto" w:sz="4" w:space="0"/>
            </w:tcBorders>
            <w:noWrap w:val="0"/>
            <w:vAlign w:val="center"/>
          </w:tcPr>
          <w:p w14:paraId="14C59CDF">
            <w:pPr>
              <w:jc w:val="center"/>
              <w:rPr>
                <w:rFonts w:ascii="宋体" w:hAnsi="宋体"/>
                <w:b/>
                <w:color w:val="auto"/>
                <w:szCs w:val="21"/>
                <w:highlight w:val="none"/>
              </w:rPr>
            </w:pPr>
            <w:r>
              <w:rPr>
                <w:rFonts w:ascii="宋体" w:hAnsi="宋体"/>
                <w:b/>
                <w:color w:val="auto"/>
                <w:szCs w:val="21"/>
                <w:highlight w:val="none"/>
              </w:rPr>
              <w:t>评审因素</w:t>
            </w:r>
          </w:p>
        </w:tc>
        <w:tc>
          <w:tcPr>
            <w:tcW w:w="10810" w:type="dxa"/>
            <w:gridSpan w:val="13"/>
            <w:tcBorders>
              <w:top w:val="single" w:color="auto" w:sz="4" w:space="0"/>
              <w:left w:val="single" w:color="auto" w:sz="4" w:space="0"/>
              <w:bottom w:val="single" w:color="auto" w:sz="4" w:space="0"/>
              <w:right w:val="single" w:color="auto" w:sz="4" w:space="0"/>
            </w:tcBorders>
            <w:noWrap w:val="0"/>
            <w:vAlign w:val="center"/>
          </w:tcPr>
          <w:p w14:paraId="4A96EC9E">
            <w:pPr>
              <w:jc w:val="center"/>
              <w:rPr>
                <w:rFonts w:ascii="宋体" w:hAnsi="宋体"/>
                <w:b/>
                <w:color w:val="auto"/>
                <w:szCs w:val="21"/>
                <w:highlight w:val="none"/>
              </w:rPr>
            </w:pPr>
            <w:r>
              <w:rPr>
                <w:rFonts w:ascii="宋体" w:hAnsi="宋体"/>
                <w:b/>
                <w:color w:val="auto"/>
                <w:szCs w:val="21"/>
                <w:highlight w:val="none"/>
              </w:rPr>
              <w:t>投标人及</w:t>
            </w:r>
            <w:r>
              <w:rPr>
                <w:rFonts w:hint="eastAsia" w:ascii="宋体" w:hAnsi="宋体"/>
                <w:b/>
                <w:color w:val="auto"/>
                <w:szCs w:val="21"/>
                <w:highlight w:val="none"/>
              </w:rPr>
              <w:t>资格</w:t>
            </w:r>
            <w:r>
              <w:rPr>
                <w:rFonts w:ascii="宋体" w:hAnsi="宋体"/>
                <w:b/>
                <w:color w:val="auto"/>
                <w:szCs w:val="21"/>
                <w:highlight w:val="none"/>
              </w:rPr>
              <w:t>评审结果</w:t>
            </w:r>
          </w:p>
        </w:tc>
      </w:tr>
      <w:tr w14:paraId="71F09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704" w:type="dxa"/>
            <w:vMerge w:val="continue"/>
            <w:tcBorders>
              <w:left w:val="single" w:color="auto" w:sz="4" w:space="0"/>
              <w:bottom w:val="single" w:color="auto" w:sz="4" w:space="0"/>
              <w:right w:val="single" w:color="auto" w:sz="4" w:space="0"/>
            </w:tcBorders>
            <w:noWrap w:val="0"/>
            <w:vAlign w:val="center"/>
          </w:tcPr>
          <w:p w14:paraId="73B78E44">
            <w:pPr>
              <w:jc w:val="center"/>
              <w:rPr>
                <w:rFonts w:ascii="宋体" w:hAnsi="宋体"/>
                <w:color w:val="auto"/>
                <w:szCs w:val="21"/>
                <w:highlight w:val="none"/>
              </w:rPr>
            </w:pPr>
          </w:p>
        </w:tc>
        <w:tc>
          <w:tcPr>
            <w:tcW w:w="2368" w:type="dxa"/>
            <w:vMerge w:val="continue"/>
            <w:tcBorders>
              <w:left w:val="single" w:color="auto" w:sz="4" w:space="0"/>
              <w:bottom w:val="single" w:color="auto" w:sz="4" w:space="0"/>
              <w:right w:val="single" w:color="auto" w:sz="4" w:space="0"/>
            </w:tcBorders>
            <w:noWrap w:val="0"/>
            <w:vAlign w:val="center"/>
          </w:tcPr>
          <w:p w14:paraId="22821BB3">
            <w:pPr>
              <w:jc w:val="center"/>
              <w:rPr>
                <w:rFonts w:ascii="宋体" w:hAnsi="宋体"/>
                <w:color w:val="auto"/>
                <w:szCs w:val="21"/>
                <w:highlight w:val="none"/>
              </w:rPr>
            </w:pPr>
          </w:p>
        </w:tc>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1C80AF34">
            <w:pPr>
              <w:jc w:val="center"/>
              <w:rPr>
                <w:rFonts w:ascii="宋体" w:hAnsi="宋体"/>
                <w:color w:val="auto"/>
                <w:szCs w:val="21"/>
                <w:highlight w:val="none"/>
              </w:rPr>
            </w:pPr>
            <w:r>
              <w:rPr>
                <w:rFonts w:ascii="宋体" w:hAnsi="宋体"/>
                <w:color w:val="auto"/>
                <w:szCs w:val="21"/>
                <w:highlight w:val="none"/>
              </w:rPr>
              <w:t>投标人一</w:t>
            </w: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4F59B1D7">
            <w:pPr>
              <w:jc w:val="center"/>
              <w:rPr>
                <w:rFonts w:ascii="宋体" w:hAnsi="宋体"/>
                <w:color w:val="auto"/>
                <w:szCs w:val="21"/>
                <w:highlight w:val="none"/>
              </w:rPr>
            </w:pPr>
            <w:r>
              <w:rPr>
                <w:rFonts w:ascii="宋体" w:hAnsi="宋体"/>
                <w:color w:val="auto"/>
                <w:szCs w:val="21"/>
                <w:highlight w:val="none"/>
              </w:rPr>
              <w:t>投标人二</w:t>
            </w:r>
          </w:p>
        </w:tc>
        <w:tc>
          <w:tcPr>
            <w:tcW w:w="1373" w:type="dxa"/>
            <w:gridSpan w:val="2"/>
            <w:tcBorders>
              <w:top w:val="single" w:color="auto" w:sz="4" w:space="0"/>
              <w:left w:val="single" w:color="auto" w:sz="4" w:space="0"/>
              <w:bottom w:val="single" w:color="auto" w:sz="4" w:space="0"/>
              <w:right w:val="single" w:color="auto" w:sz="4" w:space="0"/>
            </w:tcBorders>
            <w:noWrap w:val="0"/>
            <w:vAlign w:val="center"/>
          </w:tcPr>
          <w:p w14:paraId="157D9C0E">
            <w:pPr>
              <w:jc w:val="cente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7EC87D47">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68FA7000">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3562676A">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049E2774">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172255D0">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2D67F8EB">
            <w:pPr>
              <w:rPr>
                <w:rFonts w:ascii="宋体" w:hAnsi="宋体"/>
                <w:color w:val="auto"/>
                <w:szCs w:val="21"/>
                <w:highlight w:val="none"/>
              </w:rPr>
            </w:pPr>
          </w:p>
        </w:tc>
      </w:tr>
      <w:tr w14:paraId="133E1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45A975F">
            <w:pPr>
              <w:jc w:val="center"/>
              <w:rPr>
                <w:rFonts w:ascii="宋体" w:hAnsi="宋体"/>
                <w:color w:val="auto"/>
                <w:szCs w:val="21"/>
                <w:highlight w:val="none"/>
              </w:rPr>
            </w:pPr>
            <w:r>
              <w:rPr>
                <w:rFonts w:hint="eastAsia" w:ascii="宋体" w:hAnsi="宋体"/>
                <w:color w:val="auto"/>
                <w:szCs w:val="21"/>
                <w:highlight w:val="none"/>
              </w:rPr>
              <w:t>1</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1677ED56">
            <w:pPr>
              <w:spacing w:line="276" w:lineRule="auto"/>
              <w:jc w:val="center"/>
              <w:rPr>
                <w:rFonts w:ascii="宋体" w:hAnsi="宋体"/>
                <w:color w:val="auto"/>
                <w:szCs w:val="21"/>
                <w:highlight w:val="none"/>
              </w:rPr>
            </w:pPr>
            <w:r>
              <w:rPr>
                <w:rFonts w:hint="eastAsia" w:ascii="宋体" w:hAnsi="宋体"/>
                <w:color w:val="auto"/>
                <w:szCs w:val="21"/>
                <w:highlight w:val="none"/>
              </w:rPr>
              <w:t>营业执照</w:t>
            </w:r>
          </w:p>
        </w:tc>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5090AEAF">
            <w:pPr>
              <w:jc w:val="center"/>
              <w:rPr>
                <w:rFonts w:ascii="宋体" w:hAnsi="宋体"/>
                <w:color w:val="auto"/>
                <w:szCs w:val="21"/>
                <w:highlight w:val="none"/>
              </w:rPr>
            </w:pPr>
            <w:r>
              <w:rPr>
                <w:rFonts w:hint="eastAsia" w:ascii="宋体" w:hAnsi="宋体"/>
                <w:color w:val="auto"/>
                <w:szCs w:val="21"/>
                <w:highlight w:val="none"/>
              </w:rPr>
              <w:t>通过或不通过</w:t>
            </w: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6D1BCCBA">
            <w:pPr>
              <w:jc w:val="center"/>
              <w:rPr>
                <w:rFonts w:ascii="宋体" w:hAnsi="宋体"/>
                <w:color w:val="auto"/>
                <w:szCs w:val="21"/>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center"/>
          </w:tcPr>
          <w:p w14:paraId="69DF06FA">
            <w:pPr>
              <w:jc w:val="cente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3AB6E351">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145E7233">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25F19D68">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189C8889">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3B5BC576">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2C6670A0">
            <w:pPr>
              <w:rPr>
                <w:rFonts w:ascii="宋体" w:hAnsi="宋体"/>
                <w:color w:val="auto"/>
                <w:szCs w:val="21"/>
                <w:highlight w:val="none"/>
              </w:rPr>
            </w:pPr>
          </w:p>
        </w:tc>
      </w:tr>
      <w:tr w14:paraId="5979C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FE558D3">
            <w:pPr>
              <w:jc w:val="center"/>
              <w:rPr>
                <w:rFonts w:ascii="宋体" w:hAnsi="宋体"/>
                <w:color w:val="auto"/>
                <w:szCs w:val="21"/>
                <w:highlight w:val="none"/>
              </w:rPr>
            </w:pPr>
            <w:r>
              <w:rPr>
                <w:rFonts w:hint="eastAsia" w:ascii="宋体" w:hAnsi="宋体"/>
                <w:color w:val="auto"/>
                <w:szCs w:val="21"/>
                <w:highlight w:val="none"/>
              </w:rPr>
              <w:t>2</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0AF48D64">
            <w:pPr>
              <w:spacing w:line="276" w:lineRule="auto"/>
              <w:jc w:val="center"/>
              <w:rPr>
                <w:rFonts w:ascii="宋体" w:hAnsi="宋体"/>
                <w:color w:val="auto"/>
                <w:szCs w:val="21"/>
                <w:highlight w:val="none"/>
              </w:rPr>
            </w:pPr>
            <w:r>
              <w:rPr>
                <w:rFonts w:hint="eastAsia" w:ascii="宋体" w:hAnsi="宋体"/>
                <w:color w:val="auto"/>
                <w:szCs w:val="21"/>
                <w:highlight w:val="none"/>
              </w:rPr>
              <w:t>安全生产许可证</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0E23A8B4">
            <w:pPr>
              <w:rPr>
                <w:rFonts w:ascii="宋体" w:hAnsi="宋体"/>
                <w:color w:val="auto"/>
                <w:szCs w:val="21"/>
                <w:highlight w:val="none"/>
              </w:rPr>
            </w:pPr>
          </w:p>
        </w:tc>
        <w:tc>
          <w:tcPr>
            <w:tcW w:w="1639" w:type="dxa"/>
            <w:gridSpan w:val="2"/>
            <w:tcBorders>
              <w:top w:val="single" w:color="auto" w:sz="4" w:space="0"/>
              <w:left w:val="single" w:color="auto" w:sz="4" w:space="0"/>
              <w:bottom w:val="single" w:color="auto" w:sz="4" w:space="0"/>
              <w:right w:val="single" w:color="auto" w:sz="4" w:space="0"/>
            </w:tcBorders>
            <w:noWrap w:val="0"/>
            <w:vAlign w:val="top"/>
          </w:tcPr>
          <w:p w14:paraId="0FC07813">
            <w:pPr>
              <w:rPr>
                <w:rFonts w:ascii="宋体" w:hAnsi="宋体"/>
                <w:color w:val="auto"/>
                <w:szCs w:val="21"/>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top"/>
          </w:tcPr>
          <w:p w14:paraId="5D64095E">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06CE1288">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56DFC381">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22485774">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162DB53D">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6A67D1DD">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5E41BAB4">
            <w:pPr>
              <w:rPr>
                <w:rFonts w:ascii="宋体" w:hAnsi="宋体"/>
                <w:color w:val="auto"/>
                <w:szCs w:val="21"/>
                <w:highlight w:val="none"/>
              </w:rPr>
            </w:pPr>
          </w:p>
        </w:tc>
      </w:tr>
      <w:tr w14:paraId="3CE1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53ABFDD">
            <w:pPr>
              <w:jc w:val="center"/>
              <w:rPr>
                <w:rFonts w:ascii="宋体" w:hAnsi="宋体"/>
                <w:color w:val="auto"/>
                <w:szCs w:val="21"/>
                <w:highlight w:val="none"/>
              </w:rPr>
            </w:pPr>
            <w:r>
              <w:rPr>
                <w:rFonts w:hint="eastAsia" w:ascii="宋体" w:hAnsi="宋体"/>
                <w:color w:val="auto"/>
                <w:szCs w:val="21"/>
                <w:highlight w:val="none"/>
              </w:rPr>
              <w:t>3</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6463EBBF">
            <w:pPr>
              <w:spacing w:line="276" w:lineRule="auto"/>
              <w:jc w:val="center"/>
              <w:rPr>
                <w:rFonts w:ascii="宋体" w:hAnsi="宋体"/>
                <w:color w:val="auto"/>
                <w:szCs w:val="21"/>
                <w:highlight w:val="none"/>
              </w:rPr>
            </w:pPr>
            <w:r>
              <w:rPr>
                <w:rFonts w:hint="eastAsia" w:ascii="宋体" w:hAnsi="宋体"/>
                <w:color w:val="auto"/>
                <w:szCs w:val="21"/>
                <w:highlight w:val="none"/>
              </w:rPr>
              <w:t>资质等级</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48B3B960">
            <w:pPr>
              <w:rPr>
                <w:rFonts w:ascii="宋体" w:hAnsi="宋体"/>
                <w:color w:val="auto"/>
                <w:szCs w:val="21"/>
                <w:highlight w:val="none"/>
              </w:rPr>
            </w:pPr>
          </w:p>
        </w:tc>
        <w:tc>
          <w:tcPr>
            <w:tcW w:w="1639" w:type="dxa"/>
            <w:gridSpan w:val="2"/>
            <w:tcBorders>
              <w:top w:val="single" w:color="auto" w:sz="4" w:space="0"/>
              <w:left w:val="single" w:color="auto" w:sz="4" w:space="0"/>
              <w:bottom w:val="single" w:color="auto" w:sz="4" w:space="0"/>
              <w:right w:val="single" w:color="auto" w:sz="4" w:space="0"/>
            </w:tcBorders>
            <w:noWrap w:val="0"/>
            <w:vAlign w:val="top"/>
          </w:tcPr>
          <w:p w14:paraId="42528A92">
            <w:pPr>
              <w:rPr>
                <w:rFonts w:ascii="宋体" w:hAnsi="宋体"/>
                <w:color w:val="auto"/>
                <w:szCs w:val="21"/>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top"/>
          </w:tcPr>
          <w:p w14:paraId="6F875E86">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678D70BD">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6F3549A0">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08D2780C">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4D69092F">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27DB41C2">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1A16764D">
            <w:pPr>
              <w:rPr>
                <w:rFonts w:ascii="宋体" w:hAnsi="宋体"/>
                <w:color w:val="auto"/>
                <w:szCs w:val="21"/>
                <w:highlight w:val="none"/>
              </w:rPr>
            </w:pPr>
          </w:p>
        </w:tc>
      </w:tr>
      <w:tr w14:paraId="08DC7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0ACEB2E">
            <w:pPr>
              <w:jc w:val="center"/>
              <w:rPr>
                <w:rFonts w:ascii="宋体" w:hAnsi="宋体"/>
                <w:color w:val="auto"/>
                <w:szCs w:val="21"/>
                <w:highlight w:val="none"/>
              </w:rPr>
            </w:pPr>
            <w:r>
              <w:rPr>
                <w:rFonts w:hint="eastAsia" w:ascii="宋体" w:hAnsi="宋体"/>
                <w:color w:val="auto"/>
                <w:szCs w:val="21"/>
                <w:highlight w:val="none"/>
              </w:rPr>
              <w:t>4</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34F64170">
            <w:pPr>
              <w:spacing w:line="276"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091C40F3">
            <w:pPr>
              <w:rPr>
                <w:rFonts w:ascii="宋体" w:hAnsi="宋体"/>
                <w:color w:val="auto"/>
                <w:szCs w:val="21"/>
                <w:highlight w:val="none"/>
              </w:rPr>
            </w:pPr>
          </w:p>
        </w:tc>
        <w:tc>
          <w:tcPr>
            <w:tcW w:w="1639" w:type="dxa"/>
            <w:gridSpan w:val="2"/>
            <w:tcBorders>
              <w:top w:val="single" w:color="auto" w:sz="4" w:space="0"/>
              <w:left w:val="single" w:color="auto" w:sz="4" w:space="0"/>
              <w:bottom w:val="single" w:color="auto" w:sz="4" w:space="0"/>
              <w:right w:val="single" w:color="auto" w:sz="4" w:space="0"/>
            </w:tcBorders>
            <w:noWrap w:val="0"/>
            <w:vAlign w:val="top"/>
          </w:tcPr>
          <w:p w14:paraId="6E5249EF">
            <w:pPr>
              <w:rPr>
                <w:rFonts w:ascii="宋体" w:hAnsi="宋体"/>
                <w:color w:val="auto"/>
                <w:szCs w:val="21"/>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top"/>
          </w:tcPr>
          <w:p w14:paraId="062F9E4D">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08495595">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21716D9A">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13870F5E">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40F5D390">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0AF25D06">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5601D237">
            <w:pPr>
              <w:rPr>
                <w:rFonts w:ascii="宋体" w:hAnsi="宋体"/>
                <w:color w:val="auto"/>
                <w:szCs w:val="21"/>
                <w:highlight w:val="none"/>
              </w:rPr>
            </w:pPr>
          </w:p>
        </w:tc>
      </w:tr>
      <w:tr w14:paraId="28FB9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FB21C0B">
            <w:pPr>
              <w:jc w:val="center"/>
              <w:rPr>
                <w:rFonts w:ascii="宋体" w:hAnsi="宋体"/>
                <w:color w:val="auto"/>
                <w:szCs w:val="21"/>
                <w:highlight w:val="none"/>
              </w:rPr>
            </w:pPr>
            <w:r>
              <w:rPr>
                <w:rFonts w:hint="eastAsia" w:ascii="宋体" w:hAnsi="宋体"/>
                <w:color w:val="auto"/>
                <w:szCs w:val="21"/>
                <w:highlight w:val="none"/>
              </w:rPr>
              <w:t>5</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2B30B526">
            <w:pPr>
              <w:spacing w:line="276" w:lineRule="auto"/>
              <w:jc w:val="center"/>
              <w:rPr>
                <w:rFonts w:ascii="宋体" w:hAnsi="宋体"/>
                <w:color w:val="auto"/>
                <w:szCs w:val="21"/>
                <w:highlight w:val="none"/>
              </w:rPr>
            </w:pPr>
            <w:r>
              <w:rPr>
                <w:rFonts w:hint="eastAsia" w:ascii="宋体" w:hAnsi="宋体"/>
                <w:color w:val="auto"/>
                <w:szCs w:val="21"/>
                <w:highlight w:val="none"/>
              </w:rPr>
              <w:t>安全生产考核合格证</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6810FF8E">
            <w:pPr>
              <w:rPr>
                <w:rFonts w:ascii="宋体" w:hAnsi="宋体"/>
                <w:color w:val="auto"/>
                <w:szCs w:val="21"/>
                <w:highlight w:val="none"/>
              </w:rPr>
            </w:pPr>
          </w:p>
        </w:tc>
        <w:tc>
          <w:tcPr>
            <w:tcW w:w="1639" w:type="dxa"/>
            <w:gridSpan w:val="2"/>
            <w:tcBorders>
              <w:top w:val="single" w:color="auto" w:sz="4" w:space="0"/>
              <w:left w:val="single" w:color="auto" w:sz="4" w:space="0"/>
              <w:bottom w:val="single" w:color="auto" w:sz="4" w:space="0"/>
              <w:right w:val="single" w:color="auto" w:sz="4" w:space="0"/>
            </w:tcBorders>
            <w:noWrap w:val="0"/>
            <w:vAlign w:val="top"/>
          </w:tcPr>
          <w:p w14:paraId="66E3C829">
            <w:pPr>
              <w:rPr>
                <w:rFonts w:ascii="宋体" w:hAnsi="宋体"/>
                <w:color w:val="auto"/>
                <w:szCs w:val="21"/>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top"/>
          </w:tcPr>
          <w:p w14:paraId="6BA8E817">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5B93FB78">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606B7958">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05C440E3">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170142A5">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4DDEB462">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014DB733">
            <w:pPr>
              <w:rPr>
                <w:rFonts w:ascii="宋体" w:hAnsi="宋体"/>
                <w:color w:val="auto"/>
                <w:szCs w:val="21"/>
                <w:highlight w:val="none"/>
              </w:rPr>
            </w:pPr>
          </w:p>
        </w:tc>
      </w:tr>
      <w:tr w14:paraId="35532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370AAFA">
            <w:pPr>
              <w:jc w:val="center"/>
              <w:rPr>
                <w:rFonts w:ascii="宋体" w:hAnsi="宋体"/>
                <w:color w:val="auto"/>
                <w:szCs w:val="21"/>
                <w:highlight w:val="none"/>
              </w:rPr>
            </w:pPr>
            <w:r>
              <w:rPr>
                <w:rFonts w:hint="eastAsia" w:ascii="宋体" w:hAnsi="宋体"/>
                <w:color w:val="auto"/>
                <w:szCs w:val="21"/>
                <w:highlight w:val="none"/>
              </w:rPr>
              <w:t>6</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15265707">
            <w:pPr>
              <w:spacing w:line="276" w:lineRule="auto"/>
              <w:jc w:val="center"/>
              <w:rPr>
                <w:rFonts w:ascii="宋体" w:hAnsi="宋体"/>
                <w:color w:val="auto"/>
                <w:szCs w:val="21"/>
                <w:highlight w:val="none"/>
              </w:rPr>
            </w:pPr>
            <w:r>
              <w:rPr>
                <w:rFonts w:hint="eastAsia" w:ascii="宋体" w:hAnsi="宋体"/>
                <w:color w:val="auto"/>
                <w:szCs w:val="21"/>
                <w:highlight w:val="none"/>
              </w:rPr>
              <w:t>社保要求</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5FECC555">
            <w:pPr>
              <w:rPr>
                <w:rFonts w:ascii="宋体" w:hAnsi="宋体"/>
                <w:color w:val="auto"/>
                <w:szCs w:val="21"/>
                <w:highlight w:val="none"/>
              </w:rPr>
            </w:pPr>
          </w:p>
        </w:tc>
        <w:tc>
          <w:tcPr>
            <w:tcW w:w="1639" w:type="dxa"/>
            <w:gridSpan w:val="2"/>
            <w:tcBorders>
              <w:top w:val="single" w:color="auto" w:sz="4" w:space="0"/>
              <w:left w:val="single" w:color="auto" w:sz="4" w:space="0"/>
              <w:bottom w:val="single" w:color="auto" w:sz="4" w:space="0"/>
              <w:right w:val="single" w:color="auto" w:sz="4" w:space="0"/>
            </w:tcBorders>
            <w:noWrap w:val="0"/>
            <w:vAlign w:val="top"/>
          </w:tcPr>
          <w:p w14:paraId="350B1AFA">
            <w:pPr>
              <w:rPr>
                <w:rFonts w:ascii="宋体" w:hAnsi="宋体"/>
                <w:color w:val="auto"/>
                <w:szCs w:val="21"/>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top"/>
          </w:tcPr>
          <w:p w14:paraId="5C4F3B7C">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6E4B562D">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75C51415">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366B57C7">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7A01EE9F">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5A46A723">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5A65A60A">
            <w:pPr>
              <w:rPr>
                <w:rFonts w:ascii="宋体" w:hAnsi="宋体"/>
                <w:color w:val="auto"/>
                <w:szCs w:val="21"/>
                <w:highlight w:val="none"/>
              </w:rPr>
            </w:pPr>
          </w:p>
        </w:tc>
      </w:tr>
      <w:tr w14:paraId="30AA2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0282878">
            <w:pPr>
              <w:jc w:val="center"/>
              <w:rPr>
                <w:rFonts w:ascii="宋体" w:hAnsi="宋体"/>
                <w:color w:val="auto"/>
                <w:szCs w:val="21"/>
                <w:highlight w:val="none"/>
              </w:rPr>
            </w:pPr>
            <w:r>
              <w:rPr>
                <w:rFonts w:hint="eastAsia" w:ascii="宋体" w:hAnsi="宋体"/>
                <w:color w:val="auto"/>
                <w:szCs w:val="21"/>
                <w:highlight w:val="none"/>
              </w:rPr>
              <w:t>7</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5D787CA0">
            <w:pPr>
              <w:spacing w:line="360" w:lineRule="auto"/>
              <w:jc w:val="center"/>
              <w:rPr>
                <w:rFonts w:ascii="宋体" w:hAnsi="宋体"/>
                <w:color w:val="auto"/>
                <w:szCs w:val="21"/>
                <w:highlight w:val="none"/>
              </w:rPr>
            </w:pPr>
            <w:r>
              <w:rPr>
                <w:rFonts w:hint="eastAsia"/>
                <w:strike/>
                <w:color w:val="auto"/>
                <w:szCs w:val="21"/>
                <w:highlight w:val="none"/>
              </w:rPr>
              <w:t>类似项目业绩</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2201DFF4">
            <w:pPr>
              <w:rPr>
                <w:rFonts w:ascii="宋体" w:hAnsi="宋体"/>
                <w:color w:val="auto"/>
                <w:szCs w:val="21"/>
                <w:highlight w:val="none"/>
              </w:rPr>
            </w:pPr>
          </w:p>
        </w:tc>
        <w:tc>
          <w:tcPr>
            <w:tcW w:w="1639" w:type="dxa"/>
            <w:gridSpan w:val="2"/>
            <w:tcBorders>
              <w:top w:val="single" w:color="auto" w:sz="4" w:space="0"/>
              <w:left w:val="single" w:color="auto" w:sz="4" w:space="0"/>
              <w:bottom w:val="single" w:color="auto" w:sz="4" w:space="0"/>
              <w:right w:val="single" w:color="auto" w:sz="4" w:space="0"/>
            </w:tcBorders>
            <w:noWrap w:val="0"/>
            <w:vAlign w:val="top"/>
          </w:tcPr>
          <w:p w14:paraId="17EFBA8A">
            <w:pPr>
              <w:rPr>
                <w:rFonts w:ascii="宋体" w:hAnsi="宋体"/>
                <w:color w:val="auto"/>
                <w:szCs w:val="21"/>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top"/>
          </w:tcPr>
          <w:p w14:paraId="7238E8F0">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58BC56A2">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2E2FF1DE">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61CB3DA9">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3211339C">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795138E4">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27F502F3">
            <w:pPr>
              <w:rPr>
                <w:rFonts w:ascii="宋体" w:hAnsi="宋体"/>
                <w:color w:val="auto"/>
                <w:szCs w:val="21"/>
                <w:highlight w:val="none"/>
              </w:rPr>
            </w:pPr>
          </w:p>
        </w:tc>
      </w:tr>
      <w:tr w14:paraId="533A2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5A7CC3E">
            <w:pPr>
              <w:jc w:val="center"/>
              <w:rPr>
                <w:rFonts w:ascii="宋体" w:hAnsi="宋体"/>
                <w:color w:val="auto"/>
                <w:szCs w:val="21"/>
                <w:highlight w:val="none"/>
              </w:rPr>
            </w:pPr>
            <w:r>
              <w:rPr>
                <w:rFonts w:hint="eastAsia" w:ascii="宋体" w:hAnsi="宋体"/>
                <w:color w:val="auto"/>
                <w:szCs w:val="21"/>
                <w:highlight w:val="none"/>
              </w:rPr>
              <w:t>8</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3E0373AC">
            <w:pPr>
              <w:spacing w:line="276" w:lineRule="auto"/>
              <w:jc w:val="center"/>
              <w:rPr>
                <w:rFonts w:ascii="宋体" w:hAnsi="宋体"/>
                <w:color w:val="auto"/>
                <w:szCs w:val="21"/>
                <w:highlight w:val="none"/>
              </w:rPr>
            </w:pPr>
            <w:r>
              <w:rPr>
                <w:rFonts w:ascii="宋体" w:hAnsi="宋体"/>
                <w:color w:val="auto"/>
                <w:szCs w:val="21"/>
                <w:highlight w:val="none"/>
              </w:rPr>
              <w:t>联合体</w:t>
            </w:r>
            <w:r>
              <w:rPr>
                <w:rFonts w:hint="eastAsia" w:ascii="宋体" w:hAnsi="宋体"/>
                <w:color w:val="auto"/>
                <w:szCs w:val="21"/>
                <w:highlight w:val="none"/>
              </w:rPr>
              <w:t>要求</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164B47EB">
            <w:pPr>
              <w:rPr>
                <w:rFonts w:ascii="宋体" w:hAnsi="宋体"/>
                <w:color w:val="auto"/>
                <w:szCs w:val="21"/>
                <w:highlight w:val="none"/>
              </w:rPr>
            </w:pPr>
          </w:p>
        </w:tc>
        <w:tc>
          <w:tcPr>
            <w:tcW w:w="1639" w:type="dxa"/>
            <w:gridSpan w:val="2"/>
            <w:tcBorders>
              <w:top w:val="single" w:color="auto" w:sz="4" w:space="0"/>
              <w:left w:val="single" w:color="auto" w:sz="4" w:space="0"/>
              <w:bottom w:val="single" w:color="auto" w:sz="4" w:space="0"/>
              <w:right w:val="single" w:color="auto" w:sz="4" w:space="0"/>
            </w:tcBorders>
            <w:noWrap w:val="0"/>
            <w:vAlign w:val="top"/>
          </w:tcPr>
          <w:p w14:paraId="061C51F5">
            <w:pPr>
              <w:rPr>
                <w:rFonts w:ascii="宋体" w:hAnsi="宋体"/>
                <w:color w:val="auto"/>
                <w:szCs w:val="21"/>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top"/>
          </w:tcPr>
          <w:p w14:paraId="1B17E5E2">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001DC260">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54453973">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454123D2">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42F631E0">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0B671B75">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1297D557">
            <w:pPr>
              <w:rPr>
                <w:rFonts w:ascii="宋体" w:hAnsi="宋体"/>
                <w:color w:val="auto"/>
                <w:szCs w:val="21"/>
                <w:highlight w:val="none"/>
              </w:rPr>
            </w:pPr>
          </w:p>
        </w:tc>
      </w:tr>
      <w:tr w14:paraId="61367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96A9913">
            <w:pPr>
              <w:jc w:val="center"/>
              <w:rPr>
                <w:rFonts w:ascii="宋体" w:hAnsi="宋体"/>
                <w:color w:val="auto"/>
                <w:szCs w:val="21"/>
                <w:highlight w:val="none"/>
              </w:rPr>
            </w:pPr>
            <w:r>
              <w:rPr>
                <w:rFonts w:hint="eastAsia" w:ascii="宋体" w:hAnsi="宋体"/>
                <w:color w:val="auto"/>
                <w:szCs w:val="21"/>
                <w:highlight w:val="none"/>
              </w:rPr>
              <w:t>9</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113FF84F">
            <w:pPr>
              <w:spacing w:line="276" w:lineRule="auto"/>
              <w:jc w:val="center"/>
              <w:rPr>
                <w:rFonts w:ascii="宋体" w:hAnsi="宋体"/>
                <w:color w:val="auto"/>
                <w:szCs w:val="21"/>
                <w:highlight w:val="none"/>
              </w:rPr>
            </w:pPr>
            <w:r>
              <w:rPr>
                <w:rFonts w:hint="eastAsia" w:ascii="宋体" w:hAnsi="宋体"/>
                <w:color w:val="auto"/>
                <w:szCs w:val="21"/>
                <w:highlight w:val="none"/>
                <w:u w:val="single"/>
              </w:rPr>
              <w:t>投标人声明</w:t>
            </w:r>
            <w:r>
              <w:rPr>
                <w:rFonts w:hint="eastAsia" w:ascii="宋体" w:hAnsi="宋体"/>
                <w:color w:val="auto"/>
                <w:szCs w:val="21"/>
                <w:highlight w:val="none"/>
                <w:u w:val="single"/>
                <w:lang w:eastAsia="zh-CN"/>
              </w:rPr>
              <w:t>签字盖章</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7DD45AD3">
            <w:pPr>
              <w:rPr>
                <w:rFonts w:ascii="宋体" w:hAnsi="宋体"/>
                <w:color w:val="auto"/>
                <w:szCs w:val="21"/>
                <w:highlight w:val="none"/>
              </w:rPr>
            </w:pPr>
          </w:p>
        </w:tc>
        <w:tc>
          <w:tcPr>
            <w:tcW w:w="1639" w:type="dxa"/>
            <w:gridSpan w:val="2"/>
            <w:tcBorders>
              <w:top w:val="single" w:color="auto" w:sz="4" w:space="0"/>
              <w:left w:val="single" w:color="auto" w:sz="4" w:space="0"/>
              <w:bottom w:val="single" w:color="auto" w:sz="4" w:space="0"/>
              <w:right w:val="single" w:color="auto" w:sz="4" w:space="0"/>
            </w:tcBorders>
            <w:noWrap w:val="0"/>
            <w:vAlign w:val="top"/>
          </w:tcPr>
          <w:p w14:paraId="51E34318">
            <w:pPr>
              <w:rPr>
                <w:rFonts w:ascii="宋体" w:hAnsi="宋体"/>
                <w:color w:val="auto"/>
                <w:szCs w:val="21"/>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top"/>
          </w:tcPr>
          <w:p w14:paraId="3CCDE02A">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5D65CB87">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229F15F4">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35CF1DC0">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32EC0FC4">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36A1B161">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5AD19181">
            <w:pPr>
              <w:rPr>
                <w:rFonts w:ascii="宋体" w:hAnsi="宋体"/>
                <w:color w:val="auto"/>
                <w:szCs w:val="21"/>
                <w:highlight w:val="none"/>
              </w:rPr>
            </w:pPr>
          </w:p>
        </w:tc>
      </w:tr>
      <w:tr w14:paraId="5C979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DC0476B">
            <w:pPr>
              <w:jc w:val="center"/>
              <w:rPr>
                <w:rFonts w:ascii="宋体" w:hAnsi="宋体"/>
                <w:color w:val="auto"/>
                <w:szCs w:val="21"/>
                <w:highlight w:val="none"/>
              </w:rPr>
            </w:pPr>
            <w:r>
              <w:rPr>
                <w:rFonts w:hint="eastAsia" w:ascii="宋体" w:hAnsi="宋体"/>
                <w:color w:val="auto"/>
                <w:szCs w:val="21"/>
                <w:highlight w:val="none"/>
              </w:rPr>
              <w:t>10</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3D26BAFC">
            <w:pPr>
              <w:spacing w:line="276" w:lineRule="auto"/>
              <w:jc w:val="center"/>
              <w:rPr>
                <w:rFonts w:ascii="宋体" w:hAnsi="宋体"/>
                <w:color w:val="auto"/>
                <w:szCs w:val="21"/>
                <w:highlight w:val="none"/>
              </w:rPr>
            </w:pPr>
            <w:r>
              <w:rPr>
                <w:rFonts w:hint="eastAsia" w:ascii="宋体" w:hAnsi="宋体" w:cs="宋体"/>
                <w:color w:val="auto"/>
                <w:szCs w:val="21"/>
                <w:highlight w:val="none"/>
                <w:u w:val="single"/>
              </w:rPr>
              <w:t>未被纳入失信联合惩戒名单</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3664080C">
            <w:pPr>
              <w:rPr>
                <w:rFonts w:ascii="宋体" w:hAnsi="宋体"/>
                <w:color w:val="auto"/>
                <w:szCs w:val="21"/>
                <w:highlight w:val="none"/>
              </w:rPr>
            </w:pPr>
          </w:p>
        </w:tc>
        <w:tc>
          <w:tcPr>
            <w:tcW w:w="1639" w:type="dxa"/>
            <w:gridSpan w:val="2"/>
            <w:tcBorders>
              <w:top w:val="single" w:color="auto" w:sz="4" w:space="0"/>
              <w:left w:val="single" w:color="auto" w:sz="4" w:space="0"/>
              <w:bottom w:val="single" w:color="auto" w:sz="4" w:space="0"/>
              <w:right w:val="single" w:color="auto" w:sz="4" w:space="0"/>
            </w:tcBorders>
            <w:noWrap w:val="0"/>
            <w:vAlign w:val="top"/>
          </w:tcPr>
          <w:p w14:paraId="3F6364B4">
            <w:pPr>
              <w:rPr>
                <w:rFonts w:ascii="宋体" w:hAnsi="宋体"/>
                <w:color w:val="auto"/>
                <w:szCs w:val="21"/>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top"/>
          </w:tcPr>
          <w:p w14:paraId="3D8C5102">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0C09A485">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592F7377">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1470A99C">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22B3C828">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38960FAA">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399C780A">
            <w:pPr>
              <w:rPr>
                <w:rFonts w:ascii="宋体" w:hAnsi="宋体"/>
                <w:color w:val="auto"/>
                <w:szCs w:val="21"/>
                <w:highlight w:val="none"/>
              </w:rPr>
            </w:pPr>
          </w:p>
        </w:tc>
      </w:tr>
      <w:tr w14:paraId="30294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0EE5A26">
            <w:pPr>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274595BE">
            <w:pPr>
              <w:jc w:val="center"/>
              <w:rPr>
                <w:rFonts w:ascii="宋体" w:hAnsi="宋体"/>
                <w:color w:val="auto"/>
                <w:szCs w:val="21"/>
                <w:highlight w:val="none"/>
              </w:rPr>
            </w:pPr>
            <w:r>
              <w:rPr>
                <w:rFonts w:hint="eastAsia" w:ascii="宋体" w:hAnsi="宋体" w:cs="宋体"/>
                <w:color w:val="auto"/>
                <w:szCs w:val="21"/>
                <w:highlight w:val="none"/>
                <w:u w:val="single"/>
              </w:rPr>
              <w:t>其他要求</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1B4505C6">
            <w:pPr>
              <w:rPr>
                <w:rFonts w:ascii="宋体" w:hAnsi="宋体"/>
                <w:color w:val="auto"/>
                <w:szCs w:val="21"/>
                <w:highlight w:val="none"/>
              </w:rPr>
            </w:pPr>
          </w:p>
        </w:tc>
        <w:tc>
          <w:tcPr>
            <w:tcW w:w="1639" w:type="dxa"/>
            <w:gridSpan w:val="2"/>
            <w:tcBorders>
              <w:top w:val="single" w:color="auto" w:sz="4" w:space="0"/>
              <w:left w:val="single" w:color="auto" w:sz="4" w:space="0"/>
              <w:bottom w:val="single" w:color="auto" w:sz="4" w:space="0"/>
              <w:right w:val="single" w:color="auto" w:sz="4" w:space="0"/>
            </w:tcBorders>
            <w:noWrap w:val="0"/>
            <w:vAlign w:val="top"/>
          </w:tcPr>
          <w:p w14:paraId="1F6B2D7F">
            <w:pPr>
              <w:rPr>
                <w:rFonts w:ascii="宋体" w:hAnsi="宋体"/>
                <w:color w:val="auto"/>
                <w:szCs w:val="21"/>
                <w:highlight w:val="none"/>
              </w:rPr>
            </w:pPr>
          </w:p>
        </w:tc>
        <w:tc>
          <w:tcPr>
            <w:tcW w:w="1373" w:type="dxa"/>
            <w:gridSpan w:val="2"/>
            <w:tcBorders>
              <w:top w:val="single" w:color="auto" w:sz="4" w:space="0"/>
              <w:left w:val="single" w:color="auto" w:sz="4" w:space="0"/>
              <w:bottom w:val="single" w:color="auto" w:sz="4" w:space="0"/>
              <w:right w:val="single" w:color="auto" w:sz="4" w:space="0"/>
            </w:tcBorders>
            <w:noWrap w:val="0"/>
            <w:vAlign w:val="top"/>
          </w:tcPr>
          <w:p w14:paraId="3876F49F">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45FDA161">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515597B6">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0CD7B7F7">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1CBD0710">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3CEA9560">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177C8421">
            <w:pPr>
              <w:rPr>
                <w:rFonts w:ascii="宋体" w:hAnsi="宋体"/>
                <w:color w:val="auto"/>
                <w:szCs w:val="21"/>
                <w:highlight w:val="none"/>
              </w:rPr>
            </w:pPr>
          </w:p>
        </w:tc>
      </w:tr>
      <w:tr w14:paraId="5DCF0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3084" w:type="dxa"/>
            <w:gridSpan w:val="3"/>
            <w:tcBorders>
              <w:top w:val="single" w:color="auto" w:sz="4" w:space="0"/>
              <w:left w:val="single" w:color="auto" w:sz="4" w:space="0"/>
              <w:bottom w:val="single" w:color="auto" w:sz="4" w:space="0"/>
              <w:right w:val="single" w:color="auto" w:sz="4" w:space="0"/>
            </w:tcBorders>
            <w:noWrap w:val="0"/>
            <w:vAlign w:val="center"/>
          </w:tcPr>
          <w:p w14:paraId="7885E5E3">
            <w:pPr>
              <w:jc w:val="center"/>
              <w:rPr>
                <w:rFonts w:ascii="宋体" w:hAnsi="宋体" w:cs="宋体"/>
                <w:color w:val="auto"/>
                <w:szCs w:val="21"/>
                <w:highlight w:val="none"/>
                <w:u w:val="single"/>
              </w:rPr>
            </w:pPr>
            <w:r>
              <w:rPr>
                <w:rFonts w:hint="eastAsia" w:ascii="宋体" w:hAnsi="宋体" w:cs="宋体"/>
                <w:color w:val="auto"/>
                <w:szCs w:val="21"/>
                <w:highlight w:val="none"/>
                <w:u w:val="single"/>
              </w:rPr>
              <w:t>汇总</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27BB24DA">
            <w:pPr>
              <w:rPr>
                <w:rFonts w:ascii="宋体" w:hAnsi="宋体"/>
                <w:color w:val="auto"/>
                <w:szCs w:val="21"/>
                <w:highlight w:val="none"/>
              </w:rPr>
            </w:pPr>
          </w:p>
        </w:tc>
        <w:tc>
          <w:tcPr>
            <w:tcW w:w="1639" w:type="dxa"/>
            <w:gridSpan w:val="2"/>
            <w:tcBorders>
              <w:top w:val="single" w:color="auto" w:sz="4" w:space="0"/>
              <w:left w:val="single" w:color="auto" w:sz="4" w:space="0"/>
              <w:bottom w:val="single" w:color="auto" w:sz="4" w:space="0"/>
              <w:right w:val="single" w:color="auto" w:sz="4" w:space="0"/>
            </w:tcBorders>
            <w:noWrap w:val="0"/>
            <w:vAlign w:val="top"/>
          </w:tcPr>
          <w:p w14:paraId="1D15FF56">
            <w:pP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top"/>
          </w:tcPr>
          <w:p w14:paraId="24EA1EFF">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6DC6EFD8">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054C17D2">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52608DF7">
            <w:pPr>
              <w:rPr>
                <w:rFonts w:ascii="宋体" w:hAnsi="宋体"/>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608E6E48">
            <w:pPr>
              <w:rPr>
                <w:rFonts w:ascii="宋体" w:hAnsi="宋体"/>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top"/>
          </w:tcPr>
          <w:p w14:paraId="2DDA823D">
            <w:pPr>
              <w:rPr>
                <w:rFonts w:ascii="宋体" w:hAnsi="宋体"/>
                <w:color w:val="auto"/>
                <w:szCs w:val="21"/>
                <w:highlight w:val="none"/>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2F48C31B">
            <w:pPr>
              <w:rPr>
                <w:rFonts w:ascii="宋体" w:hAnsi="宋体"/>
                <w:color w:val="auto"/>
                <w:szCs w:val="21"/>
                <w:highlight w:val="none"/>
              </w:rPr>
            </w:pPr>
          </w:p>
        </w:tc>
      </w:tr>
    </w:tbl>
    <w:p w14:paraId="589214BA">
      <w:pPr>
        <w:pStyle w:val="29"/>
        <w:spacing w:line="276" w:lineRule="auto"/>
        <w:rPr>
          <w:rFonts w:ascii="宋体" w:hAnsi="宋体"/>
          <w:color w:val="auto"/>
          <w:highlight w:val="none"/>
        </w:rPr>
      </w:pPr>
      <w:r>
        <w:rPr>
          <w:rFonts w:hint="eastAsia" w:ascii="宋体" w:hAnsi="宋体"/>
          <w:color w:val="auto"/>
          <w:highlight w:val="none"/>
        </w:rPr>
        <w:t>注：表格最终以</w:t>
      </w:r>
      <w:r>
        <w:rPr>
          <w:rFonts w:hint="eastAsia" w:ascii="宋体" w:hAnsi="宋体"/>
          <w:color w:val="auto"/>
          <w:highlight w:val="none"/>
          <w:u w:val="single"/>
        </w:rPr>
        <w:t>广州交易集团有限公司（</w:t>
      </w:r>
      <w:r>
        <w:rPr>
          <w:rFonts w:hint="eastAsia" w:ascii="宋体" w:hAnsi="宋体"/>
          <w:color w:val="auto"/>
          <w:highlight w:val="none"/>
          <w:u w:val="single"/>
          <w:lang w:eastAsia="zh-CN"/>
        </w:rPr>
        <w:t>广州交易集团有限公司（广州公共资源交易中心）</w:t>
      </w:r>
      <w:r>
        <w:rPr>
          <w:rFonts w:hint="eastAsia" w:ascii="宋体" w:hAnsi="宋体"/>
          <w:color w:val="auto"/>
          <w:highlight w:val="none"/>
          <w:u w:val="single"/>
        </w:rPr>
        <w:t>）</w:t>
      </w:r>
      <w:r>
        <w:rPr>
          <w:rFonts w:hint="eastAsia" w:ascii="宋体" w:hAnsi="宋体"/>
          <w:color w:val="auto"/>
          <w:highlight w:val="none"/>
        </w:rPr>
        <w:t>系统生成的为准。</w:t>
      </w:r>
    </w:p>
    <w:p w14:paraId="19907848">
      <w:pPr>
        <w:pStyle w:val="29"/>
        <w:rPr>
          <w:rFonts w:ascii="宋体" w:hAnsi="宋体"/>
          <w:color w:val="auto"/>
          <w:highlight w:val="none"/>
        </w:rPr>
        <w:sectPr>
          <w:pgSz w:w="16838" w:h="11906" w:orient="landscape"/>
          <w:pgMar w:top="1440" w:right="1440" w:bottom="1440" w:left="1440" w:header="851" w:footer="992" w:gutter="0"/>
          <w:pgNumType w:fmt="decimal"/>
          <w:cols w:space="720" w:num="1"/>
          <w:rtlGutter w:val="0"/>
          <w:docGrid w:linePitch="312" w:charSpace="0"/>
        </w:sectPr>
      </w:pPr>
    </w:p>
    <w:p w14:paraId="337573B4">
      <w:pPr>
        <w:pStyle w:val="27"/>
        <w:rPr>
          <w:rStyle w:val="30"/>
          <w:b/>
          <w:color w:val="auto"/>
          <w:highlight w:val="none"/>
        </w:rPr>
      </w:pPr>
      <w:bookmarkStart w:id="233" w:name="_Toc8239"/>
      <w:r>
        <w:rPr>
          <w:rStyle w:val="30"/>
          <w:rFonts w:hint="eastAsia"/>
          <w:b/>
          <w:color w:val="auto"/>
          <w:highlight w:val="none"/>
        </w:rPr>
        <w:t>附表2：</w:t>
      </w:r>
      <w:r>
        <w:rPr>
          <w:rStyle w:val="30"/>
          <w:b/>
          <w:color w:val="auto"/>
          <w:highlight w:val="none"/>
        </w:rPr>
        <w:t>形式评审记录表</w:t>
      </w:r>
      <w:r>
        <w:rPr>
          <w:rStyle w:val="30"/>
          <w:rFonts w:hint="eastAsia"/>
          <w:b/>
          <w:color w:val="auto"/>
          <w:highlight w:val="none"/>
        </w:rPr>
        <w:t>（格式）</w:t>
      </w:r>
      <w:bookmarkEnd w:id="233"/>
    </w:p>
    <w:p w14:paraId="1BCB90AE">
      <w:pPr>
        <w:jc w:val="center"/>
        <w:rPr>
          <w:rFonts w:ascii="宋体" w:hAnsi="宋体"/>
          <w:b/>
          <w:color w:val="auto"/>
          <w:sz w:val="30"/>
          <w:szCs w:val="30"/>
          <w:highlight w:val="none"/>
        </w:rPr>
      </w:pPr>
      <w:r>
        <w:rPr>
          <w:rFonts w:hint="eastAsia" w:ascii="宋体" w:hAnsi="宋体"/>
          <w:b/>
          <w:color w:val="auto"/>
          <w:sz w:val="30"/>
          <w:szCs w:val="30"/>
          <w:highlight w:val="none"/>
        </w:rPr>
        <w:t>形式评审个人</w:t>
      </w:r>
      <w:r>
        <w:rPr>
          <w:rFonts w:ascii="宋体" w:hAnsi="宋体"/>
          <w:b/>
          <w:color w:val="auto"/>
          <w:sz w:val="30"/>
          <w:szCs w:val="30"/>
          <w:highlight w:val="none"/>
        </w:rPr>
        <w:t>表</w:t>
      </w:r>
    </w:p>
    <w:p w14:paraId="25B50467">
      <w:pPr>
        <w:rPr>
          <w:rFonts w:ascii="宋体" w:hAnsi="宋体"/>
          <w:color w:val="auto"/>
          <w:highlight w:val="none"/>
        </w:rPr>
      </w:pPr>
      <w:r>
        <w:rPr>
          <w:rFonts w:hint="eastAsia" w:ascii="宋体" w:hAnsi="宋体"/>
          <w:color w:val="auto"/>
          <w:highlight w:val="none"/>
        </w:rPr>
        <w:t>项目编号：</w:t>
      </w:r>
    </w:p>
    <w:p w14:paraId="07C95536">
      <w:pPr>
        <w:rPr>
          <w:rFonts w:ascii="宋体" w:hAnsi="宋体"/>
          <w:color w:val="auto"/>
          <w:highlight w:val="none"/>
        </w:rPr>
      </w:pPr>
      <w:r>
        <w:rPr>
          <w:rFonts w:hint="eastAsia" w:ascii="宋体" w:hAnsi="宋体"/>
          <w:color w:val="auto"/>
          <w:highlight w:val="none"/>
        </w:rPr>
        <w:t>项目名称：</w:t>
      </w:r>
    </w:p>
    <w:tbl>
      <w:tblPr>
        <w:tblStyle w:val="17"/>
        <w:tblpPr w:leftFromText="180" w:rightFromText="180" w:vertAnchor="text" w:tblpXSpec="center" w:tblpY="1"/>
        <w:tblOverlap w:val="never"/>
        <w:tblW w:w="139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538"/>
        <w:gridCol w:w="1614"/>
        <w:gridCol w:w="1924"/>
        <w:gridCol w:w="1923"/>
        <w:gridCol w:w="1786"/>
        <w:gridCol w:w="1786"/>
        <w:gridCol w:w="1652"/>
      </w:tblGrid>
      <w:tr w14:paraId="23307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restart"/>
            <w:tcBorders>
              <w:top w:val="single" w:color="auto" w:sz="4" w:space="0"/>
              <w:left w:val="single" w:color="auto" w:sz="4" w:space="0"/>
              <w:right w:val="single" w:color="auto" w:sz="4" w:space="0"/>
            </w:tcBorders>
            <w:noWrap w:val="0"/>
            <w:vAlign w:val="center"/>
          </w:tcPr>
          <w:p w14:paraId="51ECFD10">
            <w:pPr>
              <w:jc w:val="center"/>
              <w:rPr>
                <w:rFonts w:ascii="宋体" w:hAnsi="宋体"/>
                <w:b/>
                <w:color w:val="auto"/>
                <w:szCs w:val="21"/>
                <w:highlight w:val="none"/>
              </w:rPr>
            </w:pPr>
            <w:r>
              <w:rPr>
                <w:rFonts w:ascii="宋体" w:hAnsi="宋体"/>
                <w:b/>
                <w:color w:val="auto"/>
                <w:szCs w:val="21"/>
                <w:highlight w:val="none"/>
              </w:rPr>
              <w:t>序号</w:t>
            </w:r>
          </w:p>
        </w:tc>
        <w:tc>
          <w:tcPr>
            <w:tcW w:w="2538" w:type="dxa"/>
            <w:vMerge w:val="restart"/>
            <w:tcBorders>
              <w:top w:val="single" w:color="auto" w:sz="4" w:space="0"/>
              <w:left w:val="single" w:color="auto" w:sz="4" w:space="0"/>
              <w:right w:val="single" w:color="auto" w:sz="4" w:space="0"/>
            </w:tcBorders>
            <w:noWrap w:val="0"/>
            <w:vAlign w:val="center"/>
          </w:tcPr>
          <w:p w14:paraId="1A05B325">
            <w:pPr>
              <w:jc w:val="center"/>
              <w:rPr>
                <w:rFonts w:ascii="宋体" w:hAnsi="宋体"/>
                <w:b/>
                <w:color w:val="auto"/>
                <w:szCs w:val="21"/>
                <w:highlight w:val="none"/>
              </w:rPr>
            </w:pPr>
            <w:r>
              <w:rPr>
                <w:rFonts w:ascii="宋体" w:hAnsi="宋体"/>
                <w:b/>
                <w:color w:val="auto"/>
                <w:szCs w:val="21"/>
                <w:highlight w:val="none"/>
              </w:rPr>
              <w:t>评审因素</w:t>
            </w:r>
          </w:p>
        </w:tc>
        <w:tc>
          <w:tcPr>
            <w:tcW w:w="10685" w:type="dxa"/>
            <w:gridSpan w:val="6"/>
            <w:tcBorders>
              <w:top w:val="single" w:color="auto" w:sz="4" w:space="0"/>
              <w:left w:val="single" w:color="auto" w:sz="4" w:space="0"/>
              <w:bottom w:val="single" w:color="auto" w:sz="4" w:space="0"/>
              <w:right w:val="single" w:color="auto" w:sz="4" w:space="0"/>
            </w:tcBorders>
            <w:noWrap w:val="0"/>
            <w:vAlign w:val="center"/>
          </w:tcPr>
          <w:p w14:paraId="6532B8C9">
            <w:pPr>
              <w:jc w:val="center"/>
              <w:rPr>
                <w:rFonts w:ascii="宋体" w:hAnsi="宋体"/>
                <w:b/>
                <w:color w:val="auto"/>
                <w:szCs w:val="21"/>
                <w:highlight w:val="none"/>
              </w:rPr>
            </w:pPr>
            <w:r>
              <w:rPr>
                <w:rFonts w:hint="eastAsia" w:ascii="宋体" w:hAnsi="宋体"/>
                <w:b/>
                <w:color w:val="auto"/>
                <w:szCs w:val="21"/>
                <w:highlight w:val="none"/>
              </w:rPr>
              <w:t>投标单位名称及评审意见</w:t>
            </w:r>
          </w:p>
        </w:tc>
      </w:tr>
      <w:tr w14:paraId="4013A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continue"/>
            <w:tcBorders>
              <w:left w:val="single" w:color="auto" w:sz="4" w:space="0"/>
              <w:bottom w:val="single" w:color="auto" w:sz="4" w:space="0"/>
              <w:right w:val="single" w:color="auto" w:sz="4" w:space="0"/>
            </w:tcBorders>
            <w:noWrap w:val="0"/>
            <w:vAlign w:val="center"/>
          </w:tcPr>
          <w:p w14:paraId="1AF48220">
            <w:pPr>
              <w:jc w:val="center"/>
              <w:rPr>
                <w:rFonts w:ascii="宋体" w:hAnsi="宋体"/>
                <w:b/>
                <w:color w:val="auto"/>
                <w:szCs w:val="21"/>
                <w:highlight w:val="none"/>
              </w:rPr>
            </w:pPr>
          </w:p>
        </w:tc>
        <w:tc>
          <w:tcPr>
            <w:tcW w:w="2538" w:type="dxa"/>
            <w:vMerge w:val="continue"/>
            <w:tcBorders>
              <w:left w:val="single" w:color="auto" w:sz="4" w:space="0"/>
              <w:bottom w:val="single" w:color="auto" w:sz="4" w:space="0"/>
              <w:right w:val="single" w:color="auto" w:sz="4" w:space="0"/>
            </w:tcBorders>
            <w:noWrap w:val="0"/>
            <w:vAlign w:val="center"/>
          </w:tcPr>
          <w:p w14:paraId="62983BCE">
            <w:pPr>
              <w:jc w:val="center"/>
              <w:rPr>
                <w:rFonts w:ascii="宋体" w:hAnsi="宋体"/>
                <w:b/>
                <w:color w:val="auto"/>
                <w:szCs w:val="21"/>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7BB5735">
            <w:pPr>
              <w:jc w:val="center"/>
              <w:rPr>
                <w:rFonts w:ascii="宋体" w:hAnsi="宋体"/>
                <w:color w:val="auto"/>
                <w:szCs w:val="21"/>
                <w:highlight w:val="none"/>
              </w:rPr>
            </w:pPr>
            <w:r>
              <w:rPr>
                <w:rFonts w:hint="eastAsia" w:ascii="宋体" w:hAnsi="宋体"/>
                <w:color w:val="auto"/>
                <w:szCs w:val="21"/>
                <w:highlight w:val="none"/>
              </w:rPr>
              <w:t>投标人一</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365E5BF">
            <w:pPr>
              <w:jc w:val="center"/>
              <w:rPr>
                <w:rFonts w:ascii="宋体" w:hAnsi="宋体"/>
                <w:color w:val="auto"/>
                <w:szCs w:val="21"/>
                <w:highlight w:val="none"/>
              </w:rPr>
            </w:pPr>
            <w:r>
              <w:rPr>
                <w:rFonts w:hint="eastAsia" w:ascii="宋体" w:hAnsi="宋体"/>
                <w:color w:val="auto"/>
                <w:szCs w:val="21"/>
                <w:highlight w:val="none"/>
              </w:rPr>
              <w:t>投标人二</w:t>
            </w:r>
          </w:p>
        </w:tc>
        <w:tc>
          <w:tcPr>
            <w:tcW w:w="1923" w:type="dxa"/>
            <w:tcBorders>
              <w:top w:val="single" w:color="auto" w:sz="4" w:space="0"/>
              <w:left w:val="single" w:color="auto" w:sz="4" w:space="0"/>
              <w:bottom w:val="single" w:color="auto" w:sz="4" w:space="0"/>
              <w:right w:val="single" w:color="auto" w:sz="4" w:space="0"/>
            </w:tcBorders>
            <w:noWrap w:val="0"/>
            <w:vAlign w:val="center"/>
          </w:tcPr>
          <w:p w14:paraId="5CCA62FC">
            <w:pPr>
              <w:jc w:val="center"/>
              <w:rPr>
                <w:rFonts w:ascii="宋体" w:hAnsi="宋体"/>
                <w:color w:val="auto"/>
                <w:szCs w:val="21"/>
                <w:highlight w:val="none"/>
              </w:rPr>
            </w:pPr>
            <w:r>
              <w:rPr>
                <w:rFonts w:hint="eastAsia" w:ascii="宋体" w:hAnsi="宋体"/>
                <w:color w:val="auto"/>
                <w:szCs w:val="21"/>
                <w:highlight w:val="none"/>
              </w:rPr>
              <w:t>投标人三</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AB707C0">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5CF949AF">
            <w:pPr>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noWrap w:val="0"/>
            <w:vAlign w:val="center"/>
          </w:tcPr>
          <w:p w14:paraId="14E3C298">
            <w:pPr>
              <w:jc w:val="center"/>
              <w:rPr>
                <w:rFonts w:ascii="宋体" w:hAnsi="宋体"/>
                <w:color w:val="auto"/>
                <w:szCs w:val="21"/>
                <w:highlight w:val="none"/>
              </w:rPr>
            </w:pPr>
          </w:p>
        </w:tc>
      </w:tr>
      <w:tr w14:paraId="6BE46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8551FDC">
            <w:pPr>
              <w:jc w:val="center"/>
              <w:rPr>
                <w:rFonts w:ascii="宋体" w:hAnsi="宋体"/>
                <w:color w:val="auto"/>
                <w:szCs w:val="21"/>
                <w:highlight w:val="none"/>
              </w:rPr>
            </w:pPr>
            <w:r>
              <w:rPr>
                <w:rFonts w:hint="eastAsia" w:ascii="宋体" w:hAnsi="宋体"/>
                <w:color w:val="auto"/>
                <w:szCs w:val="21"/>
                <w:highlight w:val="none"/>
              </w:rPr>
              <w:t>1</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2E52C920">
            <w:pPr>
              <w:spacing w:line="276" w:lineRule="auto"/>
              <w:jc w:val="left"/>
              <w:rPr>
                <w:rFonts w:ascii="宋体" w:hAnsi="宋体"/>
                <w:color w:val="auto"/>
                <w:szCs w:val="21"/>
                <w:highlight w:val="none"/>
              </w:rPr>
            </w:pPr>
            <w:r>
              <w:rPr>
                <w:rFonts w:hint="eastAsia" w:ascii="宋体" w:hAnsi="宋体"/>
                <w:color w:val="auto"/>
                <w:szCs w:val="21"/>
                <w:highlight w:val="none"/>
                <w:u w:val="single"/>
              </w:rPr>
              <w:t>投标人参加投标的意思表达清楚，投标人代表被授权有效</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3292027">
            <w:pPr>
              <w:jc w:val="center"/>
              <w:rPr>
                <w:rFonts w:ascii="宋体" w:hAnsi="宋体"/>
                <w:color w:val="auto"/>
                <w:szCs w:val="21"/>
                <w:highlight w:val="none"/>
              </w:rPr>
            </w:pPr>
            <w:r>
              <w:rPr>
                <w:rFonts w:hint="eastAsia" w:ascii="宋体" w:hAnsi="宋体"/>
                <w:color w:val="auto"/>
                <w:szCs w:val="21"/>
                <w:highlight w:val="none"/>
              </w:rPr>
              <w:t>通过或不通过</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4DCDCDE">
            <w:pPr>
              <w:jc w:val="center"/>
              <w:rPr>
                <w:rFonts w:ascii="宋体" w:hAnsi="宋体"/>
                <w:color w:val="auto"/>
                <w:szCs w:val="21"/>
                <w:highlight w:val="none"/>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14:paraId="11F9CC8E">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4975578C">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BAAD1EB">
            <w:pPr>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noWrap w:val="0"/>
            <w:vAlign w:val="center"/>
          </w:tcPr>
          <w:p w14:paraId="2D431ED2">
            <w:pPr>
              <w:jc w:val="center"/>
              <w:rPr>
                <w:rFonts w:ascii="宋体" w:hAnsi="宋体"/>
                <w:color w:val="auto"/>
                <w:szCs w:val="21"/>
                <w:highlight w:val="none"/>
              </w:rPr>
            </w:pPr>
          </w:p>
        </w:tc>
      </w:tr>
      <w:tr w14:paraId="65B22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7AFFADA">
            <w:pPr>
              <w:jc w:val="center"/>
              <w:rPr>
                <w:rFonts w:ascii="宋体" w:hAnsi="宋体"/>
                <w:color w:val="auto"/>
                <w:szCs w:val="21"/>
                <w:highlight w:val="none"/>
              </w:rPr>
            </w:pPr>
            <w:r>
              <w:rPr>
                <w:rFonts w:hint="eastAsia" w:ascii="宋体" w:hAnsi="宋体"/>
                <w:color w:val="auto"/>
                <w:szCs w:val="21"/>
                <w:highlight w:val="none"/>
              </w:rPr>
              <w:t>2</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16BAB775">
            <w:pPr>
              <w:spacing w:line="276" w:lineRule="auto"/>
              <w:jc w:val="left"/>
              <w:rPr>
                <w:rFonts w:ascii="宋体" w:hAnsi="宋体"/>
                <w:color w:val="auto"/>
                <w:szCs w:val="21"/>
                <w:highlight w:val="none"/>
              </w:rPr>
            </w:pPr>
            <w:r>
              <w:rPr>
                <w:rFonts w:ascii="宋体" w:hAnsi="宋体"/>
                <w:color w:val="auto"/>
                <w:szCs w:val="21"/>
                <w:highlight w:val="none"/>
              </w:rPr>
              <w:t>投标人名称</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0A1AD34B">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0D8C576">
            <w:pPr>
              <w:jc w:val="center"/>
              <w:rPr>
                <w:rFonts w:ascii="宋体" w:hAnsi="宋体"/>
                <w:color w:val="auto"/>
                <w:szCs w:val="21"/>
                <w:highlight w:val="none"/>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14:paraId="463BCA18">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B5F6DBE">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801AF2B">
            <w:pPr>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noWrap w:val="0"/>
            <w:vAlign w:val="center"/>
          </w:tcPr>
          <w:p w14:paraId="56F33A29">
            <w:pPr>
              <w:jc w:val="center"/>
              <w:rPr>
                <w:rFonts w:ascii="宋体" w:hAnsi="宋体"/>
                <w:color w:val="auto"/>
                <w:szCs w:val="21"/>
                <w:highlight w:val="none"/>
              </w:rPr>
            </w:pPr>
          </w:p>
        </w:tc>
      </w:tr>
      <w:tr w14:paraId="2CC37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71C4BC3">
            <w:pPr>
              <w:jc w:val="center"/>
              <w:rPr>
                <w:rFonts w:ascii="宋体" w:hAnsi="宋体"/>
                <w:color w:val="auto"/>
                <w:szCs w:val="21"/>
                <w:highlight w:val="none"/>
              </w:rPr>
            </w:pPr>
            <w:r>
              <w:rPr>
                <w:rFonts w:hint="eastAsia" w:ascii="宋体" w:hAnsi="宋体"/>
                <w:color w:val="auto"/>
                <w:szCs w:val="21"/>
                <w:highlight w:val="none"/>
              </w:rPr>
              <w:t>3</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44770384">
            <w:pPr>
              <w:spacing w:line="276" w:lineRule="auto"/>
              <w:jc w:val="left"/>
              <w:rPr>
                <w:rFonts w:ascii="宋体" w:hAnsi="宋体"/>
                <w:color w:val="auto"/>
                <w:szCs w:val="21"/>
                <w:highlight w:val="none"/>
              </w:rPr>
            </w:pPr>
            <w:r>
              <w:rPr>
                <w:rFonts w:hint="eastAsia" w:ascii="宋体" w:hAnsi="宋体"/>
                <w:color w:val="auto"/>
                <w:szCs w:val="21"/>
                <w:highlight w:val="none"/>
              </w:rPr>
              <w:t>投标函签字盖章</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8190F52">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44A1F58">
            <w:pPr>
              <w:jc w:val="center"/>
              <w:rPr>
                <w:rFonts w:ascii="宋体" w:hAnsi="宋体"/>
                <w:color w:val="auto"/>
                <w:szCs w:val="21"/>
                <w:highlight w:val="none"/>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14:paraId="38834F04">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96D72B7">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5F5E4A82">
            <w:pPr>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noWrap w:val="0"/>
            <w:vAlign w:val="center"/>
          </w:tcPr>
          <w:p w14:paraId="5BF36F01">
            <w:pPr>
              <w:jc w:val="center"/>
              <w:rPr>
                <w:rFonts w:ascii="宋体" w:hAnsi="宋体"/>
                <w:color w:val="auto"/>
                <w:szCs w:val="21"/>
                <w:highlight w:val="none"/>
              </w:rPr>
            </w:pPr>
          </w:p>
        </w:tc>
      </w:tr>
      <w:tr w14:paraId="084D2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3ECDF1E">
            <w:pPr>
              <w:jc w:val="center"/>
              <w:rPr>
                <w:rFonts w:ascii="宋体" w:hAnsi="宋体"/>
                <w:color w:val="auto"/>
                <w:szCs w:val="21"/>
                <w:highlight w:val="none"/>
              </w:rPr>
            </w:pPr>
            <w:r>
              <w:rPr>
                <w:rFonts w:hint="eastAsia" w:ascii="宋体" w:hAnsi="宋体"/>
                <w:color w:val="auto"/>
                <w:szCs w:val="21"/>
                <w:highlight w:val="none"/>
              </w:rPr>
              <w:t>4</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59FA8F1F">
            <w:pPr>
              <w:spacing w:line="276" w:lineRule="auto"/>
              <w:jc w:val="left"/>
              <w:rPr>
                <w:rFonts w:ascii="宋体" w:hAnsi="宋体"/>
                <w:color w:val="auto"/>
                <w:szCs w:val="21"/>
                <w:highlight w:val="none"/>
              </w:rPr>
            </w:pPr>
            <w:r>
              <w:rPr>
                <w:rFonts w:hint="eastAsia" w:ascii="宋体" w:hAnsi="宋体"/>
                <w:color w:val="auto"/>
                <w:szCs w:val="21"/>
                <w:highlight w:val="none"/>
              </w:rPr>
              <w:t>投标文件格式</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8813D8F">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2D07C28">
            <w:pPr>
              <w:jc w:val="center"/>
              <w:rPr>
                <w:rFonts w:ascii="宋体" w:hAnsi="宋体"/>
                <w:color w:val="auto"/>
                <w:szCs w:val="21"/>
                <w:highlight w:val="none"/>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14:paraId="4CDBB635">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3BF84FAC">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B17BDAE">
            <w:pPr>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noWrap w:val="0"/>
            <w:vAlign w:val="center"/>
          </w:tcPr>
          <w:p w14:paraId="6565F768">
            <w:pPr>
              <w:jc w:val="center"/>
              <w:rPr>
                <w:rFonts w:ascii="宋体" w:hAnsi="宋体"/>
                <w:color w:val="auto"/>
                <w:szCs w:val="21"/>
                <w:highlight w:val="none"/>
              </w:rPr>
            </w:pPr>
          </w:p>
        </w:tc>
      </w:tr>
      <w:tr w14:paraId="2D338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FE95526">
            <w:pPr>
              <w:jc w:val="center"/>
              <w:rPr>
                <w:rFonts w:ascii="宋体" w:hAnsi="宋体"/>
                <w:color w:val="auto"/>
                <w:szCs w:val="21"/>
                <w:highlight w:val="none"/>
              </w:rPr>
            </w:pPr>
            <w:r>
              <w:rPr>
                <w:rFonts w:hint="eastAsia" w:ascii="宋体" w:hAnsi="宋体"/>
                <w:color w:val="auto"/>
                <w:szCs w:val="21"/>
                <w:highlight w:val="none"/>
              </w:rPr>
              <w:t>5</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301B8252">
            <w:pPr>
              <w:spacing w:line="276" w:lineRule="auto"/>
              <w:jc w:val="left"/>
              <w:rPr>
                <w:rFonts w:ascii="宋体" w:hAnsi="宋体"/>
                <w:color w:val="auto"/>
                <w:szCs w:val="21"/>
                <w:highlight w:val="none"/>
              </w:rPr>
            </w:pPr>
            <w:r>
              <w:rPr>
                <w:rFonts w:hint="eastAsia" w:ascii="宋体" w:hAnsi="宋体"/>
                <w:color w:val="auto"/>
                <w:szCs w:val="21"/>
                <w:highlight w:val="none"/>
              </w:rPr>
              <w:t>报价唯一</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2ACF399C">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2E06738">
            <w:pPr>
              <w:jc w:val="center"/>
              <w:rPr>
                <w:rFonts w:ascii="宋体" w:hAnsi="宋体"/>
                <w:color w:val="auto"/>
                <w:szCs w:val="21"/>
                <w:highlight w:val="none"/>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14:paraId="4DCE447C">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168F18DF">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DDA9F24">
            <w:pPr>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noWrap w:val="0"/>
            <w:vAlign w:val="center"/>
          </w:tcPr>
          <w:p w14:paraId="0A44D715">
            <w:pPr>
              <w:jc w:val="center"/>
              <w:rPr>
                <w:rFonts w:ascii="宋体" w:hAnsi="宋体"/>
                <w:color w:val="auto"/>
                <w:szCs w:val="21"/>
                <w:highlight w:val="none"/>
              </w:rPr>
            </w:pPr>
          </w:p>
        </w:tc>
      </w:tr>
      <w:tr w14:paraId="3DAE7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11BC1FD">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2538" w:type="dxa"/>
            <w:tcBorders>
              <w:top w:val="single" w:color="auto" w:sz="4" w:space="0"/>
              <w:left w:val="single" w:color="auto" w:sz="4" w:space="0"/>
              <w:bottom w:val="single" w:color="auto" w:sz="4" w:space="0"/>
              <w:right w:val="single" w:color="auto" w:sz="4" w:space="0"/>
            </w:tcBorders>
            <w:noWrap w:val="0"/>
            <w:vAlign w:val="top"/>
          </w:tcPr>
          <w:p w14:paraId="2A092793">
            <w:pPr>
              <w:spacing w:line="276" w:lineRule="auto"/>
              <w:jc w:val="left"/>
              <w:rPr>
                <w:rFonts w:hint="eastAsia" w:ascii="宋体" w:hAnsi="宋体"/>
                <w:color w:val="auto"/>
                <w:szCs w:val="21"/>
                <w:highlight w:val="none"/>
              </w:rPr>
            </w:pPr>
            <w:r>
              <w:rPr>
                <w:rFonts w:hint="eastAsia" w:ascii="宋体" w:hAnsi="宋体" w:eastAsia="宋体" w:cs="Times New Roman"/>
                <w:color w:val="auto"/>
                <w:szCs w:val="21"/>
                <w:highlight w:val="none"/>
              </w:rPr>
              <w:t>投标人与其他投标人加密打包投标文件电脑机器特征码</w:t>
            </w:r>
            <w:r>
              <w:rPr>
                <w:rFonts w:hint="eastAsia" w:ascii="宋体" w:hAnsi="宋体" w:eastAsia="宋体" w:cs="Times New Roman"/>
                <w:color w:val="auto"/>
                <w:szCs w:val="21"/>
                <w:highlight w:val="none"/>
                <w:lang w:eastAsia="zh-CN"/>
              </w:rPr>
              <w:t>不</w:t>
            </w:r>
            <w:r>
              <w:rPr>
                <w:rFonts w:hint="eastAsia" w:ascii="宋体" w:hAnsi="宋体" w:eastAsia="宋体" w:cs="Times New Roman"/>
                <w:color w:val="auto"/>
                <w:szCs w:val="21"/>
                <w:highlight w:val="none"/>
              </w:rPr>
              <w:t>一致的</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A6699BC">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429B4D0">
            <w:pPr>
              <w:jc w:val="center"/>
              <w:rPr>
                <w:rFonts w:ascii="宋体" w:hAnsi="宋体"/>
                <w:color w:val="auto"/>
                <w:szCs w:val="21"/>
                <w:highlight w:val="none"/>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14:paraId="776C67A6">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4F3BF5C1">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0FE38412">
            <w:pPr>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noWrap w:val="0"/>
            <w:vAlign w:val="center"/>
          </w:tcPr>
          <w:p w14:paraId="46AE3167">
            <w:pPr>
              <w:jc w:val="center"/>
              <w:rPr>
                <w:rFonts w:ascii="宋体" w:hAnsi="宋体"/>
                <w:color w:val="auto"/>
                <w:szCs w:val="21"/>
                <w:highlight w:val="none"/>
              </w:rPr>
            </w:pPr>
          </w:p>
        </w:tc>
      </w:tr>
      <w:tr w14:paraId="1D24D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BA40D35">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7C2336B5">
            <w:pPr>
              <w:spacing w:line="276" w:lineRule="auto"/>
              <w:jc w:val="left"/>
              <w:rPr>
                <w:rFonts w:hint="eastAsia" w:ascii="宋体" w:hAnsi="宋体"/>
                <w:color w:val="auto"/>
                <w:szCs w:val="21"/>
                <w:highlight w:val="none"/>
              </w:rPr>
            </w:pPr>
            <w:r>
              <w:rPr>
                <w:rFonts w:hint="eastAsia" w:ascii="宋体" w:hAnsi="宋体" w:eastAsia="宋体" w:cs="Times New Roman"/>
                <w:color w:val="auto"/>
                <w:szCs w:val="21"/>
                <w:highlight w:val="none"/>
              </w:rPr>
              <w:t>投标人与其他投标人</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投标文件</w:t>
            </w:r>
            <w:r>
              <w:rPr>
                <w:rFonts w:hint="eastAsia" w:ascii="宋体" w:hAnsi="宋体" w:eastAsia="宋体" w:cs="Times New Roman"/>
                <w:color w:val="auto"/>
                <w:szCs w:val="21"/>
                <w:highlight w:val="none"/>
                <w:lang w:eastAsia="zh-CN"/>
              </w:rPr>
              <w:t>工程量清单编制机器硬件信息不</w:t>
            </w:r>
            <w:r>
              <w:rPr>
                <w:rFonts w:hint="eastAsia" w:ascii="宋体" w:hAnsi="宋体" w:eastAsia="宋体" w:cs="Times New Roman"/>
                <w:color w:val="auto"/>
                <w:szCs w:val="21"/>
                <w:highlight w:val="none"/>
              </w:rPr>
              <w:t>一致的</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41B172E">
            <w:pPr>
              <w:jc w:val="center"/>
              <w:rPr>
                <w:rFonts w:ascii="宋体" w:hAnsi="宋体"/>
                <w:color w:val="auto"/>
                <w:szCs w:val="21"/>
                <w:highlight w:val="none"/>
              </w:rPr>
            </w:pPr>
          </w:p>
        </w:tc>
        <w:tc>
          <w:tcPr>
            <w:tcW w:w="1924" w:type="dxa"/>
            <w:tcBorders>
              <w:top w:val="single" w:color="auto" w:sz="4" w:space="0"/>
              <w:left w:val="single" w:color="auto" w:sz="4" w:space="0"/>
              <w:bottom w:val="single" w:color="auto" w:sz="4" w:space="0"/>
              <w:right w:val="single" w:color="auto" w:sz="4" w:space="0"/>
            </w:tcBorders>
            <w:noWrap w:val="0"/>
            <w:vAlign w:val="center"/>
          </w:tcPr>
          <w:p w14:paraId="19AB9134">
            <w:pPr>
              <w:jc w:val="center"/>
              <w:rPr>
                <w:rFonts w:ascii="宋体" w:hAnsi="宋体"/>
                <w:color w:val="auto"/>
                <w:szCs w:val="21"/>
                <w:highlight w:val="none"/>
              </w:rPr>
            </w:pPr>
          </w:p>
        </w:tc>
        <w:tc>
          <w:tcPr>
            <w:tcW w:w="1923" w:type="dxa"/>
            <w:tcBorders>
              <w:top w:val="single" w:color="auto" w:sz="4" w:space="0"/>
              <w:left w:val="single" w:color="auto" w:sz="4" w:space="0"/>
              <w:bottom w:val="single" w:color="auto" w:sz="4" w:space="0"/>
              <w:right w:val="single" w:color="auto" w:sz="4" w:space="0"/>
            </w:tcBorders>
            <w:noWrap w:val="0"/>
            <w:vAlign w:val="center"/>
          </w:tcPr>
          <w:p w14:paraId="45379D3C">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34D7FCA">
            <w:pPr>
              <w:jc w:val="center"/>
              <w:rPr>
                <w:rFonts w:ascii="宋体" w:hAnsi="宋体"/>
                <w:color w:val="auto"/>
                <w:szCs w:val="21"/>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center"/>
          </w:tcPr>
          <w:p w14:paraId="22A95EDA">
            <w:pPr>
              <w:jc w:val="center"/>
              <w:rPr>
                <w:rFonts w:ascii="宋体" w:hAnsi="宋体"/>
                <w:color w:val="auto"/>
                <w:szCs w:val="21"/>
                <w:highlight w:val="none"/>
              </w:rPr>
            </w:pPr>
          </w:p>
        </w:tc>
        <w:tc>
          <w:tcPr>
            <w:tcW w:w="1652" w:type="dxa"/>
            <w:tcBorders>
              <w:top w:val="single" w:color="auto" w:sz="4" w:space="0"/>
              <w:left w:val="single" w:color="auto" w:sz="4" w:space="0"/>
              <w:bottom w:val="single" w:color="auto" w:sz="4" w:space="0"/>
              <w:right w:val="single" w:color="auto" w:sz="4" w:space="0"/>
            </w:tcBorders>
            <w:noWrap w:val="0"/>
            <w:vAlign w:val="center"/>
          </w:tcPr>
          <w:p w14:paraId="1A6BC0B4">
            <w:pPr>
              <w:jc w:val="center"/>
              <w:rPr>
                <w:rFonts w:ascii="宋体" w:hAnsi="宋体"/>
                <w:color w:val="auto"/>
                <w:szCs w:val="21"/>
                <w:highlight w:val="none"/>
              </w:rPr>
            </w:pPr>
          </w:p>
        </w:tc>
      </w:tr>
    </w:tbl>
    <w:p w14:paraId="235067CC">
      <w:pPr>
        <w:pStyle w:val="29"/>
        <w:spacing w:line="276" w:lineRule="auto"/>
        <w:rPr>
          <w:rFonts w:ascii="宋体" w:hAnsi="宋体"/>
          <w:color w:val="auto"/>
          <w:highlight w:val="none"/>
        </w:rPr>
      </w:pPr>
      <w:r>
        <w:rPr>
          <w:rFonts w:hint="eastAsia" w:ascii="宋体" w:hAnsi="宋体"/>
          <w:color w:val="auto"/>
          <w:highlight w:val="none"/>
        </w:rPr>
        <w:t>注：表格最终以</w:t>
      </w:r>
      <w:r>
        <w:rPr>
          <w:rFonts w:hint="eastAsia" w:ascii="宋体" w:hAnsi="宋体"/>
          <w:color w:val="auto"/>
          <w:highlight w:val="none"/>
          <w:u w:val="single"/>
        </w:rPr>
        <w:t>广州交易集团有限公司（</w:t>
      </w:r>
      <w:r>
        <w:rPr>
          <w:rFonts w:hint="eastAsia" w:ascii="宋体" w:hAnsi="宋体"/>
          <w:color w:val="auto"/>
          <w:highlight w:val="none"/>
          <w:u w:val="single"/>
          <w:lang w:eastAsia="zh-CN"/>
        </w:rPr>
        <w:t>广州交易集团有限公司（广州公共资源交易中心）</w:t>
      </w:r>
      <w:r>
        <w:rPr>
          <w:rFonts w:hint="eastAsia" w:ascii="宋体" w:hAnsi="宋体"/>
          <w:color w:val="auto"/>
          <w:highlight w:val="none"/>
          <w:u w:val="single"/>
        </w:rPr>
        <w:t>）</w:t>
      </w:r>
      <w:r>
        <w:rPr>
          <w:rFonts w:hint="eastAsia" w:ascii="宋体" w:hAnsi="宋体"/>
          <w:color w:val="auto"/>
          <w:highlight w:val="none"/>
        </w:rPr>
        <w:t>系统生成的为准。</w:t>
      </w:r>
    </w:p>
    <w:p w14:paraId="4D639DA2">
      <w:pPr>
        <w:pStyle w:val="29"/>
        <w:rPr>
          <w:rFonts w:ascii="宋体" w:hAnsi="宋体"/>
          <w:color w:val="auto"/>
          <w:highlight w:val="none"/>
        </w:rPr>
      </w:pPr>
    </w:p>
    <w:p w14:paraId="405C1D3E">
      <w:pPr>
        <w:pStyle w:val="29"/>
        <w:rPr>
          <w:rFonts w:ascii="宋体" w:hAnsi="宋体"/>
          <w:color w:val="auto"/>
          <w:highlight w:val="none"/>
        </w:rPr>
        <w:sectPr>
          <w:pgSz w:w="16838" w:h="11906" w:orient="landscape"/>
          <w:pgMar w:top="1797" w:right="1440" w:bottom="1797" w:left="1440" w:header="851" w:footer="992" w:gutter="0"/>
          <w:pgNumType w:fmt="decimal"/>
          <w:cols w:space="720" w:num="1"/>
          <w:docGrid w:linePitch="312" w:charSpace="0"/>
        </w:sectPr>
      </w:pPr>
    </w:p>
    <w:p w14:paraId="033FBC64">
      <w:pPr>
        <w:jc w:val="center"/>
        <w:rPr>
          <w:rFonts w:ascii="宋体" w:hAnsi="宋体"/>
          <w:b/>
          <w:color w:val="auto"/>
          <w:sz w:val="30"/>
          <w:szCs w:val="30"/>
          <w:highlight w:val="none"/>
        </w:rPr>
      </w:pPr>
      <w:r>
        <w:rPr>
          <w:rFonts w:hint="eastAsia" w:ascii="宋体" w:hAnsi="宋体"/>
          <w:b/>
          <w:color w:val="auto"/>
          <w:sz w:val="30"/>
          <w:szCs w:val="30"/>
          <w:highlight w:val="none"/>
        </w:rPr>
        <w:t>形式</w:t>
      </w:r>
      <w:r>
        <w:rPr>
          <w:rFonts w:ascii="宋体" w:hAnsi="宋体"/>
          <w:b/>
          <w:color w:val="auto"/>
          <w:sz w:val="30"/>
          <w:szCs w:val="30"/>
          <w:highlight w:val="none"/>
        </w:rPr>
        <w:t>评审结果汇总表</w:t>
      </w:r>
    </w:p>
    <w:p w14:paraId="46D02A1E">
      <w:pPr>
        <w:rPr>
          <w:rFonts w:ascii="宋体" w:hAnsi="宋体"/>
          <w:color w:val="auto"/>
          <w:highlight w:val="none"/>
        </w:rPr>
      </w:pPr>
      <w:r>
        <w:rPr>
          <w:rFonts w:hint="eastAsia" w:ascii="宋体" w:hAnsi="宋体"/>
          <w:color w:val="auto"/>
          <w:highlight w:val="none"/>
        </w:rPr>
        <w:t>项目编号：</w:t>
      </w:r>
    </w:p>
    <w:p w14:paraId="344D0371">
      <w:pPr>
        <w:rPr>
          <w:rFonts w:ascii="宋体" w:hAnsi="宋体"/>
          <w:color w:val="auto"/>
          <w:highlight w:val="none"/>
        </w:rPr>
      </w:pPr>
      <w:r>
        <w:rPr>
          <w:rFonts w:hint="eastAsia" w:ascii="宋体" w:hAnsi="宋体"/>
          <w:color w:val="auto"/>
          <w:highlight w:val="none"/>
        </w:rPr>
        <w:t>项目名称：</w:t>
      </w:r>
    </w:p>
    <w:tbl>
      <w:tblPr>
        <w:tblStyle w:val="17"/>
        <w:tblpPr w:leftFromText="180" w:rightFromText="180" w:vertAnchor="text" w:tblpXSpec="center" w:tblpY="1"/>
        <w:tblOverlap w:val="never"/>
        <w:tblW w:w="13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340"/>
        <w:gridCol w:w="1548"/>
        <w:gridCol w:w="1620"/>
        <w:gridCol w:w="1438"/>
        <w:gridCol w:w="1025"/>
        <w:gridCol w:w="1024"/>
        <w:gridCol w:w="1024"/>
        <w:gridCol w:w="1025"/>
        <w:gridCol w:w="1024"/>
        <w:gridCol w:w="1025"/>
        <w:gridCol w:w="8"/>
      </w:tblGrid>
      <w:tr w14:paraId="4D51E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4" w:type="dxa"/>
            <w:vMerge w:val="restart"/>
            <w:tcBorders>
              <w:top w:val="single" w:color="auto" w:sz="4" w:space="0"/>
              <w:left w:val="single" w:color="auto" w:sz="4" w:space="0"/>
              <w:right w:val="single" w:color="auto" w:sz="4" w:space="0"/>
            </w:tcBorders>
            <w:noWrap w:val="0"/>
            <w:vAlign w:val="center"/>
          </w:tcPr>
          <w:p w14:paraId="2053FA80">
            <w:pPr>
              <w:jc w:val="center"/>
              <w:rPr>
                <w:rFonts w:ascii="宋体" w:hAnsi="宋体"/>
                <w:b/>
                <w:color w:val="auto"/>
                <w:szCs w:val="21"/>
                <w:highlight w:val="none"/>
              </w:rPr>
            </w:pPr>
            <w:r>
              <w:rPr>
                <w:rFonts w:ascii="宋体" w:hAnsi="宋体"/>
                <w:b/>
                <w:color w:val="auto"/>
                <w:szCs w:val="21"/>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14:paraId="3AF79DD5">
            <w:pPr>
              <w:jc w:val="center"/>
              <w:rPr>
                <w:rFonts w:ascii="宋体" w:hAnsi="宋体"/>
                <w:b/>
                <w:color w:val="auto"/>
                <w:szCs w:val="21"/>
                <w:highlight w:val="none"/>
              </w:rPr>
            </w:pPr>
            <w:r>
              <w:rPr>
                <w:rFonts w:ascii="宋体" w:hAnsi="宋体"/>
                <w:b/>
                <w:color w:val="auto"/>
                <w:szCs w:val="21"/>
                <w:highlight w:val="none"/>
              </w:rPr>
              <w:t>评审因素</w:t>
            </w:r>
          </w:p>
        </w:tc>
        <w:tc>
          <w:tcPr>
            <w:tcW w:w="10761" w:type="dxa"/>
            <w:gridSpan w:val="10"/>
            <w:tcBorders>
              <w:top w:val="single" w:color="auto" w:sz="4" w:space="0"/>
              <w:left w:val="single" w:color="auto" w:sz="4" w:space="0"/>
              <w:bottom w:val="single" w:color="auto" w:sz="4" w:space="0"/>
              <w:right w:val="single" w:color="auto" w:sz="4" w:space="0"/>
            </w:tcBorders>
            <w:noWrap w:val="0"/>
            <w:vAlign w:val="center"/>
          </w:tcPr>
          <w:p w14:paraId="0C9E1389">
            <w:pPr>
              <w:jc w:val="center"/>
              <w:rPr>
                <w:rFonts w:ascii="宋体" w:hAnsi="宋体"/>
                <w:b/>
                <w:color w:val="auto"/>
                <w:szCs w:val="21"/>
                <w:highlight w:val="none"/>
              </w:rPr>
            </w:pPr>
            <w:r>
              <w:rPr>
                <w:rFonts w:ascii="宋体" w:hAnsi="宋体"/>
                <w:b/>
                <w:color w:val="auto"/>
                <w:szCs w:val="21"/>
                <w:highlight w:val="none"/>
              </w:rPr>
              <w:t>投标人及</w:t>
            </w:r>
            <w:r>
              <w:rPr>
                <w:rFonts w:hint="eastAsia" w:ascii="宋体" w:hAnsi="宋体"/>
                <w:b/>
                <w:color w:val="auto"/>
                <w:szCs w:val="21"/>
                <w:highlight w:val="none"/>
              </w:rPr>
              <w:t>形式</w:t>
            </w:r>
            <w:r>
              <w:rPr>
                <w:rFonts w:ascii="宋体" w:hAnsi="宋体"/>
                <w:b/>
                <w:color w:val="auto"/>
                <w:szCs w:val="21"/>
                <w:highlight w:val="none"/>
              </w:rPr>
              <w:t>评审结果</w:t>
            </w:r>
          </w:p>
        </w:tc>
      </w:tr>
      <w:tr w14:paraId="3DEE6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20" w:hRule="atLeast"/>
          <w:jc w:val="center"/>
        </w:trPr>
        <w:tc>
          <w:tcPr>
            <w:tcW w:w="704" w:type="dxa"/>
            <w:vMerge w:val="continue"/>
            <w:tcBorders>
              <w:left w:val="single" w:color="auto" w:sz="4" w:space="0"/>
              <w:bottom w:val="single" w:color="auto" w:sz="4" w:space="0"/>
              <w:right w:val="single" w:color="auto" w:sz="4" w:space="0"/>
            </w:tcBorders>
            <w:noWrap w:val="0"/>
            <w:vAlign w:val="center"/>
          </w:tcPr>
          <w:p w14:paraId="07E3B14F">
            <w:pPr>
              <w:jc w:val="center"/>
              <w:rPr>
                <w:rFonts w:ascii="宋体" w:hAnsi="宋体"/>
                <w:color w:val="auto"/>
                <w:szCs w:val="21"/>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14:paraId="651E8F90">
            <w:pPr>
              <w:jc w:val="center"/>
              <w:rPr>
                <w:rFonts w:ascii="宋体" w:hAnsi="宋体"/>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DCCE90D">
            <w:pPr>
              <w:jc w:val="center"/>
              <w:rPr>
                <w:rFonts w:ascii="宋体" w:hAnsi="宋体"/>
                <w:color w:val="auto"/>
                <w:szCs w:val="21"/>
                <w:highlight w:val="none"/>
              </w:rPr>
            </w:pPr>
            <w:r>
              <w:rPr>
                <w:rFonts w:ascii="宋体" w:hAnsi="宋体"/>
                <w:color w:val="auto"/>
                <w:szCs w:val="21"/>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3A810D2">
            <w:pPr>
              <w:jc w:val="center"/>
              <w:rPr>
                <w:rFonts w:ascii="宋体" w:hAnsi="宋体"/>
                <w:color w:val="auto"/>
                <w:szCs w:val="21"/>
                <w:highlight w:val="none"/>
              </w:rPr>
            </w:pPr>
            <w:r>
              <w:rPr>
                <w:rFonts w:ascii="宋体" w:hAnsi="宋体"/>
                <w:color w:val="auto"/>
                <w:szCs w:val="21"/>
                <w:highlight w:val="none"/>
              </w:rPr>
              <w:t>投标人二</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7706DC94">
            <w:pPr>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5681FDD">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23B0BCE1">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20BB9910">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5CE5D08">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B8FFA80">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BE17186">
            <w:pPr>
              <w:rPr>
                <w:rFonts w:ascii="宋体" w:hAnsi="宋体"/>
                <w:color w:val="auto"/>
                <w:szCs w:val="21"/>
                <w:highlight w:val="none"/>
              </w:rPr>
            </w:pPr>
          </w:p>
        </w:tc>
      </w:tr>
      <w:tr w14:paraId="7A998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9C85253">
            <w:pPr>
              <w:jc w:val="center"/>
              <w:rPr>
                <w:rFonts w:ascii="宋体" w:hAnsi="宋体"/>
                <w:color w:val="auto"/>
                <w:szCs w:val="21"/>
                <w:highlight w:val="none"/>
              </w:rPr>
            </w:pPr>
            <w:r>
              <w:rPr>
                <w:rFonts w:hint="eastAsia" w:ascii="宋体" w:hAnsi="宋体"/>
                <w:color w:val="auto"/>
                <w:szCs w:val="21"/>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4575BCF">
            <w:pPr>
              <w:spacing w:line="276" w:lineRule="auto"/>
              <w:jc w:val="left"/>
              <w:rPr>
                <w:rFonts w:ascii="宋体" w:hAnsi="宋体"/>
                <w:color w:val="auto"/>
                <w:szCs w:val="21"/>
                <w:highlight w:val="none"/>
              </w:rPr>
            </w:pPr>
            <w:r>
              <w:rPr>
                <w:rFonts w:hint="eastAsia" w:ascii="宋体" w:hAnsi="宋体"/>
                <w:color w:val="auto"/>
                <w:szCs w:val="21"/>
                <w:highlight w:val="none"/>
                <w:u w:val="single"/>
              </w:rPr>
              <w:t>投标人参加投标的意思表达清楚，投标人代表被授权有效</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76370A7E">
            <w:pPr>
              <w:jc w:val="center"/>
              <w:rPr>
                <w:rFonts w:ascii="宋体" w:hAnsi="宋体"/>
                <w:color w:val="auto"/>
                <w:szCs w:val="21"/>
                <w:highlight w:val="none"/>
              </w:rPr>
            </w:pPr>
            <w:r>
              <w:rPr>
                <w:rFonts w:hint="eastAsia" w:ascii="宋体" w:hAnsi="宋体"/>
                <w:color w:val="auto"/>
                <w:szCs w:val="21"/>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52ABF57">
            <w:pPr>
              <w:jc w:val="cente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14:paraId="149EFD07">
            <w:pPr>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7593DB5">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718BB71D">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17D75974">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BEFF64C">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CDB3228">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005DB9C">
            <w:pPr>
              <w:rPr>
                <w:rFonts w:ascii="宋体" w:hAnsi="宋体"/>
                <w:color w:val="auto"/>
                <w:szCs w:val="21"/>
                <w:highlight w:val="none"/>
              </w:rPr>
            </w:pPr>
          </w:p>
        </w:tc>
      </w:tr>
      <w:tr w14:paraId="40F2F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FC23D4C">
            <w:pPr>
              <w:jc w:val="center"/>
              <w:rPr>
                <w:rFonts w:ascii="宋体" w:hAnsi="宋体"/>
                <w:color w:val="auto"/>
                <w:szCs w:val="21"/>
                <w:highlight w:val="none"/>
              </w:rPr>
            </w:pPr>
            <w:r>
              <w:rPr>
                <w:rFonts w:hint="eastAsia" w:ascii="宋体" w:hAnsi="宋体"/>
                <w:color w:val="auto"/>
                <w:szCs w:val="21"/>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AD5EE68">
            <w:pPr>
              <w:spacing w:line="276" w:lineRule="auto"/>
              <w:jc w:val="left"/>
              <w:rPr>
                <w:rFonts w:ascii="宋体" w:hAnsi="宋体"/>
                <w:color w:val="auto"/>
                <w:szCs w:val="21"/>
                <w:highlight w:val="none"/>
              </w:rPr>
            </w:pPr>
            <w:r>
              <w:rPr>
                <w:rFonts w:ascii="宋体" w:hAnsi="宋体"/>
                <w:color w:val="auto"/>
                <w:szCs w:val="21"/>
                <w:highlight w:val="none"/>
              </w:rPr>
              <w:t>投标人名称</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65B5573A">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4E3A6DB">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top"/>
          </w:tcPr>
          <w:p w14:paraId="7ECA3740">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456E178">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EA188E2">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7768D19">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91AA229">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7F1915F2">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53A4320">
            <w:pPr>
              <w:rPr>
                <w:rFonts w:ascii="宋体" w:hAnsi="宋体"/>
                <w:color w:val="auto"/>
                <w:szCs w:val="21"/>
                <w:highlight w:val="none"/>
              </w:rPr>
            </w:pPr>
          </w:p>
        </w:tc>
      </w:tr>
      <w:tr w14:paraId="56810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F9407D5">
            <w:pPr>
              <w:jc w:val="center"/>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D9A0B4A">
            <w:pPr>
              <w:spacing w:line="276" w:lineRule="auto"/>
              <w:jc w:val="left"/>
              <w:rPr>
                <w:rFonts w:ascii="宋体" w:hAnsi="宋体"/>
                <w:color w:val="auto"/>
                <w:szCs w:val="21"/>
                <w:highlight w:val="none"/>
              </w:rPr>
            </w:pPr>
            <w:r>
              <w:rPr>
                <w:rFonts w:hint="eastAsia" w:ascii="宋体" w:hAnsi="宋体"/>
                <w:color w:val="auto"/>
                <w:szCs w:val="21"/>
                <w:highlight w:val="none"/>
              </w:rPr>
              <w:t>投标函签字盖章</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6982B3FA">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806DE78">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top"/>
          </w:tcPr>
          <w:p w14:paraId="73F46627">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D20BF2E">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3E59EAE">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4AC4D607">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26DCA69">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5703EF2A">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357FF38">
            <w:pPr>
              <w:rPr>
                <w:rFonts w:ascii="宋体" w:hAnsi="宋体"/>
                <w:color w:val="auto"/>
                <w:szCs w:val="21"/>
                <w:highlight w:val="none"/>
              </w:rPr>
            </w:pPr>
          </w:p>
        </w:tc>
      </w:tr>
      <w:tr w14:paraId="18DA1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DC7E7A7">
            <w:pPr>
              <w:jc w:val="center"/>
              <w:rPr>
                <w:rFonts w:ascii="宋体" w:hAnsi="宋体"/>
                <w:color w:val="auto"/>
                <w:szCs w:val="21"/>
                <w:highlight w:val="none"/>
              </w:rPr>
            </w:pPr>
            <w:r>
              <w:rPr>
                <w:rFonts w:hint="eastAsia" w:ascii="宋体" w:hAnsi="宋体"/>
                <w:color w:val="auto"/>
                <w:szCs w:val="21"/>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DA107F6">
            <w:pPr>
              <w:spacing w:line="276" w:lineRule="auto"/>
              <w:jc w:val="left"/>
              <w:rPr>
                <w:rFonts w:ascii="宋体" w:hAnsi="宋体"/>
                <w:color w:val="auto"/>
                <w:szCs w:val="21"/>
                <w:highlight w:val="none"/>
              </w:rPr>
            </w:pPr>
            <w:r>
              <w:rPr>
                <w:rFonts w:hint="eastAsia" w:ascii="宋体" w:hAnsi="宋体"/>
                <w:color w:val="auto"/>
                <w:szCs w:val="21"/>
                <w:highlight w:val="none"/>
              </w:rPr>
              <w:t>投标文件格式</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67E15C1D">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D5C0FAC">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top"/>
          </w:tcPr>
          <w:p w14:paraId="2B9D3292">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9DD4C61">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11B780A6">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4DC89463">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8942280">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78A7BB99">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543737C">
            <w:pPr>
              <w:rPr>
                <w:rFonts w:ascii="宋体" w:hAnsi="宋体"/>
                <w:color w:val="auto"/>
                <w:szCs w:val="21"/>
                <w:highlight w:val="none"/>
              </w:rPr>
            </w:pPr>
          </w:p>
        </w:tc>
      </w:tr>
      <w:tr w14:paraId="5DC13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2DEFBBEE">
            <w:pPr>
              <w:jc w:val="center"/>
              <w:rPr>
                <w:rFonts w:ascii="宋体" w:hAnsi="宋体"/>
                <w:color w:val="auto"/>
                <w:szCs w:val="21"/>
                <w:highlight w:val="none"/>
              </w:rPr>
            </w:pPr>
            <w:r>
              <w:rPr>
                <w:rFonts w:hint="eastAsia" w:ascii="宋体" w:hAnsi="宋体"/>
                <w:color w:val="auto"/>
                <w:szCs w:val="21"/>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F1B61E2">
            <w:pPr>
              <w:spacing w:line="276" w:lineRule="auto"/>
              <w:jc w:val="left"/>
              <w:rPr>
                <w:rFonts w:ascii="宋体" w:hAnsi="宋体"/>
                <w:color w:val="auto"/>
                <w:szCs w:val="21"/>
                <w:highlight w:val="none"/>
              </w:rPr>
            </w:pPr>
            <w:r>
              <w:rPr>
                <w:rFonts w:hint="eastAsia" w:ascii="宋体" w:hAnsi="宋体"/>
                <w:color w:val="auto"/>
                <w:szCs w:val="21"/>
                <w:highlight w:val="none"/>
              </w:rPr>
              <w:t>报价唯一</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67611F8D">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ED0F683">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top"/>
          </w:tcPr>
          <w:p w14:paraId="3A621AAF">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1747941">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5C1920C6">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461329FC">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80A3FEF">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ACE19F9">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14CF8FBF">
            <w:pPr>
              <w:rPr>
                <w:rFonts w:ascii="宋体" w:hAnsi="宋体"/>
                <w:color w:val="auto"/>
                <w:szCs w:val="21"/>
                <w:highlight w:val="none"/>
              </w:rPr>
            </w:pPr>
          </w:p>
        </w:tc>
      </w:tr>
      <w:tr w14:paraId="69A65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40DDF38">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4F94F92D">
            <w:pPr>
              <w:spacing w:line="276" w:lineRule="auto"/>
              <w:jc w:val="left"/>
              <w:rPr>
                <w:rFonts w:ascii="宋体" w:hAnsi="宋体"/>
                <w:color w:val="auto"/>
                <w:szCs w:val="21"/>
                <w:highlight w:val="none"/>
              </w:rPr>
            </w:pPr>
            <w:r>
              <w:rPr>
                <w:rFonts w:hint="eastAsia" w:ascii="宋体" w:hAnsi="宋体" w:eastAsia="宋体" w:cs="Times New Roman"/>
                <w:color w:val="auto"/>
                <w:szCs w:val="21"/>
                <w:highlight w:val="none"/>
              </w:rPr>
              <w:t>投标人与其他投标人加密打包投标文件电脑机器特征码</w:t>
            </w:r>
            <w:r>
              <w:rPr>
                <w:rFonts w:hint="eastAsia" w:ascii="宋体" w:hAnsi="宋体" w:eastAsia="宋体" w:cs="Times New Roman"/>
                <w:color w:val="auto"/>
                <w:szCs w:val="21"/>
                <w:highlight w:val="none"/>
                <w:lang w:eastAsia="zh-CN"/>
              </w:rPr>
              <w:t>不</w:t>
            </w:r>
            <w:r>
              <w:rPr>
                <w:rFonts w:hint="eastAsia" w:ascii="宋体" w:hAnsi="宋体" w:eastAsia="宋体" w:cs="Times New Roman"/>
                <w:color w:val="auto"/>
                <w:szCs w:val="21"/>
                <w:highlight w:val="none"/>
              </w:rPr>
              <w:t>一致的</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4FF851A3">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E134AA9">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top"/>
          </w:tcPr>
          <w:p w14:paraId="3F505C6F">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C30207B">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40512E49">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1A8CD8A3">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FA2C231">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4D05B6D">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1F58A008">
            <w:pPr>
              <w:rPr>
                <w:rFonts w:ascii="宋体" w:hAnsi="宋体"/>
                <w:color w:val="auto"/>
                <w:szCs w:val="21"/>
                <w:highlight w:val="none"/>
              </w:rPr>
            </w:pPr>
          </w:p>
        </w:tc>
      </w:tr>
      <w:tr w14:paraId="1BF1D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C20917B">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8630FAD">
            <w:pPr>
              <w:spacing w:line="276" w:lineRule="auto"/>
              <w:jc w:val="left"/>
              <w:rPr>
                <w:rFonts w:hint="eastAsia" w:ascii="宋体" w:hAnsi="宋体"/>
                <w:color w:val="auto"/>
                <w:szCs w:val="21"/>
                <w:highlight w:val="none"/>
              </w:rPr>
            </w:pPr>
            <w:r>
              <w:rPr>
                <w:rFonts w:hint="eastAsia" w:ascii="宋体" w:hAnsi="宋体" w:eastAsia="宋体" w:cs="Times New Roman"/>
                <w:color w:val="auto"/>
                <w:szCs w:val="21"/>
                <w:highlight w:val="none"/>
              </w:rPr>
              <w:t>投标人与其他投标人</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投标文件</w:t>
            </w:r>
            <w:r>
              <w:rPr>
                <w:rFonts w:hint="eastAsia" w:ascii="宋体" w:hAnsi="宋体" w:eastAsia="宋体" w:cs="Times New Roman"/>
                <w:color w:val="auto"/>
                <w:szCs w:val="21"/>
                <w:highlight w:val="none"/>
                <w:lang w:eastAsia="zh-CN"/>
              </w:rPr>
              <w:t>工程量清单编制机器硬件信息不</w:t>
            </w:r>
            <w:r>
              <w:rPr>
                <w:rFonts w:hint="eastAsia" w:ascii="宋体" w:hAnsi="宋体" w:eastAsia="宋体" w:cs="Times New Roman"/>
                <w:color w:val="auto"/>
                <w:szCs w:val="21"/>
                <w:highlight w:val="none"/>
              </w:rPr>
              <w:t>一致的</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3DB95777">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8D5B76C">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top"/>
          </w:tcPr>
          <w:p w14:paraId="3981C7D1">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0547C0B">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2A14BF67">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1AF5D53F">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56F6DBA4">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4D520160">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2A3870F">
            <w:pPr>
              <w:rPr>
                <w:rFonts w:ascii="宋体" w:hAnsi="宋体"/>
                <w:color w:val="auto"/>
                <w:szCs w:val="21"/>
                <w:highlight w:val="none"/>
              </w:rPr>
            </w:pPr>
          </w:p>
        </w:tc>
      </w:tr>
      <w:tr w14:paraId="709C1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66DD4EE">
            <w:pPr>
              <w:jc w:val="center"/>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15B65E9">
            <w:pPr>
              <w:jc w:val="center"/>
              <w:rPr>
                <w:rFonts w:hint="eastAsia" w:ascii="宋体" w:hAnsi="宋体"/>
                <w:color w:val="auto"/>
                <w:szCs w:val="21"/>
                <w:highlight w:val="none"/>
              </w:rPr>
            </w:pPr>
            <w:r>
              <w:rPr>
                <w:rFonts w:hint="eastAsia" w:ascii="宋体" w:hAnsi="宋体"/>
                <w:color w:val="auto"/>
                <w:szCs w:val="21"/>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3192607E">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5D3AA2D">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top"/>
          </w:tcPr>
          <w:p w14:paraId="589C5468">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557AF07A">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7147D26B">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71C6B186">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7134C05">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58D6C935">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1D77A997">
            <w:pPr>
              <w:rPr>
                <w:rFonts w:ascii="宋体" w:hAnsi="宋体"/>
                <w:color w:val="auto"/>
                <w:szCs w:val="21"/>
                <w:highlight w:val="none"/>
              </w:rPr>
            </w:pPr>
          </w:p>
        </w:tc>
      </w:tr>
    </w:tbl>
    <w:p w14:paraId="3F9F1E2C">
      <w:pPr>
        <w:spacing w:line="276" w:lineRule="auto"/>
        <w:rPr>
          <w:rFonts w:ascii="宋体" w:hAnsi="宋体"/>
          <w:color w:val="auto"/>
          <w:szCs w:val="24"/>
          <w:highlight w:val="none"/>
        </w:rPr>
      </w:pPr>
      <w:r>
        <w:rPr>
          <w:rFonts w:hint="eastAsia" w:ascii="宋体" w:hAnsi="宋体"/>
          <w:color w:val="auto"/>
          <w:szCs w:val="24"/>
          <w:highlight w:val="none"/>
        </w:rPr>
        <w:t>注：表格最终以</w:t>
      </w:r>
      <w:r>
        <w:rPr>
          <w:rFonts w:hint="eastAsia" w:ascii="宋体" w:hAnsi="宋体"/>
          <w:color w:val="auto"/>
          <w:szCs w:val="24"/>
          <w:highlight w:val="none"/>
          <w:u w:val="single"/>
        </w:rPr>
        <w:t>广州交易集团有限公司（</w:t>
      </w:r>
      <w:r>
        <w:rPr>
          <w:rFonts w:hint="eastAsia" w:ascii="宋体" w:hAnsi="宋体"/>
          <w:color w:val="auto"/>
          <w:szCs w:val="24"/>
          <w:highlight w:val="none"/>
          <w:u w:val="single"/>
          <w:lang w:eastAsia="zh-CN"/>
        </w:rPr>
        <w:t>广州交易集团有限公司（广州公共资源交易中心）</w:t>
      </w:r>
      <w:r>
        <w:rPr>
          <w:rFonts w:hint="eastAsia" w:ascii="宋体" w:hAnsi="宋体"/>
          <w:color w:val="auto"/>
          <w:szCs w:val="24"/>
          <w:highlight w:val="none"/>
          <w:u w:val="single"/>
        </w:rPr>
        <w:t>）</w:t>
      </w:r>
      <w:r>
        <w:rPr>
          <w:rFonts w:hint="eastAsia" w:ascii="宋体" w:hAnsi="宋体"/>
          <w:color w:val="auto"/>
          <w:szCs w:val="24"/>
          <w:highlight w:val="none"/>
        </w:rPr>
        <w:t>系统生成的为准。</w:t>
      </w:r>
    </w:p>
    <w:p w14:paraId="5E3FFCBD">
      <w:pPr>
        <w:pStyle w:val="3"/>
        <w:rPr>
          <w:color w:val="auto"/>
          <w:highlight w:val="none"/>
        </w:rPr>
        <w:sectPr>
          <w:pgSz w:w="16838" w:h="11906" w:orient="landscape"/>
          <w:pgMar w:top="1797" w:right="1440" w:bottom="1797" w:left="1440" w:header="851" w:footer="992" w:gutter="0"/>
          <w:pgNumType w:fmt="decimal"/>
          <w:cols w:space="720" w:num="1"/>
          <w:docGrid w:linePitch="312" w:charSpace="0"/>
        </w:sectPr>
      </w:pPr>
    </w:p>
    <w:p w14:paraId="2DA16402">
      <w:pPr>
        <w:pStyle w:val="27"/>
        <w:rPr>
          <w:color w:val="auto"/>
          <w:highlight w:val="none"/>
        </w:rPr>
      </w:pPr>
      <w:bookmarkStart w:id="234" w:name="_Toc25458"/>
      <w:r>
        <w:rPr>
          <w:rFonts w:hint="eastAsia"/>
          <w:color w:val="auto"/>
          <w:highlight w:val="none"/>
        </w:rPr>
        <w:t>附表3：响应性</w:t>
      </w:r>
      <w:r>
        <w:rPr>
          <w:color w:val="auto"/>
          <w:highlight w:val="none"/>
        </w:rPr>
        <w:t>评审记录表</w:t>
      </w:r>
      <w:r>
        <w:rPr>
          <w:rFonts w:hint="eastAsia"/>
          <w:color w:val="auto"/>
          <w:highlight w:val="none"/>
        </w:rPr>
        <w:t>（格式）</w:t>
      </w:r>
      <w:bookmarkEnd w:id="234"/>
    </w:p>
    <w:p w14:paraId="4A3530D3">
      <w:pPr>
        <w:jc w:val="center"/>
        <w:rPr>
          <w:rFonts w:ascii="宋体" w:hAnsi="宋体"/>
          <w:b/>
          <w:color w:val="auto"/>
          <w:sz w:val="30"/>
          <w:szCs w:val="30"/>
          <w:highlight w:val="none"/>
        </w:rPr>
      </w:pPr>
      <w:r>
        <w:rPr>
          <w:rFonts w:hint="eastAsia" w:ascii="宋体" w:hAnsi="宋体"/>
          <w:b/>
          <w:color w:val="auto"/>
          <w:sz w:val="30"/>
          <w:szCs w:val="30"/>
          <w:highlight w:val="none"/>
        </w:rPr>
        <w:t>响应性</w:t>
      </w:r>
      <w:r>
        <w:rPr>
          <w:rFonts w:ascii="宋体" w:hAnsi="宋体"/>
          <w:b/>
          <w:color w:val="auto"/>
          <w:sz w:val="30"/>
          <w:szCs w:val="30"/>
          <w:highlight w:val="none"/>
        </w:rPr>
        <w:t>评审</w:t>
      </w:r>
      <w:r>
        <w:rPr>
          <w:rFonts w:hint="eastAsia" w:ascii="宋体" w:hAnsi="宋体"/>
          <w:b/>
          <w:color w:val="auto"/>
          <w:sz w:val="30"/>
          <w:szCs w:val="30"/>
          <w:highlight w:val="none"/>
        </w:rPr>
        <w:t>个人</w:t>
      </w:r>
      <w:r>
        <w:rPr>
          <w:rFonts w:ascii="宋体" w:hAnsi="宋体"/>
          <w:b/>
          <w:color w:val="auto"/>
          <w:sz w:val="30"/>
          <w:szCs w:val="30"/>
          <w:highlight w:val="none"/>
        </w:rPr>
        <w:t>表</w:t>
      </w:r>
    </w:p>
    <w:p w14:paraId="5EA28746">
      <w:pPr>
        <w:rPr>
          <w:rFonts w:ascii="宋体" w:hAnsi="宋体"/>
          <w:color w:val="auto"/>
          <w:highlight w:val="none"/>
        </w:rPr>
      </w:pPr>
      <w:r>
        <w:rPr>
          <w:rFonts w:hint="eastAsia" w:ascii="宋体" w:hAnsi="宋体"/>
          <w:color w:val="auto"/>
          <w:highlight w:val="none"/>
        </w:rPr>
        <w:t>项目编号：</w:t>
      </w:r>
    </w:p>
    <w:p w14:paraId="56386914">
      <w:pPr>
        <w:rPr>
          <w:rFonts w:ascii="宋体" w:hAnsi="宋体"/>
          <w:color w:val="auto"/>
          <w:highlight w:val="none"/>
        </w:rPr>
      </w:pPr>
      <w:r>
        <w:rPr>
          <w:rFonts w:hint="eastAsia" w:ascii="宋体" w:hAnsi="宋体"/>
          <w:color w:val="auto"/>
          <w:highlight w:val="none"/>
        </w:rPr>
        <w:t>项目名称：</w:t>
      </w:r>
    </w:p>
    <w:tbl>
      <w:tblPr>
        <w:tblStyle w:val="17"/>
        <w:tblpPr w:leftFromText="180" w:rightFromText="180" w:vertAnchor="text" w:tblpXSpec="center" w:tblpY="1"/>
        <w:tblOverlap w:val="never"/>
        <w:tblW w:w="138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428"/>
        <w:gridCol w:w="1843"/>
        <w:gridCol w:w="1701"/>
        <w:gridCol w:w="1559"/>
        <w:gridCol w:w="1843"/>
        <w:gridCol w:w="1843"/>
        <w:gridCol w:w="1842"/>
        <w:gridCol w:w="9"/>
      </w:tblGrid>
      <w:tr w14:paraId="0985D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8" w:type="dxa"/>
            <w:vMerge w:val="restart"/>
            <w:tcBorders>
              <w:top w:val="single" w:color="auto" w:sz="4" w:space="0"/>
              <w:left w:val="single" w:color="auto" w:sz="4" w:space="0"/>
              <w:right w:val="single" w:color="auto" w:sz="4" w:space="0"/>
            </w:tcBorders>
            <w:noWrap w:val="0"/>
            <w:vAlign w:val="center"/>
          </w:tcPr>
          <w:p w14:paraId="445FD05A">
            <w:pPr>
              <w:jc w:val="center"/>
              <w:rPr>
                <w:rFonts w:ascii="宋体" w:hAnsi="宋体"/>
                <w:b/>
                <w:color w:val="auto"/>
                <w:szCs w:val="21"/>
                <w:highlight w:val="none"/>
              </w:rPr>
            </w:pPr>
            <w:r>
              <w:rPr>
                <w:rFonts w:hint="eastAsia" w:ascii="宋体" w:hAnsi="宋体"/>
                <w:b/>
                <w:color w:val="auto"/>
                <w:szCs w:val="21"/>
                <w:highlight w:val="none"/>
              </w:rPr>
              <w:t>序号</w:t>
            </w:r>
          </w:p>
        </w:tc>
        <w:tc>
          <w:tcPr>
            <w:tcW w:w="2428" w:type="dxa"/>
            <w:vMerge w:val="restart"/>
            <w:tcBorders>
              <w:top w:val="single" w:color="auto" w:sz="4" w:space="0"/>
              <w:left w:val="single" w:color="auto" w:sz="4" w:space="0"/>
              <w:right w:val="single" w:color="auto" w:sz="4" w:space="0"/>
            </w:tcBorders>
            <w:noWrap w:val="0"/>
            <w:vAlign w:val="center"/>
          </w:tcPr>
          <w:p w14:paraId="3DA8C3B8">
            <w:pPr>
              <w:jc w:val="center"/>
              <w:rPr>
                <w:rFonts w:ascii="宋体" w:hAnsi="宋体"/>
                <w:b/>
                <w:color w:val="auto"/>
                <w:szCs w:val="21"/>
                <w:highlight w:val="none"/>
              </w:rPr>
            </w:pPr>
            <w:r>
              <w:rPr>
                <w:rFonts w:hint="eastAsia" w:ascii="宋体" w:hAnsi="宋体"/>
                <w:b/>
                <w:color w:val="auto"/>
                <w:szCs w:val="21"/>
                <w:highlight w:val="none"/>
              </w:rPr>
              <w:t>评审因素</w:t>
            </w:r>
          </w:p>
        </w:tc>
        <w:tc>
          <w:tcPr>
            <w:tcW w:w="10640" w:type="dxa"/>
            <w:gridSpan w:val="7"/>
            <w:tcBorders>
              <w:top w:val="single" w:color="auto" w:sz="4" w:space="0"/>
              <w:left w:val="single" w:color="auto" w:sz="4" w:space="0"/>
              <w:bottom w:val="single" w:color="auto" w:sz="4" w:space="0"/>
              <w:right w:val="single" w:color="auto" w:sz="4" w:space="0"/>
            </w:tcBorders>
            <w:noWrap w:val="0"/>
            <w:vAlign w:val="center"/>
          </w:tcPr>
          <w:p w14:paraId="28FA6802">
            <w:pPr>
              <w:jc w:val="center"/>
              <w:rPr>
                <w:rFonts w:ascii="宋体" w:hAnsi="宋体"/>
                <w:b/>
                <w:color w:val="auto"/>
                <w:szCs w:val="21"/>
                <w:highlight w:val="none"/>
              </w:rPr>
            </w:pPr>
            <w:r>
              <w:rPr>
                <w:rFonts w:hint="eastAsia" w:ascii="宋体" w:hAnsi="宋体"/>
                <w:b/>
                <w:color w:val="auto"/>
                <w:szCs w:val="21"/>
                <w:highlight w:val="none"/>
              </w:rPr>
              <w:t>投标单位名称及评审意见</w:t>
            </w:r>
          </w:p>
        </w:tc>
      </w:tr>
      <w:tr w14:paraId="24D61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2CFEDB20">
            <w:pPr>
              <w:jc w:val="center"/>
              <w:rPr>
                <w:rFonts w:ascii="宋体" w:hAnsi="宋体"/>
                <w:b/>
                <w:color w:val="auto"/>
                <w:szCs w:val="21"/>
                <w:highlight w:val="none"/>
              </w:rPr>
            </w:pPr>
          </w:p>
        </w:tc>
        <w:tc>
          <w:tcPr>
            <w:tcW w:w="2428" w:type="dxa"/>
            <w:vMerge w:val="continue"/>
            <w:tcBorders>
              <w:left w:val="single" w:color="auto" w:sz="4" w:space="0"/>
              <w:bottom w:val="single" w:color="auto" w:sz="4" w:space="0"/>
              <w:right w:val="single" w:color="auto" w:sz="4" w:space="0"/>
            </w:tcBorders>
            <w:noWrap w:val="0"/>
            <w:vAlign w:val="center"/>
          </w:tcPr>
          <w:p w14:paraId="68FE5E8F">
            <w:pPr>
              <w:jc w:val="center"/>
              <w:rPr>
                <w:rFonts w:ascii="宋体" w:hAnsi="宋体"/>
                <w:b/>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48C50BC">
            <w:pPr>
              <w:jc w:val="center"/>
              <w:rPr>
                <w:rFonts w:ascii="宋体" w:hAnsi="宋体"/>
                <w:b/>
                <w:color w:val="auto"/>
                <w:szCs w:val="21"/>
                <w:highlight w:val="none"/>
              </w:rPr>
            </w:pPr>
            <w:r>
              <w:rPr>
                <w:rFonts w:hint="eastAsia" w:ascii="宋体" w:hAnsi="宋体"/>
                <w:b/>
                <w:color w:val="auto"/>
                <w:szCs w:val="21"/>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F4A7BC">
            <w:pPr>
              <w:jc w:val="center"/>
              <w:rPr>
                <w:rFonts w:ascii="宋体" w:hAnsi="宋体"/>
                <w:b/>
                <w:color w:val="auto"/>
                <w:szCs w:val="21"/>
                <w:highlight w:val="none"/>
              </w:rPr>
            </w:pPr>
            <w:r>
              <w:rPr>
                <w:rFonts w:hint="eastAsia" w:ascii="宋体" w:hAnsi="宋体"/>
                <w:b/>
                <w:color w:val="auto"/>
                <w:szCs w:val="21"/>
                <w:highlight w:val="none"/>
              </w:rPr>
              <w:t>投标人二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47DF1AF">
            <w:pPr>
              <w:jc w:val="center"/>
              <w:rPr>
                <w:rFonts w:ascii="宋体" w:hAnsi="宋体"/>
                <w:b/>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D60D58B">
            <w:pPr>
              <w:jc w:val="center"/>
              <w:rPr>
                <w:rFonts w:ascii="宋体" w:hAnsi="宋体"/>
                <w:b/>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76F7E0">
            <w:pPr>
              <w:jc w:val="center"/>
              <w:rPr>
                <w:rFonts w:ascii="宋体" w:hAnsi="宋体"/>
                <w:b/>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04D9D31">
            <w:pPr>
              <w:jc w:val="center"/>
              <w:rPr>
                <w:rFonts w:ascii="宋体" w:hAnsi="宋体"/>
                <w:b/>
                <w:color w:val="auto"/>
                <w:szCs w:val="21"/>
                <w:highlight w:val="none"/>
              </w:rPr>
            </w:pPr>
          </w:p>
        </w:tc>
      </w:tr>
      <w:tr w14:paraId="4721A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AA10366">
            <w:pPr>
              <w:jc w:val="center"/>
              <w:rPr>
                <w:rFonts w:ascii="宋体" w:hAnsi="宋体"/>
                <w:color w:val="auto"/>
                <w:szCs w:val="21"/>
                <w:highlight w:val="none"/>
              </w:rPr>
            </w:pPr>
            <w:r>
              <w:rPr>
                <w:rFonts w:hint="eastAsia" w:ascii="宋体" w:hAnsi="宋体"/>
                <w:color w:val="auto"/>
                <w:szCs w:val="21"/>
                <w:highlight w:val="none"/>
              </w:rPr>
              <w:t>1</w:t>
            </w:r>
          </w:p>
        </w:tc>
        <w:tc>
          <w:tcPr>
            <w:tcW w:w="2428" w:type="dxa"/>
            <w:tcBorders>
              <w:top w:val="single" w:color="auto" w:sz="4" w:space="0"/>
              <w:left w:val="single" w:color="auto" w:sz="4" w:space="0"/>
              <w:bottom w:val="single" w:color="auto" w:sz="4" w:space="0"/>
              <w:right w:val="single" w:color="auto" w:sz="4" w:space="0"/>
            </w:tcBorders>
            <w:noWrap w:val="0"/>
            <w:vAlign w:val="center"/>
          </w:tcPr>
          <w:p w14:paraId="76FD9B3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hAnsi="宋体"/>
                <w:color w:val="auto"/>
                <w:szCs w:val="21"/>
                <w:highlight w:val="none"/>
              </w:rPr>
            </w:pPr>
            <w:r>
              <w:rPr>
                <w:rFonts w:hint="eastAsia" w:ascii="宋体" w:hAnsi="宋体" w:eastAsia="宋体" w:cs="宋体"/>
                <w:color w:val="auto"/>
                <w:szCs w:val="21"/>
                <w:highlight w:val="none"/>
              </w:rPr>
              <w:t>投标报价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5B91F1">
            <w:pPr>
              <w:jc w:val="center"/>
              <w:rPr>
                <w:rFonts w:ascii="宋体" w:hAnsi="宋体"/>
                <w:color w:val="auto"/>
                <w:szCs w:val="21"/>
                <w:highlight w:val="none"/>
              </w:rPr>
            </w:pPr>
            <w:r>
              <w:rPr>
                <w:rFonts w:hint="eastAsia" w:ascii="宋体" w:hAnsi="宋体"/>
                <w:color w:val="auto"/>
                <w:szCs w:val="21"/>
                <w:highlight w:val="none"/>
              </w:rPr>
              <w:t>通过或不通过</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89659AB">
            <w:pPr>
              <w:jc w:val="center"/>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6D0F66A">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F30F977">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F28E463">
            <w:pPr>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EADCD25">
            <w:pPr>
              <w:jc w:val="center"/>
              <w:rPr>
                <w:rFonts w:ascii="宋体" w:hAnsi="宋体"/>
                <w:color w:val="auto"/>
                <w:szCs w:val="21"/>
                <w:highlight w:val="none"/>
              </w:rPr>
            </w:pPr>
          </w:p>
        </w:tc>
      </w:tr>
      <w:tr w14:paraId="41688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B49614E">
            <w:pPr>
              <w:jc w:val="center"/>
              <w:rPr>
                <w:rFonts w:ascii="宋体" w:hAnsi="宋体"/>
                <w:color w:val="auto"/>
                <w:szCs w:val="21"/>
                <w:highlight w:val="none"/>
              </w:rPr>
            </w:pPr>
            <w:r>
              <w:rPr>
                <w:rFonts w:hint="eastAsia" w:ascii="宋体" w:hAnsi="宋体"/>
                <w:color w:val="auto"/>
                <w:szCs w:val="21"/>
                <w:highlight w:val="none"/>
              </w:rPr>
              <w:t>2</w:t>
            </w:r>
          </w:p>
        </w:tc>
        <w:tc>
          <w:tcPr>
            <w:tcW w:w="2428" w:type="dxa"/>
            <w:tcBorders>
              <w:top w:val="single" w:color="auto" w:sz="4" w:space="0"/>
              <w:left w:val="single" w:color="auto" w:sz="4" w:space="0"/>
              <w:bottom w:val="single" w:color="auto" w:sz="4" w:space="0"/>
              <w:right w:val="single" w:color="auto" w:sz="4" w:space="0"/>
            </w:tcBorders>
            <w:noWrap w:val="0"/>
            <w:vAlign w:val="center"/>
          </w:tcPr>
          <w:p w14:paraId="64813285">
            <w:pPr>
              <w:spacing w:line="276" w:lineRule="auto"/>
              <w:jc w:val="center"/>
              <w:rPr>
                <w:rFonts w:ascii="宋体" w:hAnsi="宋体"/>
                <w:color w:val="auto"/>
                <w:szCs w:val="21"/>
                <w:highlight w:val="none"/>
              </w:rPr>
            </w:pPr>
            <w:r>
              <w:rPr>
                <w:rFonts w:hint="eastAsia" w:ascii="宋体" w:hAnsi="宋体"/>
                <w:color w:val="auto"/>
                <w:szCs w:val="21"/>
                <w:highlight w:val="none"/>
              </w:rPr>
              <w:t>投标内容</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E6D4D6">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FB487F">
            <w:pPr>
              <w:jc w:val="center"/>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A9C4F52">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BE08C72">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4F0A75D">
            <w:pPr>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B19161B">
            <w:pPr>
              <w:jc w:val="center"/>
              <w:rPr>
                <w:rFonts w:ascii="宋体" w:hAnsi="宋体"/>
                <w:color w:val="auto"/>
                <w:szCs w:val="21"/>
                <w:highlight w:val="none"/>
              </w:rPr>
            </w:pPr>
          </w:p>
        </w:tc>
      </w:tr>
      <w:tr w14:paraId="12C52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C1A8C4E">
            <w:pPr>
              <w:jc w:val="center"/>
              <w:rPr>
                <w:rFonts w:ascii="宋体" w:hAnsi="宋体"/>
                <w:color w:val="auto"/>
                <w:szCs w:val="21"/>
                <w:highlight w:val="none"/>
              </w:rPr>
            </w:pPr>
            <w:r>
              <w:rPr>
                <w:rFonts w:hint="eastAsia" w:ascii="宋体" w:hAnsi="宋体"/>
                <w:color w:val="auto"/>
                <w:szCs w:val="21"/>
                <w:highlight w:val="none"/>
              </w:rPr>
              <w:t>3</w:t>
            </w:r>
          </w:p>
        </w:tc>
        <w:tc>
          <w:tcPr>
            <w:tcW w:w="2428" w:type="dxa"/>
            <w:tcBorders>
              <w:top w:val="single" w:color="auto" w:sz="4" w:space="0"/>
              <w:left w:val="single" w:color="auto" w:sz="4" w:space="0"/>
              <w:bottom w:val="single" w:color="auto" w:sz="4" w:space="0"/>
              <w:right w:val="single" w:color="auto" w:sz="4" w:space="0"/>
            </w:tcBorders>
            <w:noWrap w:val="0"/>
            <w:vAlign w:val="center"/>
          </w:tcPr>
          <w:p w14:paraId="0216F6F7">
            <w:pPr>
              <w:spacing w:line="276" w:lineRule="auto"/>
              <w:jc w:val="center"/>
              <w:rPr>
                <w:rFonts w:ascii="宋体" w:hAnsi="宋体"/>
                <w:color w:val="auto"/>
                <w:szCs w:val="21"/>
                <w:highlight w:val="none"/>
              </w:rPr>
            </w:pPr>
            <w:r>
              <w:rPr>
                <w:rFonts w:ascii="宋体" w:hAnsi="宋体"/>
                <w:color w:val="auto"/>
                <w:szCs w:val="21"/>
                <w:highlight w:val="none"/>
              </w:rPr>
              <w:t>工期</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475F66D">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AC786D">
            <w:pPr>
              <w:jc w:val="center"/>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A37C7F0">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AD77571">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750AA14">
            <w:pPr>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3A46648">
            <w:pPr>
              <w:jc w:val="center"/>
              <w:rPr>
                <w:rFonts w:ascii="宋体" w:hAnsi="宋体"/>
                <w:color w:val="auto"/>
                <w:szCs w:val="21"/>
                <w:highlight w:val="none"/>
              </w:rPr>
            </w:pPr>
          </w:p>
        </w:tc>
      </w:tr>
      <w:tr w14:paraId="56582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72E98D4">
            <w:pPr>
              <w:jc w:val="center"/>
              <w:rPr>
                <w:rFonts w:ascii="宋体" w:hAnsi="宋体"/>
                <w:color w:val="auto"/>
                <w:szCs w:val="21"/>
                <w:highlight w:val="none"/>
              </w:rPr>
            </w:pPr>
            <w:r>
              <w:rPr>
                <w:rFonts w:hint="eastAsia" w:ascii="宋体" w:hAnsi="宋体"/>
                <w:color w:val="auto"/>
                <w:szCs w:val="21"/>
                <w:highlight w:val="none"/>
              </w:rPr>
              <w:t>4</w:t>
            </w:r>
          </w:p>
        </w:tc>
        <w:tc>
          <w:tcPr>
            <w:tcW w:w="2428" w:type="dxa"/>
            <w:tcBorders>
              <w:top w:val="single" w:color="auto" w:sz="4" w:space="0"/>
              <w:left w:val="single" w:color="auto" w:sz="4" w:space="0"/>
              <w:bottom w:val="single" w:color="auto" w:sz="4" w:space="0"/>
              <w:right w:val="single" w:color="auto" w:sz="4" w:space="0"/>
            </w:tcBorders>
            <w:noWrap w:val="0"/>
            <w:vAlign w:val="center"/>
          </w:tcPr>
          <w:p w14:paraId="2259EA61">
            <w:pPr>
              <w:spacing w:line="276" w:lineRule="auto"/>
              <w:jc w:val="center"/>
              <w:rPr>
                <w:rFonts w:ascii="宋体" w:hAnsi="宋体"/>
                <w:color w:val="auto"/>
                <w:szCs w:val="21"/>
                <w:highlight w:val="none"/>
              </w:rPr>
            </w:pPr>
            <w:r>
              <w:rPr>
                <w:rFonts w:ascii="宋体" w:hAnsi="宋体"/>
                <w:color w:val="auto"/>
                <w:szCs w:val="21"/>
                <w:highlight w:val="none"/>
              </w:rPr>
              <w:t>工程质量</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F0888BA">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BB54C4">
            <w:pPr>
              <w:jc w:val="center"/>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999C391">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4F30F3">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FF949CF">
            <w:pPr>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4A8A8D4">
            <w:pPr>
              <w:jc w:val="center"/>
              <w:rPr>
                <w:rFonts w:ascii="宋体" w:hAnsi="宋体"/>
                <w:color w:val="auto"/>
                <w:szCs w:val="21"/>
                <w:highlight w:val="none"/>
              </w:rPr>
            </w:pPr>
          </w:p>
        </w:tc>
      </w:tr>
      <w:tr w14:paraId="22740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317C116">
            <w:pPr>
              <w:jc w:val="center"/>
              <w:rPr>
                <w:rFonts w:ascii="宋体" w:hAnsi="宋体"/>
                <w:color w:val="auto"/>
                <w:szCs w:val="21"/>
                <w:highlight w:val="none"/>
              </w:rPr>
            </w:pPr>
            <w:r>
              <w:rPr>
                <w:rFonts w:hint="eastAsia" w:ascii="宋体" w:hAnsi="宋体"/>
                <w:color w:val="auto"/>
                <w:szCs w:val="21"/>
                <w:highlight w:val="none"/>
              </w:rPr>
              <w:t>5</w:t>
            </w:r>
          </w:p>
        </w:tc>
        <w:tc>
          <w:tcPr>
            <w:tcW w:w="2428" w:type="dxa"/>
            <w:tcBorders>
              <w:top w:val="single" w:color="auto" w:sz="4" w:space="0"/>
              <w:left w:val="single" w:color="auto" w:sz="4" w:space="0"/>
              <w:bottom w:val="single" w:color="auto" w:sz="4" w:space="0"/>
              <w:right w:val="single" w:color="auto" w:sz="4" w:space="0"/>
            </w:tcBorders>
            <w:noWrap w:val="0"/>
            <w:vAlign w:val="center"/>
          </w:tcPr>
          <w:p w14:paraId="17F45CB1">
            <w:pPr>
              <w:spacing w:line="276"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A4E5C8F">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25AD465">
            <w:pPr>
              <w:jc w:val="center"/>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F7492AB">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3D43A8">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05EAAC">
            <w:pPr>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6E046A4">
            <w:pPr>
              <w:jc w:val="center"/>
              <w:rPr>
                <w:rFonts w:ascii="宋体" w:hAnsi="宋体"/>
                <w:color w:val="auto"/>
                <w:szCs w:val="21"/>
                <w:highlight w:val="none"/>
              </w:rPr>
            </w:pPr>
          </w:p>
        </w:tc>
      </w:tr>
      <w:tr w14:paraId="41EC9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7D4675B">
            <w:pPr>
              <w:jc w:val="center"/>
              <w:rPr>
                <w:rFonts w:ascii="宋体" w:hAnsi="宋体"/>
                <w:strike/>
                <w:color w:val="auto"/>
                <w:szCs w:val="21"/>
                <w:highlight w:val="none"/>
              </w:rPr>
            </w:pPr>
            <w:r>
              <w:rPr>
                <w:rFonts w:hint="eastAsia" w:ascii="宋体" w:hAnsi="宋体"/>
                <w:strike/>
                <w:color w:val="auto"/>
                <w:szCs w:val="21"/>
                <w:highlight w:val="none"/>
              </w:rPr>
              <w:t>6</w:t>
            </w:r>
          </w:p>
        </w:tc>
        <w:tc>
          <w:tcPr>
            <w:tcW w:w="2428" w:type="dxa"/>
            <w:tcBorders>
              <w:top w:val="single" w:color="auto" w:sz="4" w:space="0"/>
              <w:left w:val="single" w:color="auto" w:sz="4" w:space="0"/>
              <w:bottom w:val="single" w:color="auto" w:sz="4" w:space="0"/>
              <w:right w:val="single" w:color="auto" w:sz="4" w:space="0"/>
            </w:tcBorders>
            <w:noWrap w:val="0"/>
            <w:vAlign w:val="center"/>
          </w:tcPr>
          <w:p w14:paraId="170A1F74">
            <w:pPr>
              <w:spacing w:line="360" w:lineRule="auto"/>
              <w:jc w:val="center"/>
              <w:rPr>
                <w:rFonts w:ascii="宋体" w:hAnsi="宋体"/>
                <w:strike/>
                <w:color w:val="auto"/>
                <w:szCs w:val="21"/>
                <w:highlight w:val="none"/>
              </w:rPr>
            </w:pPr>
            <w:r>
              <w:rPr>
                <w:strike/>
                <w:color w:val="auto"/>
                <w:szCs w:val="21"/>
                <w:highlight w:val="none"/>
              </w:rPr>
              <w:t>投标保证金</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7DBC7E">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635655">
            <w:pPr>
              <w:jc w:val="center"/>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20A03E2">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26D79DC">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EBF26E8">
            <w:pPr>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3AD4594">
            <w:pPr>
              <w:jc w:val="center"/>
              <w:rPr>
                <w:rFonts w:ascii="宋体" w:hAnsi="宋体"/>
                <w:color w:val="auto"/>
                <w:szCs w:val="21"/>
                <w:highlight w:val="none"/>
              </w:rPr>
            </w:pPr>
          </w:p>
        </w:tc>
      </w:tr>
      <w:tr w14:paraId="492D4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E991ACF">
            <w:pPr>
              <w:jc w:val="center"/>
              <w:rPr>
                <w:rFonts w:ascii="宋体" w:hAnsi="宋体"/>
                <w:color w:val="auto"/>
                <w:szCs w:val="21"/>
                <w:highlight w:val="none"/>
              </w:rPr>
            </w:pPr>
            <w:r>
              <w:rPr>
                <w:rFonts w:hint="eastAsia" w:ascii="宋体" w:hAnsi="宋体"/>
                <w:color w:val="auto"/>
                <w:szCs w:val="21"/>
                <w:highlight w:val="none"/>
              </w:rPr>
              <w:t>7</w:t>
            </w:r>
          </w:p>
        </w:tc>
        <w:tc>
          <w:tcPr>
            <w:tcW w:w="2428" w:type="dxa"/>
            <w:tcBorders>
              <w:top w:val="single" w:color="auto" w:sz="4" w:space="0"/>
              <w:left w:val="single" w:color="auto" w:sz="4" w:space="0"/>
              <w:bottom w:val="single" w:color="auto" w:sz="4" w:space="0"/>
              <w:right w:val="single" w:color="auto" w:sz="4" w:space="0"/>
            </w:tcBorders>
            <w:noWrap w:val="0"/>
            <w:vAlign w:val="center"/>
          </w:tcPr>
          <w:p w14:paraId="15F2324F">
            <w:pPr>
              <w:spacing w:line="276" w:lineRule="auto"/>
              <w:jc w:val="center"/>
              <w:rPr>
                <w:rFonts w:ascii="宋体" w:hAnsi="宋体"/>
                <w:color w:val="auto"/>
                <w:szCs w:val="21"/>
                <w:highlight w:val="none"/>
              </w:rPr>
            </w:pPr>
            <w:r>
              <w:rPr>
                <w:rFonts w:ascii="宋体" w:hAnsi="宋体"/>
                <w:color w:val="auto"/>
                <w:szCs w:val="21"/>
                <w:highlight w:val="none"/>
              </w:rPr>
              <w:t>已标价工程量清单</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16673A8">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D9A5BE">
            <w:pPr>
              <w:jc w:val="center"/>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839B959">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FEB29B">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337EA4E">
            <w:pPr>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81F71DC">
            <w:pPr>
              <w:jc w:val="center"/>
              <w:rPr>
                <w:rFonts w:ascii="宋体" w:hAnsi="宋体"/>
                <w:color w:val="auto"/>
                <w:szCs w:val="21"/>
                <w:highlight w:val="none"/>
              </w:rPr>
            </w:pPr>
          </w:p>
        </w:tc>
      </w:tr>
      <w:tr w14:paraId="2F13F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3F3474C">
            <w:pPr>
              <w:jc w:val="center"/>
              <w:rPr>
                <w:rFonts w:ascii="宋体" w:hAnsi="宋体"/>
                <w:color w:val="auto"/>
                <w:szCs w:val="21"/>
                <w:highlight w:val="none"/>
              </w:rPr>
            </w:pPr>
            <w:r>
              <w:rPr>
                <w:rFonts w:hint="eastAsia" w:ascii="宋体" w:hAnsi="宋体"/>
                <w:color w:val="auto"/>
                <w:szCs w:val="21"/>
                <w:highlight w:val="none"/>
              </w:rPr>
              <w:t>8</w:t>
            </w:r>
          </w:p>
        </w:tc>
        <w:tc>
          <w:tcPr>
            <w:tcW w:w="2428" w:type="dxa"/>
            <w:tcBorders>
              <w:top w:val="single" w:color="auto" w:sz="4" w:space="0"/>
              <w:left w:val="single" w:color="auto" w:sz="4" w:space="0"/>
              <w:bottom w:val="single" w:color="auto" w:sz="4" w:space="0"/>
              <w:right w:val="single" w:color="auto" w:sz="4" w:space="0"/>
            </w:tcBorders>
            <w:noWrap w:val="0"/>
            <w:vAlign w:val="center"/>
          </w:tcPr>
          <w:p w14:paraId="033E0DF6">
            <w:pPr>
              <w:spacing w:line="276" w:lineRule="auto"/>
              <w:jc w:val="center"/>
              <w:rPr>
                <w:rFonts w:ascii="宋体" w:hAnsi="宋体"/>
                <w:color w:val="auto"/>
                <w:szCs w:val="21"/>
                <w:highlight w:val="none"/>
              </w:rPr>
            </w:pPr>
            <w:r>
              <w:rPr>
                <w:rFonts w:hint="eastAsia" w:ascii="宋体" w:hAnsi="宋体" w:cs="宋体"/>
                <w:color w:val="auto"/>
                <w:szCs w:val="21"/>
                <w:highlight w:val="none"/>
                <w:u w:val="single"/>
              </w:rPr>
              <w:t>投标承诺</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563E1C5">
            <w:pPr>
              <w:jc w:val="center"/>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05A9FE8">
            <w:pPr>
              <w:jc w:val="center"/>
              <w:rPr>
                <w:rFonts w:ascii="宋体" w:hAns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D7675AC">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9031C0">
            <w:pPr>
              <w:jc w:val="center"/>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E4ECE7">
            <w:pPr>
              <w:jc w:val="center"/>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90FEB55">
            <w:pPr>
              <w:jc w:val="center"/>
              <w:rPr>
                <w:rFonts w:ascii="宋体" w:hAnsi="宋体"/>
                <w:color w:val="auto"/>
                <w:szCs w:val="21"/>
                <w:highlight w:val="none"/>
              </w:rPr>
            </w:pPr>
          </w:p>
        </w:tc>
      </w:tr>
      <w:tr w14:paraId="4575F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2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114B986">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2428" w:type="dxa"/>
            <w:tcBorders>
              <w:top w:val="single" w:color="auto" w:sz="4" w:space="0"/>
              <w:left w:val="single" w:color="auto" w:sz="4" w:space="0"/>
              <w:right w:val="single" w:color="auto" w:sz="4" w:space="0"/>
            </w:tcBorders>
            <w:noWrap w:val="0"/>
            <w:vAlign w:val="center"/>
          </w:tcPr>
          <w:p w14:paraId="052290CE">
            <w:pPr>
              <w:spacing w:line="276" w:lineRule="auto"/>
              <w:jc w:val="center"/>
              <w:rPr>
                <w:rFonts w:hint="eastAsia" w:ascii="宋体" w:hAnsi="宋体"/>
                <w:color w:val="auto"/>
                <w:szCs w:val="21"/>
                <w:highlight w:val="none"/>
                <w:u w:val="single"/>
              </w:rPr>
            </w:pPr>
            <w:r>
              <w:rPr>
                <w:rFonts w:hint="eastAsia" w:ascii="宋体" w:hAnsi="宋体" w:cs="宋体"/>
                <w:color w:val="auto"/>
                <w:szCs w:val="21"/>
                <w:highlight w:val="none"/>
                <w:u w:val="single"/>
              </w:rPr>
              <w:t>不存在禁止投标的情形</w:t>
            </w:r>
          </w:p>
        </w:tc>
        <w:tc>
          <w:tcPr>
            <w:tcW w:w="1843" w:type="dxa"/>
            <w:tcBorders>
              <w:top w:val="single" w:color="auto" w:sz="4" w:space="0"/>
              <w:left w:val="single" w:color="auto" w:sz="4" w:space="0"/>
              <w:right w:val="single" w:color="auto" w:sz="4" w:space="0"/>
            </w:tcBorders>
            <w:noWrap w:val="0"/>
            <w:vAlign w:val="center"/>
          </w:tcPr>
          <w:p w14:paraId="0DCCBC8F">
            <w:pPr>
              <w:jc w:val="center"/>
              <w:rPr>
                <w:rFonts w:ascii="宋体" w:hAnsi="宋体"/>
                <w:color w:val="auto"/>
                <w:szCs w:val="21"/>
                <w:highlight w:val="none"/>
              </w:rPr>
            </w:pPr>
          </w:p>
        </w:tc>
        <w:tc>
          <w:tcPr>
            <w:tcW w:w="1701" w:type="dxa"/>
            <w:tcBorders>
              <w:top w:val="single" w:color="auto" w:sz="4" w:space="0"/>
              <w:left w:val="single" w:color="auto" w:sz="4" w:space="0"/>
              <w:right w:val="single" w:color="auto" w:sz="4" w:space="0"/>
            </w:tcBorders>
            <w:noWrap w:val="0"/>
            <w:vAlign w:val="center"/>
          </w:tcPr>
          <w:p w14:paraId="001EBC6A">
            <w:pPr>
              <w:jc w:val="center"/>
              <w:rPr>
                <w:rFonts w:ascii="宋体" w:hAnsi="宋体"/>
                <w:color w:val="auto"/>
                <w:szCs w:val="21"/>
                <w:highlight w:val="none"/>
              </w:rPr>
            </w:pPr>
          </w:p>
        </w:tc>
        <w:tc>
          <w:tcPr>
            <w:tcW w:w="1559" w:type="dxa"/>
            <w:tcBorders>
              <w:top w:val="single" w:color="auto" w:sz="4" w:space="0"/>
              <w:left w:val="single" w:color="auto" w:sz="4" w:space="0"/>
              <w:right w:val="single" w:color="auto" w:sz="4" w:space="0"/>
            </w:tcBorders>
            <w:noWrap w:val="0"/>
            <w:vAlign w:val="center"/>
          </w:tcPr>
          <w:p w14:paraId="01927596">
            <w:pPr>
              <w:jc w:val="center"/>
              <w:rPr>
                <w:rFonts w:ascii="宋体" w:hAnsi="宋体"/>
                <w:color w:val="auto"/>
                <w:szCs w:val="21"/>
                <w:highlight w:val="none"/>
              </w:rPr>
            </w:pPr>
          </w:p>
        </w:tc>
        <w:tc>
          <w:tcPr>
            <w:tcW w:w="1843" w:type="dxa"/>
            <w:tcBorders>
              <w:top w:val="single" w:color="auto" w:sz="4" w:space="0"/>
              <w:left w:val="single" w:color="auto" w:sz="4" w:space="0"/>
              <w:right w:val="single" w:color="auto" w:sz="4" w:space="0"/>
            </w:tcBorders>
            <w:noWrap w:val="0"/>
            <w:vAlign w:val="center"/>
          </w:tcPr>
          <w:p w14:paraId="38C6B7E4">
            <w:pPr>
              <w:jc w:val="center"/>
              <w:rPr>
                <w:rFonts w:ascii="宋体" w:hAnsi="宋体"/>
                <w:color w:val="auto"/>
                <w:szCs w:val="21"/>
                <w:highlight w:val="none"/>
              </w:rPr>
            </w:pPr>
          </w:p>
        </w:tc>
        <w:tc>
          <w:tcPr>
            <w:tcW w:w="1843" w:type="dxa"/>
            <w:tcBorders>
              <w:top w:val="single" w:color="auto" w:sz="4" w:space="0"/>
              <w:left w:val="single" w:color="auto" w:sz="4" w:space="0"/>
              <w:right w:val="single" w:color="auto" w:sz="4" w:space="0"/>
            </w:tcBorders>
            <w:noWrap w:val="0"/>
            <w:vAlign w:val="center"/>
          </w:tcPr>
          <w:p w14:paraId="12C6AE82">
            <w:pPr>
              <w:jc w:val="center"/>
              <w:rPr>
                <w:rFonts w:ascii="宋体" w:hAnsi="宋体"/>
                <w:color w:val="auto"/>
                <w:szCs w:val="21"/>
                <w:highlight w:val="none"/>
              </w:rPr>
            </w:pPr>
          </w:p>
        </w:tc>
        <w:tc>
          <w:tcPr>
            <w:tcW w:w="1842" w:type="dxa"/>
            <w:tcBorders>
              <w:top w:val="single" w:color="auto" w:sz="4" w:space="0"/>
              <w:left w:val="single" w:color="auto" w:sz="4" w:space="0"/>
              <w:right w:val="single" w:color="auto" w:sz="4" w:space="0"/>
            </w:tcBorders>
            <w:noWrap w:val="0"/>
            <w:vAlign w:val="center"/>
          </w:tcPr>
          <w:p w14:paraId="45141361">
            <w:pPr>
              <w:jc w:val="center"/>
              <w:rPr>
                <w:rFonts w:ascii="宋体" w:hAnsi="宋体"/>
                <w:color w:val="auto"/>
                <w:szCs w:val="21"/>
                <w:highlight w:val="none"/>
              </w:rPr>
            </w:pPr>
          </w:p>
        </w:tc>
      </w:tr>
    </w:tbl>
    <w:p w14:paraId="016F8E65">
      <w:pPr>
        <w:spacing w:line="276" w:lineRule="auto"/>
        <w:rPr>
          <w:rFonts w:ascii="宋体" w:hAnsi="宋体"/>
          <w:color w:val="auto"/>
          <w:szCs w:val="24"/>
          <w:highlight w:val="none"/>
        </w:rPr>
      </w:pPr>
      <w:r>
        <w:rPr>
          <w:rFonts w:hint="eastAsia" w:ascii="宋体" w:hAnsi="宋体"/>
          <w:color w:val="auto"/>
          <w:szCs w:val="24"/>
          <w:highlight w:val="none"/>
        </w:rPr>
        <w:t>注：表格最终以</w:t>
      </w:r>
      <w:r>
        <w:rPr>
          <w:rFonts w:hint="eastAsia" w:ascii="宋体" w:hAnsi="宋体"/>
          <w:color w:val="auto"/>
          <w:szCs w:val="24"/>
          <w:highlight w:val="none"/>
          <w:u w:val="single"/>
        </w:rPr>
        <w:t>广州交易集团有限公司（</w:t>
      </w:r>
      <w:r>
        <w:rPr>
          <w:rFonts w:hint="eastAsia" w:ascii="宋体" w:hAnsi="宋体"/>
          <w:color w:val="auto"/>
          <w:szCs w:val="24"/>
          <w:highlight w:val="none"/>
          <w:u w:val="single"/>
          <w:lang w:eastAsia="zh-CN"/>
        </w:rPr>
        <w:t>广州交易集团有限公司（广州公共资源交易中心）</w:t>
      </w:r>
      <w:r>
        <w:rPr>
          <w:rFonts w:hint="eastAsia" w:ascii="宋体" w:hAnsi="宋体"/>
          <w:color w:val="auto"/>
          <w:szCs w:val="24"/>
          <w:highlight w:val="none"/>
          <w:u w:val="single"/>
        </w:rPr>
        <w:t>）</w:t>
      </w:r>
      <w:r>
        <w:rPr>
          <w:rFonts w:hint="eastAsia" w:ascii="宋体" w:hAnsi="宋体"/>
          <w:color w:val="auto"/>
          <w:szCs w:val="24"/>
          <w:highlight w:val="none"/>
        </w:rPr>
        <w:t>系统生成的为准。</w:t>
      </w:r>
    </w:p>
    <w:p w14:paraId="4DE5FDFA">
      <w:pPr>
        <w:pStyle w:val="3"/>
        <w:rPr>
          <w:color w:val="auto"/>
          <w:highlight w:val="none"/>
        </w:rPr>
        <w:sectPr>
          <w:pgSz w:w="16838" w:h="11906" w:orient="landscape"/>
          <w:pgMar w:top="1797" w:right="1440" w:bottom="1797" w:left="1440" w:header="851" w:footer="992" w:gutter="0"/>
          <w:pgNumType w:fmt="decimal"/>
          <w:cols w:space="720" w:num="1"/>
          <w:docGrid w:linePitch="312" w:charSpace="0"/>
        </w:sectPr>
      </w:pPr>
    </w:p>
    <w:p w14:paraId="6DE41D59">
      <w:pPr>
        <w:jc w:val="center"/>
        <w:rPr>
          <w:rFonts w:ascii="宋体" w:hAnsi="宋体"/>
          <w:b/>
          <w:color w:val="auto"/>
          <w:sz w:val="30"/>
          <w:szCs w:val="30"/>
          <w:highlight w:val="none"/>
        </w:rPr>
      </w:pPr>
      <w:r>
        <w:rPr>
          <w:rFonts w:hint="eastAsia" w:ascii="宋体" w:hAnsi="宋体"/>
          <w:b/>
          <w:color w:val="auto"/>
          <w:sz w:val="30"/>
          <w:szCs w:val="30"/>
          <w:highlight w:val="none"/>
        </w:rPr>
        <w:t>响应性</w:t>
      </w:r>
      <w:r>
        <w:rPr>
          <w:rFonts w:ascii="宋体" w:hAnsi="宋体"/>
          <w:b/>
          <w:color w:val="auto"/>
          <w:sz w:val="30"/>
          <w:szCs w:val="30"/>
          <w:highlight w:val="none"/>
        </w:rPr>
        <w:t>评审结果汇总表</w:t>
      </w:r>
    </w:p>
    <w:p w14:paraId="04913792">
      <w:pPr>
        <w:rPr>
          <w:rFonts w:ascii="宋体" w:hAnsi="宋体"/>
          <w:color w:val="auto"/>
          <w:highlight w:val="none"/>
        </w:rPr>
      </w:pPr>
      <w:r>
        <w:rPr>
          <w:rFonts w:hint="eastAsia" w:ascii="宋体" w:hAnsi="宋体"/>
          <w:color w:val="auto"/>
          <w:highlight w:val="none"/>
        </w:rPr>
        <w:t>项目编号：</w:t>
      </w:r>
    </w:p>
    <w:p w14:paraId="5CD3B3B0">
      <w:pPr>
        <w:rPr>
          <w:rFonts w:ascii="宋体" w:hAnsi="宋体"/>
          <w:color w:val="auto"/>
          <w:highlight w:val="none"/>
        </w:rPr>
      </w:pPr>
      <w:r>
        <w:rPr>
          <w:rFonts w:hint="eastAsia" w:ascii="宋体" w:hAnsi="宋体"/>
          <w:color w:val="auto"/>
          <w:highlight w:val="none"/>
        </w:rPr>
        <w:t>项目名称：</w:t>
      </w:r>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25"/>
        <w:gridCol w:w="1548"/>
        <w:gridCol w:w="1620"/>
        <w:gridCol w:w="1953"/>
        <w:gridCol w:w="1025"/>
        <w:gridCol w:w="1024"/>
        <w:gridCol w:w="1024"/>
        <w:gridCol w:w="1025"/>
        <w:gridCol w:w="1024"/>
        <w:gridCol w:w="1025"/>
      </w:tblGrid>
      <w:tr w14:paraId="5841A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noWrap w:val="0"/>
            <w:vAlign w:val="center"/>
          </w:tcPr>
          <w:p w14:paraId="2B575E98">
            <w:pPr>
              <w:jc w:val="center"/>
              <w:rPr>
                <w:rFonts w:ascii="宋体" w:hAnsi="宋体"/>
                <w:b/>
                <w:color w:val="auto"/>
                <w:szCs w:val="21"/>
                <w:highlight w:val="none"/>
              </w:rPr>
            </w:pPr>
            <w:r>
              <w:rPr>
                <w:rFonts w:ascii="宋体" w:hAnsi="宋体"/>
                <w:b/>
                <w:color w:val="auto"/>
                <w:szCs w:val="21"/>
                <w:highlight w:val="none"/>
              </w:rPr>
              <w:t>序号</w:t>
            </w:r>
          </w:p>
        </w:tc>
        <w:tc>
          <w:tcPr>
            <w:tcW w:w="2025" w:type="dxa"/>
            <w:vMerge w:val="restart"/>
            <w:tcBorders>
              <w:top w:val="single" w:color="auto" w:sz="4" w:space="0"/>
              <w:left w:val="single" w:color="auto" w:sz="4" w:space="0"/>
              <w:right w:val="single" w:color="auto" w:sz="4" w:space="0"/>
            </w:tcBorders>
            <w:noWrap w:val="0"/>
            <w:vAlign w:val="center"/>
          </w:tcPr>
          <w:p w14:paraId="4387C7A3">
            <w:pPr>
              <w:jc w:val="center"/>
              <w:rPr>
                <w:rFonts w:ascii="宋体" w:hAnsi="宋体"/>
                <w:b/>
                <w:color w:val="auto"/>
                <w:szCs w:val="21"/>
                <w:highlight w:val="none"/>
              </w:rPr>
            </w:pPr>
            <w:r>
              <w:rPr>
                <w:rFonts w:ascii="宋体" w:hAnsi="宋体"/>
                <w:b/>
                <w:color w:val="auto"/>
                <w:szCs w:val="21"/>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14:paraId="74F86524">
            <w:pPr>
              <w:jc w:val="center"/>
              <w:rPr>
                <w:rFonts w:ascii="宋体" w:hAnsi="宋体"/>
                <w:b/>
                <w:color w:val="auto"/>
                <w:szCs w:val="21"/>
                <w:highlight w:val="none"/>
              </w:rPr>
            </w:pPr>
            <w:r>
              <w:rPr>
                <w:rFonts w:ascii="宋体" w:hAnsi="宋体"/>
                <w:b/>
                <w:color w:val="auto"/>
                <w:szCs w:val="21"/>
                <w:highlight w:val="none"/>
              </w:rPr>
              <w:t>投标人及</w:t>
            </w:r>
            <w:r>
              <w:rPr>
                <w:rFonts w:hint="eastAsia" w:ascii="宋体" w:hAnsi="宋体"/>
                <w:b/>
                <w:color w:val="auto"/>
                <w:szCs w:val="21"/>
                <w:highlight w:val="none"/>
              </w:rPr>
              <w:t>响应性</w:t>
            </w:r>
            <w:r>
              <w:rPr>
                <w:rFonts w:ascii="宋体" w:hAnsi="宋体"/>
                <w:b/>
                <w:color w:val="auto"/>
                <w:szCs w:val="21"/>
                <w:highlight w:val="none"/>
              </w:rPr>
              <w:t>评审结果</w:t>
            </w:r>
          </w:p>
        </w:tc>
      </w:tr>
      <w:tr w14:paraId="6AC88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5" w:type="dxa"/>
            <w:vMerge w:val="continue"/>
            <w:tcBorders>
              <w:left w:val="single" w:color="auto" w:sz="4" w:space="0"/>
              <w:bottom w:val="single" w:color="auto" w:sz="4" w:space="0"/>
              <w:right w:val="single" w:color="auto" w:sz="4" w:space="0"/>
            </w:tcBorders>
            <w:noWrap w:val="0"/>
            <w:vAlign w:val="center"/>
          </w:tcPr>
          <w:p w14:paraId="7AA75C72">
            <w:pPr>
              <w:jc w:val="center"/>
              <w:rPr>
                <w:rFonts w:ascii="宋体" w:hAnsi="宋体"/>
                <w:color w:val="auto"/>
                <w:szCs w:val="21"/>
                <w:highlight w:val="none"/>
              </w:rPr>
            </w:pPr>
          </w:p>
        </w:tc>
        <w:tc>
          <w:tcPr>
            <w:tcW w:w="2025" w:type="dxa"/>
            <w:vMerge w:val="continue"/>
            <w:tcBorders>
              <w:left w:val="single" w:color="auto" w:sz="4" w:space="0"/>
              <w:bottom w:val="single" w:color="auto" w:sz="4" w:space="0"/>
              <w:right w:val="single" w:color="auto" w:sz="4" w:space="0"/>
            </w:tcBorders>
            <w:noWrap w:val="0"/>
            <w:vAlign w:val="center"/>
          </w:tcPr>
          <w:p w14:paraId="4DF6B2B5">
            <w:pPr>
              <w:jc w:val="center"/>
              <w:rPr>
                <w:rFonts w:ascii="宋体" w:hAnsi="宋体"/>
                <w:color w:val="auto"/>
                <w:szCs w:val="21"/>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38B2ADCF">
            <w:pPr>
              <w:jc w:val="center"/>
              <w:rPr>
                <w:rFonts w:ascii="宋体" w:hAnsi="宋体"/>
                <w:color w:val="auto"/>
                <w:szCs w:val="21"/>
                <w:highlight w:val="none"/>
              </w:rPr>
            </w:pPr>
            <w:r>
              <w:rPr>
                <w:rFonts w:ascii="宋体" w:hAnsi="宋体"/>
                <w:color w:val="auto"/>
                <w:szCs w:val="21"/>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A8E8364">
            <w:pPr>
              <w:jc w:val="center"/>
              <w:rPr>
                <w:rFonts w:ascii="宋体" w:hAnsi="宋体"/>
                <w:color w:val="auto"/>
                <w:szCs w:val="21"/>
                <w:highlight w:val="none"/>
              </w:rPr>
            </w:pPr>
            <w:r>
              <w:rPr>
                <w:rFonts w:ascii="宋体" w:hAnsi="宋体"/>
                <w:color w:val="auto"/>
                <w:szCs w:val="21"/>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33A8F142">
            <w:pPr>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8C2161F">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27FCD96C">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4C05F920">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67824A68">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BD92075">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1D317B6">
            <w:pPr>
              <w:rPr>
                <w:rFonts w:ascii="宋体" w:hAnsi="宋体"/>
                <w:color w:val="auto"/>
                <w:szCs w:val="21"/>
                <w:highlight w:val="none"/>
              </w:rPr>
            </w:pPr>
          </w:p>
        </w:tc>
      </w:tr>
      <w:tr w14:paraId="278C3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BAE3AD0">
            <w:pPr>
              <w:jc w:val="center"/>
              <w:rPr>
                <w:rFonts w:ascii="宋体" w:hAnsi="宋体"/>
                <w:color w:val="auto"/>
                <w:szCs w:val="21"/>
                <w:highlight w:val="none"/>
              </w:rPr>
            </w:pPr>
            <w:r>
              <w:rPr>
                <w:rFonts w:hint="eastAsia" w:ascii="宋体" w:hAnsi="宋体"/>
                <w:color w:val="auto"/>
                <w:szCs w:val="21"/>
                <w:highlight w:val="none"/>
              </w:rPr>
              <w:t>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B22020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hAnsi="宋体"/>
                <w:color w:val="auto"/>
                <w:szCs w:val="21"/>
                <w:highlight w:val="none"/>
              </w:rPr>
            </w:pPr>
            <w:r>
              <w:rPr>
                <w:rFonts w:hint="eastAsia" w:ascii="宋体" w:hAnsi="宋体" w:eastAsia="宋体" w:cs="宋体"/>
                <w:color w:val="auto"/>
                <w:szCs w:val="21"/>
                <w:highlight w:val="none"/>
              </w:rPr>
              <w:t>投标报价</w:t>
            </w: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1336DB7">
            <w:pPr>
              <w:jc w:val="center"/>
              <w:rPr>
                <w:rFonts w:ascii="宋体" w:hAnsi="宋体"/>
                <w:color w:val="auto"/>
                <w:szCs w:val="21"/>
                <w:highlight w:val="none"/>
              </w:rPr>
            </w:pPr>
            <w:r>
              <w:rPr>
                <w:rFonts w:hint="eastAsia" w:ascii="宋体" w:hAnsi="宋体"/>
                <w:color w:val="auto"/>
                <w:szCs w:val="21"/>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DF64411">
            <w:pPr>
              <w:jc w:val="center"/>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0E2C470C">
            <w:pPr>
              <w:jc w:val="cente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105A40C6">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43D73BBA">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0B18E32">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51AEFCCC">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1771150A">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35C9B61">
            <w:pPr>
              <w:rPr>
                <w:rFonts w:ascii="宋体" w:hAnsi="宋体"/>
                <w:color w:val="auto"/>
                <w:szCs w:val="21"/>
                <w:highlight w:val="none"/>
              </w:rPr>
            </w:pPr>
          </w:p>
        </w:tc>
      </w:tr>
      <w:tr w14:paraId="6BC1B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0CB08BD">
            <w:pPr>
              <w:jc w:val="center"/>
              <w:rPr>
                <w:rFonts w:ascii="宋体" w:hAnsi="宋体"/>
                <w:color w:val="auto"/>
                <w:szCs w:val="21"/>
                <w:highlight w:val="none"/>
              </w:rPr>
            </w:pPr>
            <w:r>
              <w:rPr>
                <w:rFonts w:hint="eastAsia" w:ascii="宋体" w:hAnsi="宋体"/>
                <w:color w:val="auto"/>
                <w:szCs w:val="21"/>
                <w:highlight w:val="none"/>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D5198D3">
            <w:pPr>
              <w:spacing w:line="276" w:lineRule="auto"/>
              <w:jc w:val="center"/>
              <w:rPr>
                <w:rFonts w:ascii="宋体" w:hAnsi="宋体"/>
                <w:color w:val="auto"/>
                <w:szCs w:val="21"/>
                <w:highlight w:val="none"/>
              </w:rPr>
            </w:pPr>
            <w:r>
              <w:rPr>
                <w:rFonts w:hint="eastAsia" w:ascii="宋体" w:hAnsi="宋体"/>
                <w:color w:val="auto"/>
                <w:szCs w:val="21"/>
                <w:highlight w:val="none"/>
              </w:rPr>
              <w:t>投标内容</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1BD12F86">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D969519">
            <w:pPr>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14:paraId="4E4D6844">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991943D">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244E367">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11F5D6C9">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0694F15">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40023F43">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7012020">
            <w:pPr>
              <w:rPr>
                <w:rFonts w:ascii="宋体" w:hAnsi="宋体"/>
                <w:color w:val="auto"/>
                <w:szCs w:val="21"/>
                <w:highlight w:val="none"/>
              </w:rPr>
            </w:pPr>
          </w:p>
        </w:tc>
      </w:tr>
      <w:tr w14:paraId="421FC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60B39A0">
            <w:pPr>
              <w:jc w:val="center"/>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142F2CA">
            <w:pPr>
              <w:spacing w:line="276" w:lineRule="auto"/>
              <w:jc w:val="center"/>
              <w:rPr>
                <w:rFonts w:ascii="宋体" w:hAnsi="宋体"/>
                <w:color w:val="auto"/>
                <w:szCs w:val="21"/>
                <w:highlight w:val="none"/>
              </w:rPr>
            </w:pPr>
            <w:r>
              <w:rPr>
                <w:rFonts w:ascii="宋体" w:hAnsi="宋体"/>
                <w:color w:val="auto"/>
                <w:szCs w:val="21"/>
                <w:highlight w:val="none"/>
              </w:rPr>
              <w:t>工期</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4635F52F">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45636C2">
            <w:pPr>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14:paraId="50CD3F96">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0F13B65">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F5EAD2C">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41E83731">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CC0FF52">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0EB3A9DE">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F83093F">
            <w:pPr>
              <w:rPr>
                <w:rFonts w:ascii="宋体" w:hAnsi="宋体"/>
                <w:color w:val="auto"/>
                <w:szCs w:val="21"/>
                <w:highlight w:val="none"/>
              </w:rPr>
            </w:pPr>
          </w:p>
        </w:tc>
      </w:tr>
      <w:tr w14:paraId="0BE2E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FC1E493">
            <w:pPr>
              <w:jc w:val="center"/>
              <w:rPr>
                <w:rFonts w:ascii="宋体" w:hAnsi="宋体"/>
                <w:color w:val="auto"/>
                <w:szCs w:val="21"/>
                <w:highlight w:val="none"/>
              </w:rPr>
            </w:pPr>
            <w:r>
              <w:rPr>
                <w:rFonts w:hint="eastAsia" w:ascii="宋体" w:hAnsi="宋体"/>
                <w:color w:val="auto"/>
                <w:szCs w:val="21"/>
                <w:highlight w:val="none"/>
              </w:rPr>
              <w:t>4</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5E77BFC">
            <w:pPr>
              <w:spacing w:line="276" w:lineRule="auto"/>
              <w:jc w:val="center"/>
              <w:rPr>
                <w:rFonts w:ascii="宋体" w:hAnsi="宋体"/>
                <w:color w:val="auto"/>
                <w:szCs w:val="21"/>
                <w:highlight w:val="none"/>
              </w:rPr>
            </w:pPr>
            <w:r>
              <w:rPr>
                <w:rFonts w:ascii="宋体" w:hAnsi="宋体"/>
                <w:color w:val="auto"/>
                <w:szCs w:val="21"/>
                <w:highlight w:val="none"/>
              </w:rPr>
              <w:t>工程质量</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143E6A4B">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910F8C6">
            <w:pPr>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14:paraId="1B15417B">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1AC23BA0">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25F5322B">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02E23C95">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04799B2">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2CB6EE8">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1116F6B8">
            <w:pPr>
              <w:rPr>
                <w:rFonts w:ascii="宋体" w:hAnsi="宋体"/>
                <w:color w:val="auto"/>
                <w:szCs w:val="21"/>
                <w:highlight w:val="none"/>
              </w:rPr>
            </w:pPr>
          </w:p>
        </w:tc>
      </w:tr>
      <w:tr w14:paraId="36A18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9894A89">
            <w:pPr>
              <w:jc w:val="center"/>
              <w:rPr>
                <w:rFonts w:ascii="宋体" w:hAnsi="宋体"/>
                <w:color w:val="auto"/>
                <w:szCs w:val="21"/>
                <w:highlight w:val="none"/>
              </w:rPr>
            </w:pPr>
            <w:r>
              <w:rPr>
                <w:rFonts w:hint="eastAsia" w:ascii="宋体" w:hAnsi="宋体"/>
                <w:color w:val="auto"/>
                <w:szCs w:val="21"/>
                <w:highlight w:val="none"/>
              </w:rPr>
              <w:t>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AD68089">
            <w:pPr>
              <w:spacing w:line="276"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331B4E75">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C393BE1">
            <w:pPr>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14:paraId="08838D79">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35364CE">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59299657">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29EE0C1F">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540C9419">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42EC666">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8640C47">
            <w:pPr>
              <w:rPr>
                <w:rFonts w:ascii="宋体" w:hAnsi="宋体"/>
                <w:color w:val="auto"/>
                <w:szCs w:val="21"/>
                <w:highlight w:val="none"/>
              </w:rPr>
            </w:pPr>
          </w:p>
        </w:tc>
      </w:tr>
      <w:tr w14:paraId="36D6C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13D1613">
            <w:pPr>
              <w:jc w:val="center"/>
              <w:rPr>
                <w:rFonts w:ascii="宋体" w:hAnsi="宋体"/>
                <w:strike/>
                <w:color w:val="auto"/>
                <w:szCs w:val="21"/>
                <w:highlight w:val="none"/>
              </w:rPr>
            </w:pPr>
            <w:r>
              <w:rPr>
                <w:rFonts w:hint="eastAsia" w:ascii="宋体" w:hAnsi="宋体"/>
                <w:strike/>
                <w:color w:val="auto"/>
                <w:szCs w:val="21"/>
                <w:highlight w:val="none"/>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A4AEA33">
            <w:pPr>
              <w:spacing w:line="360" w:lineRule="auto"/>
              <w:jc w:val="center"/>
              <w:rPr>
                <w:rFonts w:ascii="宋体" w:hAnsi="宋体"/>
                <w:strike/>
                <w:color w:val="auto"/>
                <w:szCs w:val="21"/>
                <w:highlight w:val="none"/>
              </w:rPr>
            </w:pPr>
            <w:r>
              <w:rPr>
                <w:strike/>
                <w:color w:val="auto"/>
                <w:szCs w:val="21"/>
                <w:highlight w:val="none"/>
              </w:rPr>
              <w:t>投标保证金</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61BA7043">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13FFFD1">
            <w:pPr>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14:paraId="2BB27A7A">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47A28B0">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0C4A4319">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6100D5BC">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7652A96">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535AA747">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16E1B60E">
            <w:pPr>
              <w:rPr>
                <w:rFonts w:ascii="宋体" w:hAnsi="宋体"/>
                <w:color w:val="auto"/>
                <w:szCs w:val="21"/>
                <w:highlight w:val="none"/>
              </w:rPr>
            </w:pPr>
          </w:p>
        </w:tc>
      </w:tr>
      <w:tr w14:paraId="3BEDD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DEBA339">
            <w:pPr>
              <w:jc w:val="center"/>
              <w:rPr>
                <w:rFonts w:ascii="宋体" w:hAnsi="宋体"/>
                <w:color w:val="auto"/>
                <w:szCs w:val="21"/>
                <w:highlight w:val="none"/>
              </w:rPr>
            </w:pPr>
            <w:r>
              <w:rPr>
                <w:rFonts w:hint="eastAsia" w:ascii="宋体" w:hAnsi="宋体"/>
                <w:color w:val="auto"/>
                <w:szCs w:val="21"/>
                <w:highlight w:val="none"/>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72344D4">
            <w:pPr>
              <w:spacing w:line="276" w:lineRule="auto"/>
              <w:jc w:val="center"/>
              <w:rPr>
                <w:rFonts w:ascii="宋体" w:hAnsi="宋体"/>
                <w:color w:val="auto"/>
                <w:szCs w:val="21"/>
                <w:highlight w:val="none"/>
              </w:rPr>
            </w:pPr>
            <w:r>
              <w:rPr>
                <w:rFonts w:ascii="宋体" w:hAnsi="宋体"/>
                <w:color w:val="auto"/>
                <w:szCs w:val="21"/>
                <w:highlight w:val="none"/>
              </w:rPr>
              <w:t>已标价工程量清单</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3BDD262F">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3814FB1">
            <w:pPr>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14:paraId="2D5FF4B4">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05621B0">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1956D802">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0D5DACE3">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9B5FC01">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48E509A">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69F8346">
            <w:pPr>
              <w:rPr>
                <w:rFonts w:ascii="宋体" w:hAnsi="宋体"/>
                <w:color w:val="auto"/>
                <w:szCs w:val="21"/>
                <w:highlight w:val="none"/>
              </w:rPr>
            </w:pPr>
          </w:p>
        </w:tc>
      </w:tr>
      <w:tr w14:paraId="10955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61ACCE1">
            <w:pPr>
              <w:jc w:val="center"/>
              <w:rPr>
                <w:rFonts w:ascii="宋体" w:hAnsi="宋体"/>
                <w:color w:val="auto"/>
                <w:szCs w:val="21"/>
                <w:highlight w:val="none"/>
              </w:rPr>
            </w:pPr>
            <w:r>
              <w:rPr>
                <w:rFonts w:hint="eastAsia" w:ascii="宋体" w:hAnsi="宋体"/>
                <w:color w:val="auto"/>
                <w:szCs w:val="21"/>
                <w:highlight w:val="none"/>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BE29084">
            <w:pPr>
              <w:spacing w:line="276" w:lineRule="auto"/>
              <w:jc w:val="center"/>
              <w:rPr>
                <w:rFonts w:ascii="宋体" w:hAnsi="宋体"/>
                <w:color w:val="auto"/>
                <w:szCs w:val="21"/>
                <w:highlight w:val="none"/>
              </w:rPr>
            </w:pPr>
            <w:r>
              <w:rPr>
                <w:rFonts w:hint="eastAsia" w:ascii="宋体" w:hAnsi="宋体" w:cs="宋体"/>
                <w:color w:val="auto"/>
                <w:szCs w:val="21"/>
                <w:highlight w:val="none"/>
                <w:u w:val="single"/>
              </w:rPr>
              <w:t>投标承诺</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2FD19193">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93DD3CA">
            <w:pPr>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14:paraId="2800ECFF">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E63EE50">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F5BDFDB">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0729695F">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C44CC61">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3CBF521C">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698069B1">
            <w:pPr>
              <w:rPr>
                <w:rFonts w:ascii="宋体" w:hAnsi="宋体"/>
                <w:color w:val="auto"/>
                <w:szCs w:val="21"/>
                <w:highlight w:val="none"/>
              </w:rPr>
            </w:pPr>
          </w:p>
        </w:tc>
      </w:tr>
      <w:tr w14:paraId="186C9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F4EDB47">
            <w:pPr>
              <w:jc w:val="center"/>
              <w:rPr>
                <w:rFonts w:ascii="宋体" w:hAnsi="宋体"/>
                <w:color w:val="auto"/>
                <w:szCs w:val="21"/>
                <w:highlight w:val="none"/>
              </w:rPr>
            </w:pPr>
            <w:r>
              <w:rPr>
                <w:rFonts w:hint="eastAsia" w:ascii="宋体" w:hAnsi="宋体"/>
                <w:color w:val="auto"/>
                <w:szCs w:val="21"/>
                <w:highlight w:val="none"/>
              </w:rPr>
              <w:t>9</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94A6C8C">
            <w:pPr>
              <w:spacing w:line="276" w:lineRule="auto"/>
              <w:jc w:val="center"/>
              <w:rPr>
                <w:rFonts w:ascii="宋体" w:hAnsi="宋体"/>
                <w:color w:val="auto"/>
                <w:szCs w:val="21"/>
                <w:highlight w:val="none"/>
              </w:rPr>
            </w:pPr>
            <w:r>
              <w:rPr>
                <w:rFonts w:hint="eastAsia" w:ascii="宋体" w:hAnsi="宋体" w:cs="宋体"/>
                <w:color w:val="auto"/>
                <w:szCs w:val="21"/>
                <w:highlight w:val="none"/>
                <w:u w:val="single"/>
              </w:rPr>
              <w:t>不存在禁止投标的情形</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1CE842AD">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6FA7CB0">
            <w:pPr>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14:paraId="35DE0E86">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62754B27">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11C43B57">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4FE03743">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BA140B5">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0900894A">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13A0A74">
            <w:pPr>
              <w:rPr>
                <w:rFonts w:ascii="宋体" w:hAnsi="宋体"/>
                <w:color w:val="auto"/>
                <w:szCs w:val="21"/>
                <w:highlight w:val="none"/>
              </w:rPr>
            </w:pPr>
          </w:p>
        </w:tc>
      </w:tr>
      <w:tr w14:paraId="68379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9D9C31B">
            <w:pPr>
              <w:jc w:val="center"/>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3364A9C">
            <w:pPr>
              <w:jc w:val="center"/>
              <w:rPr>
                <w:rFonts w:ascii="宋体" w:hAnsi="宋体"/>
                <w:color w:val="auto"/>
                <w:szCs w:val="21"/>
                <w:highlight w:val="none"/>
              </w:rPr>
            </w:pPr>
            <w:r>
              <w:rPr>
                <w:rFonts w:hint="eastAsia" w:ascii="宋体" w:hAnsi="宋体"/>
                <w:color w:val="auto"/>
                <w:szCs w:val="21"/>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368658A6">
            <w:pP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AD80B53">
            <w:pPr>
              <w:rPr>
                <w:rFonts w:ascii="宋体" w:hAnsi="宋体"/>
                <w:color w:val="auto"/>
                <w:szCs w:val="21"/>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14:paraId="6A7E724E">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97693A2">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477401A5">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0E8EFAF8">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61DA2C2C">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14:paraId="0927D0E5">
            <w:pPr>
              <w:rPr>
                <w:rFonts w:ascii="宋体" w:hAnsi="宋体"/>
                <w:color w:val="auto"/>
                <w:szCs w:val="21"/>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E2DCD61">
            <w:pPr>
              <w:rPr>
                <w:rFonts w:ascii="宋体" w:hAnsi="宋体"/>
                <w:color w:val="auto"/>
                <w:szCs w:val="21"/>
                <w:highlight w:val="none"/>
              </w:rPr>
            </w:pPr>
          </w:p>
        </w:tc>
      </w:tr>
    </w:tbl>
    <w:p w14:paraId="5977605D">
      <w:pPr>
        <w:spacing w:line="276" w:lineRule="auto"/>
        <w:rPr>
          <w:rFonts w:hint="eastAsia" w:ascii="宋体" w:hAnsi="宋体"/>
          <w:color w:val="auto"/>
          <w:szCs w:val="24"/>
          <w:highlight w:val="none"/>
        </w:rPr>
      </w:pPr>
      <w:r>
        <w:rPr>
          <w:rFonts w:hint="eastAsia" w:ascii="宋体" w:hAnsi="宋体"/>
          <w:color w:val="auto"/>
          <w:szCs w:val="24"/>
          <w:highlight w:val="none"/>
        </w:rPr>
        <w:t>注：表格最终以</w:t>
      </w:r>
      <w:r>
        <w:rPr>
          <w:rFonts w:hint="eastAsia" w:ascii="宋体" w:hAnsi="宋体"/>
          <w:color w:val="auto"/>
          <w:szCs w:val="24"/>
          <w:highlight w:val="none"/>
          <w:u w:val="single"/>
        </w:rPr>
        <w:t>广州交易集团有限公司（</w:t>
      </w:r>
      <w:r>
        <w:rPr>
          <w:rFonts w:hint="eastAsia" w:ascii="宋体" w:hAnsi="宋体"/>
          <w:color w:val="auto"/>
          <w:szCs w:val="24"/>
          <w:highlight w:val="none"/>
          <w:u w:val="single"/>
          <w:lang w:eastAsia="zh-CN"/>
        </w:rPr>
        <w:t>广州交易集团有限公司（广州公共资源交易中心）</w:t>
      </w:r>
      <w:r>
        <w:rPr>
          <w:rFonts w:hint="eastAsia" w:ascii="宋体" w:hAnsi="宋体"/>
          <w:color w:val="auto"/>
          <w:szCs w:val="24"/>
          <w:highlight w:val="none"/>
          <w:u w:val="single"/>
        </w:rPr>
        <w:t>）</w:t>
      </w:r>
      <w:r>
        <w:rPr>
          <w:rFonts w:hint="eastAsia" w:ascii="宋体" w:hAnsi="宋体"/>
          <w:color w:val="auto"/>
          <w:szCs w:val="24"/>
          <w:highlight w:val="none"/>
        </w:rPr>
        <w:t>系统生成的为准。</w:t>
      </w:r>
    </w:p>
    <w:p w14:paraId="5542AACF">
      <w:pPr>
        <w:spacing w:line="276" w:lineRule="auto"/>
        <w:rPr>
          <w:color w:val="auto"/>
          <w:highlight w:val="none"/>
        </w:rPr>
      </w:pPr>
      <w:r>
        <w:rPr>
          <w:rFonts w:hint="eastAsia" w:ascii="宋体" w:hAnsi="宋体"/>
          <w:color w:val="auto"/>
          <w:szCs w:val="24"/>
          <w:highlight w:val="none"/>
        </w:rPr>
        <w:br w:type="page"/>
      </w:r>
    </w:p>
    <w:p w14:paraId="13649CD5">
      <w:pPr>
        <w:pStyle w:val="27"/>
        <w:rPr>
          <w:color w:val="auto"/>
          <w:highlight w:val="none"/>
        </w:rPr>
      </w:pPr>
      <w:bookmarkStart w:id="235" w:name="_Toc16385"/>
      <w:bookmarkStart w:id="236" w:name="_Toc8308"/>
      <w:r>
        <w:rPr>
          <w:rFonts w:hint="eastAsia"/>
          <w:color w:val="auto"/>
          <w:highlight w:val="none"/>
        </w:rPr>
        <w:t>附表4：</w:t>
      </w:r>
      <w:bookmarkEnd w:id="235"/>
      <w:r>
        <w:rPr>
          <w:rFonts w:hint="eastAsia"/>
          <w:color w:val="auto"/>
          <w:highlight w:val="none"/>
        </w:rPr>
        <w:t>投标报价折算标准表</w:t>
      </w:r>
      <w:bookmarkEnd w:id="236"/>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6679"/>
        <w:gridCol w:w="6619"/>
      </w:tblGrid>
      <w:tr w14:paraId="68E1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noWrap w:val="0"/>
            <w:vAlign w:val="center"/>
          </w:tcPr>
          <w:p w14:paraId="5FFBB86D">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量化因素</w:t>
            </w:r>
          </w:p>
        </w:tc>
        <w:tc>
          <w:tcPr>
            <w:tcW w:w="6679" w:type="dxa"/>
            <w:noWrap w:val="0"/>
            <w:vAlign w:val="center"/>
          </w:tcPr>
          <w:p w14:paraId="50C115EF">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量化标准</w:t>
            </w:r>
          </w:p>
        </w:tc>
        <w:tc>
          <w:tcPr>
            <w:tcW w:w="6619" w:type="dxa"/>
            <w:noWrap w:val="0"/>
            <w:vAlign w:val="center"/>
          </w:tcPr>
          <w:p w14:paraId="725AC7AA">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tc>
      </w:tr>
      <w:tr w14:paraId="11DC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noWrap w:val="0"/>
            <w:vAlign w:val="center"/>
          </w:tcPr>
          <w:p w14:paraId="0690C809">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企业信用评价</w:t>
            </w:r>
          </w:p>
        </w:tc>
        <w:tc>
          <w:tcPr>
            <w:tcW w:w="6679" w:type="dxa"/>
            <w:noWrap w:val="0"/>
            <w:vAlign w:val="center"/>
          </w:tcPr>
          <w:p w14:paraId="58F3F232">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1、企业信用评价分数排名1-30名，经评审的投标价＝投标价×0.95；</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2、企业信用评价分数排名31-60名，经评审的投标价＝投标价×0.98；</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3、企业信用评价分数排名61-120名，经评审的投标价＝投标价；</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rPr>
              <w:t>4、企业信用评价分数排名121名及以下或未获得企业信用评价分数，经评审的投标价＝投标价×1.02。</w:t>
            </w:r>
          </w:p>
          <w:p w14:paraId="0D1E5380">
            <w:pPr>
              <w:spacing w:line="500" w:lineRule="exact"/>
              <w:rPr>
                <w:rFonts w:hint="eastAsia" w:ascii="宋体" w:hAnsi="宋体" w:eastAsia="宋体" w:cs="宋体"/>
                <w:color w:val="auto"/>
                <w:sz w:val="21"/>
                <w:szCs w:val="21"/>
                <w:highlight w:val="none"/>
              </w:rPr>
            </w:pPr>
          </w:p>
          <w:p w14:paraId="0904E071">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宋体" w:hAnsi="宋体" w:eastAsia="宋体" w:cs="宋体"/>
                <w:color w:val="auto"/>
                <w:kern w:val="2"/>
                <w:sz w:val="21"/>
                <w:szCs w:val="21"/>
                <w:highlight w:val="none"/>
                <w:lang w:val="en-US" w:eastAsia="zh-CN" w:bidi="ar-SA"/>
              </w:rPr>
            </w:pPr>
          </w:p>
        </w:tc>
        <w:tc>
          <w:tcPr>
            <w:tcW w:w="6619" w:type="dxa"/>
            <w:noWrap w:val="0"/>
            <w:vAlign w:val="center"/>
          </w:tcPr>
          <w:p w14:paraId="29A517B6">
            <w:pPr>
              <w:pStyle w:val="15"/>
              <w:spacing w:beforeAutospacing="0" w:afterAutospacing="0" w:line="5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1.该企业的企业信用评价分数</w:t>
            </w:r>
            <w:r>
              <w:rPr>
                <w:rFonts w:hint="eastAsia" w:ascii="宋体" w:hAnsi="宋体" w:cs="宋体"/>
                <w:color w:val="auto"/>
                <w:kern w:val="2"/>
                <w:sz w:val="21"/>
                <w:szCs w:val="21"/>
                <w:highlight w:val="none"/>
                <w:lang w:eastAsia="zh-CN"/>
              </w:rPr>
              <w:t>的排名</w:t>
            </w:r>
            <w:r>
              <w:rPr>
                <w:rFonts w:hint="eastAsia" w:ascii="宋体" w:hAnsi="宋体" w:eastAsia="宋体" w:cs="宋体"/>
                <w:color w:val="auto"/>
                <w:kern w:val="2"/>
                <w:sz w:val="21"/>
                <w:szCs w:val="21"/>
                <w:highlight w:val="none"/>
              </w:rPr>
              <w:t>以 “本项目招标公告发布第1天所在季度的上一季度“广州市水务工程建设管理数字化监管平台”（http://112.94.68.142:8012/#/website）中的“企业诚信排名&gt;&gt;施工—</w:t>
            </w:r>
            <w:r>
              <w:rPr>
                <w:rFonts w:hint="eastAsia" w:ascii="宋体" w:hAnsi="宋体" w:cs="宋体"/>
                <w:color w:val="auto"/>
                <w:kern w:val="2"/>
                <w:sz w:val="21"/>
                <w:szCs w:val="21"/>
                <w:highlight w:val="none"/>
                <w:lang w:eastAsia="zh-CN"/>
              </w:rPr>
              <w:t>给排水</w:t>
            </w:r>
            <w:r>
              <w:rPr>
                <w:rFonts w:hint="eastAsia" w:ascii="宋体" w:hAnsi="宋体" w:eastAsia="宋体" w:cs="宋体"/>
                <w:color w:val="auto"/>
                <w:kern w:val="2"/>
                <w:sz w:val="21"/>
                <w:szCs w:val="21"/>
                <w:highlight w:val="none"/>
              </w:rPr>
              <w:t>”中“诚信综合评价”分为准，未在监管平台录入企业信息的投标人其诚信评价总分取基准分，即80分。</w:t>
            </w:r>
            <w:r>
              <w:rPr>
                <w:rFonts w:hint="eastAsia" w:ascii="宋体" w:hAnsi="宋体" w:eastAsia="宋体" w:cs="宋体"/>
                <w:color w:val="auto"/>
                <w:kern w:val="2"/>
                <w:sz w:val="21"/>
                <w:szCs w:val="21"/>
                <w:highlight w:val="none"/>
              </w:rPr>
              <w:br w:type="textWrapping"/>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.联合体投标的，按联合体主办方的企业信用评价分数</w:t>
            </w:r>
            <w:r>
              <w:rPr>
                <w:rFonts w:hint="eastAsia" w:ascii="宋体" w:hAnsi="宋体" w:cs="宋体"/>
                <w:color w:val="auto"/>
                <w:kern w:val="2"/>
                <w:sz w:val="21"/>
                <w:szCs w:val="21"/>
                <w:highlight w:val="none"/>
                <w:lang w:eastAsia="zh-CN"/>
              </w:rPr>
              <w:t>排名</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rPr>
              <w:br w:type="textWrapping"/>
            </w:r>
          </w:p>
        </w:tc>
      </w:tr>
    </w:tbl>
    <w:p w14:paraId="1E253216">
      <w:pPr>
        <w:spacing w:line="276"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p>
    <w:p w14:paraId="23AA4E85">
      <w:pPr>
        <w:numPr>
          <w:ilvl w:val="0"/>
          <w:numId w:val="5"/>
        </w:numPr>
        <w:spacing w:line="276" w:lineRule="auto"/>
        <w:jc w:val="left"/>
        <w:rPr>
          <w:color w:val="auto"/>
          <w:sz w:val="24"/>
          <w:szCs w:val="24"/>
          <w:highlight w:val="none"/>
        </w:rPr>
      </w:pPr>
      <w:r>
        <w:rPr>
          <w:rFonts w:hint="eastAsia" w:ascii="宋体" w:hAnsi="宋体" w:eastAsia="宋体" w:cs="宋体"/>
          <w:b/>
          <w:bCs/>
          <w:color w:val="auto"/>
          <w:sz w:val="24"/>
          <w:szCs w:val="24"/>
          <w:highlight w:val="none"/>
          <w:lang w:eastAsia="zh-CN"/>
        </w:rPr>
        <w:t>经评审的投标</w:t>
      </w:r>
      <w:r>
        <w:rPr>
          <w:rFonts w:hint="eastAsia" w:ascii="宋体" w:hAnsi="宋体" w:eastAsia="宋体" w:cs="宋体"/>
          <w:b/>
          <w:bCs/>
          <w:color w:val="auto"/>
          <w:sz w:val="24"/>
          <w:szCs w:val="24"/>
          <w:highlight w:val="none"/>
          <w:lang w:val="en-US" w:eastAsia="zh-CN"/>
        </w:rPr>
        <w:t>报</w:t>
      </w:r>
      <w:r>
        <w:rPr>
          <w:rFonts w:hint="eastAsia" w:ascii="宋体" w:hAnsi="宋体" w:eastAsia="宋体" w:cs="宋体"/>
          <w:b/>
          <w:bCs/>
          <w:color w:val="auto"/>
          <w:sz w:val="24"/>
          <w:szCs w:val="24"/>
          <w:highlight w:val="none"/>
          <w:lang w:eastAsia="zh-CN"/>
        </w:rPr>
        <w:t>价按下列公式计算：</w:t>
      </w:r>
      <w:r>
        <w:rPr>
          <w:rFonts w:hint="eastAsia" w:ascii="宋体" w:hAnsi="宋体" w:eastAsia="宋体" w:cs="宋体"/>
          <w:color w:val="auto"/>
          <w:sz w:val="24"/>
          <w:szCs w:val="24"/>
          <w:highlight w:val="none"/>
          <w:lang w:eastAsia="zh-CN"/>
        </w:rPr>
        <w:t>经评审的投标</w:t>
      </w:r>
      <w:r>
        <w:rPr>
          <w:rFonts w:hint="eastAsia" w:ascii="宋体" w:hAnsi="宋体" w:eastAsia="宋体" w:cs="宋体"/>
          <w:color w:val="auto"/>
          <w:sz w:val="24"/>
          <w:szCs w:val="24"/>
          <w:highlight w:val="none"/>
          <w:lang w:val="en-US" w:eastAsia="zh-CN"/>
        </w:rPr>
        <w:t>报</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折算系数</w:t>
      </w:r>
      <w:r>
        <w:rPr>
          <w:rFonts w:hint="eastAsia" w:ascii="宋体" w:hAnsi="宋体" w:eastAsia="宋体" w:cs="宋体"/>
          <w:color w:val="auto"/>
          <w:sz w:val="24"/>
          <w:szCs w:val="24"/>
          <w:highlight w:val="none"/>
          <w:lang w:eastAsia="zh-CN"/>
        </w:rPr>
        <w:t>。</w:t>
      </w:r>
    </w:p>
    <w:p w14:paraId="6B4C333D">
      <w:pPr>
        <w:spacing w:line="276" w:lineRule="auto"/>
        <w:jc w:val="left"/>
        <w:rPr>
          <w:rFonts w:ascii="宋体" w:hAnsi="宋体"/>
          <w:bCs/>
          <w:color w:val="auto"/>
          <w:sz w:val="24"/>
          <w:szCs w:val="24"/>
          <w:highlight w:val="none"/>
        </w:rPr>
      </w:pPr>
      <w:r>
        <w:rPr>
          <w:rFonts w:hint="eastAsia" w:ascii="宋体" w:hAnsi="宋体" w:eastAsia="宋体" w:cs="宋体"/>
          <w:b/>
          <w:bCs/>
          <w:color w:val="auto"/>
          <w:sz w:val="24"/>
          <w:szCs w:val="24"/>
          <w:highlight w:val="none"/>
          <w:lang w:val="en-US" w:eastAsia="zh-CN"/>
        </w:rPr>
        <w:t>2、经评审的最低投标价</w:t>
      </w:r>
      <w:r>
        <w:rPr>
          <w:rFonts w:hint="eastAsia" w:ascii="宋体" w:hAnsi="宋体" w:eastAsia="宋体" w:cs="宋体"/>
          <w:b w:val="0"/>
          <w:bCs w:val="0"/>
          <w:color w:val="auto"/>
          <w:sz w:val="24"/>
          <w:szCs w:val="24"/>
          <w:highlight w:val="none"/>
          <w:lang w:val="en-US" w:eastAsia="zh-CN"/>
        </w:rPr>
        <w:t>为</w:t>
      </w:r>
      <w:r>
        <w:rPr>
          <w:rFonts w:hint="eastAsia" w:ascii="宋体" w:hAnsi="宋体" w:eastAsia="宋体" w:cs="宋体"/>
          <w:color w:val="auto"/>
          <w:sz w:val="24"/>
          <w:szCs w:val="24"/>
          <w:highlight w:val="none"/>
          <w:lang w:val="en-US" w:eastAsia="zh-CN"/>
        </w:rPr>
        <w:t>所有</w:t>
      </w:r>
      <w:r>
        <w:rPr>
          <w:rFonts w:hint="eastAsia" w:ascii="宋体" w:hAnsi="宋体" w:eastAsia="宋体" w:cs="宋体"/>
          <w:b w:val="0"/>
          <w:bCs w:val="0"/>
          <w:color w:val="auto"/>
          <w:sz w:val="24"/>
          <w:szCs w:val="24"/>
          <w:highlight w:val="none"/>
          <w:lang w:val="en-US" w:eastAsia="zh-CN"/>
        </w:rPr>
        <w:t>经</w:t>
      </w:r>
      <w:r>
        <w:rPr>
          <w:rFonts w:hint="eastAsia" w:ascii="宋体" w:hAnsi="宋体" w:eastAsia="宋体" w:cs="宋体"/>
          <w:b w:val="0"/>
          <w:bCs w:val="0"/>
          <w:color w:val="auto"/>
          <w:sz w:val="24"/>
          <w:szCs w:val="24"/>
          <w:highlight w:val="none"/>
          <w:lang w:eastAsia="zh-CN"/>
        </w:rPr>
        <w:t>评审的投标</w:t>
      </w:r>
      <w:r>
        <w:rPr>
          <w:rFonts w:hint="eastAsia" w:ascii="宋体" w:hAnsi="宋体" w:eastAsia="宋体" w:cs="宋体"/>
          <w:b w:val="0"/>
          <w:bCs w:val="0"/>
          <w:color w:val="auto"/>
          <w:sz w:val="24"/>
          <w:szCs w:val="24"/>
          <w:highlight w:val="none"/>
          <w:lang w:val="en-US" w:eastAsia="zh-CN"/>
        </w:rPr>
        <w:t>报</w:t>
      </w:r>
      <w:r>
        <w:rPr>
          <w:rFonts w:hint="eastAsia" w:ascii="宋体" w:hAnsi="宋体" w:eastAsia="宋体" w:cs="宋体"/>
          <w:b w:val="0"/>
          <w:bCs w:val="0"/>
          <w:color w:val="auto"/>
          <w:sz w:val="24"/>
          <w:szCs w:val="24"/>
          <w:highlight w:val="none"/>
          <w:lang w:eastAsia="zh-CN"/>
        </w:rPr>
        <w:t>价</w:t>
      </w:r>
      <w:r>
        <w:rPr>
          <w:rFonts w:hint="eastAsia" w:ascii="宋体" w:hAnsi="宋体" w:eastAsia="宋体" w:cs="宋体"/>
          <w:b w:val="0"/>
          <w:bCs w:val="0"/>
          <w:color w:val="auto"/>
          <w:sz w:val="24"/>
          <w:szCs w:val="24"/>
          <w:highlight w:val="none"/>
          <w:lang w:val="en-US" w:eastAsia="zh-CN"/>
        </w:rPr>
        <w:t>中金额最低的经</w:t>
      </w:r>
      <w:r>
        <w:rPr>
          <w:rFonts w:hint="eastAsia" w:ascii="宋体" w:hAnsi="宋体" w:eastAsia="宋体" w:cs="宋体"/>
          <w:b w:val="0"/>
          <w:bCs w:val="0"/>
          <w:color w:val="auto"/>
          <w:sz w:val="24"/>
          <w:szCs w:val="24"/>
          <w:highlight w:val="none"/>
          <w:lang w:eastAsia="zh-CN"/>
        </w:rPr>
        <w:t>评审的投标</w:t>
      </w:r>
      <w:r>
        <w:rPr>
          <w:rFonts w:hint="eastAsia" w:ascii="宋体" w:hAnsi="宋体" w:eastAsia="宋体" w:cs="宋体"/>
          <w:b w:val="0"/>
          <w:bCs w:val="0"/>
          <w:color w:val="auto"/>
          <w:sz w:val="24"/>
          <w:szCs w:val="24"/>
          <w:highlight w:val="none"/>
          <w:lang w:val="en-US" w:eastAsia="zh-CN"/>
        </w:rPr>
        <w:t>报</w:t>
      </w:r>
      <w:r>
        <w:rPr>
          <w:rFonts w:hint="eastAsia" w:ascii="宋体" w:hAnsi="宋体" w:eastAsia="宋体" w:cs="宋体"/>
          <w:b w:val="0"/>
          <w:bCs w:val="0"/>
          <w:color w:val="auto"/>
          <w:sz w:val="24"/>
          <w:szCs w:val="24"/>
          <w:highlight w:val="none"/>
          <w:lang w:eastAsia="zh-CN"/>
        </w:rPr>
        <w:t>价</w:t>
      </w:r>
      <w:r>
        <w:rPr>
          <w:rFonts w:hint="eastAsia" w:ascii="宋体" w:hAnsi="宋体" w:eastAsia="宋体" w:cs="宋体"/>
          <w:b/>
          <w:bCs/>
          <w:color w:val="auto"/>
          <w:sz w:val="24"/>
          <w:szCs w:val="24"/>
          <w:highlight w:val="none"/>
          <w:lang w:eastAsia="zh-CN"/>
        </w:rPr>
        <w:t>。</w:t>
      </w:r>
    </w:p>
    <w:p w14:paraId="63616B4E">
      <w:pPr>
        <w:pStyle w:val="3"/>
        <w:rPr>
          <w:color w:val="auto"/>
          <w:highlight w:val="none"/>
        </w:rPr>
        <w:sectPr>
          <w:pgSz w:w="16838" w:h="11906" w:orient="landscape"/>
          <w:pgMar w:top="1797" w:right="1440" w:bottom="1797" w:left="1440" w:header="851" w:footer="992" w:gutter="0"/>
          <w:pgNumType w:fmt="decimal"/>
          <w:cols w:space="720" w:num="1"/>
          <w:docGrid w:linePitch="312" w:charSpace="0"/>
        </w:sectPr>
      </w:pPr>
    </w:p>
    <w:p w14:paraId="6F227C2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5</w:t>
      </w:r>
    </w:p>
    <w:p w14:paraId="30D75F2A">
      <w:pPr>
        <w:ind w:firstLine="643"/>
        <w:jc w:val="center"/>
        <w:rPr>
          <w:rFonts w:hint="eastAsia" w:hAnsi="宋体" w:cs="宋体"/>
          <w:b/>
          <w:color w:val="auto"/>
          <w:sz w:val="32"/>
          <w:szCs w:val="32"/>
          <w:highlight w:val="none"/>
        </w:rPr>
      </w:pPr>
      <w:r>
        <w:rPr>
          <w:rFonts w:hint="eastAsia" w:hAnsi="宋体" w:cs="宋体"/>
          <w:b/>
          <w:color w:val="auto"/>
          <w:sz w:val="32"/>
          <w:szCs w:val="32"/>
          <w:highlight w:val="none"/>
        </w:rPr>
        <w:t>定标因素表（定标阶段用表）</w:t>
      </w:r>
    </w:p>
    <w:p w14:paraId="0E5EC3A8">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Ansi="宋体" w:cs="宋体"/>
          <w:color w:val="auto"/>
          <w:highlight w:val="none"/>
        </w:rPr>
      </w:pPr>
      <w:r>
        <w:rPr>
          <w:rFonts w:hint="eastAsia" w:hAnsi="宋体" w:cs="宋体"/>
          <w:color w:val="auto"/>
          <w:highlight w:val="none"/>
        </w:rPr>
        <w:t>项目名称：</w:t>
      </w:r>
    </w:p>
    <w:tbl>
      <w:tblPr>
        <w:tblStyle w:val="17"/>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55"/>
        <w:gridCol w:w="684"/>
        <w:gridCol w:w="7114"/>
      </w:tblGrid>
      <w:tr w14:paraId="259A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6B2FB75A">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rPr>
            </w:pPr>
            <w:r>
              <w:rPr>
                <w:rFonts w:hint="eastAsia" w:hAnsi="宋体" w:cs="宋体"/>
                <w:color w:val="auto"/>
                <w:highlight w:val="none"/>
              </w:rPr>
              <w:br w:type="page"/>
            </w:r>
            <w:r>
              <w:rPr>
                <w:rFonts w:hint="eastAsia" w:hAnsi="宋体" w:cs="宋体"/>
                <w:color w:val="auto"/>
                <w:highlight w:val="none"/>
              </w:rPr>
              <w:t>序号</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32E81350">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rPr>
            </w:pPr>
            <w:r>
              <w:rPr>
                <w:rFonts w:hint="eastAsia" w:hAnsi="宋体" w:cs="宋体"/>
                <w:color w:val="auto"/>
                <w:highlight w:val="none"/>
              </w:rPr>
              <w:t>评价项目</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27062713">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rPr>
            </w:pPr>
            <w:r>
              <w:rPr>
                <w:rFonts w:hint="eastAsia" w:hAnsi="宋体" w:cs="宋体"/>
                <w:color w:val="auto"/>
                <w:highlight w:val="none"/>
              </w:rPr>
              <w:t>分值</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22700DF6">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rPr>
            </w:pPr>
            <w:r>
              <w:rPr>
                <w:rFonts w:hint="eastAsia" w:hAnsi="宋体" w:cs="宋体"/>
                <w:color w:val="auto"/>
                <w:highlight w:val="none"/>
              </w:rPr>
              <w:t>定标评价的内容</w:t>
            </w:r>
          </w:p>
        </w:tc>
      </w:tr>
      <w:tr w14:paraId="4C25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vMerge w:val="restart"/>
            <w:tcBorders>
              <w:top w:val="single" w:color="auto" w:sz="4" w:space="0"/>
              <w:left w:val="single" w:color="auto" w:sz="4" w:space="0"/>
              <w:right w:val="single" w:color="auto" w:sz="4" w:space="0"/>
            </w:tcBorders>
            <w:noWrap w:val="0"/>
            <w:vAlign w:val="center"/>
          </w:tcPr>
          <w:p w14:paraId="7C8FED46">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rPr>
            </w:pPr>
            <w:r>
              <w:rPr>
                <w:rFonts w:hint="eastAsia" w:hAnsi="宋体" w:cs="宋体"/>
                <w:color w:val="auto"/>
                <w:highlight w:val="none"/>
              </w:rPr>
              <w:t>1</w:t>
            </w:r>
          </w:p>
        </w:tc>
        <w:tc>
          <w:tcPr>
            <w:tcW w:w="955" w:type="dxa"/>
            <w:vMerge w:val="restart"/>
            <w:tcBorders>
              <w:top w:val="single" w:color="auto" w:sz="4" w:space="0"/>
              <w:left w:val="single" w:color="auto" w:sz="4" w:space="0"/>
              <w:right w:val="single" w:color="auto" w:sz="4" w:space="0"/>
            </w:tcBorders>
            <w:noWrap w:val="0"/>
            <w:vAlign w:val="center"/>
          </w:tcPr>
          <w:p w14:paraId="27197B0A">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hAnsi="宋体" w:cs="宋体"/>
                <w:color w:val="auto"/>
                <w:highlight w:val="none"/>
                <w:lang w:eastAsia="zh-CN"/>
              </w:rPr>
            </w:pPr>
            <w:r>
              <w:rPr>
                <w:rFonts w:hint="eastAsia" w:hAnsi="宋体" w:cs="宋体"/>
                <w:color w:val="auto"/>
                <w:highlight w:val="none"/>
              </w:rPr>
              <w:t>方案因素</w:t>
            </w:r>
            <w:r>
              <w:rPr>
                <w:rFonts w:hint="eastAsia" w:hAnsi="宋体" w:cs="宋体"/>
                <w:color w:val="auto"/>
                <w:highlight w:val="none"/>
                <w:lang w:eastAsia="zh-CN"/>
              </w:rPr>
              <w:t>（</w:t>
            </w:r>
            <w:r>
              <w:rPr>
                <w:rFonts w:hint="eastAsia" w:hAnsi="宋体" w:cs="宋体"/>
                <w:color w:val="auto"/>
                <w:highlight w:val="none"/>
                <w:lang w:val="en-US" w:eastAsia="zh-CN"/>
              </w:rPr>
              <w:t>100</w:t>
            </w:r>
            <w:r>
              <w:rPr>
                <w:rFonts w:hint="eastAsia" w:hAnsi="宋体" w:cs="宋体"/>
                <w:color w:val="auto"/>
                <w:highlight w:val="none"/>
                <w:lang w:eastAsia="zh-CN"/>
              </w:rPr>
              <w:t>）</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1F7BCEBA">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lang w:val="en-US" w:eastAsia="zh-CN"/>
              </w:rPr>
            </w:pPr>
            <w:r>
              <w:rPr>
                <w:rFonts w:hint="eastAsia" w:hAnsi="宋体" w:cs="宋体"/>
                <w:color w:val="auto"/>
                <w:highlight w:val="none"/>
                <w:lang w:val="en-US" w:eastAsia="zh-CN"/>
              </w:rPr>
              <w:t>25</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416C6D4E">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en-US" w:eastAsia="zh-CN"/>
              </w:rPr>
            </w:pPr>
            <w:r>
              <w:rPr>
                <w:rFonts w:hint="eastAsia" w:hAnsi="宋体" w:cs="宋体"/>
                <w:color w:val="auto"/>
                <w:highlight w:val="none"/>
                <w:lang w:val="zh-CN"/>
              </w:rPr>
              <w:t>对拟投入本项目的团队配置进行评审：</w:t>
            </w:r>
            <w:r>
              <w:rPr>
                <w:rFonts w:hint="eastAsia" w:hAnsi="宋体" w:cs="宋体"/>
                <w:color w:val="auto"/>
                <w:highlight w:val="none"/>
                <w:lang w:val="en-US" w:eastAsia="zh-CN"/>
              </w:rPr>
              <w:t xml:space="preserve"> </w:t>
            </w:r>
          </w:p>
          <w:p w14:paraId="0AC809E0">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（团队配置应能体现投入充分满足项目需求的管理力量和技术力量，包括不限于：人员资质、专业匹配度、类似项目经验、团队稳定性等内容）</w:t>
            </w:r>
          </w:p>
          <w:p w14:paraId="27C13E71">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优得【</w:t>
            </w:r>
            <w:r>
              <w:rPr>
                <w:rFonts w:hint="eastAsia" w:hAnsi="宋体" w:cs="宋体"/>
                <w:color w:val="auto"/>
                <w:highlight w:val="none"/>
                <w:lang w:val="en-US" w:eastAsia="zh-CN"/>
              </w:rPr>
              <w:t>19，25】</w:t>
            </w:r>
            <w:r>
              <w:rPr>
                <w:rFonts w:hint="eastAsia" w:hAnsi="宋体" w:cs="宋体"/>
                <w:color w:val="auto"/>
                <w:highlight w:val="none"/>
                <w:lang w:val="zh-CN"/>
              </w:rPr>
              <w:t>分</w:t>
            </w:r>
          </w:p>
          <w:p w14:paraId="2A6292C8">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良得【</w:t>
            </w:r>
            <w:r>
              <w:rPr>
                <w:rFonts w:hint="eastAsia" w:hAnsi="宋体" w:cs="宋体"/>
                <w:color w:val="auto"/>
                <w:highlight w:val="none"/>
                <w:lang w:val="en-US" w:eastAsia="zh-CN"/>
              </w:rPr>
              <w:t>12，18】</w:t>
            </w:r>
            <w:r>
              <w:rPr>
                <w:rFonts w:hint="eastAsia" w:hAnsi="宋体" w:cs="宋体"/>
                <w:color w:val="auto"/>
                <w:highlight w:val="none"/>
                <w:lang w:val="zh-CN"/>
              </w:rPr>
              <w:t>分。</w:t>
            </w:r>
          </w:p>
          <w:p w14:paraId="5EEFBD1A">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中得【</w:t>
            </w:r>
            <w:r>
              <w:rPr>
                <w:rFonts w:hint="eastAsia" w:hAnsi="宋体" w:cs="宋体"/>
                <w:color w:val="auto"/>
                <w:highlight w:val="none"/>
                <w:lang w:val="en-US" w:eastAsia="zh-CN"/>
              </w:rPr>
              <w:t>5，11】</w:t>
            </w:r>
            <w:r>
              <w:rPr>
                <w:rFonts w:hint="eastAsia" w:hAnsi="宋体" w:cs="宋体"/>
                <w:color w:val="auto"/>
                <w:highlight w:val="none"/>
                <w:lang w:val="zh-CN"/>
              </w:rPr>
              <w:t>分。</w:t>
            </w:r>
          </w:p>
          <w:p w14:paraId="3353D7F6">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eastAsia="zh-CN"/>
              </w:rPr>
              <w:t>差得</w:t>
            </w:r>
            <w:r>
              <w:rPr>
                <w:rFonts w:hint="eastAsia" w:hAnsi="宋体" w:cs="宋体"/>
                <w:color w:val="auto"/>
                <w:highlight w:val="none"/>
                <w:lang w:val="zh-CN"/>
              </w:rPr>
              <w:t>【</w:t>
            </w:r>
            <w:r>
              <w:rPr>
                <w:rFonts w:hint="eastAsia" w:hAnsi="宋体" w:cs="宋体"/>
                <w:color w:val="auto"/>
                <w:highlight w:val="none"/>
                <w:lang w:val="en-US" w:eastAsia="zh-CN"/>
              </w:rPr>
              <w:t>1，4】</w:t>
            </w:r>
            <w:r>
              <w:rPr>
                <w:rFonts w:hint="eastAsia" w:hAnsi="宋体" w:cs="宋体"/>
                <w:color w:val="auto"/>
                <w:highlight w:val="none"/>
                <w:lang w:val="zh-CN"/>
              </w:rPr>
              <w:t>分。</w:t>
            </w:r>
          </w:p>
          <w:p w14:paraId="27303153">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rPr>
            </w:pPr>
            <w:r>
              <w:rPr>
                <w:rFonts w:hint="eastAsia" w:hAnsi="宋体" w:cs="宋体"/>
                <w:color w:val="auto"/>
                <w:highlight w:val="none"/>
              </w:rPr>
              <w:t>不满足或</w:t>
            </w:r>
            <w:r>
              <w:rPr>
                <w:rFonts w:hint="eastAsia" w:hAnsi="宋体" w:cs="宋体"/>
                <w:color w:val="auto"/>
                <w:highlight w:val="none"/>
                <w:lang w:val="zh-CN"/>
              </w:rPr>
              <w:t>未能按要求</w:t>
            </w:r>
            <w:r>
              <w:rPr>
                <w:rFonts w:hint="eastAsia" w:hAnsi="宋体" w:cs="宋体"/>
                <w:color w:val="auto"/>
                <w:highlight w:val="none"/>
              </w:rPr>
              <w:t>提供相关资料</w:t>
            </w:r>
            <w:r>
              <w:rPr>
                <w:rFonts w:hint="eastAsia" w:hAnsi="宋体" w:cs="宋体"/>
                <w:color w:val="auto"/>
                <w:highlight w:val="none"/>
                <w:lang w:val="zh-CN"/>
              </w:rPr>
              <w:t>得0分。</w:t>
            </w:r>
          </w:p>
        </w:tc>
      </w:tr>
      <w:tr w14:paraId="64C4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vMerge w:val="continue"/>
            <w:tcBorders>
              <w:left w:val="single" w:color="auto" w:sz="4" w:space="0"/>
              <w:right w:val="single" w:color="auto" w:sz="4" w:space="0"/>
            </w:tcBorders>
            <w:noWrap w:val="0"/>
            <w:vAlign w:val="center"/>
          </w:tcPr>
          <w:p w14:paraId="008AA2D5">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hAnsi="宋体" w:cs="宋体"/>
                <w:color w:val="auto"/>
                <w:highlight w:val="none"/>
              </w:rPr>
            </w:pPr>
          </w:p>
        </w:tc>
        <w:tc>
          <w:tcPr>
            <w:tcW w:w="955" w:type="dxa"/>
            <w:vMerge w:val="continue"/>
            <w:tcBorders>
              <w:left w:val="single" w:color="auto" w:sz="4" w:space="0"/>
              <w:right w:val="single" w:color="auto" w:sz="4" w:space="0"/>
            </w:tcBorders>
            <w:noWrap w:val="0"/>
            <w:vAlign w:val="center"/>
          </w:tcPr>
          <w:p w14:paraId="38E4245F">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hAnsi="宋体" w:cs="宋体"/>
                <w:color w:val="auto"/>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37788210">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lang w:val="en-US" w:eastAsia="zh-CN"/>
              </w:rPr>
            </w:pPr>
            <w:r>
              <w:rPr>
                <w:rFonts w:hint="eastAsia" w:hAnsi="宋体" w:cs="宋体"/>
                <w:color w:val="auto"/>
                <w:highlight w:val="none"/>
                <w:lang w:val="en-US" w:eastAsia="zh-CN"/>
              </w:rPr>
              <w:t>25</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793D7B15">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en-US" w:eastAsia="zh-CN"/>
              </w:rPr>
            </w:pPr>
            <w:r>
              <w:rPr>
                <w:rFonts w:hint="eastAsia" w:hAnsi="宋体" w:cs="宋体"/>
                <w:color w:val="auto"/>
                <w:highlight w:val="none"/>
                <w:lang w:eastAsia="zh-CN"/>
              </w:rPr>
              <w:t>对本项目施工管理措施进行</w:t>
            </w:r>
            <w:r>
              <w:rPr>
                <w:rFonts w:hint="eastAsia" w:hAnsi="宋体" w:cs="宋体"/>
                <w:color w:val="auto"/>
                <w:highlight w:val="none"/>
                <w:lang w:val="zh-CN"/>
              </w:rPr>
              <w:t>评审：</w:t>
            </w:r>
            <w:r>
              <w:rPr>
                <w:rFonts w:hint="eastAsia" w:hAnsi="宋体" w:cs="宋体"/>
                <w:color w:val="auto"/>
                <w:highlight w:val="none"/>
                <w:lang w:val="en-US" w:eastAsia="zh-CN"/>
              </w:rPr>
              <w:t xml:space="preserve"> </w:t>
            </w:r>
          </w:p>
          <w:p w14:paraId="428E236A">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w:t>
            </w:r>
            <w:r>
              <w:rPr>
                <w:rFonts w:hint="eastAsia" w:hAnsi="宋体" w:cs="宋体"/>
                <w:color w:val="auto"/>
                <w:highlight w:val="none"/>
                <w:lang w:eastAsia="zh-CN"/>
              </w:rPr>
              <w:t>施工管理措施应根据本项目实际、结合企业优势编制，应响应项目需求、具备</w:t>
            </w:r>
            <w:r>
              <w:rPr>
                <w:rFonts w:hint="eastAsia" w:hAnsi="宋体" w:cs="宋体"/>
                <w:color w:val="auto"/>
                <w:highlight w:val="none"/>
                <w:lang w:val="zh-CN"/>
              </w:rPr>
              <w:t>针对性、可行性、创新性</w:t>
            </w:r>
            <w:r>
              <w:rPr>
                <w:rFonts w:hint="eastAsia" w:hAnsi="宋体" w:cs="宋体"/>
                <w:color w:val="auto"/>
                <w:highlight w:val="none"/>
                <w:lang w:eastAsia="zh-CN"/>
              </w:rPr>
              <w:t>。包括不限于：</w:t>
            </w:r>
            <w:r>
              <w:rPr>
                <w:rFonts w:hint="eastAsia" w:hAnsi="宋体" w:cs="宋体"/>
                <w:color w:val="auto"/>
                <w:highlight w:val="none"/>
                <w:lang w:val="zh-CN"/>
              </w:rPr>
              <w:t>确保本工程质量、安全、进度目标的管理措施、危大分部分项管理措施、技术难点解决措施、应急响应措施等内容）</w:t>
            </w:r>
          </w:p>
          <w:p w14:paraId="1CFE5BC5">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优得【</w:t>
            </w:r>
            <w:r>
              <w:rPr>
                <w:rFonts w:hint="eastAsia" w:hAnsi="宋体" w:cs="宋体"/>
                <w:color w:val="auto"/>
                <w:highlight w:val="none"/>
                <w:lang w:val="en-US" w:eastAsia="zh-CN"/>
              </w:rPr>
              <w:t>19，25】</w:t>
            </w:r>
            <w:r>
              <w:rPr>
                <w:rFonts w:hint="eastAsia" w:hAnsi="宋体" w:cs="宋体"/>
                <w:color w:val="auto"/>
                <w:highlight w:val="none"/>
                <w:lang w:val="zh-CN"/>
              </w:rPr>
              <w:t>分</w:t>
            </w:r>
          </w:p>
          <w:p w14:paraId="4747D150">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良得【</w:t>
            </w:r>
            <w:r>
              <w:rPr>
                <w:rFonts w:hint="eastAsia" w:hAnsi="宋体" w:cs="宋体"/>
                <w:color w:val="auto"/>
                <w:highlight w:val="none"/>
                <w:lang w:val="en-US" w:eastAsia="zh-CN"/>
              </w:rPr>
              <w:t>12，18】</w:t>
            </w:r>
            <w:r>
              <w:rPr>
                <w:rFonts w:hint="eastAsia" w:hAnsi="宋体" w:cs="宋体"/>
                <w:color w:val="auto"/>
                <w:highlight w:val="none"/>
                <w:lang w:val="zh-CN"/>
              </w:rPr>
              <w:t>分。</w:t>
            </w:r>
          </w:p>
          <w:p w14:paraId="60FDA418">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中得【</w:t>
            </w:r>
            <w:r>
              <w:rPr>
                <w:rFonts w:hint="eastAsia" w:hAnsi="宋体" w:cs="宋体"/>
                <w:color w:val="auto"/>
                <w:highlight w:val="none"/>
                <w:lang w:val="en-US" w:eastAsia="zh-CN"/>
              </w:rPr>
              <w:t>5，11】</w:t>
            </w:r>
            <w:r>
              <w:rPr>
                <w:rFonts w:hint="eastAsia" w:hAnsi="宋体" w:cs="宋体"/>
                <w:color w:val="auto"/>
                <w:highlight w:val="none"/>
                <w:lang w:val="zh-CN"/>
              </w:rPr>
              <w:t>分。</w:t>
            </w:r>
          </w:p>
          <w:p w14:paraId="2D2EF248">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rPr>
            </w:pPr>
            <w:r>
              <w:rPr>
                <w:rFonts w:hint="eastAsia" w:hAnsi="宋体" w:cs="宋体"/>
                <w:color w:val="auto"/>
                <w:highlight w:val="none"/>
                <w:lang w:eastAsia="zh-CN"/>
              </w:rPr>
              <w:t>差得</w:t>
            </w:r>
            <w:r>
              <w:rPr>
                <w:rFonts w:hint="eastAsia" w:hAnsi="宋体" w:cs="宋体"/>
                <w:color w:val="auto"/>
                <w:highlight w:val="none"/>
                <w:lang w:val="zh-CN"/>
              </w:rPr>
              <w:t>【</w:t>
            </w:r>
            <w:r>
              <w:rPr>
                <w:rFonts w:hint="eastAsia" w:hAnsi="宋体" w:cs="宋体"/>
                <w:color w:val="auto"/>
                <w:highlight w:val="none"/>
                <w:lang w:val="en-US" w:eastAsia="zh-CN"/>
              </w:rPr>
              <w:t>1，4】</w:t>
            </w:r>
            <w:r>
              <w:rPr>
                <w:rFonts w:hint="eastAsia" w:hAnsi="宋体" w:cs="宋体"/>
                <w:color w:val="auto"/>
                <w:highlight w:val="none"/>
                <w:lang w:val="zh-CN"/>
              </w:rPr>
              <w:t>分。</w:t>
            </w:r>
          </w:p>
          <w:p w14:paraId="22AD2C7E">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rPr>
              <w:t>不满足或</w:t>
            </w:r>
            <w:r>
              <w:rPr>
                <w:rFonts w:hint="eastAsia" w:hAnsi="宋体" w:cs="宋体"/>
                <w:color w:val="auto"/>
                <w:highlight w:val="none"/>
                <w:lang w:val="zh-CN"/>
              </w:rPr>
              <w:t>未能按要求</w:t>
            </w:r>
            <w:r>
              <w:rPr>
                <w:rFonts w:hint="eastAsia" w:hAnsi="宋体" w:cs="宋体"/>
                <w:color w:val="auto"/>
                <w:highlight w:val="none"/>
              </w:rPr>
              <w:t>提供相关资料</w:t>
            </w:r>
            <w:r>
              <w:rPr>
                <w:rFonts w:hint="eastAsia" w:hAnsi="宋体" w:cs="宋体"/>
                <w:color w:val="auto"/>
                <w:highlight w:val="none"/>
                <w:lang w:val="zh-CN"/>
              </w:rPr>
              <w:t>得0分。</w:t>
            </w:r>
          </w:p>
        </w:tc>
      </w:tr>
      <w:tr w14:paraId="0DE5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vMerge w:val="continue"/>
            <w:tcBorders>
              <w:left w:val="single" w:color="auto" w:sz="4" w:space="0"/>
              <w:right w:val="single" w:color="auto" w:sz="4" w:space="0"/>
            </w:tcBorders>
            <w:noWrap w:val="0"/>
            <w:vAlign w:val="center"/>
          </w:tcPr>
          <w:p w14:paraId="6E74950A">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hAnsi="宋体" w:cs="宋体"/>
                <w:color w:val="auto"/>
                <w:highlight w:val="none"/>
              </w:rPr>
            </w:pPr>
          </w:p>
        </w:tc>
        <w:tc>
          <w:tcPr>
            <w:tcW w:w="955" w:type="dxa"/>
            <w:vMerge w:val="continue"/>
            <w:tcBorders>
              <w:left w:val="single" w:color="auto" w:sz="4" w:space="0"/>
              <w:right w:val="single" w:color="auto" w:sz="4" w:space="0"/>
            </w:tcBorders>
            <w:noWrap w:val="0"/>
            <w:vAlign w:val="center"/>
          </w:tcPr>
          <w:p w14:paraId="02521648">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hAnsi="宋体" w:cs="宋体"/>
                <w:color w:val="auto"/>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1B2FC24D">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lang w:val="en-US" w:eastAsia="zh-CN"/>
              </w:rPr>
            </w:pPr>
            <w:r>
              <w:rPr>
                <w:rFonts w:hint="eastAsia" w:hAnsi="宋体" w:cs="宋体"/>
                <w:color w:val="auto"/>
                <w:highlight w:val="none"/>
                <w:lang w:val="en-US" w:eastAsia="zh-CN"/>
              </w:rPr>
              <w:t>25</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3D47888E">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en-US" w:eastAsia="zh-CN"/>
              </w:rPr>
            </w:pPr>
            <w:r>
              <w:rPr>
                <w:rFonts w:hint="eastAsia" w:hAnsi="宋体" w:cs="宋体"/>
                <w:color w:val="auto"/>
                <w:highlight w:val="none"/>
                <w:lang w:val="zh-CN"/>
              </w:rPr>
              <w:t>对本项目成本控制措施</w:t>
            </w:r>
            <w:r>
              <w:rPr>
                <w:rFonts w:hint="eastAsia" w:hAnsi="宋体" w:cs="宋体"/>
                <w:color w:val="auto"/>
                <w:highlight w:val="none"/>
                <w:lang w:eastAsia="zh-CN"/>
              </w:rPr>
              <w:t>进行</w:t>
            </w:r>
            <w:r>
              <w:rPr>
                <w:rFonts w:hint="eastAsia" w:hAnsi="宋体" w:cs="宋体"/>
                <w:color w:val="auto"/>
                <w:highlight w:val="none"/>
                <w:lang w:val="zh-CN"/>
              </w:rPr>
              <w:t>评审：</w:t>
            </w:r>
            <w:r>
              <w:rPr>
                <w:rFonts w:hint="eastAsia" w:hAnsi="宋体" w:cs="宋体"/>
                <w:color w:val="auto"/>
                <w:highlight w:val="none"/>
                <w:lang w:val="en-US" w:eastAsia="zh-CN"/>
              </w:rPr>
              <w:t xml:space="preserve"> </w:t>
            </w:r>
          </w:p>
          <w:p w14:paraId="58F7F40F">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（成本控制措施包括不限于：成本控制目标、变更管理措施、成本控制风险防范措施等）</w:t>
            </w:r>
          </w:p>
          <w:p w14:paraId="647543A7">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优得【</w:t>
            </w:r>
            <w:r>
              <w:rPr>
                <w:rFonts w:hint="eastAsia" w:hAnsi="宋体" w:cs="宋体"/>
                <w:color w:val="auto"/>
                <w:highlight w:val="none"/>
                <w:lang w:val="en-US" w:eastAsia="zh-CN"/>
              </w:rPr>
              <w:t>19，25】</w:t>
            </w:r>
            <w:r>
              <w:rPr>
                <w:rFonts w:hint="eastAsia" w:hAnsi="宋体" w:cs="宋体"/>
                <w:color w:val="auto"/>
                <w:highlight w:val="none"/>
                <w:lang w:val="zh-CN"/>
              </w:rPr>
              <w:t>分</w:t>
            </w:r>
          </w:p>
          <w:p w14:paraId="209F40B8">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良得【</w:t>
            </w:r>
            <w:r>
              <w:rPr>
                <w:rFonts w:hint="eastAsia" w:hAnsi="宋体" w:cs="宋体"/>
                <w:color w:val="auto"/>
                <w:highlight w:val="none"/>
                <w:lang w:val="en-US" w:eastAsia="zh-CN"/>
              </w:rPr>
              <w:t>12，18】</w:t>
            </w:r>
            <w:r>
              <w:rPr>
                <w:rFonts w:hint="eastAsia" w:hAnsi="宋体" w:cs="宋体"/>
                <w:color w:val="auto"/>
                <w:highlight w:val="none"/>
                <w:lang w:val="zh-CN"/>
              </w:rPr>
              <w:t>分。</w:t>
            </w:r>
          </w:p>
          <w:p w14:paraId="1BF90730">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中得【</w:t>
            </w:r>
            <w:r>
              <w:rPr>
                <w:rFonts w:hint="eastAsia" w:hAnsi="宋体" w:cs="宋体"/>
                <w:color w:val="auto"/>
                <w:highlight w:val="none"/>
                <w:lang w:val="en-US" w:eastAsia="zh-CN"/>
              </w:rPr>
              <w:t>5，11】</w:t>
            </w:r>
            <w:r>
              <w:rPr>
                <w:rFonts w:hint="eastAsia" w:hAnsi="宋体" w:cs="宋体"/>
                <w:color w:val="auto"/>
                <w:highlight w:val="none"/>
                <w:lang w:val="zh-CN"/>
              </w:rPr>
              <w:t>分。</w:t>
            </w:r>
          </w:p>
          <w:p w14:paraId="6D69D306">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rPr>
            </w:pPr>
            <w:r>
              <w:rPr>
                <w:rFonts w:hint="eastAsia" w:hAnsi="宋体" w:cs="宋体"/>
                <w:color w:val="auto"/>
                <w:highlight w:val="none"/>
                <w:lang w:eastAsia="zh-CN"/>
              </w:rPr>
              <w:t>差得</w:t>
            </w:r>
            <w:r>
              <w:rPr>
                <w:rFonts w:hint="eastAsia" w:hAnsi="宋体" w:cs="宋体"/>
                <w:color w:val="auto"/>
                <w:highlight w:val="none"/>
                <w:lang w:val="zh-CN"/>
              </w:rPr>
              <w:t>【</w:t>
            </w:r>
            <w:r>
              <w:rPr>
                <w:rFonts w:hint="eastAsia" w:hAnsi="宋体" w:cs="宋体"/>
                <w:color w:val="auto"/>
                <w:highlight w:val="none"/>
                <w:lang w:val="en-US" w:eastAsia="zh-CN"/>
              </w:rPr>
              <w:t>1，4】</w:t>
            </w:r>
            <w:r>
              <w:rPr>
                <w:rFonts w:hint="eastAsia" w:hAnsi="宋体" w:cs="宋体"/>
                <w:color w:val="auto"/>
                <w:highlight w:val="none"/>
                <w:lang w:val="zh-CN"/>
              </w:rPr>
              <w:t>分。</w:t>
            </w:r>
          </w:p>
          <w:p w14:paraId="0E0A93D5">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rPr>
              <w:t>不满足或</w:t>
            </w:r>
            <w:r>
              <w:rPr>
                <w:rFonts w:hint="eastAsia" w:hAnsi="宋体" w:cs="宋体"/>
                <w:color w:val="auto"/>
                <w:highlight w:val="none"/>
                <w:lang w:val="zh-CN"/>
              </w:rPr>
              <w:t>未能按要求</w:t>
            </w:r>
            <w:r>
              <w:rPr>
                <w:rFonts w:hint="eastAsia" w:hAnsi="宋体" w:cs="宋体"/>
                <w:color w:val="auto"/>
                <w:highlight w:val="none"/>
              </w:rPr>
              <w:t>提供相关资料</w:t>
            </w:r>
            <w:r>
              <w:rPr>
                <w:rFonts w:hint="eastAsia" w:hAnsi="宋体" w:cs="宋体"/>
                <w:color w:val="auto"/>
                <w:highlight w:val="none"/>
                <w:lang w:val="zh-CN"/>
              </w:rPr>
              <w:t>得0分。</w:t>
            </w:r>
          </w:p>
        </w:tc>
      </w:tr>
      <w:tr w14:paraId="0164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vMerge w:val="continue"/>
            <w:tcBorders>
              <w:left w:val="single" w:color="auto" w:sz="4" w:space="0"/>
              <w:right w:val="single" w:color="auto" w:sz="4" w:space="0"/>
            </w:tcBorders>
            <w:noWrap w:val="0"/>
            <w:vAlign w:val="center"/>
          </w:tcPr>
          <w:p w14:paraId="55CAAFE0">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hAnsi="宋体" w:cs="宋体"/>
                <w:color w:val="auto"/>
                <w:highlight w:val="none"/>
              </w:rPr>
            </w:pPr>
          </w:p>
        </w:tc>
        <w:tc>
          <w:tcPr>
            <w:tcW w:w="955" w:type="dxa"/>
            <w:vMerge w:val="continue"/>
            <w:tcBorders>
              <w:left w:val="single" w:color="auto" w:sz="4" w:space="0"/>
              <w:right w:val="single" w:color="auto" w:sz="4" w:space="0"/>
            </w:tcBorders>
            <w:noWrap w:val="0"/>
            <w:vAlign w:val="center"/>
          </w:tcPr>
          <w:p w14:paraId="550BC58F">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hAnsi="宋体" w:cs="宋体"/>
                <w:color w:val="auto"/>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204F1808">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lang w:val="en-US" w:eastAsia="zh-CN"/>
              </w:rPr>
            </w:pPr>
            <w:r>
              <w:rPr>
                <w:rFonts w:hint="eastAsia" w:hAnsi="宋体" w:cs="宋体"/>
                <w:color w:val="auto"/>
                <w:highlight w:val="none"/>
                <w:lang w:val="en-US" w:eastAsia="zh-CN"/>
              </w:rPr>
              <w:t>25</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5CD6AC9D">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eastAsia="zh-CN"/>
              </w:rPr>
            </w:pPr>
            <w:r>
              <w:rPr>
                <w:rFonts w:hint="eastAsia" w:hAnsi="宋体" w:cs="宋体"/>
                <w:color w:val="auto"/>
                <w:highlight w:val="none"/>
                <w:lang w:eastAsia="zh-CN"/>
              </w:rPr>
              <w:t>对本项目资金管理</w:t>
            </w:r>
            <w:r>
              <w:rPr>
                <w:rFonts w:hint="eastAsia" w:hAnsi="宋体" w:cs="宋体"/>
                <w:color w:val="auto"/>
                <w:highlight w:val="none"/>
              </w:rPr>
              <w:t>措施</w:t>
            </w:r>
            <w:r>
              <w:rPr>
                <w:rFonts w:hint="eastAsia" w:hAnsi="宋体" w:cs="宋体"/>
                <w:color w:val="auto"/>
                <w:highlight w:val="none"/>
                <w:lang w:eastAsia="zh-CN"/>
              </w:rPr>
              <w:t>进行评审：</w:t>
            </w:r>
          </w:p>
          <w:p w14:paraId="0AC7DB71">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rPr>
            </w:pPr>
            <w:r>
              <w:rPr>
                <w:rFonts w:hint="eastAsia" w:hAnsi="宋体" w:cs="宋体"/>
                <w:color w:val="auto"/>
                <w:highlight w:val="none"/>
                <w:lang w:eastAsia="zh-CN"/>
              </w:rPr>
              <w:t>（资金管理</w:t>
            </w:r>
            <w:r>
              <w:rPr>
                <w:rFonts w:hint="eastAsia" w:hAnsi="宋体" w:cs="宋体"/>
                <w:color w:val="auto"/>
                <w:highlight w:val="none"/>
              </w:rPr>
              <w:t>措施</w:t>
            </w:r>
            <w:r>
              <w:rPr>
                <w:rFonts w:hint="eastAsia" w:hAnsi="宋体" w:cs="宋体"/>
                <w:color w:val="auto"/>
                <w:highlight w:val="none"/>
                <w:lang w:eastAsia="zh-CN"/>
              </w:rPr>
              <w:t>包括不限于：工程款专款专用、</w:t>
            </w:r>
            <w:r>
              <w:rPr>
                <w:rFonts w:hint="eastAsia" w:hAnsi="宋体" w:cs="宋体"/>
                <w:color w:val="auto"/>
                <w:highlight w:val="none"/>
              </w:rPr>
              <w:t>项目资金投入规划</w:t>
            </w:r>
            <w:r>
              <w:rPr>
                <w:rFonts w:hint="eastAsia" w:hAnsi="宋体" w:cs="宋体"/>
                <w:color w:val="auto"/>
                <w:highlight w:val="none"/>
                <w:lang w:eastAsia="zh-CN"/>
              </w:rPr>
              <w:t>、农民工工资保障、</w:t>
            </w:r>
            <w:r>
              <w:rPr>
                <w:rFonts w:hint="eastAsia" w:hAnsi="宋体" w:cs="宋体"/>
                <w:color w:val="auto"/>
                <w:highlight w:val="none"/>
              </w:rPr>
              <w:t>应急周转资金制度、工程款支付担保</w:t>
            </w:r>
            <w:r>
              <w:rPr>
                <w:rFonts w:hint="eastAsia" w:hAnsi="宋体" w:cs="宋体"/>
                <w:color w:val="auto"/>
                <w:highlight w:val="none"/>
                <w:lang w:eastAsia="zh-CN"/>
              </w:rPr>
              <w:t>等</w:t>
            </w:r>
            <w:r>
              <w:rPr>
                <w:rFonts w:hint="eastAsia" w:hAnsi="宋体" w:cs="宋体"/>
                <w:color w:val="auto"/>
                <w:highlight w:val="none"/>
              </w:rPr>
              <w:t>措施</w:t>
            </w:r>
            <w:r>
              <w:rPr>
                <w:rFonts w:hint="eastAsia" w:hAnsi="宋体" w:cs="宋体"/>
                <w:color w:val="auto"/>
                <w:highlight w:val="none"/>
                <w:lang w:eastAsia="zh-CN"/>
              </w:rPr>
              <w:t>等）</w:t>
            </w:r>
          </w:p>
          <w:p w14:paraId="74362472">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优得【</w:t>
            </w:r>
            <w:r>
              <w:rPr>
                <w:rFonts w:hint="eastAsia" w:hAnsi="宋体" w:cs="宋体"/>
                <w:color w:val="auto"/>
                <w:highlight w:val="none"/>
                <w:lang w:val="en-US" w:eastAsia="zh-CN"/>
              </w:rPr>
              <w:t>19，25】</w:t>
            </w:r>
            <w:r>
              <w:rPr>
                <w:rFonts w:hint="eastAsia" w:hAnsi="宋体" w:cs="宋体"/>
                <w:color w:val="auto"/>
                <w:highlight w:val="none"/>
                <w:lang w:val="zh-CN"/>
              </w:rPr>
              <w:t>分</w:t>
            </w:r>
          </w:p>
          <w:p w14:paraId="721E9818">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良得【</w:t>
            </w:r>
            <w:r>
              <w:rPr>
                <w:rFonts w:hint="eastAsia" w:hAnsi="宋体" w:cs="宋体"/>
                <w:color w:val="auto"/>
                <w:highlight w:val="none"/>
                <w:lang w:val="en-US" w:eastAsia="zh-CN"/>
              </w:rPr>
              <w:t>12，18】</w:t>
            </w:r>
            <w:r>
              <w:rPr>
                <w:rFonts w:hint="eastAsia" w:hAnsi="宋体" w:cs="宋体"/>
                <w:color w:val="auto"/>
                <w:highlight w:val="none"/>
                <w:lang w:val="zh-CN"/>
              </w:rPr>
              <w:t>分。</w:t>
            </w:r>
          </w:p>
          <w:p w14:paraId="0DC40F78">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rPr>
            </w:pPr>
            <w:r>
              <w:rPr>
                <w:rFonts w:hint="eastAsia" w:hAnsi="宋体" w:cs="宋体"/>
                <w:color w:val="auto"/>
                <w:highlight w:val="none"/>
                <w:lang w:val="zh-CN"/>
              </w:rPr>
              <w:t>中得【</w:t>
            </w:r>
            <w:r>
              <w:rPr>
                <w:rFonts w:hint="eastAsia" w:hAnsi="宋体" w:cs="宋体"/>
                <w:color w:val="auto"/>
                <w:highlight w:val="none"/>
                <w:lang w:val="en-US" w:eastAsia="zh-CN"/>
              </w:rPr>
              <w:t>5，11】</w:t>
            </w:r>
            <w:r>
              <w:rPr>
                <w:rFonts w:hint="eastAsia" w:hAnsi="宋体" w:cs="宋体"/>
                <w:color w:val="auto"/>
                <w:highlight w:val="none"/>
                <w:lang w:val="zh-CN"/>
              </w:rPr>
              <w:t>分。</w:t>
            </w:r>
          </w:p>
          <w:p w14:paraId="6CE69D26">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rPr>
            </w:pPr>
            <w:r>
              <w:rPr>
                <w:rFonts w:hint="eastAsia" w:hAnsi="宋体" w:cs="宋体"/>
                <w:color w:val="auto"/>
                <w:highlight w:val="none"/>
                <w:lang w:eastAsia="zh-CN"/>
              </w:rPr>
              <w:t>差得</w:t>
            </w:r>
            <w:r>
              <w:rPr>
                <w:rFonts w:hint="eastAsia" w:hAnsi="宋体" w:cs="宋体"/>
                <w:color w:val="auto"/>
                <w:highlight w:val="none"/>
                <w:lang w:val="zh-CN"/>
              </w:rPr>
              <w:t>【</w:t>
            </w:r>
            <w:r>
              <w:rPr>
                <w:rFonts w:hint="eastAsia" w:hAnsi="宋体" w:cs="宋体"/>
                <w:color w:val="auto"/>
                <w:highlight w:val="none"/>
                <w:lang w:val="en-US" w:eastAsia="zh-CN"/>
              </w:rPr>
              <w:t>1，4】</w:t>
            </w:r>
            <w:r>
              <w:rPr>
                <w:rFonts w:hint="eastAsia" w:hAnsi="宋体" w:cs="宋体"/>
                <w:color w:val="auto"/>
                <w:highlight w:val="none"/>
                <w:lang w:val="zh-CN"/>
              </w:rPr>
              <w:t>分。</w:t>
            </w:r>
          </w:p>
          <w:p w14:paraId="217318C5">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lang w:val="zh-CN" w:eastAsia="zh-CN"/>
              </w:rPr>
            </w:pPr>
            <w:r>
              <w:rPr>
                <w:rFonts w:hint="eastAsia" w:hAnsi="宋体" w:cs="宋体"/>
                <w:color w:val="auto"/>
                <w:highlight w:val="none"/>
              </w:rPr>
              <w:t>不满足或</w:t>
            </w:r>
            <w:r>
              <w:rPr>
                <w:rFonts w:hint="eastAsia" w:hAnsi="宋体" w:cs="宋体"/>
                <w:color w:val="auto"/>
                <w:highlight w:val="none"/>
                <w:lang w:val="zh-CN"/>
              </w:rPr>
              <w:t>未能按要求</w:t>
            </w:r>
            <w:r>
              <w:rPr>
                <w:rFonts w:hint="eastAsia" w:hAnsi="宋体" w:cs="宋体"/>
                <w:color w:val="auto"/>
                <w:highlight w:val="none"/>
              </w:rPr>
              <w:t>提供相关资料</w:t>
            </w:r>
            <w:r>
              <w:rPr>
                <w:rFonts w:hint="eastAsia" w:hAnsi="宋体" w:cs="宋体"/>
                <w:color w:val="auto"/>
                <w:highlight w:val="none"/>
                <w:lang w:val="zh-CN"/>
              </w:rPr>
              <w:t>得0分。</w:t>
            </w:r>
          </w:p>
        </w:tc>
      </w:tr>
      <w:tr w14:paraId="0AF2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14:paraId="4D9891F9">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lang w:val="zh-CN"/>
              </w:rPr>
            </w:pPr>
            <w:r>
              <w:rPr>
                <w:rFonts w:hint="eastAsia" w:hAnsi="宋体" w:cs="宋体"/>
                <w:color w:val="auto"/>
                <w:highlight w:val="none"/>
              </w:rPr>
              <w:t>2</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1304C84E">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rPr>
            </w:pPr>
            <w:r>
              <w:rPr>
                <w:rFonts w:hint="eastAsia" w:hAnsi="宋体" w:cs="宋体"/>
                <w:color w:val="auto"/>
                <w:highlight w:val="none"/>
              </w:rPr>
              <w:t>价格因素</w:t>
            </w:r>
          </w:p>
          <w:p w14:paraId="2B38A082">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hAnsi="宋体" w:cs="宋体"/>
                <w:color w:val="auto"/>
                <w:highlight w:val="none"/>
                <w:lang w:eastAsia="zh-CN"/>
              </w:rPr>
            </w:pPr>
            <w:r>
              <w:rPr>
                <w:rFonts w:hint="eastAsia" w:hAnsi="宋体" w:cs="宋体"/>
                <w:color w:val="auto"/>
                <w:highlight w:val="none"/>
                <w:lang w:eastAsia="zh-CN"/>
              </w:rPr>
              <w:t>（</w:t>
            </w:r>
            <w:r>
              <w:rPr>
                <w:rFonts w:hint="eastAsia" w:hAnsi="宋体" w:cs="宋体"/>
                <w:color w:val="auto"/>
                <w:highlight w:val="none"/>
                <w:lang w:val="en-US" w:eastAsia="zh-CN"/>
              </w:rPr>
              <w:t>100</w:t>
            </w:r>
            <w:r>
              <w:rPr>
                <w:rFonts w:hint="eastAsia" w:hAnsi="宋体" w:cs="宋体"/>
                <w:color w:val="auto"/>
                <w:highlight w:val="none"/>
                <w:lang w:eastAsia="zh-CN"/>
              </w:rPr>
              <w:t>）</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6E18889C">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rPr>
            </w:pPr>
            <w:r>
              <w:rPr>
                <w:rFonts w:hint="eastAsia" w:hAnsi="宋体" w:cs="宋体"/>
                <w:color w:val="auto"/>
                <w:highlight w:val="none"/>
              </w:rPr>
              <w:t>100</w:t>
            </w:r>
          </w:p>
        </w:tc>
        <w:tc>
          <w:tcPr>
            <w:tcW w:w="7114" w:type="dxa"/>
            <w:tcBorders>
              <w:top w:val="single" w:color="auto" w:sz="4" w:space="0"/>
              <w:left w:val="single" w:color="auto" w:sz="4" w:space="0"/>
              <w:bottom w:val="single" w:color="auto" w:sz="4" w:space="0"/>
              <w:right w:val="single" w:color="auto" w:sz="4" w:space="0"/>
            </w:tcBorders>
            <w:noWrap w:val="0"/>
            <w:vAlign w:val="center"/>
          </w:tcPr>
          <w:p w14:paraId="58AD9618">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rPr>
            </w:pPr>
            <w:r>
              <w:rPr>
                <w:rFonts w:hint="eastAsia" w:hAnsi="宋体" w:cs="宋体"/>
                <w:color w:val="auto"/>
                <w:highlight w:val="none"/>
              </w:rPr>
              <w:t>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100分。投标报价比定标基准价每高1%扣1.5分；每低1%扣1.0分，扣至0分为止。得出价格因素得分，分数出现小数点时，保留小数点后二位，第三位小数四舍五入。</w:t>
            </w:r>
          </w:p>
        </w:tc>
      </w:tr>
      <w:tr w14:paraId="1C80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9" w:type="dxa"/>
            <w:tcBorders>
              <w:left w:val="single" w:color="auto" w:sz="4" w:space="0"/>
              <w:right w:val="single" w:color="auto" w:sz="4" w:space="0"/>
            </w:tcBorders>
            <w:noWrap w:val="0"/>
            <w:vAlign w:val="center"/>
          </w:tcPr>
          <w:p w14:paraId="4B670AAA">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rPr>
            </w:pPr>
            <w:r>
              <w:rPr>
                <w:rFonts w:hint="eastAsia" w:hAnsi="宋体" w:cs="宋体"/>
                <w:color w:val="auto"/>
                <w:highlight w:val="none"/>
              </w:rPr>
              <w:t>合计</w:t>
            </w:r>
          </w:p>
        </w:tc>
        <w:tc>
          <w:tcPr>
            <w:tcW w:w="955" w:type="dxa"/>
            <w:tcBorders>
              <w:left w:val="single" w:color="auto" w:sz="4" w:space="0"/>
              <w:right w:val="single" w:color="auto" w:sz="4" w:space="0"/>
            </w:tcBorders>
            <w:noWrap w:val="0"/>
            <w:vAlign w:val="center"/>
          </w:tcPr>
          <w:p w14:paraId="6570559A">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rPr>
            </w:pPr>
            <w:r>
              <w:rPr>
                <w:rFonts w:hint="eastAsia" w:hAnsi="宋体" w:cs="宋体"/>
                <w:color w:val="auto"/>
                <w:highlight w:val="none"/>
              </w:rPr>
              <w:t>定标因素得分</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77D88C24">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hAnsi="宋体" w:cs="宋体"/>
                <w:color w:val="auto"/>
                <w:highlight w:val="none"/>
              </w:rPr>
            </w:pPr>
            <w:r>
              <w:rPr>
                <w:rFonts w:hint="eastAsia" w:hAnsi="宋体" w:cs="宋体"/>
                <w:color w:val="auto"/>
                <w:highlight w:val="none"/>
              </w:rPr>
              <w:t>100</w:t>
            </w:r>
          </w:p>
        </w:tc>
        <w:tc>
          <w:tcPr>
            <w:tcW w:w="7114" w:type="dxa"/>
            <w:tcBorders>
              <w:top w:val="single" w:color="auto" w:sz="4" w:space="0"/>
              <w:left w:val="single" w:color="auto" w:sz="4" w:space="0"/>
              <w:right w:val="single" w:color="auto" w:sz="4" w:space="0"/>
            </w:tcBorders>
            <w:noWrap w:val="0"/>
            <w:vAlign w:val="center"/>
          </w:tcPr>
          <w:p w14:paraId="548E7472">
            <w:pPr>
              <w:pStyle w:val="6"/>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hAnsi="宋体" w:cs="宋体"/>
                <w:color w:val="auto"/>
                <w:highlight w:val="none"/>
              </w:rPr>
            </w:pPr>
            <w:r>
              <w:rPr>
                <w:rFonts w:hint="eastAsia" w:hAnsi="宋体" w:cs="宋体"/>
                <w:color w:val="auto"/>
                <w:highlight w:val="none"/>
              </w:rPr>
              <w:t>总得分（100分）=定标</w:t>
            </w:r>
            <w:r>
              <w:rPr>
                <w:rFonts w:hint="eastAsia" w:hAnsi="宋体" w:cs="宋体"/>
                <w:color w:val="auto"/>
                <w:highlight w:val="none"/>
                <w:lang w:val="zh-CN"/>
              </w:rPr>
              <w:t>方案</w:t>
            </w:r>
            <w:r>
              <w:rPr>
                <w:rFonts w:hint="eastAsia" w:hAnsi="宋体" w:cs="宋体"/>
                <w:color w:val="auto"/>
                <w:highlight w:val="none"/>
              </w:rPr>
              <w:t>得分（100分）*定标</w:t>
            </w:r>
            <w:r>
              <w:rPr>
                <w:rFonts w:hint="eastAsia" w:hAnsi="宋体" w:cs="宋体"/>
                <w:color w:val="auto"/>
                <w:highlight w:val="none"/>
                <w:lang w:val="zh-CN"/>
              </w:rPr>
              <w:t>方案</w:t>
            </w:r>
            <w:r>
              <w:rPr>
                <w:rFonts w:hint="eastAsia" w:hAnsi="宋体" w:cs="宋体"/>
                <w:color w:val="auto"/>
                <w:highlight w:val="none"/>
              </w:rPr>
              <w:t>权重（70%）+价格因素得分（100分）*价格因素权重（30%）。</w:t>
            </w:r>
          </w:p>
        </w:tc>
      </w:tr>
    </w:tbl>
    <w:p w14:paraId="1E7E3C99">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Ansi="宋体" w:cs="宋体"/>
          <w:color w:val="auto"/>
          <w:highlight w:val="none"/>
        </w:rPr>
      </w:pPr>
      <w:r>
        <w:rPr>
          <w:rFonts w:hint="eastAsia" w:hAnsi="宋体" w:cs="宋体"/>
          <w:color w:val="auto"/>
          <w:highlight w:val="none"/>
        </w:rPr>
        <w:t>备注：</w:t>
      </w:r>
    </w:p>
    <w:p w14:paraId="0BA63692">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Ansi="宋体" w:cs="宋体"/>
          <w:color w:val="auto"/>
          <w:highlight w:val="none"/>
        </w:rPr>
      </w:pPr>
      <w:r>
        <w:rPr>
          <w:rFonts w:hint="eastAsia" w:hAnsi="宋体" w:cs="宋体"/>
          <w:color w:val="auto"/>
          <w:highlight w:val="none"/>
        </w:rPr>
        <w:t>1、分值范围的解释:定标委员会对定标阶段定标</w:t>
      </w:r>
      <w:r>
        <w:rPr>
          <w:rFonts w:hint="eastAsia" w:hAnsi="宋体" w:cs="宋体"/>
          <w:color w:val="auto"/>
          <w:highlight w:val="none"/>
          <w:lang w:val="zh-CN"/>
        </w:rPr>
        <w:t>方案</w:t>
      </w:r>
      <w:r>
        <w:rPr>
          <w:rFonts w:hint="eastAsia" w:hAnsi="宋体" w:cs="宋体"/>
          <w:color w:val="auto"/>
          <w:highlight w:val="none"/>
        </w:rPr>
        <w:t>因素评审时，定标因素表中“</w:t>
      </w:r>
      <w:r>
        <w:rPr>
          <w:rFonts w:hint="eastAsia" w:hAnsi="宋体" w:cs="宋体"/>
          <w:color w:val="auto"/>
          <w:highlight w:val="none"/>
          <w:lang w:val="en-US" w:eastAsia="zh-CN"/>
        </w:rPr>
        <w:t>[</w:t>
      </w:r>
      <w:r>
        <w:rPr>
          <w:rFonts w:hint="eastAsia" w:hAnsi="宋体" w:cs="宋体"/>
          <w:color w:val="auto"/>
          <w:highlight w:val="none"/>
        </w:rPr>
        <w:t>*，*]”等分值，以整数进行评分（如1.0、2.0、3.0等，以此类推）。“(”表示不含本 数，“]”表示含本数。</w:t>
      </w:r>
    </w:p>
    <w:p w14:paraId="3ED0D8E1">
      <w:pPr>
        <w:spacing w:line="360" w:lineRule="auto"/>
        <w:ind w:left="0" w:leftChars="0" w:firstLine="420" w:firstLineChars="200"/>
        <w:rPr>
          <w:rFonts w:hint="eastAsia" w:ascii="宋体" w:hAnsi="宋体" w:eastAsia="宋体" w:cs="宋体"/>
          <w:b/>
          <w:color w:val="auto"/>
          <w:szCs w:val="21"/>
          <w:highlight w:val="none"/>
          <w:u w:val="single"/>
        </w:rPr>
      </w:pPr>
      <w:r>
        <w:rPr>
          <w:rFonts w:hint="eastAsia" w:hAnsi="宋体" w:cs="宋体"/>
          <w:color w:val="auto"/>
          <w:highlight w:val="none"/>
        </w:rPr>
        <w:t>2、</w:t>
      </w:r>
      <w:r>
        <w:rPr>
          <w:rFonts w:ascii="宋体" w:hAnsi="宋体" w:eastAsia="宋体" w:cs="宋体"/>
          <w:color w:val="auto"/>
          <w:szCs w:val="21"/>
          <w:highlight w:val="none"/>
        </w:rPr>
        <w:t>合格中标候选人定标方案得分为所有定标委员会成员对同一投标人</w:t>
      </w:r>
      <w:r>
        <w:rPr>
          <w:rFonts w:hint="eastAsia" w:ascii="宋体" w:hAnsi="宋体" w:eastAsia="宋体" w:cs="宋体"/>
          <w:color w:val="auto"/>
          <w:szCs w:val="21"/>
          <w:highlight w:val="none"/>
          <w:lang w:eastAsia="zh-CN"/>
        </w:rPr>
        <w:t>方案因素的</w:t>
      </w:r>
      <w:r>
        <w:rPr>
          <w:rFonts w:hint="eastAsia" w:ascii="宋体" w:hAnsi="宋体" w:cs="宋体"/>
          <w:color w:val="auto"/>
          <w:szCs w:val="21"/>
          <w:highlight w:val="none"/>
          <w:lang w:eastAsia="zh-CN"/>
        </w:rPr>
        <w:t>各项</w:t>
      </w:r>
      <w:r>
        <w:rPr>
          <w:rFonts w:hint="eastAsia" w:ascii="宋体" w:hAnsi="宋体" w:cs="宋体"/>
          <w:b/>
          <w:color w:val="auto"/>
          <w:szCs w:val="21"/>
          <w:highlight w:val="none"/>
          <w:u w:val="single"/>
          <w:lang w:eastAsia="zh-CN"/>
        </w:rPr>
        <w:t>评</w:t>
      </w:r>
      <w:r>
        <w:rPr>
          <w:rFonts w:hint="eastAsia" w:ascii="宋体" w:hAnsi="宋体" w:eastAsia="宋体" w:cs="宋体"/>
          <w:b/>
          <w:color w:val="auto"/>
          <w:szCs w:val="21"/>
          <w:highlight w:val="none"/>
          <w:u w:val="single"/>
        </w:rPr>
        <w:t>分</w:t>
      </w:r>
      <w:r>
        <w:rPr>
          <w:rFonts w:hint="eastAsia" w:ascii="宋体" w:hAnsi="宋体" w:cs="宋体"/>
          <w:b/>
          <w:color w:val="auto"/>
          <w:szCs w:val="21"/>
          <w:highlight w:val="none"/>
          <w:u w:val="single"/>
          <w:lang w:eastAsia="zh-CN"/>
        </w:rPr>
        <w:t>相加</w:t>
      </w:r>
      <w:r>
        <w:rPr>
          <w:rFonts w:hint="eastAsia" w:ascii="宋体" w:hAnsi="宋体" w:eastAsia="宋体" w:cs="宋体"/>
          <w:b/>
          <w:color w:val="auto"/>
          <w:szCs w:val="21"/>
          <w:highlight w:val="none"/>
          <w:u w:val="single"/>
        </w:rPr>
        <w:t>去掉一个最高分和一个最低分后计取的算术平均分（分数出现小数点时，保留小数点后二位，第三位小数四舍五入）。</w:t>
      </w:r>
    </w:p>
    <w:p w14:paraId="0F04AFA4">
      <w:pPr>
        <w:spacing w:line="360" w:lineRule="auto"/>
        <w:ind w:left="0" w:leftChars="0" w:firstLine="422" w:firstLineChars="200"/>
        <w:rPr>
          <w:rFonts w:hint="eastAsia" w:ascii="宋体" w:hAnsi="宋体" w:eastAsia="宋体" w:cs="宋体"/>
          <w:b/>
          <w:color w:val="auto"/>
          <w:szCs w:val="21"/>
          <w:highlight w:val="none"/>
          <w:u w:val="single"/>
        </w:rPr>
      </w:pPr>
    </w:p>
    <w:p w14:paraId="65CDB5C3">
      <w:pPr>
        <w:spacing w:line="360" w:lineRule="auto"/>
        <w:ind w:left="0" w:leftChars="0" w:firstLine="422" w:firstLineChars="200"/>
        <w:rPr>
          <w:rFonts w:hint="eastAsia" w:ascii="宋体" w:hAnsi="宋体" w:eastAsia="宋体" w:cs="宋体"/>
          <w:b/>
          <w:color w:val="auto"/>
          <w:szCs w:val="21"/>
          <w:highlight w:val="none"/>
          <w:u w:val="single"/>
        </w:rPr>
      </w:pPr>
    </w:p>
    <w:p w14:paraId="04A907A6">
      <w:pPr>
        <w:spacing w:line="360" w:lineRule="auto"/>
        <w:ind w:left="0" w:leftChars="0" w:firstLine="422" w:firstLineChars="200"/>
        <w:rPr>
          <w:rFonts w:hint="eastAsia" w:ascii="宋体" w:hAnsi="宋体" w:eastAsia="宋体" w:cs="宋体"/>
          <w:b/>
          <w:color w:val="auto"/>
          <w:szCs w:val="21"/>
          <w:highlight w:val="none"/>
          <w:u w:val="single"/>
        </w:rPr>
      </w:pPr>
    </w:p>
    <w:p w14:paraId="26DBFA18">
      <w:pPr>
        <w:spacing w:line="360" w:lineRule="auto"/>
        <w:ind w:left="0" w:leftChars="0" w:firstLine="422" w:firstLineChars="200"/>
        <w:rPr>
          <w:rFonts w:hint="eastAsia" w:ascii="宋体" w:hAnsi="宋体" w:eastAsia="宋体" w:cs="宋体"/>
          <w:b/>
          <w:color w:val="auto"/>
          <w:szCs w:val="21"/>
          <w:highlight w:val="none"/>
          <w:u w:val="single"/>
        </w:rPr>
      </w:pPr>
    </w:p>
    <w:p w14:paraId="188CEB1B">
      <w:pPr>
        <w:spacing w:line="360" w:lineRule="auto"/>
        <w:ind w:left="0" w:leftChars="0" w:firstLine="422" w:firstLineChars="200"/>
        <w:rPr>
          <w:rFonts w:hint="eastAsia" w:ascii="宋体" w:hAnsi="宋体" w:eastAsia="宋体" w:cs="宋体"/>
          <w:b/>
          <w:color w:val="auto"/>
          <w:szCs w:val="21"/>
          <w:highlight w:val="none"/>
          <w:u w:val="single"/>
        </w:rPr>
      </w:pPr>
    </w:p>
    <w:p w14:paraId="6357CEFD">
      <w:pPr>
        <w:spacing w:line="360" w:lineRule="auto"/>
        <w:ind w:left="0" w:leftChars="0" w:firstLine="422" w:firstLineChars="200"/>
        <w:rPr>
          <w:rFonts w:hint="eastAsia" w:ascii="宋体" w:hAnsi="宋体" w:eastAsia="宋体" w:cs="宋体"/>
          <w:b/>
          <w:color w:val="auto"/>
          <w:szCs w:val="21"/>
          <w:highlight w:val="none"/>
          <w:u w:val="single"/>
        </w:rPr>
      </w:pPr>
    </w:p>
    <w:p w14:paraId="6055B9F2">
      <w:pPr>
        <w:spacing w:line="360" w:lineRule="auto"/>
        <w:ind w:left="0" w:leftChars="0" w:firstLine="422" w:firstLineChars="200"/>
        <w:rPr>
          <w:rFonts w:hint="eastAsia" w:ascii="宋体" w:hAnsi="宋体" w:eastAsia="宋体" w:cs="宋体"/>
          <w:b/>
          <w:color w:val="auto"/>
          <w:szCs w:val="21"/>
          <w:highlight w:val="none"/>
          <w:u w:val="single"/>
        </w:rPr>
      </w:pPr>
    </w:p>
    <w:p w14:paraId="33CFDBF7">
      <w:pPr>
        <w:spacing w:line="360" w:lineRule="auto"/>
        <w:ind w:left="0" w:leftChars="0" w:firstLine="422" w:firstLineChars="200"/>
        <w:rPr>
          <w:rFonts w:hint="eastAsia" w:ascii="宋体" w:hAnsi="宋体" w:eastAsia="宋体" w:cs="宋体"/>
          <w:b/>
          <w:color w:val="auto"/>
          <w:szCs w:val="21"/>
          <w:highlight w:val="none"/>
          <w:u w:val="single"/>
        </w:rPr>
      </w:pPr>
    </w:p>
    <w:p w14:paraId="7BB6FCD1">
      <w:pPr>
        <w:spacing w:line="360" w:lineRule="auto"/>
        <w:ind w:left="0" w:leftChars="0" w:firstLine="422" w:firstLineChars="200"/>
        <w:rPr>
          <w:rFonts w:hint="eastAsia" w:ascii="宋体" w:hAnsi="宋体" w:eastAsia="宋体" w:cs="宋体"/>
          <w:b/>
          <w:color w:val="auto"/>
          <w:szCs w:val="21"/>
          <w:highlight w:val="none"/>
          <w:u w:val="single"/>
        </w:rPr>
      </w:pPr>
    </w:p>
    <w:p w14:paraId="3C29C377">
      <w:pPr>
        <w:spacing w:line="360" w:lineRule="auto"/>
        <w:ind w:left="0" w:leftChars="0" w:firstLine="422" w:firstLineChars="200"/>
        <w:rPr>
          <w:rFonts w:hint="eastAsia" w:ascii="宋体" w:hAnsi="宋体" w:eastAsia="宋体" w:cs="宋体"/>
          <w:b/>
          <w:color w:val="auto"/>
          <w:szCs w:val="21"/>
          <w:highlight w:val="none"/>
          <w:u w:val="single"/>
        </w:rPr>
      </w:pPr>
    </w:p>
    <w:p w14:paraId="60121D84">
      <w:pPr>
        <w:spacing w:line="360" w:lineRule="auto"/>
        <w:ind w:left="0" w:leftChars="0" w:firstLine="422" w:firstLineChars="200"/>
        <w:rPr>
          <w:rFonts w:hint="eastAsia" w:ascii="宋体" w:hAnsi="宋体" w:eastAsia="宋体" w:cs="宋体"/>
          <w:b/>
          <w:color w:val="auto"/>
          <w:szCs w:val="21"/>
          <w:highlight w:val="none"/>
          <w:u w:val="single"/>
        </w:rPr>
      </w:pPr>
    </w:p>
    <w:p w14:paraId="71480AD7">
      <w:pPr>
        <w:spacing w:line="360" w:lineRule="auto"/>
        <w:ind w:left="0" w:leftChars="0" w:firstLine="422" w:firstLineChars="200"/>
        <w:rPr>
          <w:rFonts w:hint="eastAsia" w:ascii="宋体" w:hAnsi="宋体" w:eastAsia="宋体" w:cs="宋体"/>
          <w:b/>
          <w:color w:val="auto"/>
          <w:szCs w:val="21"/>
          <w:highlight w:val="none"/>
          <w:u w:val="single"/>
        </w:rPr>
      </w:pPr>
    </w:p>
    <w:p w14:paraId="206BED05">
      <w:pPr>
        <w:spacing w:line="360" w:lineRule="auto"/>
        <w:ind w:left="0" w:leftChars="0" w:firstLine="422" w:firstLineChars="200"/>
        <w:rPr>
          <w:rFonts w:hint="eastAsia" w:ascii="宋体" w:hAnsi="宋体" w:eastAsia="宋体" w:cs="宋体"/>
          <w:b/>
          <w:color w:val="auto"/>
          <w:szCs w:val="21"/>
          <w:highlight w:val="none"/>
          <w:u w:val="single"/>
        </w:rPr>
      </w:pPr>
    </w:p>
    <w:p w14:paraId="089298F9">
      <w:pPr>
        <w:spacing w:line="360" w:lineRule="auto"/>
        <w:ind w:left="0" w:leftChars="0" w:firstLine="422" w:firstLineChars="200"/>
        <w:rPr>
          <w:rFonts w:hint="eastAsia" w:ascii="宋体" w:hAnsi="宋体" w:eastAsia="宋体" w:cs="宋体"/>
          <w:b/>
          <w:color w:val="auto"/>
          <w:szCs w:val="21"/>
          <w:highlight w:val="none"/>
          <w:u w:val="single"/>
        </w:rPr>
      </w:pPr>
    </w:p>
    <w:p w14:paraId="46FB95EA">
      <w:pPr>
        <w:spacing w:line="360" w:lineRule="auto"/>
        <w:ind w:left="0" w:leftChars="0" w:firstLine="422" w:firstLineChars="200"/>
        <w:rPr>
          <w:rFonts w:hint="eastAsia" w:ascii="宋体" w:hAnsi="宋体" w:eastAsia="宋体" w:cs="宋体"/>
          <w:b/>
          <w:color w:val="auto"/>
          <w:szCs w:val="21"/>
          <w:highlight w:val="none"/>
          <w:u w:val="single"/>
        </w:rPr>
      </w:pPr>
    </w:p>
    <w:p w14:paraId="5C568769">
      <w:pPr>
        <w:spacing w:line="360" w:lineRule="auto"/>
        <w:ind w:left="0" w:leftChars="0" w:firstLine="422" w:firstLineChars="200"/>
        <w:rPr>
          <w:rFonts w:hint="eastAsia" w:ascii="宋体" w:hAnsi="宋体" w:eastAsia="宋体" w:cs="宋体"/>
          <w:b/>
          <w:color w:val="auto"/>
          <w:szCs w:val="21"/>
          <w:highlight w:val="none"/>
          <w:u w:val="single"/>
        </w:rPr>
      </w:pPr>
    </w:p>
    <w:p w14:paraId="42517CF6">
      <w:pPr>
        <w:spacing w:line="360" w:lineRule="auto"/>
        <w:ind w:left="0" w:leftChars="0" w:firstLine="0" w:firstLineChars="0"/>
        <w:rPr>
          <w:rFonts w:hint="default" w:hAnsi="宋体" w:eastAsia="宋体" w:cs="宋体"/>
          <w:b/>
          <w:color w:val="auto"/>
          <w:szCs w:val="24"/>
          <w:highlight w:val="none"/>
          <w:lang w:val="en-US" w:eastAsia="zh-CN"/>
        </w:rPr>
      </w:pPr>
      <w:r>
        <w:rPr>
          <w:rFonts w:hint="eastAsia" w:ascii="宋体" w:hAnsi="宋体" w:eastAsia="宋体" w:cs="宋体"/>
          <w:b/>
          <w:bCs/>
          <w:color w:val="auto"/>
          <w:kern w:val="2"/>
          <w:sz w:val="24"/>
          <w:szCs w:val="24"/>
          <w:highlight w:val="none"/>
          <w:lang w:val="en-US" w:eastAsia="zh-CN"/>
        </w:rPr>
        <w:t>附表</w:t>
      </w:r>
      <w:r>
        <w:rPr>
          <w:rFonts w:hint="eastAsia" w:ascii="宋体" w:hAnsi="宋体" w:cs="宋体"/>
          <w:b/>
          <w:bCs/>
          <w:color w:val="auto"/>
          <w:kern w:val="2"/>
          <w:sz w:val="24"/>
          <w:szCs w:val="24"/>
          <w:highlight w:val="none"/>
          <w:lang w:val="en-US" w:eastAsia="zh-CN" w:bidi="ar-SA"/>
        </w:rPr>
        <w:t>6</w:t>
      </w:r>
    </w:p>
    <w:p w14:paraId="57250343">
      <w:pPr>
        <w:snapToGrid w:val="0"/>
        <w:ind w:firstLine="602"/>
        <w:jc w:val="center"/>
        <w:outlineLvl w:val="2"/>
        <w:rPr>
          <w:rFonts w:hint="eastAsia" w:hAnsi="宋体" w:cs="宋体"/>
          <w:b/>
          <w:color w:val="auto"/>
          <w:sz w:val="30"/>
          <w:szCs w:val="30"/>
          <w:highlight w:val="none"/>
        </w:rPr>
      </w:pPr>
      <w:bookmarkStart w:id="237" w:name="_Toc24641"/>
      <w:r>
        <w:rPr>
          <w:rFonts w:hint="eastAsia" w:hAnsi="宋体" w:cs="宋体"/>
          <w:b/>
          <w:color w:val="auto"/>
          <w:sz w:val="30"/>
          <w:szCs w:val="30"/>
          <w:highlight w:val="none"/>
        </w:rPr>
        <w:t>定标阶段（</w:t>
      </w:r>
      <w:r>
        <w:rPr>
          <w:rFonts w:hint="eastAsia" w:hAnsi="宋体" w:cs="宋体"/>
          <w:b/>
          <w:color w:val="auto"/>
          <w:sz w:val="30"/>
          <w:szCs w:val="30"/>
          <w:highlight w:val="none"/>
          <w:lang w:val="en-US" w:eastAsia="zh-CN"/>
        </w:rPr>
        <w:t>定标</w:t>
      </w:r>
      <w:r>
        <w:rPr>
          <w:rFonts w:hint="eastAsia" w:hAnsi="宋体" w:cs="宋体"/>
          <w:b/>
          <w:color w:val="auto"/>
          <w:sz w:val="30"/>
          <w:szCs w:val="30"/>
          <w:highlight w:val="none"/>
        </w:rPr>
        <w:t>方案因素）评审得分表</w:t>
      </w:r>
      <w:bookmarkEnd w:id="237"/>
    </w:p>
    <w:p w14:paraId="7D44365D">
      <w:pPr>
        <w:snapToGrid w:val="0"/>
        <w:ind w:firstLine="602"/>
        <w:jc w:val="center"/>
        <w:outlineLvl w:val="2"/>
        <w:rPr>
          <w:rFonts w:hint="eastAsia"/>
          <w:color w:val="auto"/>
          <w:highlight w:val="none"/>
        </w:rPr>
      </w:pPr>
      <w:bookmarkStart w:id="238" w:name="_Toc23243"/>
      <w:r>
        <w:rPr>
          <w:rFonts w:hint="eastAsia" w:hAnsi="宋体" w:cs="宋体"/>
          <w:b/>
          <w:color w:val="auto"/>
          <w:sz w:val="30"/>
          <w:szCs w:val="30"/>
          <w:highlight w:val="none"/>
        </w:rPr>
        <w:t>（定标委员个人用表）</w:t>
      </w:r>
      <w:bookmarkEnd w:id="238"/>
    </w:p>
    <w:p w14:paraId="4218A08C">
      <w:pPr>
        <w:snapToGrid w:val="0"/>
        <w:spacing w:line="240" w:lineRule="atLeast"/>
        <w:ind w:firstLine="480"/>
        <w:rPr>
          <w:rFonts w:hint="eastAsia" w:hAnsi="宋体" w:cs="宋体"/>
          <w:color w:val="auto"/>
          <w:szCs w:val="24"/>
          <w:highlight w:val="none"/>
        </w:rPr>
      </w:pPr>
      <w:r>
        <w:rPr>
          <w:rFonts w:hint="eastAsia" w:hAnsi="宋体" w:cs="宋体"/>
          <w:bCs/>
          <w:color w:val="auto"/>
          <w:szCs w:val="24"/>
          <w:highlight w:val="none"/>
        </w:rPr>
        <w:t xml:space="preserve">    </w:t>
      </w:r>
      <w:r>
        <w:rPr>
          <w:rFonts w:hint="eastAsia" w:hAnsi="宋体" w:cs="宋体"/>
          <w:color w:val="auto"/>
          <w:szCs w:val="24"/>
          <w:highlight w:val="none"/>
        </w:rPr>
        <w:t>工程名称：</w:t>
      </w:r>
    </w:p>
    <w:tbl>
      <w:tblPr>
        <w:tblStyle w:val="17"/>
        <w:tblW w:w="940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714"/>
        <w:gridCol w:w="4843"/>
      </w:tblGrid>
      <w:tr w14:paraId="7E59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1963FC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616E882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4843" w:type="dxa"/>
            <w:tcBorders>
              <w:top w:val="single" w:color="auto" w:sz="4" w:space="0"/>
              <w:left w:val="single" w:color="auto" w:sz="4" w:space="0"/>
              <w:bottom w:val="single" w:color="auto" w:sz="4" w:space="0"/>
              <w:right w:val="single" w:color="auto" w:sz="4" w:space="0"/>
            </w:tcBorders>
            <w:noWrap w:val="0"/>
            <w:vAlign w:val="center"/>
          </w:tcPr>
          <w:p w14:paraId="01E0C39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Cs w:val="21"/>
                <w:highlight w:val="none"/>
                <w:lang w:val="en-US" w:eastAsia="zh-CN"/>
              </w:rPr>
              <w:t>定标方案</w:t>
            </w:r>
            <w:r>
              <w:rPr>
                <w:rFonts w:hint="eastAsia" w:hAnsi="宋体" w:cs="宋体"/>
                <w:color w:val="auto"/>
                <w:szCs w:val="21"/>
                <w:highlight w:val="none"/>
              </w:rPr>
              <w:t>因素</w:t>
            </w:r>
            <w:r>
              <w:rPr>
                <w:rFonts w:hint="eastAsia" w:hAnsi="宋体" w:cs="宋体"/>
                <w:color w:val="auto"/>
                <w:sz w:val="21"/>
                <w:szCs w:val="21"/>
                <w:highlight w:val="none"/>
                <w:shd w:val="clear" w:color="auto" w:fill="FFFFFF"/>
                <w:lang w:val="zh-CN"/>
              </w:rPr>
              <w:t>得分</w:t>
            </w:r>
          </w:p>
        </w:tc>
      </w:tr>
      <w:tr w14:paraId="6568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5B68EE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7EF3B6C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4843" w:type="dxa"/>
            <w:tcBorders>
              <w:top w:val="single" w:color="auto" w:sz="4" w:space="0"/>
              <w:left w:val="single" w:color="auto" w:sz="4" w:space="0"/>
              <w:bottom w:val="single" w:color="auto" w:sz="4" w:space="0"/>
              <w:right w:val="single" w:color="auto" w:sz="4" w:space="0"/>
            </w:tcBorders>
            <w:noWrap w:val="0"/>
            <w:vAlign w:val="center"/>
          </w:tcPr>
          <w:p w14:paraId="44A5B73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70AE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A0BFE8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796926C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4843" w:type="dxa"/>
            <w:tcBorders>
              <w:top w:val="single" w:color="auto" w:sz="4" w:space="0"/>
              <w:left w:val="single" w:color="auto" w:sz="4" w:space="0"/>
              <w:bottom w:val="single" w:color="auto" w:sz="4" w:space="0"/>
              <w:right w:val="single" w:color="auto" w:sz="4" w:space="0"/>
            </w:tcBorders>
            <w:noWrap w:val="0"/>
            <w:vAlign w:val="center"/>
          </w:tcPr>
          <w:p w14:paraId="655FC14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3871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347FDC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2C6CE65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4843" w:type="dxa"/>
            <w:tcBorders>
              <w:top w:val="single" w:color="auto" w:sz="4" w:space="0"/>
              <w:left w:val="single" w:color="auto" w:sz="4" w:space="0"/>
              <w:bottom w:val="single" w:color="auto" w:sz="4" w:space="0"/>
              <w:right w:val="single" w:color="auto" w:sz="4" w:space="0"/>
            </w:tcBorders>
            <w:noWrap w:val="0"/>
            <w:vAlign w:val="center"/>
          </w:tcPr>
          <w:p w14:paraId="4B34D39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1CE2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1282C0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4</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70175FE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4843" w:type="dxa"/>
            <w:tcBorders>
              <w:top w:val="single" w:color="auto" w:sz="4" w:space="0"/>
              <w:left w:val="single" w:color="auto" w:sz="4" w:space="0"/>
              <w:bottom w:val="single" w:color="auto" w:sz="4" w:space="0"/>
              <w:right w:val="single" w:color="auto" w:sz="4" w:space="0"/>
            </w:tcBorders>
            <w:noWrap w:val="0"/>
            <w:vAlign w:val="center"/>
          </w:tcPr>
          <w:p w14:paraId="63A826C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2D27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535646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5</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35AC1BA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4843" w:type="dxa"/>
            <w:tcBorders>
              <w:top w:val="single" w:color="auto" w:sz="4" w:space="0"/>
              <w:left w:val="single" w:color="auto" w:sz="4" w:space="0"/>
              <w:bottom w:val="single" w:color="auto" w:sz="4" w:space="0"/>
              <w:right w:val="single" w:color="auto" w:sz="4" w:space="0"/>
            </w:tcBorders>
            <w:noWrap w:val="0"/>
            <w:vAlign w:val="center"/>
          </w:tcPr>
          <w:p w14:paraId="371E139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2DEC5FBD">
      <w:pPr>
        <w:spacing w:line="360" w:lineRule="atLeast"/>
        <w:ind w:right="420" w:firstLine="480"/>
        <w:rPr>
          <w:rFonts w:hint="eastAsia" w:hAnsi="宋体" w:cs="宋体"/>
          <w:color w:val="auto"/>
          <w:szCs w:val="21"/>
          <w:highlight w:val="none"/>
        </w:rPr>
      </w:pPr>
      <w:r>
        <w:rPr>
          <w:rFonts w:hint="eastAsia" w:hAnsi="宋体" w:cs="宋体"/>
          <w:color w:val="auto"/>
          <w:szCs w:val="21"/>
          <w:highlight w:val="none"/>
        </w:rPr>
        <w:t>备注：</w:t>
      </w:r>
    </w:p>
    <w:p w14:paraId="4F275864">
      <w:pPr>
        <w:spacing w:line="360" w:lineRule="atLeast"/>
        <w:ind w:right="-2" w:firstLine="210" w:firstLineChars="100"/>
        <w:rPr>
          <w:rFonts w:hint="eastAsia" w:hAnsi="宋体" w:cs="宋体"/>
          <w:color w:val="auto"/>
          <w:szCs w:val="21"/>
          <w:highlight w:val="none"/>
        </w:rPr>
      </w:pPr>
      <w:r>
        <w:rPr>
          <w:rFonts w:hint="eastAsia" w:hAnsi="宋体" w:cs="宋体"/>
          <w:color w:val="auto"/>
          <w:szCs w:val="21"/>
          <w:highlight w:val="none"/>
        </w:rPr>
        <w:t>1、本表格用于定标阶段</w:t>
      </w:r>
      <w:r>
        <w:rPr>
          <w:rFonts w:hint="eastAsia" w:hAnsi="宋体" w:cs="宋体"/>
          <w:color w:val="auto"/>
          <w:szCs w:val="21"/>
          <w:highlight w:val="none"/>
          <w:lang w:val="en-US" w:eastAsia="zh-CN"/>
        </w:rPr>
        <w:t>定标方案</w:t>
      </w:r>
      <w:r>
        <w:rPr>
          <w:rFonts w:hint="eastAsia" w:hAnsi="宋体" w:cs="宋体"/>
          <w:color w:val="auto"/>
          <w:szCs w:val="21"/>
          <w:highlight w:val="none"/>
        </w:rPr>
        <w:t>因素评审计分，每行限填一个合格中标候选人，定标委员会成员应当独立打分；</w:t>
      </w:r>
    </w:p>
    <w:p w14:paraId="22A058EF">
      <w:pPr>
        <w:spacing w:line="360" w:lineRule="atLeast"/>
        <w:ind w:firstLine="210" w:firstLineChars="100"/>
        <w:rPr>
          <w:rFonts w:hint="eastAsia" w:hAnsi="宋体" w:cs="宋体"/>
          <w:color w:val="auto"/>
          <w:szCs w:val="21"/>
          <w:highlight w:val="none"/>
          <w:lang w:val="en-US" w:eastAsia="zh-CN"/>
        </w:rPr>
      </w:pPr>
      <w:r>
        <w:rPr>
          <w:rFonts w:hint="eastAsia" w:hAnsi="宋体" w:cs="宋体"/>
          <w:color w:val="auto"/>
          <w:szCs w:val="21"/>
          <w:highlight w:val="none"/>
        </w:rPr>
        <w:t>2、定标委员会各成员对所有进入定标程序的合格中标候选人按《定标因素表（定标阶段用表）》</w:t>
      </w:r>
      <w:r>
        <w:rPr>
          <w:rFonts w:hint="eastAsia" w:hAnsi="宋体" w:cs="宋体"/>
          <w:color w:val="auto"/>
          <w:szCs w:val="21"/>
          <w:highlight w:val="none"/>
          <w:lang w:val="en-US" w:eastAsia="zh-CN"/>
        </w:rPr>
        <w:t>定标</w:t>
      </w:r>
    </w:p>
    <w:p w14:paraId="73D0D3E5">
      <w:pPr>
        <w:spacing w:line="360" w:lineRule="atLeast"/>
        <w:ind w:firstLine="210" w:firstLineChars="100"/>
        <w:rPr>
          <w:rFonts w:hint="eastAsia" w:hAnsi="宋体" w:cs="宋体"/>
          <w:color w:val="auto"/>
          <w:szCs w:val="21"/>
          <w:highlight w:val="none"/>
        </w:rPr>
      </w:pPr>
      <w:r>
        <w:rPr>
          <w:rFonts w:hint="eastAsia" w:hAnsi="宋体" w:cs="宋体"/>
          <w:color w:val="auto"/>
          <w:szCs w:val="21"/>
          <w:highlight w:val="none"/>
          <w:lang w:val="en-US" w:eastAsia="zh-CN"/>
        </w:rPr>
        <w:t>方案</w:t>
      </w:r>
      <w:r>
        <w:rPr>
          <w:rFonts w:hint="eastAsia" w:hAnsi="宋体" w:cs="宋体"/>
          <w:color w:val="auto"/>
          <w:szCs w:val="21"/>
          <w:highlight w:val="none"/>
        </w:rPr>
        <w:t>因素评分标准进行打分。</w:t>
      </w:r>
    </w:p>
    <w:p w14:paraId="0E087E40">
      <w:pPr>
        <w:pStyle w:val="2"/>
        <w:tabs>
          <w:tab w:val="right" w:leader="dot" w:pos="9060"/>
          <w:tab w:val="clear" w:pos="8302"/>
        </w:tabs>
        <w:spacing w:line="360" w:lineRule="atLeast"/>
        <w:ind w:left="480" w:firstLine="480"/>
        <w:rPr>
          <w:rFonts w:hint="eastAsia"/>
          <w:color w:val="auto"/>
          <w:highlight w:val="none"/>
        </w:rPr>
      </w:pPr>
    </w:p>
    <w:p w14:paraId="4839C400">
      <w:pPr>
        <w:snapToGrid w:val="0"/>
        <w:spacing w:line="360" w:lineRule="atLeast"/>
        <w:ind w:firstLine="480"/>
        <w:jc w:val="left"/>
        <w:outlineLvl w:val="2"/>
        <w:rPr>
          <w:rFonts w:hint="eastAsia" w:hAnsi="宋体" w:cs="宋体"/>
          <w:color w:val="auto"/>
          <w:szCs w:val="21"/>
          <w:highlight w:val="none"/>
        </w:rPr>
      </w:pPr>
      <w:bookmarkStart w:id="239" w:name="_Toc8713"/>
      <w:r>
        <w:rPr>
          <w:rFonts w:hint="eastAsia" w:hAnsi="宋体" w:cs="宋体"/>
          <w:color w:val="auto"/>
          <w:szCs w:val="21"/>
          <w:highlight w:val="none"/>
        </w:rPr>
        <w:t>定标委员签名：</w:t>
      </w:r>
      <w:bookmarkEnd w:id="239"/>
    </w:p>
    <w:p w14:paraId="562301A4">
      <w:pPr>
        <w:snapToGrid w:val="0"/>
        <w:spacing w:line="360" w:lineRule="atLeast"/>
        <w:ind w:firstLine="480"/>
        <w:jc w:val="right"/>
        <w:outlineLvl w:val="2"/>
        <w:rPr>
          <w:rFonts w:hint="eastAsia" w:hAnsi="宋体" w:cs="宋体"/>
          <w:color w:val="auto"/>
          <w:szCs w:val="21"/>
          <w:highlight w:val="none"/>
        </w:rPr>
      </w:pPr>
      <w:bookmarkStart w:id="240" w:name="_Toc14766"/>
      <w:r>
        <w:rPr>
          <w:rFonts w:hint="eastAsia" w:hAnsi="宋体" w:cs="宋体"/>
          <w:color w:val="auto"/>
          <w:szCs w:val="21"/>
          <w:highlight w:val="none"/>
        </w:rPr>
        <w:t>日期：     年   月   日</w:t>
      </w:r>
      <w:bookmarkEnd w:id="240"/>
    </w:p>
    <w:p w14:paraId="59ACD4A6">
      <w:pPr>
        <w:snapToGrid w:val="0"/>
        <w:spacing w:line="360" w:lineRule="auto"/>
        <w:ind w:firstLine="0" w:firstLineChars="0"/>
        <w:jc w:val="left"/>
        <w:rPr>
          <w:rFonts w:hint="default" w:ascii="仿宋" w:hAnsi="仿宋" w:eastAsia="宋体" w:cs="仿宋"/>
          <w:color w:val="auto"/>
          <w:sz w:val="21"/>
          <w:szCs w:val="21"/>
          <w:highlight w:val="none"/>
          <w:lang w:val="en-US" w:eastAsia="zh-CN"/>
        </w:rPr>
      </w:pPr>
      <w:r>
        <w:rPr>
          <w:rFonts w:hint="eastAsia" w:hAnsi="宋体" w:cs="宋体"/>
          <w:color w:val="auto"/>
          <w:szCs w:val="24"/>
          <w:highlight w:val="none"/>
        </w:rPr>
        <w:br w:type="page"/>
      </w:r>
      <w:r>
        <w:rPr>
          <w:rFonts w:hint="eastAsia" w:ascii="宋体" w:hAnsi="宋体" w:cs="宋体"/>
          <w:b/>
          <w:bCs/>
          <w:color w:val="auto"/>
          <w:sz w:val="24"/>
          <w:szCs w:val="24"/>
          <w:highlight w:val="none"/>
          <w:lang w:val="en-US" w:eastAsia="zh-CN"/>
        </w:rPr>
        <w:t>附表</w:t>
      </w:r>
      <w:r>
        <w:rPr>
          <w:rFonts w:hint="eastAsia" w:ascii="宋体" w:hAnsi="宋体" w:cs="宋体"/>
          <w:b/>
          <w:bCs/>
          <w:color w:val="auto"/>
          <w:kern w:val="2"/>
          <w:sz w:val="24"/>
          <w:szCs w:val="24"/>
          <w:highlight w:val="none"/>
          <w:lang w:val="en-US" w:eastAsia="zh-CN" w:bidi="ar-SA"/>
        </w:rPr>
        <w:t>7</w:t>
      </w:r>
    </w:p>
    <w:p w14:paraId="1AEF9865">
      <w:pPr>
        <w:snapToGrid w:val="0"/>
        <w:ind w:firstLine="602"/>
        <w:jc w:val="center"/>
        <w:outlineLvl w:val="2"/>
        <w:rPr>
          <w:rFonts w:hint="eastAsia" w:hAnsi="宋体" w:cs="宋体"/>
          <w:b/>
          <w:color w:val="auto"/>
          <w:sz w:val="30"/>
          <w:szCs w:val="30"/>
          <w:highlight w:val="none"/>
        </w:rPr>
      </w:pPr>
      <w:bookmarkStart w:id="241" w:name="_Toc13528"/>
      <w:r>
        <w:rPr>
          <w:rFonts w:hint="eastAsia" w:hAnsi="宋体" w:cs="宋体"/>
          <w:b/>
          <w:color w:val="auto"/>
          <w:sz w:val="30"/>
          <w:szCs w:val="30"/>
          <w:highlight w:val="none"/>
        </w:rPr>
        <w:t>定标阶段（价格因素）评审得分表</w:t>
      </w:r>
      <w:bookmarkEnd w:id="241"/>
    </w:p>
    <w:p w14:paraId="11C500EE">
      <w:pPr>
        <w:snapToGrid w:val="0"/>
        <w:ind w:firstLine="602"/>
        <w:jc w:val="center"/>
        <w:outlineLvl w:val="2"/>
        <w:rPr>
          <w:rFonts w:hint="eastAsia" w:hAnsi="宋体" w:cs="宋体"/>
          <w:b/>
          <w:color w:val="auto"/>
          <w:sz w:val="30"/>
          <w:szCs w:val="30"/>
          <w:highlight w:val="none"/>
        </w:rPr>
      </w:pPr>
      <w:bookmarkStart w:id="242" w:name="_Toc7804"/>
      <w:r>
        <w:rPr>
          <w:rFonts w:hint="eastAsia" w:hAnsi="宋体" w:cs="宋体"/>
          <w:b/>
          <w:color w:val="auto"/>
          <w:sz w:val="30"/>
          <w:szCs w:val="30"/>
          <w:highlight w:val="none"/>
        </w:rPr>
        <w:t>（定标委员会汇总用表）</w:t>
      </w:r>
      <w:bookmarkEnd w:id="242"/>
    </w:p>
    <w:p w14:paraId="79F4621C">
      <w:pPr>
        <w:pStyle w:val="2"/>
        <w:tabs>
          <w:tab w:val="right" w:leader="dot" w:pos="9060"/>
          <w:tab w:val="clear" w:pos="8302"/>
        </w:tabs>
        <w:ind w:left="480" w:firstLine="480"/>
        <w:rPr>
          <w:rFonts w:hint="eastAsia"/>
          <w:color w:val="auto"/>
          <w:highlight w:val="none"/>
        </w:rPr>
      </w:pPr>
    </w:p>
    <w:p w14:paraId="6D5D5D02">
      <w:pPr>
        <w:ind w:firstLine="480"/>
        <w:rPr>
          <w:rFonts w:hint="eastAsia" w:hAnsi="宋体" w:cs="宋体"/>
          <w:color w:val="auto"/>
          <w:szCs w:val="24"/>
          <w:highlight w:val="none"/>
        </w:rPr>
      </w:pPr>
      <w:r>
        <w:rPr>
          <w:rFonts w:hint="eastAsia" w:hAnsi="宋体" w:cs="宋体"/>
          <w:color w:val="auto"/>
          <w:szCs w:val="24"/>
          <w:highlight w:val="none"/>
        </w:rPr>
        <w:t>工程名称：</w:t>
      </w:r>
    </w:p>
    <w:tbl>
      <w:tblPr>
        <w:tblStyle w:val="1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315"/>
        <w:gridCol w:w="2058"/>
        <w:gridCol w:w="2074"/>
        <w:gridCol w:w="1027"/>
      </w:tblGrid>
      <w:tr w14:paraId="0353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B6A633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1762" w:type="pct"/>
            <w:tcBorders>
              <w:top w:val="single" w:color="auto" w:sz="4" w:space="0"/>
              <w:left w:val="single" w:color="auto" w:sz="4" w:space="0"/>
              <w:bottom w:val="single" w:color="auto" w:sz="4" w:space="0"/>
              <w:right w:val="single" w:color="auto" w:sz="4" w:space="0"/>
            </w:tcBorders>
            <w:noWrap w:val="0"/>
            <w:vAlign w:val="center"/>
          </w:tcPr>
          <w:p w14:paraId="0F5C2EC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1094" w:type="pct"/>
            <w:tcBorders>
              <w:top w:val="single" w:color="auto" w:sz="4" w:space="0"/>
              <w:left w:val="single" w:color="auto" w:sz="4" w:space="0"/>
              <w:bottom w:val="single" w:color="auto" w:sz="4" w:space="0"/>
              <w:right w:val="single" w:color="auto" w:sz="4" w:space="0"/>
            </w:tcBorders>
            <w:noWrap w:val="0"/>
            <w:vAlign w:val="center"/>
          </w:tcPr>
          <w:p w14:paraId="05D094B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投标报价（元）</w:t>
            </w:r>
          </w:p>
        </w:tc>
        <w:tc>
          <w:tcPr>
            <w:tcW w:w="1102" w:type="pct"/>
            <w:tcBorders>
              <w:top w:val="single" w:color="auto" w:sz="4" w:space="0"/>
              <w:left w:val="single" w:color="auto" w:sz="4" w:space="0"/>
              <w:bottom w:val="single" w:color="auto" w:sz="4" w:space="0"/>
              <w:right w:val="single" w:color="auto" w:sz="4" w:space="0"/>
            </w:tcBorders>
            <w:noWrap w:val="0"/>
            <w:vAlign w:val="center"/>
          </w:tcPr>
          <w:p w14:paraId="525EA5D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rPr>
              <w:t>评标基准价</w:t>
            </w:r>
            <w:r>
              <w:rPr>
                <w:rFonts w:hint="eastAsia" w:hAnsi="宋体" w:cs="宋体"/>
                <w:color w:val="auto"/>
                <w:sz w:val="21"/>
                <w:szCs w:val="21"/>
                <w:highlight w:val="none"/>
                <w:shd w:val="clear" w:color="auto" w:fill="FFFFFF"/>
                <w:lang w:val="zh-CN"/>
              </w:rPr>
              <w:t>（元）</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4305E2A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价格因素得分</w:t>
            </w:r>
          </w:p>
        </w:tc>
      </w:tr>
      <w:tr w14:paraId="4205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8C64D1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1762" w:type="pct"/>
            <w:tcBorders>
              <w:top w:val="single" w:color="auto" w:sz="4" w:space="0"/>
              <w:left w:val="single" w:color="auto" w:sz="4" w:space="0"/>
              <w:bottom w:val="single" w:color="auto" w:sz="4" w:space="0"/>
              <w:right w:val="single" w:color="auto" w:sz="4" w:space="0"/>
            </w:tcBorders>
            <w:noWrap w:val="0"/>
            <w:vAlign w:val="center"/>
          </w:tcPr>
          <w:p w14:paraId="41572B3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14:paraId="3DC6D04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top w:val="single" w:color="auto" w:sz="4" w:space="0"/>
              <w:left w:val="single" w:color="auto" w:sz="4" w:space="0"/>
              <w:right w:val="single" w:color="auto" w:sz="4" w:space="0"/>
            </w:tcBorders>
            <w:noWrap w:val="0"/>
            <w:vAlign w:val="top"/>
          </w:tcPr>
          <w:p w14:paraId="583C7B7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14:paraId="3144682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6D2E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3AE5BE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1762" w:type="pct"/>
            <w:tcBorders>
              <w:top w:val="single" w:color="auto" w:sz="4" w:space="0"/>
              <w:left w:val="single" w:color="auto" w:sz="4" w:space="0"/>
              <w:bottom w:val="single" w:color="auto" w:sz="4" w:space="0"/>
              <w:right w:val="single" w:color="auto" w:sz="4" w:space="0"/>
            </w:tcBorders>
            <w:noWrap w:val="0"/>
            <w:vAlign w:val="center"/>
          </w:tcPr>
          <w:p w14:paraId="4834F24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14:paraId="30C0DA0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14:paraId="0CD345C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14:paraId="7713A6C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6CD8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41B15F4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1762" w:type="pct"/>
            <w:tcBorders>
              <w:top w:val="single" w:color="auto" w:sz="4" w:space="0"/>
              <w:left w:val="single" w:color="auto" w:sz="4" w:space="0"/>
              <w:bottom w:val="single" w:color="auto" w:sz="4" w:space="0"/>
              <w:right w:val="single" w:color="auto" w:sz="4" w:space="0"/>
            </w:tcBorders>
            <w:noWrap w:val="0"/>
            <w:vAlign w:val="center"/>
          </w:tcPr>
          <w:p w14:paraId="3D8844F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14:paraId="2112A93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14:paraId="2D0D693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14:paraId="3B125AE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155A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C85056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4</w:t>
            </w:r>
          </w:p>
        </w:tc>
        <w:tc>
          <w:tcPr>
            <w:tcW w:w="1762" w:type="pct"/>
            <w:tcBorders>
              <w:top w:val="single" w:color="auto" w:sz="4" w:space="0"/>
              <w:left w:val="single" w:color="auto" w:sz="4" w:space="0"/>
              <w:bottom w:val="single" w:color="auto" w:sz="4" w:space="0"/>
              <w:right w:val="single" w:color="auto" w:sz="4" w:space="0"/>
            </w:tcBorders>
            <w:noWrap w:val="0"/>
            <w:vAlign w:val="center"/>
          </w:tcPr>
          <w:p w14:paraId="6578EA5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14:paraId="1996DFD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14:paraId="766C48D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14:paraId="4B5A631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7439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199F3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5</w:t>
            </w:r>
          </w:p>
        </w:tc>
        <w:tc>
          <w:tcPr>
            <w:tcW w:w="1762" w:type="pct"/>
            <w:tcBorders>
              <w:top w:val="single" w:color="auto" w:sz="4" w:space="0"/>
              <w:left w:val="single" w:color="auto" w:sz="4" w:space="0"/>
              <w:bottom w:val="single" w:color="auto" w:sz="4" w:space="0"/>
              <w:right w:val="single" w:color="auto" w:sz="4" w:space="0"/>
            </w:tcBorders>
            <w:noWrap w:val="0"/>
            <w:vAlign w:val="center"/>
          </w:tcPr>
          <w:p w14:paraId="79F28B5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094" w:type="pct"/>
            <w:tcBorders>
              <w:top w:val="single" w:color="auto" w:sz="4" w:space="0"/>
              <w:left w:val="single" w:color="auto" w:sz="4" w:space="0"/>
              <w:bottom w:val="single" w:color="auto" w:sz="4" w:space="0"/>
              <w:right w:val="single" w:color="auto" w:sz="4" w:space="0"/>
            </w:tcBorders>
            <w:noWrap w:val="0"/>
            <w:vAlign w:val="top"/>
          </w:tcPr>
          <w:p w14:paraId="62E7BAC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102" w:type="pct"/>
            <w:tcBorders>
              <w:left w:val="single" w:color="auto" w:sz="4" w:space="0"/>
              <w:right w:val="single" w:color="auto" w:sz="4" w:space="0"/>
            </w:tcBorders>
            <w:noWrap w:val="0"/>
            <w:vAlign w:val="top"/>
          </w:tcPr>
          <w:p w14:paraId="6ABD16B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546" w:type="pct"/>
            <w:tcBorders>
              <w:top w:val="single" w:color="auto" w:sz="4" w:space="0"/>
              <w:left w:val="single" w:color="auto" w:sz="4" w:space="0"/>
              <w:bottom w:val="single" w:color="auto" w:sz="4" w:space="0"/>
              <w:right w:val="single" w:color="auto" w:sz="4" w:space="0"/>
            </w:tcBorders>
            <w:noWrap w:val="0"/>
            <w:vAlign w:val="top"/>
          </w:tcPr>
          <w:p w14:paraId="59FF383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6822FFC2">
      <w:pPr>
        <w:spacing w:line="300" w:lineRule="exact"/>
        <w:ind w:right="-325" w:rightChars="-155" w:firstLine="480"/>
        <w:rPr>
          <w:rFonts w:hint="eastAsia" w:hAnsi="宋体" w:cs="宋体"/>
          <w:color w:val="auto"/>
          <w:szCs w:val="21"/>
          <w:highlight w:val="none"/>
        </w:rPr>
      </w:pPr>
      <w:r>
        <w:rPr>
          <w:rFonts w:hint="eastAsia" w:hAnsi="宋体" w:cs="宋体"/>
          <w:color w:val="auto"/>
          <w:szCs w:val="21"/>
          <w:highlight w:val="none"/>
        </w:rPr>
        <w:t>备注：</w:t>
      </w:r>
    </w:p>
    <w:p w14:paraId="2BA14B71">
      <w:pPr>
        <w:spacing w:line="300" w:lineRule="exact"/>
        <w:ind w:right="-325" w:rightChars="-155" w:firstLine="480"/>
        <w:rPr>
          <w:rFonts w:hint="eastAsia" w:hAnsi="宋体" w:cs="宋体"/>
          <w:color w:val="auto"/>
          <w:szCs w:val="21"/>
          <w:highlight w:val="none"/>
        </w:rPr>
      </w:pPr>
      <w:r>
        <w:rPr>
          <w:rFonts w:hint="eastAsia" w:hAnsi="宋体" w:cs="宋体"/>
          <w:color w:val="auto"/>
          <w:szCs w:val="21"/>
          <w:highlight w:val="none"/>
        </w:rPr>
        <w:t>定标委员会对合格中标候选人投标报价进行打分，以合格中标候选人中投标报价高于成本警示价的最低投标报价为定标基准价（如合格中标候选人的投标报价均低于或等于成本警示价的，则以成本警示价为定标基准价），投标报价等于定标基准价时得100分。投标报价比定标基准价每高1%扣1.5分；每低1%扣1.0分，扣至0分为止。得出价格因素得分，分数出现小数点时，保留小数点后二位，第三位小数四舍五入。</w:t>
      </w:r>
    </w:p>
    <w:p w14:paraId="76773DAB">
      <w:pPr>
        <w:pStyle w:val="2"/>
        <w:tabs>
          <w:tab w:val="right" w:leader="dot" w:pos="9060"/>
          <w:tab w:val="clear" w:pos="8302"/>
        </w:tabs>
        <w:ind w:left="480" w:firstLine="480"/>
        <w:rPr>
          <w:rFonts w:hint="eastAsia"/>
          <w:color w:val="auto"/>
          <w:highlight w:val="none"/>
        </w:rPr>
      </w:pPr>
    </w:p>
    <w:p w14:paraId="4143CC14">
      <w:pPr>
        <w:spacing w:line="360" w:lineRule="exact"/>
        <w:ind w:right="-325" w:rightChars="-155" w:firstLine="0" w:firstLineChars="0"/>
        <w:jc w:val="left"/>
        <w:rPr>
          <w:rFonts w:hint="eastAsia" w:hAnsi="宋体" w:cs="宋体"/>
          <w:color w:val="auto"/>
          <w:szCs w:val="21"/>
          <w:highlight w:val="none"/>
        </w:rPr>
      </w:pPr>
      <w:r>
        <w:rPr>
          <w:rFonts w:hint="eastAsia" w:hAnsi="宋体" w:cs="宋体"/>
          <w:color w:val="auto"/>
          <w:szCs w:val="21"/>
          <w:highlight w:val="none"/>
        </w:rPr>
        <w:t>定标委员会全体成员签名：</w:t>
      </w:r>
    </w:p>
    <w:p w14:paraId="5D1C7BC2">
      <w:pPr>
        <w:spacing w:line="360" w:lineRule="exact"/>
        <w:ind w:right="-325" w:rightChars="-155" w:firstLine="480"/>
        <w:jc w:val="right"/>
        <w:rPr>
          <w:rFonts w:hint="eastAsia" w:hAnsi="宋体" w:cs="宋体"/>
          <w:color w:val="auto"/>
          <w:szCs w:val="21"/>
          <w:highlight w:val="none"/>
        </w:rPr>
      </w:pPr>
    </w:p>
    <w:p w14:paraId="2E0F8B54">
      <w:pPr>
        <w:spacing w:line="360" w:lineRule="exact"/>
        <w:ind w:right="-325" w:rightChars="-155" w:firstLine="480"/>
        <w:jc w:val="right"/>
        <w:rPr>
          <w:rFonts w:hint="eastAsia" w:hAnsi="宋体" w:cs="宋体"/>
          <w:color w:val="auto"/>
          <w:szCs w:val="21"/>
          <w:highlight w:val="none"/>
        </w:rPr>
      </w:pPr>
    </w:p>
    <w:p w14:paraId="7E25361C">
      <w:pPr>
        <w:spacing w:line="360" w:lineRule="exact"/>
        <w:ind w:right="-325" w:rightChars="-155" w:firstLine="480"/>
        <w:jc w:val="right"/>
        <w:rPr>
          <w:rFonts w:hint="eastAsia" w:hAnsi="宋体" w:cs="宋体"/>
          <w:color w:val="auto"/>
          <w:szCs w:val="21"/>
          <w:highlight w:val="none"/>
        </w:rPr>
      </w:pPr>
    </w:p>
    <w:p w14:paraId="0DBDF1BE">
      <w:pPr>
        <w:spacing w:line="360" w:lineRule="exact"/>
        <w:ind w:right="-325" w:rightChars="-155" w:firstLine="480"/>
        <w:jc w:val="right"/>
        <w:rPr>
          <w:rFonts w:hint="eastAsia" w:hAnsi="宋体" w:cs="宋体"/>
          <w:color w:val="auto"/>
          <w:szCs w:val="21"/>
          <w:highlight w:val="none"/>
        </w:rPr>
      </w:pPr>
      <w:r>
        <w:rPr>
          <w:rFonts w:hint="eastAsia" w:hAnsi="宋体" w:cs="宋体"/>
          <w:color w:val="auto"/>
          <w:szCs w:val="21"/>
          <w:highlight w:val="none"/>
        </w:rPr>
        <w:t>日期：     年   月   日</w:t>
      </w:r>
    </w:p>
    <w:p w14:paraId="0843DAB8">
      <w:pPr>
        <w:pStyle w:val="31"/>
        <w:rPr>
          <w:rFonts w:ascii="仿宋" w:hAnsi="仿宋" w:eastAsia="仿宋" w:cs="仿宋"/>
          <w:color w:val="auto"/>
          <w:sz w:val="21"/>
          <w:szCs w:val="21"/>
          <w:highlight w:val="none"/>
        </w:rPr>
      </w:pPr>
    </w:p>
    <w:p w14:paraId="1B7D3924">
      <w:pPr>
        <w:snapToGrid w:val="0"/>
        <w:spacing w:line="360" w:lineRule="auto"/>
        <w:ind w:firstLine="0" w:firstLineChars="0"/>
        <w:rPr>
          <w:rFonts w:hint="default" w:ascii="仿宋" w:hAnsi="仿宋" w:eastAsia="仿宋" w:cs="仿宋"/>
          <w:color w:val="auto"/>
          <w:sz w:val="21"/>
          <w:szCs w:val="21"/>
          <w:highlight w:val="none"/>
          <w:lang w:val="en-US" w:eastAsia="zh-CN"/>
        </w:rPr>
      </w:pPr>
      <w:r>
        <w:rPr>
          <w:rFonts w:ascii="仿宋" w:hAnsi="仿宋" w:eastAsia="仿宋" w:cs="仿宋"/>
          <w:color w:val="auto"/>
          <w:sz w:val="21"/>
          <w:szCs w:val="21"/>
          <w:highlight w:val="none"/>
        </w:rPr>
        <w:br w:type="page"/>
      </w:r>
      <w:r>
        <w:rPr>
          <w:rFonts w:hint="eastAsia" w:ascii="宋体" w:hAnsi="宋体" w:eastAsia="宋体" w:cs="宋体"/>
          <w:b/>
          <w:bCs/>
          <w:color w:val="auto"/>
          <w:sz w:val="24"/>
          <w:szCs w:val="24"/>
          <w:highlight w:val="none"/>
          <w:lang w:val="en-US" w:eastAsia="zh-CN"/>
        </w:rPr>
        <w:t>附表</w:t>
      </w:r>
      <w:r>
        <w:rPr>
          <w:rFonts w:hint="eastAsia" w:ascii="宋体" w:hAnsi="宋体" w:cs="宋体"/>
          <w:b/>
          <w:bCs/>
          <w:color w:val="auto"/>
          <w:kern w:val="2"/>
          <w:sz w:val="24"/>
          <w:szCs w:val="24"/>
          <w:highlight w:val="none"/>
          <w:lang w:val="en-US" w:eastAsia="zh-CN" w:bidi="ar-SA"/>
        </w:rPr>
        <w:t>8</w:t>
      </w:r>
    </w:p>
    <w:p w14:paraId="1EFD8CE0">
      <w:pPr>
        <w:snapToGrid w:val="0"/>
        <w:ind w:firstLine="904" w:firstLineChars="300"/>
        <w:jc w:val="center"/>
        <w:outlineLvl w:val="2"/>
        <w:rPr>
          <w:rFonts w:hint="eastAsia" w:hAnsi="宋体" w:cs="宋体"/>
          <w:b/>
          <w:color w:val="auto"/>
          <w:sz w:val="30"/>
          <w:szCs w:val="30"/>
          <w:highlight w:val="none"/>
        </w:rPr>
      </w:pPr>
      <w:bookmarkStart w:id="243" w:name="_Toc11221"/>
      <w:r>
        <w:rPr>
          <w:rFonts w:hint="eastAsia" w:hAnsi="宋体" w:cs="宋体"/>
          <w:b/>
          <w:color w:val="auto"/>
          <w:sz w:val="30"/>
          <w:szCs w:val="30"/>
          <w:highlight w:val="none"/>
        </w:rPr>
        <w:t>定标阶段（</w:t>
      </w:r>
      <w:r>
        <w:rPr>
          <w:rFonts w:hint="eastAsia" w:hAnsi="宋体" w:cs="宋体"/>
          <w:b/>
          <w:color w:val="auto"/>
          <w:sz w:val="30"/>
          <w:szCs w:val="30"/>
          <w:highlight w:val="none"/>
          <w:lang w:val="en-US" w:eastAsia="zh-CN"/>
        </w:rPr>
        <w:t>定标</w:t>
      </w:r>
      <w:r>
        <w:rPr>
          <w:rFonts w:hint="eastAsia" w:hAnsi="宋体" w:cs="宋体"/>
          <w:b/>
          <w:color w:val="auto"/>
          <w:sz w:val="30"/>
          <w:szCs w:val="30"/>
          <w:highlight w:val="none"/>
        </w:rPr>
        <w:t>方案因素）得分汇总表</w:t>
      </w:r>
      <w:bookmarkEnd w:id="243"/>
    </w:p>
    <w:p w14:paraId="3B49E90C">
      <w:pPr>
        <w:pStyle w:val="2"/>
        <w:tabs>
          <w:tab w:val="right" w:leader="dot" w:pos="9060"/>
          <w:tab w:val="clear" w:pos="8302"/>
        </w:tabs>
        <w:snapToGrid w:val="0"/>
        <w:ind w:left="480" w:firstLine="602"/>
        <w:jc w:val="center"/>
        <w:rPr>
          <w:rFonts w:hint="eastAsia"/>
          <w:color w:val="auto"/>
          <w:sz w:val="30"/>
          <w:szCs w:val="30"/>
          <w:highlight w:val="none"/>
        </w:rPr>
      </w:pPr>
      <w:r>
        <w:rPr>
          <w:rFonts w:hint="eastAsia" w:hAnsi="宋体"/>
          <w:b/>
          <w:color w:val="auto"/>
          <w:sz w:val="30"/>
          <w:szCs w:val="30"/>
          <w:highlight w:val="none"/>
        </w:rPr>
        <w:t>（定标委员会汇总用表）</w:t>
      </w:r>
    </w:p>
    <w:p w14:paraId="49183FA8">
      <w:pPr>
        <w:ind w:firstLine="480"/>
        <w:rPr>
          <w:rFonts w:hint="eastAsia" w:hAnsi="宋体" w:cs="宋体"/>
          <w:color w:val="auto"/>
          <w:szCs w:val="24"/>
          <w:highlight w:val="none"/>
        </w:rPr>
      </w:pPr>
      <w:r>
        <w:rPr>
          <w:rFonts w:hint="eastAsia" w:hAnsi="宋体" w:cs="宋体"/>
          <w:color w:val="auto"/>
          <w:szCs w:val="24"/>
          <w:highlight w:val="none"/>
        </w:rPr>
        <w:t>工程名称：</w:t>
      </w:r>
    </w:p>
    <w:tbl>
      <w:tblPr>
        <w:tblStyle w:val="17"/>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382"/>
        <w:gridCol w:w="939"/>
        <w:gridCol w:w="940"/>
        <w:gridCol w:w="939"/>
        <w:gridCol w:w="940"/>
        <w:gridCol w:w="940"/>
        <w:gridCol w:w="1232"/>
      </w:tblGrid>
      <w:tr w14:paraId="3D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25E24B0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1A42188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52A76CB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评分人1</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25AA6A2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评分人2</w:t>
            </w:r>
          </w:p>
        </w:tc>
        <w:tc>
          <w:tcPr>
            <w:tcW w:w="939" w:type="dxa"/>
            <w:tcBorders>
              <w:top w:val="single" w:color="auto" w:sz="4" w:space="0"/>
              <w:left w:val="single" w:color="auto" w:sz="4" w:space="0"/>
              <w:bottom w:val="single" w:color="auto" w:sz="4" w:space="0"/>
              <w:right w:val="single" w:color="auto" w:sz="4" w:space="0"/>
            </w:tcBorders>
            <w:noWrap w:val="0"/>
            <w:vAlign w:val="top"/>
          </w:tcPr>
          <w:p w14:paraId="4F07BD6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评分人3</w:t>
            </w:r>
          </w:p>
        </w:tc>
        <w:tc>
          <w:tcPr>
            <w:tcW w:w="940" w:type="dxa"/>
            <w:tcBorders>
              <w:top w:val="single" w:color="auto" w:sz="4" w:space="0"/>
              <w:left w:val="single" w:color="auto" w:sz="4" w:space="0"/>
              <w:bottom w:val="single" w:color="auto" w:sz="4" w:space="0"/>
              <w:right w:val="single" w:color="auto" w:sz="4" w:space="0"/>
            </w:tcBorders>
            <w:noWrap w:val="0"/>
            <w:vAlign w:val="top"/>
          </w:tcPr>
          <w:p w14:paraId="56446C9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评分人4</w:t>
            </w:r>
          </w:p>
        </w:tc>
        <w:tc>
          <w:tcPr>
            <w:tcW w:w="940" w:type="dxa"/>
            <w:tcBorders>
              <w:top w:val="single" w:color="auto" w:sz="4" w:space="0"/>
              <w:left w:val="single" w:color="auto" w:sz="4" w:space="0"/>
              <w:bottom w:val="single" w:color="auto" w:sz="4" w:space="0"/>
              <w:right w:val="single" w:color="auto" w:sz="4" w:space="0"/>
            </w:tcBorders>
            <w:noWrap w:val="0"/>
            <w:vAlign w:val="top"/>
          </w:tcPr>
          <w:p w14:paraId="5DD96E8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评分人5</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14D6D0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算术平均得分</w:t>
            </w:r>
          </w:p>
        </w:tc>
      </w:tr>
      <w:tr w14:paraId="7E8A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29EDEC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0DDA73C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6EEDCF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04A5F9E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01773F1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F908AA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6E960E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7701735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3840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61B18C5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20A9744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52E6988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3E14A69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6940CCA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0F2B23D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BCD61D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B0CD90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12E5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7DC0FD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3B7591C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1C9B120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57A0D10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3B4978C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BB7FBB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5A97B2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747CFF0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028D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1906423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4</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157EF70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66E6F5E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29CA6C0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79A6EF9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49B29C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75D457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CA824D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1DD7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2D58272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5</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5519ED7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522C40E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389346C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75EB603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F9C43F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B201A6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7B26EAD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2C05B2AE">
      <w:pPr>
        <w:ind w:right="420" w:firstLine="480"/>
        <w:rPr>
          <w:rFonts w:hint="eastAsia" w:hAnsi="宋体" w:cs="宋体"/>
          <w:color w:val="auto"/>
          <w:szCs w:val="21"/>
          <w:highlight w:val="none"/>
        </w:rPr>
      </w:pPr>
      <w:r>
        <w:rPr>
          <w:rFonts w:hint="eastAsia" w:hAnsi="宋体" w:cs="宋体"/>
          <w:color w:val="auto"/>
          <w:szCs w:val="21"/>
          <w:highlight w:val="none"/>
        </w:rPr>
        <w:t>备注：</w:t>
      </w:r>
    </w:p>
    <w:p w14:paraId="08ABAA0C">
      <w:pPr>
        <w:spacing w:line="360" w:lineRule="atLeast"/>
        <w:ind w:right="420" w:firstLine="105" w:firstLineChars="50"/>
        <w:rPr>
          <w:rFonts w:hint="eastAsia" w:hAnsi="宋体" w:cs="宋体"/>
          <w:color w:val="auto"/>
          <w:szCs w:val="21"/>
          <w:highlight w:val="none"/>
        </w:rPr>
      </w:pPr>
      <w:r>
        <w:rPr>
          <w:rFonts w:hint="eastAsia" w:hAnsi="宋体" w:cs="宋体"/>
          <w:color w:val="auto"/>
          <w:szCs w:val="21"/>
          <w:highlight w:val="none"/>
        </w:rPr>
        <w:t>1、定标委员会成员个人</w:t>
      </w:r>
      <w:r>
        <w:rPr>
          <w:rFonts w:hint="eastAsia" w:hAnsi="宋体" w:cs="宋体"/>
          <w:color w:val="auto"/>
          <w:szCs w:val="21"/>
          <w:highlight w:val="none"/>
          <w:lang w:val="en-US" w:eastAsia="zh-CN"/>
        </w:rPr>
        <w:t>定标</w:t>
      </w:r>
      <w:r>
        <w:rPr>
          <w:rFonts w:hint="eastAsia" w:hAnsi="宋体" w:cs="宋体"/>
          <w:color w:val="auto"/>
          <w:szCs w:val="21"/>
          <w:highlight w:val="none"/>
        </w:rPr>
        <w:t>方案因素评分满分为</w:t>
      </w:r>
      <w:r>
        <w:rPr>
          <w:rFonts w:hint="eastAsia" w:hAnsi="宋体" w:cs="宋体"/>
          <w:color w:val="auto"/>
          <w:szCs w:val="21"/>
          <w:highlight w:val="none"/>
          <w:lang w:val="en-US" w:eastAsia="zh-CN"/>
        </w:rPr>
        <w:t>100</w:t>
      </w:r>
      <w:r>
        <w:rPr>
          <w:rFonts w:hint="eastAsia" w:hAnsi="宋体" w:cs="宋体"/>
          <w:color w:val="auto"/>
          <w:szCs w:val="21"/>
          <w:highlight w:val="none"/>
        </w:rPr>
        <w:t>分。</w:t>
      </w:r>
    </w:p>
    <w:p w14:paraId="77EC9FBB">
      <w:pPr>
        <w:tabs>
          <w:tab w:val="left" w:pos="9070"/>
        </w:tabs>
        <w:spacing w:line="360" w:lineRule="atLeast"/>
        <w:ind w:right="-2" w:firstLine="105" w:firstLineChars="50"/>
        <w:rPr>
          <w:rFonts w:hint="eastAsia" w:hAnsi="宋体" w:cs="宋体"/>
          <w:color w:val="auto"/>
          <w:szCs w:val="21"/>
          <w:highlight w:val="none"/>
        </w:rPr>
      </w:pPr>
      <w:r>
        <w:rPr>
          <w:rFonts w:hint="eastAsia" w:hAnsi="宋体" w:cs="宋体"/>
          <w:color w:val="auto"/>
          <w:szCs w:val="21"/>
          <w:highlight w:val="none"/>
        </w:rPr>
        <w:t>2、</w:t>
      </w:r>
      <w:r>
        <w:rPr>
          <w:rFonts w:hint="eastAsia" w:ascii="Times New Roman" w:hAnsi="宋体" w:eastAsia="宋体" w:cs="宋体"/>
          <w:color w:val="auto"/>
          <w:szCs w:val="21"/>
          <w:highlight w:val="none"/>
        </w:rPr>
        <w:t>合格中标候选人定标方案得分为所有定标委员会成员对同一投标人</w:t>
      </w:r>
      <w:r>
        <w:rPr>
          <w:rFonts w:hint="eastAsia" w:ascii="Times New Roman" w:hAnsi="宋体" w:eastAsia="宋体" w:cs="宋体"/>
          <w:color w:val="auto"/>
          <w:szCs w:val="21"/>
          <w:highlight w:val="none"/>
          <w:lang w:eastAsia="zh-CN"/>
        </w:rPr>
        <w:t>方案因素的</w:t>
      </w:r>
      <w:r>
        <w:rPr>
          <w:rFonts w:hint="eastAsia" w:ascii="Times New Roman" w:hAnsi="宋体" w:cs="宋体"/>
          <w:color w:val="auto"/>
          <w:szCs w:val="21"/>
          <w:highlight w:val="none"/>
          <w:lang w:eastAsia="zh-CN"/>
        </w:rPr>
        <w:t>各项</w:t>
      </w:r>
      <w:r>
        <w:rPr>
          <w:rFonts w:hint="eastAsia" w:ascii="Times New Roman" w:hAnsi="宋体" w:cs="宋体"/>
          <w:b w:val="0"/>
          <w:color w:val="auto"/>
          <w:szCs w:val="21"/>
          <w:highlight w:val="none"/>
          <w:u w:val="none"/>
          <w:lang w:eastAsia="zh-CN"/>
        </w:rPr>
        <w:t>评</w:t>
      </w:r>
      <w:r>
        <w:rPr>
          <w:rFonts w:hint="eastAsia" w:ascii="Times New Roman" w:hAnsi="宋体" w:eastAsia="宋体" w:cs="宋体"/>
          <w:b w:val="0"/>
          <w:color w:val="auto"/>
          <w:szCs w:val="21"/>
          <w:highlight w:val="none"/>
          <w:u w:val="none"/>
        </w:rPr>
        <w:t>分</w:t>
      </w:r>
      <w:r>
        <w:rPr>
          <w:rFonts w:hint="eastAsia" w:ascii="Times New Roman" w:hAnsi="宋体" w:cs="宋体"/>
          <w:b w:val="0"/>
          <w:color w:val="auto"/>
          <w:szCs w:val="21"/>
          <w:highlight w:val="none"/>
          <w:u w:val="none"/>
          <w:lang w:eastAsia="zh-CN"/>
        </w:rPr>
        <w:t>相加</w:t>
      </w:r>
      <w:r>
        <w:rPr>
          <w:rFonts w:hint="eastAsia" w:ascii="Times New Roman" w:hAnsi="宋体" w:eastAsia="宋体" w:cs="宋体"/>
          <w:b w:val="0"/>
          <w:color w:val="auto"/>
          <w:szCs w:val="21"/>
          <w:highlight w:val="none"/>
          <w:u w:val="none"/>
        </w:rPr>
        <w:t>去掉一个最高分和一个最低分后计取的算术平均分（分数出现小数点时，保留小数点后二位，第三位小数四舍五入）。</w:t>
      </w:r>
    </w:p>
    <w:p w14:paraId="76A71F44">
      <w:pPr>
        <w:spacing w:line="300" w:lineRule="exact"/>
        <w:ind w:right="-325" w:rightChars="-155" w:firstLine="480"/>
        <w:rPr>
          <w:rFonts w:hint="eastAsia" w:hAnsi="宋体" w:cs="宋体"/>
          <w:color w:val="auto"/>
          <w:szCs w:val="21"/>
          <w:highlight w:val="none"/>
        </w:rPr>
      </w:pPr>
    </w:p>
    <w:p w14:paraId="15BDD30F">
      <w:pPr>
        <w:widowControl w:val="0"/>
        <w:ind w:firstLine="5040" w:firstLineChars="2400"/>
        <w:jc w:val="left"/>
        <w:rPr>
          <w:rFonts w:hint="eastAsia" w:hAnsi="宋体" w:cs="宋体"/>
          <w:color w:val="auto"/>
          <w:highlight w:val="none"/>
        </w:rPr>
      </w:pPr>
    </w:p>
    <w:p w14:paraId="57368540">
      <w:pPr>
        <w:ind w:firstLine="480"/>
        <w:rPr>
          <w:rFonts w:hint="eastAsia" w:hAnsi="宋体" w:cs="宋体"/>
          <w:color w:val="auto"/>
          <w:highlight w:val="none"/>
        </w:rPr>
      </w:pPr>
    </w:p>
    <w:p w14:paraId="342189FB">
      <w:pPr>
        <w:pStyle w:val="31"/>
        <w:rPr>
          <w:rFonts w:ascii="仿宋" w:hAnsi="仿宋" w:eastAsia="仿宋" w:cs="仿宋"/>
          <w:color w:val="auto"/>
          <w:sz w:val="21"/>
          <w:szCs w:val="21"/>
          <w:highlight w:val="none"/>
        </w:rPr>
      </w:pPr>
    </w:p>
    <w:p w14:paraId="78B0F491">
      <w:pPr>
        <w:spacing w:line="360" w:lineRule="exact"/>
        <w:ind w:right="-325" w:rightChars="-155" w:firstLine="0" w:firstLineChars="0"/>
        <w:jc w:val="left"/>
        <w:rPr>
          <w:rFonts w:hint="eastAsia" w:hAnsi="宋体" w:cs="宋体"/>
          <w:color w:val="auto"/>
          <w:szCs w:val="21"/>
          <w:highlight w:val="none"/>
        </w:rPr>
      </w:pPr>
      <w:r>
        <w:rPr>
          <w:rFonts w:hint="eastAsia" w:hAnsi="宋体" w:cs="宋体"/>
          <w:color w:val="auto"/>
          <w:szCs w:val="21"/>
          <w:highlight w:val="none"/>
        </w:rPr>
        <w:t>定标委员会全体成员签名：</w:t>
      </w:r>
    </w:p>
    <w:p w14:paraId="7FDE3D92">
      <w:pPr>
        <w:spacing w:line="360" w:lineRule="exact"/>
        <w:ind w:right="-325" w:rightChars="-155" w:firstLine="480"/>
        <w:jc w:val="right"/>
        <w:rPr>
          <w:rFonts w:hint="eastAsia" w:hAnsi="宋体" w:cs="宋体"/>
          <w:color w:val="auto"/>
          <w:szCs w:val="21"/>
          <w:highlight w:val="none"/>
        </w:rPr>
      </w:pPr>
      <w:r>
        <w:rPr>
          <w:rFonts w:hint="eastAsia" w:hAnsi="宋体" w:cs="宋体"/>
          <w:color w:val="auto"/>
          <w:szCs w:val="21"/>
          <w:highlight w:val="none"/>
        </w:rPr>
        <w:t>日期：     年   月   日</w:t>
      </w:r>
    </w:p>
    <w:p w14:paraId="11513850">
      <w:pPr>
        <w:pStyle w:val="31"/>
        <w:rPr>
          <w:rFonts w:ascii="仿宋" w:hAnsi="仿宋" w:eastAsia="仿宋" w:cs="仿宋"/>
          <w:color w:val="auto"/>
          <w:sz w:val="21"/>
          <w:szCs w:val="21"/>
          <w:highlight w:val="none"/>
        </w:rPr>
        <w:sectPr>
          <w:pgSz w:w="11907" w:h="16840"/>
          <w:pgMar w:top="1440" w:right="1270" w:bottom="1440" w:left="1440" w:header="851" w:footer="992" w:gutter="0"/>
          <w:pgNumType w:fmt="decimal"/>
          <w:cols w:space="720" w:num="1"/>
          <w:docGrid w:type="lines" w:linePitch="312" w:charSpace="0"/>
        </w:sectPr>
      </w:pPr>
    </w:p>
    <w:p w14:paraId="214A18E7">
      <w:pPr>
        <w:snapToGrid w:val="0"/>
        <w:spacing w:line="360" w:lineRule="auto"/>
        <w:ind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附表9</w:t>
      </w:r>
    </w:p>
    <w:p w14:paraId="06D743C3">
      <w:pPr>
        <w:pStyle w:val="31"/>
        <w:rPr>
          <w:rFonts w:ascii="仿宋" w:hAnsi="仿宋" w:eastAsia="仿宋" w:cs="仿宋"/>
          <w:color w:val="auto"/>
          <w:sz w:val="21"/>
          <w:szCs w:val="21"/>
          <w:highlight w:val="none"/>
        </w:rPr>
      </w:pPr>
    </w:p>
    <w:p w14:paraId="6B16BB3C">
      <w:pPr>
        <w:ind w:firstLine="0" w:firstLineChars="0"/>
        <w:jc w:val="center"/>
        <w:outlineLvl w:val="2"/>
        <w:rPr>
          <w:rFonts w:hint="eastAsia"/>
          <w:color w:val="auto"/>
          <w:sz w:val="30"/>
          <w:szCs w:val="30"/>
          <w:highlight w:val="none"/>
        </w:rPr>
      </w:pPr>
      <w:bookmarkStart w:id="244" w:name="_Toc20967"/>
      <w:r>
        <w:rPr>
          <w:rFonts w:hint="eastAsia" w:hAnsi="宋体" w:cs="宋体"/>
          <w:b/>
          <w:color w:val="auto"/>
          <w:sz w:val="30"/>
          <w:szCs w:val="30"/>
          <w:highlight w:val="none"/>
        </w:rPr>
        <w:t>定标因素得分汇总及排序表</w:t>
      </w:r>
      <w:r>
        <w:rPr>
          <w:rFonts w:hint="eastAsia" w:hAnsi="宋体"/>
          <w:b/>
          <w:color w:val="auto"/>
          <w:sz w:val="30"/>
          <w:szCs w:val="30"/>
          <w:highlight w:val="none"/>
        </w:rPr>
        <w:t>（定标委员会汇总用表）</w:t>
      </w:r>
      <w:bookmarkEnd w:id="244"/>
    </w:p>
    <w:p w14:paraId="5D143FF0">
      <w:pPr>
        <w:ind w:firstLine="480"/>
        <w:rPr>
          <w:rFonts w:hint="eastAsia" w:hAnsi="宋体" w:cs="宋体"/>
          <w:color w:val="auto"/>
          <w:highlight w:val="none"/>
        </w:rPr>
      </w:pPr>
      <w:r>
        <w:rPr>
          <w:rFonts w:hint="eastAsia" w:hAnsi="宋体" w:cs="宋体"/>
          <w:color w:val="auto"/>
          <w:highlight w:val="none"/>
        </w:rPr>
        <w:t>工程名称：</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2590"/>
        <w:gridCol w:w="796"/>
        <w:gridCol w:w="763"/>
        <w:gridCol w:w="700"/>
        <w:gridCol w:w="702"/>
        <w:gridCol w:w="763"/>
        <w:gridCol w:w="700"/>
        <w:gridCol w:w="1125"/>
        <w:gridCol w:w="781"/>
      </w:tblGrid>
      <w:tr w14:paraId="0311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14:paraId="1FF06C38">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序号</w:t>
            </w:r>
          </w:p>
        </w:tc>
        <w:tc>
          <w:tcPr>
            <w:tcW w:w="1335" w:type="pct"/>
            <w:tcBorders>
              <w:top w:val="single" w:color="auto" w:sz="4" w:space="0"/>
              <w:left w:val="single" w:color="auto" w:sz="4" w:space="0"/>
              <w:bottom w:val="single" w:color="auto" w:sz="4" w:space="0"/>
              <w:right w:val="single" w:color="auto" w:sz="4" w:space="0"/>
            </w:tcBorders>
            <w:noWrap w:val="0"/>
            <w:vAlign w:val="center"/>
          </w:tcPr>
          <w:p w14:paraId="6A867809">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bCs w:val="0"/>
                <w:color w:val="auto"/>
                <w:sz w:val="21"/>
                <w:szCs w:val="21"/>
                <w:highlight w:val="none"/>
                <w:shd w:val="clear" w:color="auto" w:fill="FFFFFF"/>
                <w:lang w:val="zh-CN"/>
              </w:rPr>
              <w:t>合格中标候选人名称</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3EE2C987">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方案因素得分</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52745243">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权重（%）</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3BB928D0">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权重得分</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219A33B2">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eastAsia="zh-CN" w:bidi="ar-SA"/>
              </w:rPr>
            </w:pPr>
            <w:r>
              <w:rPr>
                <w:rFonts w:hint="eastAsia" w:ascii="宋体" w:hAnsi="宋体" w:eastAsia="宋体" w:cs="宋体"/>
                <w:b w:val="0"/>
                <w:color w:val="auto"/>
                <w:sz w:val="21"/>
                <w:szCs w:val="21"/>
                <w:highlight w:val="none"/>
                <w:shd w:val="clear" w:color="auto" w:fill="FFFFFF"/>
                <w:lang w:val="zh-CN"/>
              </w:rPr>
              <w:t>价格因素得分</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4812A829">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eastAsia="zh-CN" w:bidi="ar-SA"/>
              </w:rPr>
            </w:pPr>
            <w:r>
              <w:rPr>
                <w:rFonts w:hint="eastAsia" w:ascii="宋体" w:hAnsi="宋体" w:eastAsia="宋体" w:cs="宋体"/>
                <w:b w:val="0"/>
                <w:color w:val="auto"/>
                <w:sz w:val="21"/>
                <w:szCs w:val="21"/>
                <w:highlight w:val="none"/>
                <w:shd w:val="clear" w:color="auto" w:fill="FFFFFF"/>
                <w:lang w:val="zh-CN"/>
              </w:rPr>
              <w:t>权重（%）</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3F874392">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eastAsia="zh-CN" w:bidi="ar-SA"/>
              </w:rPr>
            </w:pPr>
            <w:r>
              <w:rPr>
                <w:rFonts w:hint="eastAsia" w:ascii="宋体" w:hAnsi="宋体" w:eastAsia="宋体" w:cs="宋体"/>
                <w:b w:val="0"/>
                <w:color w:val="auto"/>
                <w:sz w:val="21"/>
                <w:szCs w:val="21"/>
                <w:highlight w:val="none"/>
                <w:shd w:val="clear" w:color="auto" w:fill="FFFFFF"/>
                <w:lang w:val="zh-CN"/>
              </w:rPr>
              <w:t>权重得分</w:t>
            </w:r>
          </w:p>
        </w:tc>
        <w:tc>
          <w:tcPr>
            <w:tcW w:w="580" w:type="pct"/>
            <w:tcBorders>
              <w:top w:val="single" w:color="auto" w:sz="4" w:space="0"/>
              <w:left w:val="single" w:color="auto" w:sz="4" w:space="0"/>
              <w:bottom w:val="single" w:color="auto" w:sz="4" w:space="0"/>
              <w:right w:val="single" w:color="auto" w:sz="4" w:space="0"/>
            </w:tcBorders>
            <w:noWrap w:val="0"/>
            <w:vAlign w:val="center"/>
          </w:tcPr>
          <w:p w14:paraId="0AB28762">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总得分</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7D6300C6">
            <w:pPr>
              <w:widowControl w:val="0"/>
              <w:spacing w:line="240" w:lineRule="auto"/>
              <w:ind w:firstLine="0" w:firstLineChars="0"/>
              <w:jc w:val="center"/>
              <w:rPr>
                <w:rFonts w:hint="eastAsia" w:ascii="宋体" w:hAnsi="宋体" w:eastAsia="宋体" w:cs="宋体"/>
                <w:b w:val="0"/>
                <w:color w:val="auto"/>
                <w:sz w:val="21"/>
                <w:szCs w:val="21"/>
                <w:highlight w:val="none"/>
                <w:shd w:val="clear" w:color="auto" w:fill="FFFFFF"/>
                <w:lang w:val="zh-CN"/>
              </w:rPr>
            </w:pPr>
            <w:r>
              <w:rPr>
                <w:rFonts w:hint="eastAsia" w:ascii="宋体" w:hAnsi="宋体" w:eastAsia="宋体" w:cs="宋体"/>
                <w:b w:val="0"/>
                <w:color w:val="auto"/>
                <w:sz w:val="21"/>
                <w:szCs w:val="21"/>
                <w:highlight w:val="none"/>
                <w:shd w:val="clear" w:color="auto" w:fill="FFFFFF"/>
                <w:lang w:val="zh-CN"/>
              </w:rPr>
              <w:t>排序</w:t>
            </w:r>
          </w:p>
        </w:tc>
      </w:tr>
      <w:tr w14:paraId="53BE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14:paraId="18246032">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1</w:t>
            </w:r>
          </w:p>
        </w:tc>
        <w:tc>
          <w:tcPr>
            <w:tcW w:w="1335" w:type="pct"/>
            <w:tcBorders>
              <w:top w:val="single" w:color="auto" w:sz="4" w:space="0"/>
              <w:left w:val="single" w:color="auto" w:sz="4" w:space="0"/>
              <w:bottom w:val="single" w:color="auto" w:sz="4" w:space="0"/>
              <w:right w:val="single" w:color="auto" w:sz="4" w:space="0"/>
            </w:tcBorders>
            <w:noWrap w:val="0"/>
            <w:vAlign w:val="center"/>
          </w:tcPr>
          <w:p w14:paraId="2187538A">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7D1DA12F">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7C3D8C0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6021BF9E">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14:paraId="549BD63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1B15E9E5">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3A397567">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243BEFD6">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799EF79F">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14:paraId="7DCD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14:paraId="2DC55AB5">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2</w:t>
            </w:r>
          </w:p>
        </w:tc>
        <w:tc>
          <w:tcPr>
            <w:tcW w:w="1335" w:type="pct"/>
            <w:tcBorders>
              <w:top w:val="single" w:color="auto" w:sz="4" w:space="0"/>
              <w:left w:val="single" w:color="auto" w:sz="4" w:space="0"/>
              <w:bottom w:val="single" w:color="auto" w:sz="4" w:space="0"/>
              <w:right w:val="single" w:color="auto" w:sz="4" w:space="0"/>
            </w:tcBorders>
            <w:noWrap w:val="0"/>
            <w:vAlign w:val="center"/>
          </w:tcPr>
          <w:p w14:paraId="5BF7C426">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2D54CDED">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3282D143">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4FC5630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14:paraId="7E24DD93">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028BCF71">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5E878AFC">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0DFE83C3">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60DE97A8">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14:paraId="3E0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14:paraId="04DD09E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3</w:t>
            </w:r>
          </w:p>
        </w:tc>
        <w:tc>
          <w:tcPr>
            <w:tcW w:w="1335" w:type="pct"/>
            <w:tcBorders>
              <w:top w:val="single" w:color="auto" w:sz="4" w:space="0"/>
              <w:left w:val="single" w:color="auto" w:sz="4" w:space="0"/>
              <w:bottom w:val="single" w:color="auto" w:sz="4" w:space="0"/>
              <w:right w:val="single" w:color="auto" w:sz="4" w:space="0"/>
            </w:tcBorders>
            <w:noWrap w:val="0"/>
            <w:vAlign w:val="center"/>
          </w:tcPr>
          <w:p w14:paraId="029E22AD">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7085551D">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03A4B319">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1F0C6BF0">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14:paraId="431B681D">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0D9C066D">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4D525216">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207CF507">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5FC6EB0E">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14:paraId="404A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14:paraId="0CB3E5C2">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4</w:t>
            </w:r>
          </w:p>
        </w:tc>
        <w:tc>
          <w:tcPr>
            <w:tcW w:w="1335" w:type="pct"/>
            <w:tcBorders>
              <w:top w:val="single" w:color="auto" w:sz="4" w:space="0"/>
              <w:left w:val="single" w:color="auto" w:sz="4" w:space="0"/>
              <w:bottom w:val="single" w:color="auto" w:sz="4" w:space="0"/>
              <w:right w:val="single" w:color="auto" w:sz="4" w:space="0"/>
            </w:tcBorders>
            <w:noWrap w:val="0"/>
            <w:vAlign w:val="center"/>
          </w:tcPr>
          <w:p w14:paraId="7662C46A">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34D93010">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7D1C3A46">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40C4CA15">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14:paraId="03C3CFD3">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7FD7AC6D">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59A70D33">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5705CA8B">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5026C379">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r w14:paraId="00C9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1" w:type="pct"/>
            <w:tcBorders>
              <w:top w:val="single" w:color="auto" w:sz="4" w:space="0"/>
              <w:left w:val="single" w:color="auto" w:sz="4" w:space="0"/>
              <w:bottom w:val="single" w:color="auto" w:sz="4" w:space="0"/>
              <w:right w:val="single" w:color="auto" w:sz="4" w:space="0"/>
            </w:tcBorders>
            <w:noWrap w:val="0"/>
            <w:vAlign w:val="center"/>
          </w:tcPr>
          <w:p w14:paraId="005E73A7">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rPr>
              <w:t>5</w:t>
            </w:r>
          </w:p>
        </w:tc>
        <w:tc>
          <w:tcPr>
            <w:tcW w:w="1335" w:type="pct"/>
            <w:tcBorders>
              <w:top w:val="single" w:color="auto" w:sz="4" w:space="0"/>
              <w:left w:val="single" w:color="auto" w:sz="4" w:space="0"/>
              <w:bottom w:val="single" w:color="auto" w:sz="4" w:space="0"/>
              <w:right w:val="single" w:color="auto" w:sz="4" w:space="0"/>
            </w:tcBorders>
            <w:noWrap w:val="0"/>
            <w:vAlign w:val="center"/>
          </w:tcPr>
          <w:p w14:paraId="59D5D775">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10" w:type="pct"/>
            <w:tcBorders>
              <w:top w:val="single" w:color="auto" w:sz="4" w:space="0"/>
              <w:left w:val="single" w:color="auto" w:sz="4" w:space="0"/>
              <w:bottom w:val="single" w:color="auto" w:sz="4" w:space="0"/>
              <w:right w:val="single" w:color="auto" w:sz="4" w:space="0"/>
            </w:tcBorders>
            <w:noWrap w:val="0"/>
            <w:vAlign w:val="center"/>
          </w:tcPr>
          <w:p w14:paraId="0B28CE49">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6E5B2DA9">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r>
              <w:rPr>
                <w:rFonts w:hint="eastAsia" w:ascii="宋体" w:hAnsi="宋体" w:eastAsia="宋体" w:cs="宋体"/>
                <w:color w:val="auto"/>
                <w:sz w:val="21"/>
                <w:szCs w:val="21"/>
                <w:highlight w:val="none"/>
                <w:shd w:val="clear" w:color="auto" w:fill="FFFFFF"/>
                <w:lang w:val="zh-CN" w:eastAsia="zh-CN"/>
              </w:rPr>
              <w:t>70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0645FB0E">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362" w:type="pct"/>
            <w:tcBorders>
              <w:top w:val="single" w:color="auto" w:sz="4" w:space="0"/>
              <w:left w:val="single" w:color="auto" w:sz="4" w:space="0"/>
              <w:bottom w:val="single" w:color="auto" w:sz="4" w:space="0"/>
              <w:right w:val="single" w:color="auto" w:sz="4" w:space="0"/>
            </w:tcBorders>
            <w:noWrap w:val="0"/>
            <w:vAlign w:val="center"/>
          </w:tcPr>
          <w:p w14:paraId="6D6CA920">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393" w:type="pct"/>
            <w:tcBorders>
              <w:top w:val="single" w:color="auto" w:sz="4" w:space="0"/>
              <w:left w:val="single" w:color="auto" w:sz="4" w:space="0"/>
              <w:bottom w:val="single" w:color="auto" w:sz="4" w:space="0"/>
              <w:right w:val="single" w:color="auto" w:sz="4" w:space="0"/>
            </w:tcBorders>
            <w:noWrap w:val="0"/>
            <w:vAlign w:val="center"/>
          </w:tcPr>
          <w:p w14:paraId="1C11F356">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r>
              <w:rPr>
                <w:rFonts w:hint="eastAsia" w:ascii="宋体" w:hAnsi="宋体" w:eastAsia="宋体" w:cs="宋体"/>
                <w:color w:val="auto"/>
                <w:sz w:val="21"/>
                <w:szCs w:val="21"/>
                <w:highlight w:val="none"/>
                <w:shd w:val="clear" w:color="auto" w:fill="FFFFFF"/>
                <w:lang w:val="zh-CN" w:eastAsia="zh-CN"/>
              </w:rPr>
              <w:t>30</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7D8B1174">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eastAsia="zh-CN" w:bidi="ar-SA"/>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5ACC9F22">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7E258620">
            <w:pPr>
              <w:widowControl w:val="0"/>
              <w:spacing w:line="240" w:lineRule="auto"/>
              <w:ind w:firstLine="0" w:firstLineChars="0"/>
              <w:jc w:val="center"/>
              <w:rPr>
                <w:rFonts w:hint="eastAsia" w:ascii="宋体" w:hAnsi="宋体" w:eastAsia="宋体" w:cs="宋体"/>
                <w:color w:val="auto"/>
                <w:sz w:val="21"/>
                <w:szCs w:val="21"/>
                <w:highlight w:val="none"/>
                <w:shd w:val="clear" w:color="auto" w:fill="FFFFFF"/>
                <w:lang w:val="zh-CN"/>
              </w:rPr>
            </w:pPr>
          </w:p>
        </w:tc>
      </w:tr>
    </w:tbl>
    <w:p w14:paraId="632DBAB6">
      <w:pPr>
        <w:ind w:right="420" w:firstLine="480"/>
        <w:rPr>
          <w:rFonts w:hint="eastAsia" w:hAnsi="宋体" w:cs="宋体"/>
          <w:color w:val="auto"/>
          <w:highlight w:val="none"/>
        </w:rPr>
      </w:pPr>
      <w:r>
        <w:rPr>
          <w:rFonts w:hint="eastAsia" w:hAnsi="宋体" w:cs="宋体"/>
          <w:color w:val="auto"/>
          <w:highlight w:val="none"/>
        </w:rPr>
        <w:t>备注：</w:t>
      </w:r>
    </w:p>
    <w:p w14:paraId="43C83AFD">
      <w:pPr>
        <w:ind w:left="105" w:leftChars="50" w:firstLine="210" w:firstLineChars="100"/>
        <w:rPr>
          <w:rFonts w:hint="eastAsia" w:hAnsi="宋体" w:cs="宋体"/>
          <w:color w:val="auto"/>
          <w:highlight w:val="none"/>
        </w:rPr>
      </w:pPr>
      <w:r>
        <w:rPr>
          <w:rFonts w:hint="eastAsia" w:hAnsi="宋体" w:cs="宋体"/>
          <w:color w:val="auto"/>
          <w:highlight w:val="none"/>
        </w:rPr>
        <w:t>1、若合格中标候选人总得分相同且影响定标排序的，以</w:t>
      </w:r>
      <w:r>
        <w:rPr>
          <w:rFonts w:hint="eastAsia" w:hAnsi="宋体" w:cs="宋体"/>
          <w:color w:val="auto"/>
          <w:highlight w:val="none"/>
          <w:lang w:val="en-US" w:eastAsia="zh-CN"/>
        </w:rPr>
        <w:t>定标阶段定标</w:t>
      </w:r>
      <w:r>
        <w:rPr>
          <w:rFonts w:hint="eastAsia" w:hAnsi="宋体" w:cs="宋体"/>
          <w:color w:val="auto"/>
          <w:highlight w:val="none"/>
        </w:rPr>
        <w:t>方案因素得分高的排前；若</w:t>
      </w:r>
      <w:r>
        <w:rPr>
          <w:rFonts w:hint="eastAsia" w:hAnsi="宋体" w:cs="宋体"/>
          <w:color w:val="auto"/>
          <w:highlight w:val="none"/>
          <w:lang w:val="en-US" w:eastAsia="zh-CN"/>
        </w:rPr>
        <w:t>定标阶段定标</w:t>
      </w:r>
      <w:r>
        <w:rPr>
          <w:rFonts w:hint="eastAsia" w:hAnsi="宋体" w:cs="宋体"/>
          <w:color w:val="auto"/>
          <w:highlight w:val="none"/>
        </w:rPr>
        <w:t>方案因素得分仍相同的，以价格因素得分高的排前，若价格因素得分仍相同的，由定标委员会投票确定排序。</w:t>
      </w:r>
    </w:p>
    <w:p w14:paraId="77E57F34">
      <w:pPr>
        <w:ind w:firstLine="210" w:firstLineChars="100"/>
        <w:rPr>
          <w:rFonts w:hint="eastAsia" w:hAnsi="宋体" w:cs="宋体"/>
          <w:bCs/>
          <w:color w:val="auto"/>
          <w:szCs w:val="21"/>
          <w:highlight w:val="none"/>
        </w:rPr>
      </w:pPr>
      <w:r>
        <w:rPr>
          <w:rFonts w:hint="eastAsia" w:hAnsi="宋体" w:cs="宋体"/>
          <w:color w:val="auto"/>
          <w:szCs w:val="21"/>
          <w:highlight w:val="none"/>
        </w:rPr>
        <w:t>2、</w:t>
      </w:r>
      <w:r>
        <w:rPr>
          <w:rFonts w:hint="eastAsia" w:hAnsi="宋体" w:cs="宋体"/>
          <w:color w:val="auto"/>
          <w:highlight w:val="none"/>
        </w:rPr>
        <w:t>总得分（100分）=</w:t>
      </w:r>
      <w:r>
        <w:rPr>
          <w:rFonts w:hint="eastAsia" w:hAnsi="宋体" w:cs="宋体"/>
          <w:color w:val="auto"/>
          <w:highlight w:val="none"/>
          <w:lang w:val="en-US" w:eastAsia="zh-CN"/>
        </w:rPr>
        <w:t>定标</w:t>
      </w:r>
      <w:r>
        <w:rPr>
          <w:rFonts w:hint="eastAsia" w:hAnsi="宋体" w:cs="宋体"/>
          <w:color w:val="auto"/>
          <w:highlight w:val="none"/>
        </w:rPr>
        <w:t>方案因素</w:t>
      </w:r>
      <w:r>
        <w:rPr>
          <w:rFonts w:hint="eastAsia" w:ascii="宋体" w:hAnsi="宋体" w:cs="宋体"/>
          <w:color w:val="auto"/>
          <w:szCs w:val="20"/>
          <w:highlight w:val="none"/>
        </w:rPr>
        <w:t>得分（100分）*</w:t>
      </w:r>
      <w:r>
        <w:rPr>
          <w:rFonts w:hint="eastAsia" w:hAnsi="宋体" w:cs="宋体"/>
          <w:color w:val="auto"/>
          <w:highlight w:val="none"/>
          <w:lang w:val="en-US" w:eastAsia="zh-CN"/>
        </w:rPr>
        <w:t>定标</w:t>
      </w:r>
      <w:r>
        <w:rPr>
          <w:rFonts w:hint="eastAsia" w:hAnsi="宋体" w:cs="宋体"/>
          <w:color w:val="auto"/>
          <w:highlight w:val="none"/>
        </w:rPr>
        <w:t>方案因素</w:t>
      </w:r>
      <w:r>
        <w:rPr>
          <w:rFonts w:hint="eastAsia" w:ascii="宋体" w:hAnsi="宋体" w:cs="宋体"/>
          <w:color w:val="auto"/>
          <w:szCs w:val="20"/>
          <w:highlight w:val="none"/>
        </w:rPr>
        <w:t>权重（70%）+价格因素得分（100分）*价格因素权重（30%）</w:t>
      </w:r>
      <w:r>
        <w:rPr>
          <w:rFonts w:hint="eastAsia" w:hAnsi="宋体" w:cs="宋体"/>
          <w:color w:val="auto"/>
          <w:highlight w:val="none"/>
        </w:rPr>
        <w:t>（若分数出现小数点时，保留小数点后二位，第三位小数四舍五入）。</w:t>
      </w:r>
    </w:p>
    <w:p w14:paraId="543D45D3">
      <w:pPr>
        <w:spacing w:line="360" w:lineRule="exact"/>
        <w:ind w:right="-325" w:rightChars="-155" w:firstLine="0" w:firstLineChars="0"/>
        <w:rPr>
          <w:rFonts w:hint="eastAsia" w:hAnsi="宋体" w:cs="宋体"/>
          <w:bCs/>
          <w:color w:val="auto"/>
          <w:highlight w:val="none"/>
        </w:rPr>
      </w:pPr>
      <w:r>
        <w:rPr>
          <w:rFonts w:hint="eastAsia" w:hAnsi="宋体" w:cs="宋体"/>
          <w:bCs/>
          <w:color w:val="auto"/>
          <w:highlight w:val="none"/>
        </w:rPr>
        <w:t xml:space="preserve">定标委员会全体成员签名：   </w:t>
      </w:r>
    </w:p>
    <w:p w14:paraId="1F607478">
      <w:pPr>
        <w:spacing w:line="360" w:lineRule="exact"/>
        <w:ind w:right="-325" w:rightChars="-155" w:firstLine="0" w:firstLineChars="0"/>
        <w:jc w:val="right"/>
        <w:rPr>
          <w:rFonts w:ascii="仿宋" w:hAnsi="仿宋" w:eastAsia="仿宋" w:cs="仿宋"/>
          <w:color w:val="auto"/>
          <w:sz w:val="21"/>
          <w:szCs w:val="21"/>
          <w:highlight w:val="none"/>
        </w:rPr>
        <w:sectPr>
          <w:pgSz w:w="11907" w:h="16840"/>
          <w:pgMar w:top="1440" w:right="1440" w:bottom="1440" w:left="1270" w:header="851" w:footer="992" w:gutter="0"/>
          <w:pgNumType w:fmt="decimal"/>
          <w:cols w:space="720" w:num="1"/>
          <w:docGrid w:type="lines" w:linePitch="312" w:charSpace="0"/>
        </w:sectPr>
      </w:pPr>
      <w:r>
        <w:rPr>
          <w:rFonts w:hint="eastAsia" w:hAnsi="宋体" w:cs="宋体"/>
          <w:bCs/>
          <w:color w:val="auto"/>
          <w:highlight w:val="none"/>
        </w:rPr>
        <w:t>日期：  年  月  日</w:t>
      </w:r>
    </w:p>
    <w:p w14:paraId="1CDD017F">
      <w:pPr>
        <w:snapToGrid w:val="0"/>
        <w:spacing w:line="360" w:lineRule="auto"/>
        <w:ind w:firstLineChars="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附表10</w:t>
      </w:r>
    </w:p>
    <w:p w14:paraId="4B08F6BE">
      <w:pPr>
        <w:snapToGrid w:val="0"/>
        <w:ind w:firstLine="0" w:firstLineChars="0"/>
        <w:jc w:val="center"/>
        <w:outlineLvl w:val="2"/>
        <w:rPr>
          <w:rFonts w:hint="eastAsia" w:hAnsi="宋体" w:cs="宋体"/>
          <w:b/>
          <w:color w:val="auto"/>
          <w:sz w:val="30"/>
          <w:szCs w:val="30"/>
          <w:highlight w:val="none"/>
        </w:rPr>
      </w:pPr>
      <w:bookmarkStart w:id="245" w:name="_Toc11916"/>
      <w:r>
        <w:rPr>
          <w:rFonts w:hint="eastAsia" w:hAnsi="宋体" w:cs="宋体"/>
          <w:b/>
          <w:color w:val="auto"/>
          <w:sz w:val="30"/>
          <w:szCs w:val="30"/>
          <w:highlight w:val="none"/>
        </w:rPr>
        <w:t>（第</w:t>
      </w:r>
      <w:r>
        <w:rPr>
          <w:rFonts w:hint="eastAsia" w:hAnsi="宋体" w:cs="宋体"/>
          <w:b/>
          <w:color w:val="auto"/>
          <w:sz w:val="30"/>
          <w:szCs w:val="30"/>
          <w:highlight w:val="none"/>
          <w:u w:val="single"/>
        </w:rPr>
        <w:t xml:space="preserve">   </w:t>
      </w:r>
      <w:r>
        <w:rPr>
          <w:rFonts w:hint="eastAsia" w:hAnsi="宋体" w:cs="宋体"/>
          <w:b/>
          <w:color w:val="auto"/>
          <w:sz w:val="30"/>
          <w:szCs w:val="30"/>
          <w:highlight w:val="none"/>
        </w:rPr>
        <w:t>组第</w:t>
      </w:r>
      <w:r>
        <w:rPr>
          <w:rFonts w:hint="eastAsia" w:hAnsi="宋体" w:cs="宋体"/>
          <w:b/>
          <w:color w:val="auto"/>
          <w:sz w:val="30"/>
          <w:szCs w:val="30"/>
          <w:highlight w:val="none"/>
          <w:u w:val="single"/>
        </w:rPr>
        <w:t xml:space="preserve">   </w:t>
      </w:r>
      <w:r>
        <w:rPr>
          <w:rFonts w:hint="eastAsia" w:hAnsi="宋体" w:cs="宋体"/>
          <w:b/>
          <w:color w:val="auto"/>
          <w:sz w:val="30"/>
          <w:szCs w:val="30"/>
          <w:highlight w:val="none"/>
        </w:rPr>
        <w:t>轮）附加投票表（如有）</w:t>
      </w:r>
      <w:bookmarkEnd w:id="245"/>
    </w:p>
    <w:p w14:paraId="4C8C2D8C">
      <w:pPr>
        <w:snapToGrid w:val="0"/>
        <w:ind w:firstLine="0" w:firstLineChars="0"/>
        <w:jc w:val="center"/>
        <w:outlineLvl w:val="2"/>
        <w:rPr>
          <w:rFonts w:hint="eastAsia" w:hAnsi="宋体" w:cs="宋体"/>
          <w:b/>
          <w:color w:val="auto"/>
          <w:sz w:val="30"/>
          <w:szCs w:val="30"/>
          <w:highlight w:val="none"/>
        </w:rPr>
      </w:pPr>
      <w:bookmarkStart w:id="246" w:name="_Toc16511"/>
      <w:r>
        <w:rPr>
          <w:rFonts w:hint="eastAsia" w:hAnsi="宋体" w:cs="宋体"/>
          <w:b/>
          <w:color w:val="auto"/>
          <w:sz w:val="30"/>
          <w:szCs w:val="30"/>
          <w:highlight w:val="none"/>
        </w:rPr>
        <w:t>（定标委员会个人用表）</w:t>
      </w:r>
      <w:bookmarkEnd w:id="246"/>
    </w:p>
    <w:p w14:paraId="45E052F4">
      <w:pPr>
        <w:ind w:firstLine="602"/>
        <w:jc w:val="center"/>
        <w:rPr>
          <w:rFonts w:hint="eastAsia" w:hAnsi="宋体" w:cs="宋体"/>
          <w:b/>
          <w:color w:val="auto"/>
          <w:sz w:val="30"/>
          <w:szCs w:val="30"/>
          <w:highlight w:val="none"/>
        </w:rPr>
      </w:pPr>
    </w:p>
    <w:p w14:paraId="1ACC52A0">
      <w:pPr>
        <w:ind w:firstLine="480"/>
        <w:rPr>
          <w:rFonts w:hint="eastAsia" w:hAnsi="宋体" w:cs="宋体"/>
          <w:color w:val="auto"/>
          <w:highlight w:val="none"/>
        </w:rPr>
      </w:pPr>
      <w:r>
        <w:rPr>
          <w:rFonts w:hint="eastAsia" w:hAnsi="宋体" w:cs="宋体"/>
          <w:color w:val="auto"/>
          <w:highlight w:val="none"/>
        </w:rPr>
        <w:t>工程名称：</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14:paraId="4E0D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22BB4B1F">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1E1797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B6A5C0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795C91A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5F29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3C5C6DE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定标人票决意见</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6940DC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1DC371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575D6A3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3117D1C9">
      <w:pPr>
        <w:ind w:right="420" w:firstLine="480"/>
        <w:rPr>
          <w:rFonts w:hint="eastAsia" w:hAnsi="宋体" w:cs="宋体"/>
          <w:color w:val="auto"/>
          <w:highlight w:val="none"/>
        </w:rPr>
      </w:pPr>
    </w:p>
    <w:p w14:paraId="7B79341B">
      <w:pPr>
        <w:ind w:right="420" w:firstLine="480"/>
        <w:rPr>
          <w:rFonts w:hint="eastAsia" w:hAnsi="宋体" w:cs="宋体"/>
          <w:color w:val="auto"/>
          <w:szCs w:val="21"/>
          <w:highlight w:val="none"/>
        </w:rPr>
      </w:pPr>
      <w:r>
        <w:rPr>
          <w:rFonts w:hint="eastAsia" w:hAnsi="宋体" w:cs="宋体"/>
          <w:color w:val="auto"/>
          <w:szCs w:val="21"/>
          <w:highlight w:val="none"/>
        </w:rPr>
        <w:t>备注：</w:t>
      </w:r>
    </w:p>
    <w:p w14:paraId="3A668F0E">
      <w:pPr>
        <w:numPr>
          <w:ilvl w:val="0"/>
          <w:numId w:val="0"/>
        </w:numPr>
        <w:ind w:left="420" w:hanging="367" w:hangingChars="175"/>
        <w:rPr>
          <w:rFonts w:hint="eastAsia" w:hAnsi="宋体" w:cs="宋体"/>
          <w:color w:val="auto"/>
          <w:szCs w:val="21"/>
          <w:highlight w:val="none"/>
        </w:rPr>
      </w:pPr>
      <w:r>
        <w:rPr>
          <w:rFonts w:hint="eastAsia" w:hAnsi="宋体" w:cs="宋体"/>
          <w:color w:val="auto"/>
          <w:szCs w:val="21"/>
          <w:highlight w:val="none"/>
          <w:lang w:val="en-US" w:eastAsia="zh-CN"/>
        </w:rPr>
        <w:t>1、</w:t>
      </w:r>
      <w:r>
        <w:rPr>
          <w:rFonts w:hint="eastAsia" w:hAnsi="宋体" w:cs="宋体"/>
          <w:color w:val="auto"/>
          <w:szCs w:val="21"/>
          <w:highlight w:val="none"/>
        </w:rPr>
        <w:t>若出现总得分、</w:t>
      </w:r>
      <w:r>
        <w:rPr>
          <w:rFonts w:hint="eastAsia" w:hAnsi="宋体" w:cs="宋体"/>
          <w:color w:val="auto"/>
          <w:highlight w:val="none"/>
          <w:lang w:val="en-US" w:eastAsia="zh-CN"/>
        </w:rPr>
        <w:t>定标阶段定标</w:t>
      </w:r>
      <w:r>
        <w:rPr>
          <w:rFonts w:hint="eastAsia" w:hAnsi="宋体" w:cs="宋体"/>
          <w:color w:val="auto"/>
          <w:highlight w:val="none"/>
        </w:rPr>
        <w:t>方案因素</w:t>
      </w:r>
      <w:r>
        <w:rPr>
          <w:rFonts w:hint="eastAsia" w:hAnsi="宋体" w:cs="宋体"/>
          <w:color w:val="auto"/>
          <w:szCs w:val="21"/>
          <w:highlight w:val="none"/>
        </w:rPr>
        <w:t>得分、价格因素得分均相同的情况，按总分、</w:t>
      </w:r>
      <w:r>
        <w:rPr>
          <w:rFonts w:hint="eastAsia" w:hAnsi="宋体" w:cs="宋体"/>
          <w:color w:val="auto"/>
          <w:highlight w:val="none"/>
          <w:lang w:val="en-US" w:eastAsia="zh-CN"/>
        </w:rPr>
        <w:t>定标阶段定标</w:t>
      </w:r>
      <w:r>
        <w:rPr>
          <w:rFonts w:hint="eastAsia" w:hAnsi="宋体" w:cs="宋体"/>
          <w:color w:val="auto"/>
          <w:highlight w:val="none"/>
        </w:rPr>
        <w:t>方案因素</w:t>
      </w:r>
      <w:r>
        <w:rPr>
          <w:rFonts w:hint="eastAsia" w:hAnsi="宋体" w:cs="宋体"/>
          <w:color w:val="auto"/>
          <w:szCs w:val="21"/>
          <w:highlight w:val="none"/>
        </w:rPr>
        <w:t>得分、价格因素得分相同的合格中标候选人为一组，由高至低依次分组，总分高的组别为第一组，以此类推，出现总分、</w:t>
      </w:r>
      <w:r>
        <w:rPr>
          <w:rFonts w:hint="eastAsia" w:hAnsi="宋体" w:cs="宋体"/>
          <w:color w:val="auto"/>
          <w:highlight w:val="none"/>
          <w:lang w:val="en-US" w:eastAsia="zh-CN"/>
        </w:rPr>
        <w:t>定标阶段定标</w:t>
      </w:r>
      <w:r>
        <w:rPr>
          <w:rFonts w:hint="eastAsia" w:hAnsi="宋体" w:cs="宋体"/>
          <w:color w:val="auto"/>
          <w:highlight w:val="none"/>
        </w:rPr>
        <w:t>方案因素</w:t>
      </w:r>
      <w:r>
        <w:rPr>
          <w:rFonts w:hint="eastAsia" w:hAnsi="宋体" w:cs="宋体"/>
          <w:color w:val="auto"/>
          <w:szCs w:val="21"/>
          <w:highlight w:val="none"/>
        </w:rPr>
        <w:t>得分、价格因素得分相同情况的有</w:t>
      </w:r>
      <w:r>
        <w:rPr>
          <w:rFonts w:hint="eastAsia" w:hAnsi="宋体" w:cs="宋体"/>
          <w:color w:val="auto"/>
          <w:szCs w:val="21"/>
          <w:highlight w:val="none"/>
          <w:u w:val="single"/>
        </w:rPr>
        <w:t xml:space="preserve">   </w:t>
      </w:r>
      <w:r>
        <w:rPr>
          <w:rFonts w:hint="eastAsia" w:hAnsi="宋体" w:cs="宋体"/>
          <w:color w:val="auto"/>
          <w:szCs w:val="21"/>
          <w:highlight w:val="none"/>
        </w:rPr>
        <w:t>组，本组为第</w:t>
      </w:r>
      <w:r>
        <w:rPr>
          <w:rFonts w:hint="eastAsia" w:hAnsi="宋体" w:cs="宋体"/>
          <w:color w:val="auto"/>
          <w:szCs w:val="21"/>
          <w:highlight w:val="none"/>
          <w:u w:val="single"/>
        </w:rPr>
        <w:t xml:space="preserve">   </w:t>
      </w:r>
      <w:r>
        <w:rPr>
          <w:rFonts w:hint="eastAsia" w:hAnsi="宋体" w:cs="宋体"/>
          <w:color w:val="auto"/>
          <w:szCs w:val="21"/>
          <w:highlight w:val="none"/>
        </w:rPr>
        <w:t>组，共</w:t>
      </w:r>
      <w:r>
        <w:rPr>
          <w:rFonts w:hint="eastAsia" w:hAnsi="宋体" w:cs="宋体"/>
          <w:color w:val="auto"/>
          <w:szCs w:val="21"/>
          <w:highlight w:val="none"/>
          <w:u w:val="single"/>
        </w:rPr>
        <w:t xml:space="preserve">   </w:t>
      </w:r>
      <w:r>
        <w:rPr>
          <w:rFonts w:hint="eastAsia" w:hAnsi="宋体" w:cs="宋体"/>
          <w:color w:val="auto"/>
          <w:szCs w:val="21"/>
          <w:highlight w:val="none"/>
        </w:rPr>
        <w:t>名合格中标候选人，总分为</w:t>
      </w:r>
      <w:r>
        <w:rPr>
          <w:rFonts w:hint="eastAsia" w:hAnsi="宋体" w:cs="宋体"/>
          <w:color w:val="auto"/>
          <w:szCs w:val="21"/>
          <w:highlight w:val="none"/>
          <w:u w:val="single"/>
        </w:rPr>
        <w:t xml:space="preserve">   </w:t>
      </w:r>
      <w:r>
        <w:rPr>
          <w:rFonts w:hint="eastAsia" w:hAnsi="宋体" w:cs="宋体"/>
          <w:color w:val="auto"/>
          <w:szCs w:val="21"/>
          <w:highlight w:val="none"/>
        </w:rPr>
        <w:t>分，分别为</w:t>
      </w:r>
      <w:r>
        <w:rPr>
          <w:rFonts w:hint="eastAsia" w:hAnsi="宋体" w:cs="宋体"/>
          <w:color w:val="auto"/>
          <w:szCs w:val="21"/>
          <w:highlight w:val="none"/>
          <w:u w:val="single"/>
        </w:rPr>
        <w:t xml:space="preserve">   </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rPr>
        <w:t>。</w:t>
      </w:r>
    </w:p>
    <w:p w14:paraId="2B57E242">
      <w:pPr>
        <w:ind w:left="420" w:hanging="367" w:hangingChars="175"/>
        <w:rPr>
          <w:rFonts w:hint="eastAsia" w:hAnsi="宋体" w:cs="宋体"/>
          <w:color w:val="auto"/>
          <w:szCs w:val="21"/>
          <w:highlight w:val="none"/>
        </w:rPr>
      </w:pPr>
      <w:r>
        <w:rPr>
          <w:rFonts w:hint="eastAsia" w:hAnsi="宋体" w:cs="宋体"/>
          <w:color w:val="auto"/>
          <w:szCs w:val="21"/>
          <w:highlight w:val="none"/>
        </w:rPr>
        <w:t>2、由定标委员会成员进行附加投票，票决意见分别为“投票”或“不投票”，各定标委员会成员只有1票表决权（即只能对其中一名合格中标候选人“投票”），票决意见为“投票”的，用</w:t>
      </w:r>
      <w:r>
        <w:rPr>
          <w:rFonts w:hint="eastAsia" w:hAnsi="宋体" w:cs="宋体"/>
          <w:b/>
          <w:color w:val="auto"/>
          <w:szCs w:val="21"/>
          <w:highlight w:val="none"/>
        </w:rPr>
        <w:t>“○”</w:t>
      </w:r>
      <w:r>
        <w:rPr>
          <w:rFonts w:hint="eastAsia" w:hAnsi="宋体" w:cs="宋体"/>
          <w:color w:val="auto"/>
          <w:szCs w:val="21"/>
          <w:highlight w:val="none"/>
        </w:rPr>
        <w:t>表示；票决意见为“不投票”，用</w:t>
      </w:r>
      <w:r>
        <w:rPr>
          <w:rFonts w:hint="eastAsia" w:hAnsi="宋体" w:cs="宋体"/>
          <w:b/>
          <w:color w:val="auto"/>
          <w:szCs w:val="21"/>
          <w:highlight w:val="none"/>
        </w:rPr>
        <w:t>“×”</w:t>
      </w:r>
      <w:r>
        <w:rPr>
          <w:rFonts w:hint="eastAsia" w:hAnsi="宋体" w:cs="宋体"/>
          <w:color w:val="auto"/>
          <w:szCs w:val="21"/>
          <w:highlight w:val="none"/>
        </w:rPr>
        <w:t>表示。</w:t>
      </w:r>
    </w:p>
    <w:p w14:paraId="246D15C1">
      <w:pPr>
        <w:ind w:left="-368" w:leftChars="-175" w:firstLine="480"/>
        <w:rPr>
          <w:rFonts w:hint="eastAsia" w:hAnsi="宋体" w:cs="宋体"/>
          <w:color w:val="auto"/>
          <w:szCs w:val="21"/>
          <w:highlight w:val="none"/>
        </w:rPr>
      </w:pPr>
      <w:r>
        <w:rPr>
          <w:rFonts w:hint="eastAsia" w:hAnsi="宋体" w:cs="宋体"/>
          <w:color w:val="auto"/>
          <w:szCs w:val="21"/>
          <w:highlight w:val="none"/>
        </w:rPr>
        <w:t>3、若汇总出现得票数相同的情况按此表进行第</w:t>
      </w:r>
      <w:r>
        <w:rPr>
          <w:rFonts w:hint="eastAsia" w:hAnsi="宋体" w:cs="宋体"/>
          <w:color w:val="auto"/>
          <w:szCs w:val="21"/>
          <w:highlight w:val="none"/>
          <w:u w:val="single"/>
        </w:rPr>
        <w:t xml:space="preserve">   </w:t>
      </w:r>
      <w:r>
        <w:rPr>
          <w:rFonts w:hint="eastAsia" w:hAnsi="宋体" w:cs="宋体"/>
          <w:color w:val="auto"/>
          <w:szCs w:val="21"/>
          <w:highlight w:val="none"/>
        </w:rPr>
        <w:t>组第</w:t>
      </w:r>
      <w:r>
        <w:rPr>
          <w:rFonts w:hint="eastAsia" w:hAnsi="宋体" w:cs="宋体"/>
          <w:color w:val="auto"/>
          <w:szCs w:val="21"/>
          <w:highlight w:val="none"/>
          <w:u w:val="single"/>
        </w:rPr>
        <w:t xml:space="preserve">   </w:t>
      </w:r>
      <w:r>
        <w:rPr>
          <w:rFonts w:hint="eastAsia" w:hAnsi="宋体" w:cs="宋体"/>
          <w:color w:val="auto"/>
          <w:szCs w:val="21"/>
          <w:highlight w:val="none"/>
        </w:rPr>
        <w:t>轮票决确定排序。</w:t>
      </w:r>
    </w:p>
    <w:p w14:paraId="6981F661">
      <w:pPr>
        <w:ind w:firstLine="480"/>
        <w:rPr>
          <w:rFonts w:hint="eastAsia" w:hAnsi="宋体" w:cs="宋体"/>
          <w:color w:val="auto"/>
          <w:highlight w:val="none"/>
        </w:rPr>
      </w:pPr>
    </w:p>
    <w:p w14:paraId="068C38B6">
      <w:pPr>
        <w:ind w:firstLine="480"/>
        <w:rPr>
          <w:rFonts w:hint="eastAsia" w:hAnsi="宋体" w:cs="宋体"/>
          <w:color w:val="auto"/>
          <w:highlight w:val="none"/>
        </w:rPr>
      </w:pPr>
    </w:p>
    <w:p w14:paraId="3416356E">
      <w:pPr>
        <w:ind w:firstLine="480"/>
        <w:rPr>
          <w:rFonts w:hint="eastAsia" w:hAnsi="宋体" w:cs="宋体"/>
          <w:color w:val="auto"/>
          <w:highlight w:val="none"/>
        </w:rPr>
      </w:pPr>
    </w:p>
    <w:p w14:paraId="6E5C0816">
      <w:pPr>
        <w:snapToGrid w:val="0"/>
        <w:spacing w:line="360" w:lineRule="atLeast"/>
        <w:ind w:firstLine="480"/>
        <w:jc w:val="left"/>
        <w:outlineLvl w:val="2"/>
        <w:rPr>
          <w:rFonts w:hint="eastAsia" w:hAnsi="宋体" w:cs="宋体"/>
          <w:color w:val="auto"/>
          <w:szCs w:val="21"/>
          <w:highlight w:val="none"/>
        </w:rPr>
      </w:pPr>
      <w:bookmarkStart w:id="247" w:name="_Toc5556"/>
      <w:r>
        <w:rPr>
          <w:rFonts w:hint="eastAsia" w:hAnsi="宋体" w:cs="宋体"/>
          <w:color w:val="auto"/>
          <w:szCs w:val="21"/>
          <w:highlight w:val="none"/>
        </w:rPr>
        <w:t>定标委员签名：</w:t>
      </w:r>
      <w:bookmarkEnd w:id="247"/>
    </w:p>
    <w:p w14:paraId="363B5DBC">
      <w:pPr>
        <w:snapToGrid w:val="0"/>
        <w:spacing w:line="360" w:lineRule="atLeast"/>
        <w:ind w:firstLine="480"/>
        <w:jc w:val="right"/>
        <w:outlineLvl w:val="2"/>
        <w:rPr>
          <w:rFonts w:hAnsi="宋体" w:cs="宋体"/>
          <w:color w:val="auto"/>
          <w:szCs w:val="21"/>
          <w:highlight w:val="none"/>
        </w:rPr>
        <w:sectPr>
          <w:headerReference r:id="rId7" w:type="first"/>
          <w:footerReference r:id="rId9" w:type="first"/>
          <w:headerReference r:id="rId6" w:type="default"/>
          <w:footerReference r:id="rId8" w:type="default"/>
          <w:pgSz w:w="11906" w:h="16838"/>
          <w:pgMar w:top="1134" w:right="1418" w:bottom="1247" w:left="1418" w:header="851" w:footer="907" w:gutter="0"/>
          <w:pgNumType w:fmt="decimal"/>
          <w:cols w:space="720" w:num="1"/>
          <w:docGrid w:type="lines" w:linePitch="312" w:charSpace="0"/>
        </w:sectPr>
      </w:pPr>
      <w:bookmarkStart w:id="248" w:name="_Toc11484"/>
      <w:r>
        <w:rPr>
          <w:rFonts w:hint="eastAsia" w:hAnsi="宋体" w:cs="宋体"/>
          <w:color w:val="auto"/>
          <w:szCs w:val="21"/>
          <w:highlight w:val="none"/>
        </w:rPr>
        <w:t>日期：     年   月   日</w:t>
      </w:r>
      <w:bookmarkEnd w:id="248"/>
    </w:p>
    <w:p w14:paraId="141A8DCF">
      <w:pPr>
        <w:snapToGrid w:val="0"/>
        <w:spacing w:line="360" w:lineRule="auto"/>
        <w:ind w:firstLineChars="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附表11</w:t>
      </w:r>
    </w:p>
    <w:p w14:paraId="71A276CF">
      <w:pPr>
        <w:ind w:firstLine="0" w:firstLineChars="0"/>
        <w:jc w:val="center"/>
        <w:rPr>
          <w:rFonts w:hint="eastAsia" w:hAnsi="宋体" w:cs="宋体"/>
          <w:b/>
          <w:color w:val="auto"/>
          <w:sz w:val="30"/>
          <w:szCs w:val="30"/>
          <w:highlight w:val="none"/>
        </w:rPr>
      </w:pPr>
      <w:r>
        <w:rPr>
          <w:rFonts w:hint="eastAsia" w:hAnsi="宋体" w:cs="宋体"/>
          <w:b/>
          <w:color w:val="auto"/>
          <w:sz w:val="30"/>
          <w:szCs w:val="30"/>
          <w:highlight w:val="none"/>
        </w:rPr>
        <w:t>（第</w:t>
      </w:r>
      <w:r>
        <w:rPr>
          <w:rFonts w:hint="eastAsia" w:hAnsi="宋体" w:cs="宋体"/>
          <w:color w:val="auto"/>
          <w:sz w:val="30"/>
          <w:szCs w:val="30"/>
          <w:highlight w:val="none"/>
          <w:u w:val="single"/>
        </w:rPr>
        <w:t xml:space="preserve">   </w:t>
      </w:r>
      <w:r>
        <w:rPr>
          <w:rFonts w:hint="eastAsia" w:hAnsi="宋体" w:cs="宋体"/>
          <w:b/>
          <w:color w:val="auto"/>
          <w:sz w:val="30"/>
          <w:szCs w:val="30"/>
          <w:highlight w:val="none"/>
        </w:rPr>
        <w:t>组第</w:t>
      </w:r>
      <w:r>
        <w:rPr>
          <w:rFonts w:hint="eastAsia" w:hAnsi="宋体" w:cs="宋体"/>
          <w:color w:val="auto"/>
          <w:sz w:val="30"/>
          <w:szCs w:val="30"/>
          <w:highlight w:val="none"/>
          <w:u w:val="single"/>
        </w:rPr>
        <w:t xml:space="preserve">   </w:t>
      </w:r>
      <w:r>
        <w:rPr>
          <w:rFonts w:hint="eastAsia" w:hAnsi="宋体" w:cs="宋体"/>
          <w:b/>
          <w:color w:val="auto"/>
          <w:sz w:val="30"/>
          <w:szCs w:val="30"/>
          <w:highlight w:val="none"/>
        </w:rPr>
        <w:t>轮）附加投票统计表（如有）</w:t>
      </w:r>
    </w:p>
    <w:p w14:paraId="299B9697">
      <w:pPr>
        <w:pStyle w:val="2"/>
        <w:tabs>
          <w:tab w:val="right" w:leader="dot" w:pos="9060"/>
          <w:tab w:val="clear" w:pos="8302"/>
        </w:tabs>
        <w:ind w:left="0" w:leftChars="0" w:firstLine="0" w:firstLineChars="0"/>
        <w:jc w:val="center"/>
        <w:rPr>
          <w:rFonts w:hint="eastAsia"/>
          <w:color w:val="auto"/>
          <w:sz w:val="30"/>
          <w:szCs w:val="30"/>
          <w:highlight w:val="none"/>
        </w:rPr>
      </w:pPr>
      <w:r>
        <w:rPr>
          <w:rFonts w:hint="eastAsia" w:hAnsi="宋体" w:cs="宋体"/>
          <w:b/>
          <w:color w:val="auto"/>
          <w:sz w:val="30"/>
          <w:szCs w:val="30"/>
          <w:highlight w:val="none"/>
        </w:rPr>
        <w:t>（定标委员会汇总用表）</w:t>
      </w:r>
    </w:p>
    <w:p w14:paraId="24AB6710">
      <w:pPr>
        <w:ind w:firstLine="480"/>
        <w:rPr>
          <w:rFonts w:hint="eastAsia" w:hAnsi="宋体" w:cs="宋体"/>
          <w:color w:val="auto"/>
          <w:highlight w:val="none"/>
        </w:rPr>
      </w:pPr>
      <w:r>
        <w:rPr>
          <w:rFonts w:hint="eastAsia" w:hAnsi="宋体" w:cs="宋体"/>
          <w:color w:val="auto"/>
          <w:highlight w:val="none"/>
        </w:rPr>
        <w:t>工程名称：</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136"/>
        <w:gridCol w:w="935"/>
        <w:gridCol w:w="955"/>
        <w:gridCol w:w="945"/>
        <w:gridCol w:w="945"/>
        <w:gridCol w:w="945"/>
      </w:tblGrid>
      <w:tr w14:paraId="1BB5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31FA02B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3B77724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296493A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定标因素得分排序</w:t>
            </w:r>
          </w:p>
        </w:tc>
        <w:tc>
          <w:tcPr>
            <w:tcW w:w="955" w:type="dxa"/>
            <w:tcBorders>
              <w:top w:val="single" w:color="auto" w:sz="4" w:space="0"/>
              <w:left w:val="single" w:color="auto" w:sz="4" w:space="0"/>
              <w:bottom w:val="single" w:color="auto" w:sz="4" w:space="0"/>
              <w:right w:val="single" w:color="auto" w:sz="4" w:space="0"/>
            </w:tcBorders>
            <w:noWrap w:val="0"/>
            <w:vAlign w:val="top"/>
          </w:tcPr>
          <w:p w14:paraId="57661FA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第1轮得票数</w:t>
            </w:r>
          </w:p>
        </w:tc>
        <w:tc>
          <w:tcPr>
            <w:tcW w:w="945" w:type="dxa"/>
            <w:tcBorders>
              <w:top w:val="single" w:color="auto" w:sz="4" w:space="0"/>
              <w:left w:val="single" w:color="auto" w:sz="4" w:space="0"/>
              <w:bottom w:val="single" w:color="auto" w:sz="4" w:space="0"/>
              <w:right w:val="single" w:color="auto" w:sz="4" w:space="0"/>
            </w:tcBorders>
            <w:noWrap w:val="0"/>
            <w:vAlign w:val="top"/>
          </w:tcPr>
          <w:p w14:paraId="76FEF6C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第1轮排序</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DA8EFE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第…轮得票数</w:t>
            </w:r>
          </w:p>
        </w:tc>
        <w:tc>
          <w:tcPr>
            <w:tcW w:w="945" w:type="dxa"/>
            <w:tcBorders>
              <w:top w:val="single" w:color="auto" w:sz="4" w:space="0"/>
              <w:left w:val="single" w:color="auto" w:sz="4" w:space="0"/>
              <w:bottom w:val="single" w:color="auto" w:sz="4" w:space="0"/>
              <w:right w:val="single" w:color="auto" w:sz="4" w:space="0"/>
            </w:tcBorders>
            <w:noWrap w:val="0"/>
            <w:vAlign w:val="top"/>
          </w:tcPr>
          <w:p w14:paraId="6ACF319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第…轮排序</w:t>
            </w:r>
          </w:p>
        </w:tc>
      </w:tr>
      <w:tr w14:paraId="3C26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483B3E0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1BC7FAB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678754E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30D67BC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95897E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23850F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DDB7CE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43D7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7BCA060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2CE5D23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566D6B6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727E385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9A58B6E">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085684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ECBFBC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2E16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1062D39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1425961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5E4BE13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19DABBC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77EE95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BA823B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AAB17B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60CDF8FB">
      <w:pPr>
        <w:spacing w:line="600" w:lineRule="exact"/>
        <w:ind w:right="-9" w:firstLine="480"/>
        <w:jc w:val="center"/>
        <w:rPr>
          <w:rFonts w:hint="eastAsia" w:hAnsi="宋体" w:cs="宋体"/>
          <w:color w:val="auto"/>
          <w:highlight w:val="none"/>
        </w:rPr>
      </w:pPr>
    </w:p>
    <w:p w14:paraId="7FA8074D">
      <w:pPr>
        <w:spacing w:line="360" w:lineRule="atLeast"/>
        <w:ind w:firstLine="480"/>
        <w:rPr>
          <w:rFonts w:hint="eastAsia" w:hAnsi="宋体" w:cs="宋体"/>
          <w:color w:val="auto"/>
          <w:szCs w:val="21"/>
          <w:highlight w:val="none"/>
        </w:rPr>
      </w:pPr>
      <w:r>
        <w:rPr>
          <w:rFonts w:hint="eastAsia" w:hAnsi="宋体" w:cs="宋体"/>
          <w:color w:val="auto"/>
          <w:szCs w:val="21"/>
          <w:highlight w:val="none"/>
        </w:rPr>
        <w:t>备注：按得票数由多至少，在延续定标因素得分排序的基础上进行排序，票数多的排序靠前，得票数相同的合格中标候选人进行再次票决确定排序。</w:t>
      </w:r>
    </w:p>
    <w:p w14:paraId="53A07C04">
      <w:pPr>
        <w:ind w:right="420" w:firstLine="480"/>
        <w:rPr>
          <w:rFonts w:hint="eastAsia" w:hAnsi="宋体" w:cs="宋体"/>
          <w:color w:val="auto"/>
          <w:highlight w:val="none"/>
        </w:rPr>
      </w:pPr>
    </w:p>
    <w:p w14:paraId="2D33BD6F">
      <w:pPr>
        <w:spacing w:line="360" w:lineRule="exact"/>
        <w:ind w:right="-325" w:rightChars="-155" w:firstLine="480"/>
        <w:jc w:val="left"/>
        <w:rPr>
          <w:rFonts w:hint="eastAsia" w:hAnsi="宋体" w:cs="宋体"/>
          <w:color w:val="auto"/>
          <w:szCs w:val="21"/>
          <w:highlight w:val="none"/>
        </w:rPr>
      </w:pPr>
      <w:r>
        <w:rPr>
          <w:rFonts w:hint="eastAsia" w:hAnsi="宋体" w:cs="宋体"/>
          <w:color w:val="auto"/>
          <w:szCs w:val="21"/>
          <w:highlight w:val="none"/>
        </w:rPr>
        <w:t xml:space="preserve">定标委员会全体成员签名：  </w:t>
      </w:r>
    </w:p>
    <w:p w14:paraId="6244CC03">
      <w:pPr>
        <w:spacing w:line="360" w:lineRule="exact"/>
        <w:ind w:right="-325" w:rightChars="-155" w:firstLine="480"/>
        <w:jc w:val="right"/>
        <w:rPr>
          <w:rFonts w:hAnsi="宋体" w:cs="宋体"/>
          <w:color w:val="auto"/>
          <w:szCs w:val="21"/>
          <w:highlight w:val="none"/>
        </w:rPr>
        <w:sectPr>
          <w:headerReference r:id="rId11" w:type="first"/>
          <w:footerReference r:id="rId13" w:type="first"/>
          <w:headerReference r:id="rId10" w:type="default"/>
          <w:footerReference r:id="rId12" w:type="default"/>
          <w:pgSz w:w="11906" w:h="16838"/>
          <w:pgMar w:top="1247" w:right="1418" w:bottom="1191" w:left="1418" w:header="851" w:footer="680" w:gutter="0"/>
          <w:pgNumType w:fmt="decimal"/>
          <w:cols w:space="720" w:num="1"/>
          <w:docGrid w:type="lines" w:linePitch="312" w:charSpace="0"/>
        </w:sectPr>
      </w:pPr>
      <w:r>
        <w:rPr>
          <w:rFonts w:hint="eastAsia" w:hAnsi="宋体" w:cs="宋体"/>
          <w:color w:val="auto"/>
          <w:szCs w:val="21"/>
          <w:highlight w:val="none"/>
        </w:rPr>
        <w:t>日期：     年   月   日</w:t>
      </w:r>
    </w:p>
    <w:p w14:paraId="586AB808">
      <w:pPr>
        <w:ind w:firstLine="0"/>
        <w:jc w:val="left"/>
        <w:rPr>
          <w:rFonts w:hint="default" w:hAnsi="宋体" w:eastAsia="宋体"/>
          <w:b/>
          <w:color w:val="auto"/>
          <w:sz w:val="30"/>
          <w:szCs w:val="30"/>
          <w:highlight w:val="none"/>
          <w:lang w:val="en-US" w:eastAsia="zh-CN"/>
        </w:rPr>
      </w:pPr>
      <w:r>
        <w:rPr>
          <w:rFonts w:hint="eastAsia" w:ascii="宋体" w:hAnsi="宋体" w:cs="宋体"/>
          <w:b/>
          <w:bCs/>
          <w:color w:val="auto"/>
          <w:sz w:val="24"/>
          <w:szCs w:val="24"/>
          <w:highlight w:val="none"/>
          <w:lang w:val="en-US" w:eastAsia="zh-CN"/>
        </w:rPr>
        <w:t>附表12</w:t>
      </w:r>
    </w:p>
    <w:p w14:paraId="01E72281">
      <w:pPr>
        <w:ind w:firstLine="602"/>
        <w:jc w:val="center"/>
        <w:rPr>
          <w:rFonts w:hint="eastAsia" w:hAnsi="宋体"/>
          <w:b/>
          <w:color w:val="auto"/>
          <w:sz w:val="30"/>
          <w:szCs w:val="30"/>
          <w:highlight w:val="none"/>
        </w:rPr>
      </w:pPr>
      <w:r>
        <w:rPr>
          <w:rFonts w:hint="eastAsia" w:hAnsi="宋体"/>
          <w:b/>
          <w:color w:val="auto"/>
          <w:sz w:val="30"/>
          <w:szCs w:val="30"/>
          <w:highlight w:val="none"/>
        </w:rPr>
        <w:t>定标情况汇总表（定标阶段）</w:t>
      </w:r>
    </w:p>
    <w:p w14:paraId="55789F0C">
      <w:pPr>
        <w:ind w:firstLine="480"/>
        <w:rPr>
          <w:rFonts w:hint="eastAsia" w:hAnsi="宋体" w:cs="宋体"/>
          <w:color w:val="auto"/>
          <w:highlight w:val="none"/>
        </w:rPr>
      </w:pPr>
      <w:r>
        <w:rPr>
          <w:rFonts w:hint="eastAsia" w:hAnsi="宋体" w:cs="宋体"/>
          <w:color w:val="auto"/>
          <w:highlight w:val="none"/>
        </w:rPr>
        <w:t>工程名称：</w:t>
      </w:r>
    </w:p>
    <w:tbl>
      <w:tblPr>
        <w:tblStyle w:val="17"/>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5266"/>
        <w:gridCol w:w="2197"/>
        <w:gridCol w:w="2163"/>
        <w:gridCol w:w="3461"/>
      </w:tblGrid>
      <w:tr w14:paraId="291D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66E23EB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序号</w:t>
            </w:r>
          </w:p>
        </w:tc>
        <w:tc>
          <w:tcPr>
            <w:tcW w:w="1879" w:type="pct"/>
            <w:tcBorders>
              <w:top w:val="single" w:color="auto" w:sz="4" w:space="0"/>
              <w:left w:val="nil"/>
              <w:bottom w:val="single" w:color="auto" w:sz="4" w:space="0"/>
              <w:right w:val="single" w:color="auto" w:sz="4" w:space="0"/>
            </w:tcBorders>
            <w:noWrap w:val="0"/>
            <w:vAlign w:val="center"/>
          </w:tcPr>
          <w:p w14:paraId="365C773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合格中标候选人名称</w:t>
            </w:r>
          </w:p>
        </w:tc>
        <w:tc>
          <w:tcPr>
            <w:tcW w:w="784" w:type="pct"/>
            <w:tcBorders>
              <w:top w:val="single" w:color="auto" w:sz="4" w:space="0"/>
              <w:left w:val="nil"/>
              <w:bottom w:val="single" w:color="auto" w:sz="4" w:space="0"/>
              <w:right w:val="single" w:color="auto" w:sz="4" w:space="0"/>
            </w:tcBorders>
            <w:noWrap w:val="0"/>
            <w:vAlign w:val="center"/>
          </w:tcPr>
          <w:p w14:paraId="3E6F0029">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总得分</w:t>
            </w:r>
          </w:p>
        </w:tc>
        <w:tc>
          <w:tcPr>
            <w:tcW w:w="772" w:type="pct"/>
            <w:tcBorders>
              <w:top w:val="single" w:color="auto" w:sz="4" w:space="0"/>
              <w:left w:val="nil"/>
              <w:bottom w:val="single" w:color="auto" w:sz="4" w:space="0"/>
              <w:right w:val="single" w:color="auto" w:sz="4" w:space="0"/>
            </w:tcBorders>
            <w:noWrap w:val="0"/>
            <w:vAlign w:val="top"/>
          </w:tcPr>
          <w:p w14:paraId="15DDB2D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附加得票数</w:t>
            </w:r>
          </w:p>
          <w:p w14:paraId="6189633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（如有）</w:t>
            </w:r>
          </w:p>
        </w:tc>
        <w:tc>
          <w:tcPr>
            <w:tcW w:w="1235" w:type="pct"/>
            <w:tcBorders>
              <w:top w:val="single" w:color="auto" w:sz="4" w:space="0"/>
              <w:left w:val="nil"/>
              <w:bottom w:val="single" w:color="auto" w:sz="4" w:space="0"/>
              <w:right w:val="single" w:color="auto" w:sz="4" w:space="0"/>
            </w:tcBorders>
            <w:noWrap w:val="0"/>
            <w:vAlign w:val="center"/>
          </w:tcPr>
          <w:p w14:paraId="7299FCA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是否被确定为中标人</w:t>
            </w:r>
          </w:p>
        </w:tc>
      </w:tr>
      <w:tr w14:paraId="3A32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6506267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1</w:t>
            </w:r>
          </w:p>
        </w:tc>
        <w:tc>
          <w:tcPr>
            <w:tcW w:w="1879" w:type="pct"/>
            <w:tcBorders>
              <w:top w:val="single" w:color="auto" w:sz="4" w:space="0"/>
              <w:left w:val="nil"/>
              <w:bottom w:val="single" w:color="auto" w:sz="4" w:space="0"/>
              <w:right w:val="single" w:color="auto" w:sz="4" w:space="0"/>
            </w:tcBorders>
            <w:noWrap w:val="0"/>
            <w:vAlign w:val="center"/>
          </w:tcPr>
          <w:p w14:paraId="563B486A">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14:paraId="2BB595F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noWrap w:val="0"/>
            <w:vAlign w:val="top"/>
          </w:tcPr>
          <w:p w14:paraId="05C15EB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14:paraId="6027683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0C10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7647B6B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2</w:t>
            </w:r>
          </w:p>
        </w:tc>
        <w:tc>
          <w:tcPr>
            <w:tcW w:w="1879" w:type="pct"/>
            <w:tcBorders>
              <w:top w:val="single" w:color="auto" w:sz="4" w:space="0"/>
              <w:left w:val="nil"/>
              <w:bottom w:val="single" w:color="auto" w:sz="4" w:space="0"/>
              <w:right w:val="single" w:color="auto" w:sz="4" w:space="0"/>
            </w:tcBorders>
            <w:noWrap w:val="0"/>
            <w:vAlign w:val="center"/>
          </w:tcPr>
          <w:p w14:paraId="2472156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14:paraId="663A8D8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noWrap w:val="0"/>
            <w:vAlign w:val="top"/>
          </w:tcPr>
          <w:p w14:paraId="2F013AFC">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14:paraId="5DB924E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1D0F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70E8F4A7">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r>
              <w:rPr>
                <w:rFonts w:hint="eastAsia" w:hAnsi="宋体" w:cs="宋体"/>
                <w:color w:val="auto"/>
                <w:sz w:val="21"/>
                <w:szCs w:val="21"/>
                <w:highlight w:val="none"/>
                <w:shd w:val="clear" w:color="auto" w:fill="FFFFFF"/>
                <w:lang w:val="zh-CN"/>
              </w:rPr>
              <w:t>3</w:t>
            </w:r>
          </w:p>
        </w:tc>
        <w:tc>
          <w:tcPr>
            <w:tcW w:w="1879" w:type="pct"/>
            <w:tcBorders>
              <w:top w:val="single" w:color="auto" w:sz="4" w:space="0"/>
              <w:left w:val="nil"/>
              <w:bottom w:val="single" w:color="auto" w:sz="4" w:space="0"/>
              <w:right w:val="single" w:color="auto" w:sz="4" w:space="0"/>
            </w:tcBorders>
            <w:noWrap w:val="0"/>
            <w:vAlign w:val="center"/>
          </w:tcPr>
          <w:p w14:paraId="77CAE716">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14:paraId="0C19ADB5">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noWrap w:val="0"/>
            <w:vAlign w:val="top"/>
          </w:tcPr>
          <w:p w14:paraId="6AF6CDD1">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14:paraId="3A4594A3">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3537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35EE0368">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4</w:t>
            </w:r>
          </w:p>
        </w:tc>
        <w:tc>
          <w:tcPr>
            <w:tcW w:w="1879" w:type="pct"/>
            <w:tcBorders>
              <w:top w:val="single" w:color="auto" w:sz="4" w:space="0"/>
              <w:left w:val="nil"/>
              <w:bottom w:val="single" w:color="auto" w:sz="4" w:space="0"/>
              <w:right w:val="single" w:color="auto" w:sz="4" w:space="0"/>
            </w:tcBorders>
            <w:noWrap w:val="0"/>
            <w:vAlign w:val="center"/>
          </w:tcPr>
          <w:p w14:paraId="0C2EBB42">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14:paraId="4AD6519B">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noWrap w:val="0"/>
            <w:vAlign w:val="top"/>
          </w:tcPr>
          <w:p w14:paraId="3943365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14:paraId="7FBDCE18">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r w14:paraId="42C7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347AC4D7">
            <w:pPr>
              <w:widowControl w:val="0"/>
              <w:spacing w:line="240" w:lineRule="auto"/>
              <w:ind w:firstLine="0" w:firstLineChars="0"/>
              <w:jc w:val="center"/>
              <w:rPr>
                <w:rFonts w:hint="eastAsia"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5</w:t>
            </w:r>
          </w:p>
        </w:tc>
        <w:tc>
          <w:tcPr>
            <w:tcW w:w="1879" w:type="pct"/>
            <w:tcBorders>
              <w:top w:val="single" w:color="auto" w:sz="4" w:space="0"/>
              <w:left w:val="nil"/>
              <w:bottom w:val="single" w:color="auto" w:sz="4" w:space="0"/>
              <w:right w:val="single" w:color="auto" w:sz="4" w:space="0"/>
            </w:tcBorders>
            <w:noWrap w:val="0"/>
            <w:vAlign w:val="center"/>
          </w:tcPr>
          <w:p w14:paraId="78822554">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84" w:type="pct"/>
            <w:tcBorders>
              <w:top w:val="single" w:color="auto" w:sz="4" w:space="0"/>
              <w:left w:val="nil"/>
              <w:bottom w:val="single" w:color="auto" w:sz="4" w:space="0"/>
              <w:right w:val="single" w:color="auto" w:sz="4" w:space="0"/>
            </w:tcBorders>
            <w:noWrap w:val="0"/>
            <w:vAlign w:val="center"/>
          </w:tcPr>
          <w:p w14:paraId="7D851AB0">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772" w:type="pct"/>
            <w:tcBorders>
              <w:top w:val="single" w:color="auto" w:sz="4" w:space="0"/>
              <w:left w:val="nil"/>
              <w:bottom w:val="single" w:color="auto" w:sz="4" w:space="0"/>
              <w:right w:val="single" w:color="auto" w:sz="4" w:space="0"/>
            </w:tcBorders>
            <w:noWrap w:val="0"/>
            <w:vAlign w:val="top"/>
          </w:tcPr>
          <w:p w14:paraId="47250F1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c>
          <w:tcPr>
            <w:tcW w:w="1235" w:type="pct"/>
            <w:tcBorders>
              <w:top w:val="single" w:color="auto" w:sz="4" w:space="0"/>
              <w:left w:val="nil"/>
              <w:bottom w:val="single" w:color="auto" w:sz="4" w:space="0"/>
              <w:right w:val="single" w:color="auto" w:sz="4" w:space="0"/>
            </w:tcBorders>
            <w:noWrap w:val="0"/>
            <w:vAlign w:val="top"/>
          </w:tcPr>
          <w:p w14:paraId="21326C2D">
            <w:pPr>
              <w:widowControl w:val="0"/>
              <w:spacing w:line="240" w:lineRule="auto"/>
              <w:ind w:firstLine="0" w:firstLineChars="0"/>
              <w:jc w:val="center"/>
              <w:rPr>
                <w:rFonts w:hint="eastAsia" w:hAnsi="宋体" w:cs="宋体"/>
                <w:color w:val="auto"/>
                <w:sz w:val="21"/>
                <w:szCs w:val="21"/>
                <w:highlight w:val="none"/>
                <w:shd w:val="clear" w:color="auto" w:fill="FFFFFF"/>
                <w:lang w:val="zh-CN"/>
              </w:rPr>
            </w:pPr>
          </w:p>
        </w:tc>
      </w:tr>
    </w:tbl>
    <w:p w14:paraId="331120A6">
      <w:pPr>
        <w:ind w:firstLine="480"/>
        <w:rPr>
          <w:rFonts w:hint="eastAsia" w:hAnsi="宋体" w:cs="宋体"/>
          <w:color w:val="auto"/>
          <w:szCs w:val="21"/>
          <w:highlight w:val="none"/>
        </w:rPr>
      </w:pPr>
      <w:r>
        <w:rPr>
          <w:rFonts w:hint="eastAsia" w:hAnsi="宋体" w:cs="宋体"/>
          <w:color w:val="auto"/>
          <w:szCs w:val="21"/>
          <w:highlight w:val="none"/>
        </w:rPr>
        <w:t>注：得分最高的合格中标候选人直接确定为中标人。</w:t>
      </w:r>
    </w:p>
    <w:p w14:paraId="48F99CED">
      <w:pPr>
        <w:spacing w:line="400" w:lineRule="exact"/>
        <w:ind w:firstLine="480"/>
        <w:rPr>
          <w:rFonts w:hint="eastAsia" w:hAnsi="宋体"/>
          <w:color w:val="auto"/>
          <w:szCs w:val="21"/>
          <w:highlight w:val="none"/>
        </w:rPr>
      </w:pPr>
    </w:p>
    <w:p w14:paraId="4AB34FF0">
      <w:pPr>
        <w:spacing w:line="360" w:lineRule="exact"/>
        <w:ind w:right="-325" w:rightChars="-155" w:firstLine="480"/>
        <w:jc w:val="left"/>
        <w:rPr>
          <w:rFonts w:hint="eastAsia" w:hAnsi="宋体" w:cs="宋体"/>
          <w:color w:val="auto"/>
          <w:szCs w:val="21"/>
          <w:highlight w:val="none"/>
        </w:rPr>
      </w:pPr>
      <w:r>
        <w:rPr>
          <w:rFonts w:hint="eastAsia" w:hAnsi="宋体" w:cs="宋体"/>
          <w:color w:val="auto"/>
          <w:szCs w:val="21"/>
          <w:highlight w:val="none"/>
        </w:rPr>
        <w:t xml:space="preserve">定标委员会全体成员签名：  </w:t>
      </w:r>
    </w:p>
    <w:p w14:paraId="31B358E9">
      <w:pPr>
        <w:spacing w:line="360" w:lineRule="exact"/>
        <w:ind w:right="-325" w:rightChars="-155" w:firstLine="480"/>
        <w:jc w:val="left"/>
        <w:rPr>
          <w:color w:val="auto"/>
          <w:highlight w:val="none"/>
        </w:rPr>
      </w:pPr>
      <w:r>
        <w:rPr>
          <w:rFonts w:hint="eastAsia" w:hAnsi="宋体" w:cs="宋体"/>
          <w:color w:val="auto"/>
          <w:szCs w:val="21"/>
          <w:highlight w:val="none"/>
        </w:rPr>
        <w:t xml:space="preserve">日期：     年   月   </w:t>
      </w:r>
    </w:p>
    <w:p w14:paraId="17E840FB">
      <w:pPr>
        <w:rPr>
          <w:rFonts w:ascii="黑体" w:hAnsi="黑体" w:eastAsia="黑体"/>
          <w:color w:val="auto"/>
          <w:sz w:val="32"/>
          <w:szCs w:val="27"/>
          <w:highlight w:val="none"/>
        </w:rPr>
        <w:sectPr>
          <w:footerReference r:id="rId14" w:type="default"/>
          <w:pgSz w:w="16838" w:h="11906" w:orient="landscape"/>
          <w:pgMar w:top="1797" w:right="1440" w:bottom="1797" w:left="1440" w:header="851" w:footer="992" w:gutter="0"/>
          <w:pgNumType w:fmt="decimal"/>
          <w:cols w:space="720" w:num="1"/>
          <w:docGrid w:linePitch="312" w:charSpace="0"/>
        </w:sectPr>
      </w:pPr>
    </w:p>
    <w:p w14:paraId="029E4751">
      <w:pPr>
        <w:pageBreakBefore/>
        <w:spacing w:line="360" w:lineRule="auto"/>
        <w:jc w:val="center"/>
        <w:outlineLvl w:val="1"/>
        <w:rPr>
          <w:rFonts w:ascii="黑体" w:hAnsi="黑体" w:eastAsia="黑体"/>
          <w:color w:val="auto"/>
          <w:sz w:val="32"/>
          <w:szCs w:val="27"/>
          <w:highlight w:val="none"/>
        </w:rPr>
      </w:pPr>
      <w:bookmarkStart w:id="249" w:name="_Toc17452678"/>
      <w:bookmarkStart w:id="250" w:name="_Toc17556890"/>
      <w:bookmarkStart w:id="251" w:name="_Toc17451115"/>
      <w:bookmarkStart w:id="252" w:name="_Toc17451592"/>
      <w:bookmarkStart w:id="253" w:name="_Toc17454936"/>
      <w:bookmarkStart w:id="254" w:name="_Toc17454885"/>
      <w:bookmarkStart w:id="255" w:name="_Toc17451637"/>
      <w:bookmarkStart w:id="256" w:name="_Toc25028"/>
      <w:bookmarkStart w:id="257" w:name="_Toc15164"/>
      <w:r>
        <w:rPr>
          <w:rFonts w:hint="eastAsia" w:ascii="黑体" w:hAnsi="黑体" w:eastAsia="黑体"/>
          <w:color w:val="auto"/>
          <w:sz w:val="32"/>
          <w:szCs w:val="27"/>
          <w:highlight w:val="none"/>
        </w:rPr>
        <w:t>第四章 合同条款</w:t>
      </w:r>
      <w:bookmarkEnd w:id="201"/>
      <w:bookmarkEnd w:id="249"/>
      <w:bookmarkEnd w:id="250"/>
      <w:bookmarkEnd w:id="251"/>
      <w:bookmarkEnd w:id="252"/>
      <w:bookmarkEnd w:id="253"/>
      <w:bookmarkEnd w:id="254"/>
      <w:bookmarkEnd w:id="255"/>
      <w:bookmarkEnd w:id="256"/>
      <w:bookmarkEnd w:id="257"/>
    </w:p>
    <w:p w14:paraId="4AB31942">
      <w:pPr>
        <w:ind w:firstLine="420" w:firstLineChars="200"/>
        <w:rPr>
          <w:color w:val="auto"/>
          <w:highlight w:val="none"/>
        </w:rPr>
      </w:pPr>
    </w:p>
    <w:p w14:paraId="1795091C">
      <w:pPr>
        <w:rPr>
          <w:color w:val="auto"/>
          <w:highlight w:val="none"/>
        </w:rPr>
      </w:pPr>
      <w:r>
        <w:rPr>
          <w:rFonts w:hint="eastAsia"/>
          <w:color w:val="auto"/>
          <w:highlight w:val="none"/>
        </w:rPr>
        <w:drawing>
          <wp:anchor distT="0" distB="0" distL="114300" distR="114300" simplePos="0" relativeHeight="251662336" behindDoc="0" locked="0" layoutInCell="1" allowOverlap="1">
            <wp:simplePos x="0" y="0"/>
            <wp:positionH relativeFrom="column">
              <wp:posOffset>4848860</wp:posOffset>
            </wp:positionH>
            <wp:positionV relativeFrom="paragraph">
              <wp:posOffset>304165</wp:posOffset>
            </wp:positionV>
            <wp:extent cx="2236470" cy="1798955"/>
            <wp:effectExtent l="0" t="0" r="11430" b="10795"/>
            <wp:wrapSquare wrapText="bothSides"/>
            <wp:docPr id="1"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C:\Users\lanxing\Desktop\93b1542184114cf8b316f10d4b2d5c42.png93b1542184114cf8b316f10d4b2d5c42"/>
                    <pic:cNvPicPr>
                      <a:picLocks noChangeAspect="1"/>
                    </pic:cNvPicPr>
                  </pic:nvPicPr>
                  <pic:blipFill>
                    <a:blip r:embed="rId24"/>
                    <a:stretch>
                      <a:fillRect/>
                    </a:stretch>
                  </pic:blipFill>
                  <pic:spPr>
                    <a:xfrm>
                      <a:off x="0" y="0"/>
                      <a:ext cx="2236470" cy="1798955"/>
                    </a:xfrm>
                    <a:prstGeom prst="rect">
                      <a:avLst/>
                    </a:prstGeom>
                    <a:noFill/>
                    <a:ln>
                      <a:noFill/>
                    </a:ln>
                  </pic:spPr>
                </pic:pic>
              </a:graphicData>
            </a:graphic>
          </wp:anchor>
        </w:drawing>
      </w:r>
    </w:p>
    <w:p w14:paraId="3A832745">
      <w:pPr>
        <w:ind w:firstLine="420" w:firstLineChars="200"/>
        <w:rPr>
          <w:color w:val="auto"/>
          <w:highlight w:val="none"/>
        </w:rPr>
      </w:pPr>
    </w:p>
    <w:p w14:paraId="6F7E06B3">
      <w:pPr>
        <w:ind w:firstLine="420" w:firstLineChars="200"/>
        <w:rPr>
          <w:color w:val="auto"/>
          <w:highlight w:val="none"/>
        </w:rPr>
      </w:pPr>
      <w:r>
        <w:rPr>
          <w:color w:val="auto"/>
          <w:highlight w:val="none"/>
        </w:rPr>
        <w:drawing>
          <wp:inline distT="0" distB="0" distL="114300" distR="114300">
            <wp:extent cx="2497455" cy="259715"/>
            <wp:effectExtent l="0" t="0" r="1714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5"/>
                    <a:stretch>
                      <a:fillRect/>
                    </a:stretch>
                  </pic:blipFill>
                  <pic:spPr>
                    <a:xfrm>
                      <a:off x="0" y="0"/>
                      <a:ext cx="2497455" cy="259715"/>
                    </a:xfrm>
                    <a:prstGeom prst="rect">
                      <a:avLst/>
                    </a:prstGeom>
                    <a:noFill/>
                    <a:ln>
                      <a:noFill/>
                    </a:ln>
                  </pic:spPr>
                </pic:pic>
              </a:graphicData>
            </a:graphic>
          </wp:inline>
        </w:drawing>
      </w:r>
    </w:p>
    <w:p w14:paraId="15A75D28">
      <w:pPr>
        <w:ind w:firstLine="8400" w:firstLineChars="3500"/>
        <w:rPr>
          <w:color w:val="auto"/>
          <w:sz w:val="24"/>
          <w:highlight w:val="none"/>
        </w:rPr>
      </w:pPr>
      <w:r>
        <w:rPr>
          <w:rFonts w:hint="eastAsia"/>
          <w:color w:val="auto"/>
          <w:sz w:val="24"/>
          <w:highlight w:val="none"/>
        </w:rPr>
        <w:t xml:space="preserve">                            </w:t>
      </w:r>
    </w:p>
    <w:p w14:paraId="668B2DB7">
      <w:pPr>
        <w:tabs>
          <w:tab w:val="left" w:pos="870"/>
        </w:tabs>
        <w:ind w:firstLine="240" w:firstLineChars="100"/>
        <w:rPr>
          <w:color w:val="auto"/>
          <w:sz w:val="24"/>
          <w:highlight w:val="none"/>
        </w:rPr>
      </w:pPr>
      <w:r>
        <w:rPr>
          <w:color w:val="auto"/>
          <w:sz w:val="24"/>
          <w:highlight w:val="none"/>
        </w:rPr>
        <w:drawing>
          <wp:anchor distT="0" distB="0" distL="114300" distR="114300" simplePos="0" relativeHeight="251665408" behindDoc="1" locked="0" layoutInCell="1" allowOverlap="0">
            <wp:simplePos x="0" y="0"/>
            <wp:positionH relativeFrom="column">
              <wp:posOffset>371475</wp:posOffset>
            </wp:positionH>
            <wp:positionV relativeFrom="paragraph">
              <wp:posOffset>39370</wp:posOffset>
            </wp:positionV>
            <wp:extent cx="790575" cy="161925"/>
            <wp:effectExtent l="0" t="0" r="9525" b="9525"/>
            <wp:wrapTight wrapText="bothSides">
              <wp:wrapPolygon>
                <wp:start x="16655" y="0"/>
                <wp:lineTo x="3123" y="0"/>
                <wp:lineTo x="0" y="2372"/>
                <wp:lineTo x="520" y="18974"/>
                <wp:lineTo x="21340" y="18974"/>
                <wp:lineTo x="21340" y="9487"/>
                <wp:lineTo x="18737" y="0"/>
                <wp:lineTo x="16655"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6"/>
                    <a:stretch>
                      <a:fillRect/>
                    </a:stretch>
                  </pic:blipFill>
                  <pic:spPr>
                    <a:xfrm>
                      <a:off x="0" y="0"/>
                      <a:ext cx="790575" cy="161925"/>
                    </a:xfrm>
                    <a:prstGeom prst="rect">
                      <a:avLst/>
                    </a:prstGeom>
                    <a:noFill/>
                    <a:ln>
                      <a:noFill/>
                    </a:ln>
                  </pic:spPr>
                </pic:pic>
              </a:graphicData>
            </a:graphic>
          </wp:anchor>
        </w:drawing>
      </w:r>
      <w:r>
        <w:rPr>
          <w:rFonts w:hint="eastAsia"/>
          <w:color w:val="auto"/>
          <w:sz w:val="24"/>
          <w:highlight w:val="none"/>
        </w:rPr>
        <w:t>穗</w:t>
      </w:r>
      <w:r>
        <w:rPr>
          <w:rFonts w:hint="eastAsia"/>
          <w:color w:val="auto"/>
          <w:sz w:val="24"/>
          <w:highlight w:val="none"/>
          <w:lang w:val="en-US" w:eastAsia="zh-CN"/>
        </w:rPr>
        <w:t>高建经营部合同</w:t>
      </w:r>
      <w:r>
        <w:rPr>
          <w:rFonts w:hint="eastAsia"/>
          <w:color w:val="auto"/>
          <w:sz w:val="24"/>
          <w:highlight w:val="none"/>
        </w:rPr>
        <w:t>[202</w:t>
      </w:r>
      <w:r>
        <w:rPr>
          <w:rFonts w:hint="eastAsia"/>
          <w:color w:val="auto"/>
          <w:sz w:val="24"/>
          <w:highlight w:val="none"/>
          <w:lang w:val="en-US" w:eastAsia="zh-CN"/>
        </w:rPr>
        <w:t>5</w:t>
      </w:r>
      <w:r>
        <w:rPr>
          <w:rFonts w:hint="eastAsia"/>
          <w:color w:val="auto"/>
          <w:sz w:val="24"/>
          <w:highlight w:val="none"/>
        </w:rPr>
        <w:t>]  号 /                /</w:t>
      </w:r>
    </w:p>
    <w:p w14:paraId="2196E601">
      <w:pPr>
        <w:rPr>
          <w:rFonts w:ascii="方正大标宋简体" w:eastAsia="方正大标宋简体"/>
          <w:color w:val="auto"/>
          <w:sz w:val="28"/>
          <w:szCs w:val="28"/>
          <w:highlight w:val="none"/>
        </w:rPr>
      </w:pPr>
      <w:r>
        <w:rPr>
          <w:rFonts w:hint="eastAsia" w:ascii="方正大标宋简体" w:eastAsia="方正大标宋简体"/>
          <w:color w:val="auto"/>
          <w:sz w:val="28"/>
          <w:szCs w:val="28"/>
          <w:highlight w:val="none"/>
        </w:rPr>
        <w:t xml:space="preserve"> </w:t>
      </w:r>
    </w:p>
    <w:p w14:paraId="2847D942">
      <w:pPr>
        <w:ind w:firstLine="840" w:firstLineChars="400"/>
        <w:rPr>
          <w:color w:val="auto"/>
          <w:highlight w:val="none"/>
        </w:rPr>
      </w:pPr>
    </w:p>
    <w:p w14:paraId="1DBD51DF">
      <w:pPr>
        <w:ind w:firstLine="840" w:firstLineChars="400"/>
        <w:rPr>
          <w:color w:val="auto"/>
          <w:highlight w:val="none"/>
        </w:rPr>
      </w:pPr>
      <w:r>
        <w:rPr>
          <w:rFonts w:hint="eastAsia"/>
          <w:color w:val="auto"/>
          <w:highlight w:val="none"/>
        </w:rPr>
        <w:t xml:space="preserve">                                                              </w:t>
      </w:r>
    </w:p>
    <w:p w14:paraId="0057B0CE">
      <w:pPr>
        <w:ind w:firstLine="840" w:firstLineChars="400"/>
        <w:rPr>
          <w:color w:val="auto"/>
          <w:highlight w:val="none"/>
        </w:rPr>
      </w:pPr>
      <w:r>
        <w:rPr>
          <w:rFonts w:hint="eastAsia"/>
          <w:color w:val="auto"/>
          <w:highlight w:val="none"/>
        </w:rPr>
        <w:t xml:space="preserve">                     </w:t>
      </w:r>
    </w:p>
    <w:p w14:paraId="2B0127F6">
      <w:pPr>
        <w:snapToGrid w:val="0"/>
        <w:spacing w:line="440" w:lineRule="exact"/>
        <w:ind w:left="-197" w:leftChars="-94"/>
        <w:jc w:val="center"/>
        <w:rPr>
          <w:rFonts w:ascii="宋体" w:hAnsi="宋体"/>
          <w:color w:val="auto"/>
          <w:highlight w:val="none"/>
        </w:rPr>
      </w:pPr>
    </w:p>
    <w:p w14:paraId="3B6B4D0D">
      <w:pPr>
        <w:snapToGrid w:val="0"/>
        <w:spacing w:line="440" w:lineRule="exact"/>
        <w:ind w:left="-197" w:leftChars="-94"/>
        <w:jc w:val="center"/>
        <w:rPr>
          <w:rFonts w:ascii="宋体" w:hAnsi="宋体"/>
          <w:color w:val="auto"/>
          <w:highlight w:val="none"/>
        </w:rPr>
      </w:pPr>
      <w:r>
        <w:rPr>
          <w:rFonts w:hint="eastAsia"/>
          <w:color w:val="auto"/>
          <w:highlight w:val="none"/>
        </w:rPr>
        <w:drawing>
          <wp:anchor distT="0" distB="0" distL="114300" distR="114300" simplePos="0" relativeHeight="251663360" behindDoc="0" locked="0" layoutInCell="1" allowOverlap="1">
            <wp:simplePos x="0" y="0"/>
            <wp:positionH relativeFrom="column">
              <wp:posOffset>895350</wp:posOffset>
            </wp:positionH>
            <wp:positionV relativeFrom="paragraph">
              <wp:posOffset>163195</wp:posOffset>
            </wp:positionV>
            <wp:extent cx="5295900" cy="5905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7"/>
                    <a:stretch>
                      <a:fillRect/>
                    </a:stretch>
                  </pic:blipFill>
                  <pic:spPr>
                    <a:xfrm>
                      <a:off x="0" y="0"/>
                      <a:ext cx="5295900" cy="590550"/>
                    </a:xfrm>
                    <a:prstGeom prst="rect">
                      <a:avLst/>
                    </a:prstGeom>
                    <a:noFill/>
                    <a:ln>
                      <a:noFill/>
                    </a:ln>
                  </pic:spPr>
                </pic:pic>
              </a:graphicData>
            </a:graphic>
          </wp:anchor>
        </w:drawing>
      </w:r>
    </w:p>
    <w:p w14:paraId="51F5B536">
      <w:pPr>
        <w:snapToGrid w:val="0"/>
        <w:spacing w:line="440" w:lineRule="exact"/>
        <w:ind w:left="-197" w:leftChars="-94"/>
        <w:jc w:val="center"/>
        <w:rPr>
          <w:rFonts w:ascii="宋体" w:hAnsi="宋体"/>
          <w:color w:val="auto"/>
          <w:highlight w:val="none"/>
        </w:rPr>
      </w:pPr>
    </w:p>
    <w:p w14:paraId="2D59B5C5">
      <w:pPr>
        <w:spacing w:line="480" w:lineRule="exact"/>
        <w:jc w:val="center"/>
        <w:rPr>
          <w:rFonts w:ascii="宋体" w:hAnsi="宋体"/>
          <w:color w:val="auto"/>
          <w:highlight w:val="none"/>
        </w:rPr>
      </w:pPr>
    </w:p>
    <w:p w14:paraId="09C3ACE2">
      <w:pPr>
        <w:spacing w:line="480" w:lineRule="exact"/>
        <w:jc w:val="center"/>
        <w:rPr>
          <w:rFonts w:ascii="宋体" w:hAnsi="宋体"/>
          <w:color w:val="auto"/>
          <w:highlight w:val="none"/>
        </w:rPr>
      </w:pPr>
    </w:p>
    <w:p w14:paraId="77DEF95C">
      <w:pPr>
        <w:spacing w:line="480" w:lineRule="exact"/>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p>
    <w:p w14:paraId="588321A7">
      <w:pPr>
        <w:spacing w:line="480" w:lineRule="exact"/>
        <w:rPr>
          <w:rFonts w:ascii="仿宋_GB2312" w:hAnsi="仿宋" w:eastAsia="仿宋_GB2312"/>
          <w:color w:val="auto"/>
          <w:sz w:val="28"/>
          <w:szCs w:val="28"/>
          <w:highlight w:val="none"/>
        </w:rPr>
      </w:pPr>
    </w:p>
    <w:p w14:paraId="3E368655">
      <w:pPr>
        <w:spacing w:line="480" w:lineRule="exact"/>
        <w:jc w:val="center"/>
        <w:rPr>
          <w:rFonts w:ascii="仿宋_GB2312" w:hAnsi="仿宋" w:eastAsia="仿宋_GB2312"/>
          <w:color w:val="auto"/>
          <w:sz w:val="28"/>
          <w:szCs w:val="28"/>
          <w:highlight w:val="none"/>
        </w:rPr>
      </w:pPr>
    </w:p>
    <w:p w14:paraId="49D939AA">
      <w:pPr>
        <w:spacing w:line="480" w:lineRule="exact"/>
        <w:ind w:firstLine="2520" w:firstLineChars="900"/>
        <w:rPr>
          <w:rFonts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 xml:space="preserve"> 项目名称：</w:t>
      </w:r>
      <w:r>
        <w:rPr>
          <w:rFonts w:hint="eastAsia" w:ascii="方正大标宋简体" w:hAnsi="仿宋" w:eastAsia="方正大标宋简体"/>
          <w:color w:val="auto"/>
          <w:sz w:val="28"/>
          <w:szCs w:val="28"/>
          <w:highlight w:val="none"/>
          <w:u w:val="single"/>
        </w:rPr>
        <w:t xml:space="preserve">                                       </w:t>
      </w:r>
    </w:p>
    <w:p w14:paraId="01F6683D">
      <w:pPr>
        <w:spacing w:line="480" w:lineRule="exact"/>
        <w:ind w:firstLine="2660" w:firstLineChars="950"/>
        <w:rPr>
          <w:rFonts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 xml:space="preserve">发包人（甲方）： </w:t>
      </w:r>
      <w:r>
        <w:rPr>
          <w:rFonts w:hint="eastAsia" w:ascii="仿宋_GB2312" w:hAnsi="仿宋" w:eastAsia="仿宋_GB2312"/>
          <w:color w:val="auto"/>
          <w:sz w:val="28"/>
          <w:szCs w:val="28"/>
          <w:highlight w:val="none"/>
          <w:u w:val="single"/>
        </w:rPr>
        <w:t>广州高新建设开发集团有限公司</w:t>
      </w:r>
      <w:r>
        <w:rPr>
          <w:rFonts w:hint="eastAsia" w:ascii="方正大标宋简体" w:hAnsi="仿宋" w:eastAsia="方正大标宋简体"/>
          <w:color w:val="auto"/>
          <w:sz w:val="28"/>
          <w:szCs w:val="28"/>
          <w:highlight w:val="none"/>
          <w:u w:val="single"/>
        </w:rPr>
        <w:t xml:space="preserve">     </w:t>
      </w:r>
    </w:p>
    <w:p w14:paraId="21848F4E">
      <w:pPr>
        <w:snapToGrid w:val="0"/>
        <w:spacing w:line="440" w:lineRule="exact"/>
        <w:ind w:firstLine="2660" w:firstLineChars="950"/>
        <w:rPr>
          <w:rFonts w:ascii="方正大标宋简体" w:hAnsi="宋体" w:eastAsia="方正大标宋简体"/>
          <w:color w:val="auto"/>
          <w:sz w:val="28"/>
          <w:szCs w:val="28"/>
          <w:highlight w:val="none"/>
          <w:u w:val="single"/>
        </w:rPr>
      </w:pPr>
      <w:r>
        <w:rPr>
          <w:rFonts w:hint="eastAsia" w:ascii="仿宋_GB2312" w:hAnsi="仿宋" w:eastAsia="仿宋_GB2312"/>
          <w:color w:val="auto"/>
          <w:sz w:val="28"/>
          <w:szCs w:val="28"/>
          <w:highlight w:val="none"/>
        </w:rPr>
        <w:t>承包人（乙方）：</w:t>
      </w:r>
      <w:r>
        <w:rPr>
          <w:rFonts w:hint="eastAsia" w:ascii="方正大标宋简体" w:hAnsi="宋体" w:eastAsia="方正大标宋简体"/>
          <w:color w:val="auto"/>
          <w:sz w:val="28"/>
          <w:szCs w:val="28"/>
          <w:highlight w:val="none"/>
          <w:u w:val="single"/>
        </w:rPr>
        <w:t xml:space="preserve">                                         </w:t>
      </w:r>
    </w:p>
    <w:p w14:paraId="2093DBB5">
      <w:pPr>
        <w:spacing w:line="480" w:lineRule="exact"/>
        <w:ind w:firstLine="2660" w:firstLineChars="950"/>
        <w:rPr>
          <w:rFonts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合同签订日期：</w:t>
      </w:r>
      <w:r>
        <w:rPr>
          <w:rFonts w:hint="eastAsia" w:ascii="仿宋_GB2312" w:hAnsi="仿宋" w:eastAsia="仿宋_GB2312"/>
          <w:color w:val="auto"/>
          <w:sz w:val="28"/>
          <w:szCs w:val="28"/>
          <w:highlight w:val="none"/>
          <w:u w:val="single"/>
        </w:rPr>
        <w:t xml:space="preserve">  </w:t>
      </w:r>
      <w:r>
        <w:rPr>
          <w:rFonts w:hint="eastAsia" w:ascii="方正大标宋简体" w:hAnsi="仿宋" w:eastAsia="方正大标宋简体"/>
          <w:color w:val="auto"/>
          <w:sz w:val="28"/>
          <w:szCs w:val="28"/>
          <w:highlight w:val="none"/>
          <w:u w:val="single"/>
          <w:lang w:val="en-US" w:eastAsia="zh-CN"/>
        </w:rPr>
        <w:t xml:space="preserve">    </w:t>
      </w:r>
      <w:r>
        <w:rPr>
          <w:rFonts w:hint="eastAsia" w:ascii="方正大标宋简体" w:hAnsi="仿宋" w:eastAsia="方正大标宋简体"/>
          <w:color w:val="auto"/>
          <w:sz w:val="28"/>
          <w:szCs w:val="28"/>
          <w:highlight w:val="none"/>
          <w:u w:val="single"/>
        </w:rPr>
        <w:t xml:space="preserve">年  月    日         </w:t>
      </w:r>
    </w:p>
    <w:p w14:paraId="430413BF">
      <w:pPr>
        <w:spacing w:line="480" w:lineRule="exact"/>
        <w:ind w:firstLine="2660" w:firstLineChars="950"/>
        <w:rPr>
          <w:rFonts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签订地点：</w:t>
      </w:r>
      <w:r>
        <w:rPr>
          <w:rFonts w:hint="eastAsia" w:ascii="仿宋_GB2312" w:hAnsi="仿宋" w:eastAsia="仿宋_GB2312"/>
          <w:color w:val="auto"/>
          <w:sz w:val="28"/>
          <w:szCs w:val="28"/>
          <w:highlight w:val="none"/>
          <w:u w:val="single"/>
        </w:rPr>
        <w:t xml:space="preserve">           </w:t>
      </w:r>
      <w:r>
        <w:rPr>
          <w:rFonts w:hint="eastAsia" w:ascii="方正大标宋简体" w:hAnsi="仿宋" w:eastAsia="方正大标宋简体"/>
          <w:color w:val="auto"/>
          <w:sz w:val="28"/>
          <w:szCs w:val="28"/>
          <w:highlight w:val="none"/>
          <w:u w:val="single"/>
        </w:rPr>
        <w:t xml:space="preserve">广州市黄埔区           </w:t>
      </w:r>
    </w:p>
    <w:p w14:paraId="1F1F9EDD">
      <w:pPr>
        <w:spacing w:line="480" w:lineRule="exact"/>
        <w:jc w:val="center"/>
        <w:rPr>
          <w:rFonts w:ascii="宋体" w:hAnsi="宋体"/>
          <w:color w:val="auto"/>
          <w:highlight w:val="none"/>
        </w:rPr>
      </w:pPr>
      <w:r>
        <w:rPr>
          <w:color w:val="auto"/>
          <w:highlight w:val="none"/>
        </w:rPr>
        <w:drawing>
          <wp:anchor distT="0" distB="0" distL="114300" distR="114300" simplePos="0" relativeHeight="251664384" behindDoc="0" locked="0" layoutInCell="1" allowOverlap="0">
            <wp:simplePos x="0" y="0"/>
            <wp:positionH relativeFrom="column">
              <wp:align>center</wp:align>
            </wp:positionH>
            <wp:positionV relativeFrom="paragraph">
              <wp:posOffset>742950</wp:posOffset>
            </wp:positionV>
            <wp:extent cx="7562850" cy="2633980"/>
            <wp:effectExtent l="0" t="0" r="0" b="1397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7562850" cy="2633980"/>
                    </a:xfrm>
                    <a:prstGeom prst="rect">
                      <a:avLst/>
                    </a:prstGeom>
                    <a:noFill/>
                    <a:ln>
                      <a:noFill/>
                    </a:ln>
                  </pic:spPr>
                </pic:pic>
              </a:graphicData>
            </a:graphic>
          </wp:anchor>
        </w:drawing>
      </w:r>
    </w:p>
    <w:p w14:paraId="4F0898F5">
      <w:pPr>
        <w:snapToGrid w:val="0"/>
        <w:spacing w:line="440" w:lineRule="exact"/>
        <w:ind w:left="-197" w:leftChars="-94"/>
        <w:jc w:val="center"/>
        <w:rPr>
          <w:rFonts w:ascii="宋体" w:hAnsi="宋体"/>
          <w:color w:val="auto"/>
          <w:highlight w:val="none"/>
        </w:rPr>
        <w:sectPr>
          <w:headerReference r:id="rId17" w:type="first"/>
          <w:footerReference r:id="rId20" w:type="first"/>
          <w:headerReference r:id="rId15" w:type="default"/>
          <w:footerReference r:id="rId18" w:type="default"/>
          <w:headerReference r:id="rId16" w:type="even"/>
          <w:footerReference r:id="rId19" w:type="even"/>
          <w:pgSz w:w="11906" w:h="16838"/>
          <w:pgMar w:top="0" w:right="0" w:bottom="0" w:left="0" w:header="4" w:footer="851" w:gutter="284"/>
          <w:pgNumType w:fmt="decimal"/>
          <w:cols w:space="720" w:num="1"/>
          <w:docGrid w:type="lines" w:linePitch="408" w:charSpace="0"/>
        </w:sectPr>
      </w:pPr>
    </w:p>
    <w:p w14:paraId="0D8A56CC">
      <w:pPr>
        <w:snapToGrid w:val="0"/>
        <w:spacing w:line="440" w:lineRule="exact"/>
        <w:jc w:val="center"/>
        <w:rPr>
          <w:rFonts w:ascii="宋体" w:hAnsi="宋体"/>
          <w:b/>
          <w:bCs/>
          <w:color w:val="auto"/>
          <w:sz w:val="28"/>
          <w:szCs w:val="28"/>
          <w:highlight w:val="none"/>
        </w:rPr>
      </w:pPr>
      <w:r>
        <w:rPr>
          <w:rFonts w:hint="eastAsia" w:ascii="宋体" w:hAnsi="宋体"/>
          <w:b/>
          <w:color w:val="auto"/>
          <w:sz w:val="28"/>
          <w:szCs w:val="28"/>
          <w:highlight w:val="none"/>
        </w:rPr>
        <w:t>第一部分</w:t>
      </w:r>
      <w:r>
        <w:rPr>
          <w:rFonts w:ascii="宋体" w:hAnsi="宋体"/>
          <w:b/>
          <w:color w:val="auto"/>
          <w:sz w:val="28"/>
          <w:szCs w:val="28"/>
          <w:highlight w:val="none"/>
        </w:rPr>
        <w:t xml:space="preserve">   </w:t>
      </w:r>
      <w:r>
        <w:rPr>
          <w:rFonts w:hint="eastAsia" w:ascii="宋体" w:hAnsi="宋体"/>
          <w:b/>
          <w:color w:val="auto"/>
          <w:sz w:val="28"/>
          <w:szCs w:val="28"/>
          <w:highlight w:val="none"/>
        </w:rPr>
        <w:t>协议书</w:t>
      </w:r>
    </w:p>
    <w:p w14:paraId="6D753CA0">
      <w:pPr>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rPr>
        <w:t>发包人（甲方）：</w:t>
      </w:r>
      <w:r>
        <w:rPr>
          <w:rFonts w:ascii="宋体" w:hAnsi="宋体"/>
          <w:color w:val="auto"/>
          <w:sz w:val="24"/>
          <w:highlight w:val="none"/>
          <w:u w:val="single"/>
        </w:rPr>
        <w:t xml:space="preserve">                             </w:t>
      </w:r>
      <w:r>
        <w:rPr>
          <w:rFonts w:hint="eastAsia" w:ascii="宋体" w:hAnsi="宋体"/>
          <w:color w:val="auto"/>
          <w:sz w:val="24"/>
          <w:highlight w:val="none"/>
        </w:rPr>
        <w:t>。</w:t>
      </w:r>
    </w:p>
    <w:p w14:paraId="1B4FCB67">
      <w:pPr>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rPr>
        <w:t>承包人（乙方）：</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14:paraId="2F6E8E49">
      <w:pPr>
        <w:pStyle w:val="33"/>
        <w:snapToGrid w:val="0"/>
        <w:spacing w:line="440" w:lineRule="exact"/>
        <w:rPr>
          <w:rFonts w:hint="eastAsia" w:ascii="宋体" w:hAnsi="宋体" w:eastAsia="宋体"/>
          <w:color w:val="auto"/>
          <w:szCs w:val="24"/>
          <w:highlight w:val="none"/>
          <w:lang w:eastAsia="zh-CN"/>
        </w:rPr>
      </w:pPr>
      <w:r>
        <w:rPr>
          <w:rFonts w:hint="eastAsia" w:ascii="宋体" w:hAnsi="宋体"/>
          <w:color w:val="auto"/>
          <w:szCs w:val="24"/>
          <w:highlight w:val="none"/>
        </w:rPr>
        <w:t>依照《中华人民共和国民法典》、《中华人民共和国建筑法》及其他有关法律、行政法规，遵循平等、自愿、公平和诚实信用的原则，双方就本建设工程施工事项协商一致，订立本合同。本合同为代建单位与承包人签订，</w:t>
      </w:r>
      <w:r>
        <w:rPr>
          <w:rFonts w:hint="eastAsia" w:ascii="宋体" w:hAnsi="宋体"/>
          <w:color w:val="auto"/>
          <w:szCs w:val="24"/>
          <w:highlight w:val="none"/>
          <w:lang w:val="en-US" w:eastAsia="zh-CN"/>
        </w:rPr>
        <w:t>开具</w:t>
      </w:r>
      <w:r>
        <w:rPr>
          <w:rFonts w:hint="eastAsia" w:ascii="宋体" w:hAnsi="宋体"/>
          <w:color w:val="auto"/>
          <w:szCs w:val="24"/>
          <w:highlight w:val="none"/>
        </w:rPr>
        <w:t>发票购买方名称应为建设业主“广州开发区财政投资建设项目管理中心”</w:t>
      </w:r>
      <w:r>
        <w:rPr>
          <w:rFonts w:hint="eastAsia" w:ascii="宋体" w:hAnsi="宋体"/>
          <w:color w:val="auto"/>
          <w:szCs w:val="24"/>
          <w:highlight w:val="none"/>
          <w:lang w:eastAsia="zh-CN"/>
        </w:rPr>
        <w:t>。</w:t>
      </w:r>
    </w:p>
    <w:p w14:paraId="54590D6A">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一、工程概况</w:t>
      </w:r>
    </w:p>
    <w:p w14:paraId="1612C5B2">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工程名称：</w:t>
      </w:r>
      <w:r>
        <w:rPr>
          <w:rFonts w:ascii="宋体" w:hAnsi="宋体"/>
          <w:bCs/>
          <w:color w:val="auto"/>
          <w:sz w:val="24"/>
          <w:highlight w:val="none"/>
          <w:u w:val="single"/>
        </w:rPr>
        <w:t xml:space="preserve">                            </w:t>
      </w:r>
      <w:r>
        <w:rPr>
          <w:rFonts w:hint="eastAsia" w:ascii="宋体" w:hAnsi="宋体"/>
          <w:bCs/>
          <w:color w:val="auto"/>
          <w:sz w:val="24"/>
          <w:highlight w:val="none"/>
        </w:rPr>
        <w:t>。</w:t>
      </w:r>
    </w:p>
    <w:p w14:paraId="6D4FC835">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工程地点：</w:t>
      </w:r>
      <w:r>
        <w:rPr>
          <w:rFonts w:ascii="宋体" w:hAnsi="宋体"/>
          <w:bCs/>
          <w:color w:val="auto"/>
          <w:sz w:val="24"/>
          <w:highlight w:val="none"/>
          <w:u w:val="single"/>
        </w:rPr>
        <w:t xml:space="preserve">                            </w:t>
      </w:r>
      <w:r>
        <w:rPr>
          <w:rFonts w:hint="eastAsia" w:ascii="宋体" w:hAnsi="宋体"/>
          <w:bCs/>
          <w:color w:val="auto"/>
          <w:sz w:val="24"/>
          <w:highlight w:val="none"/>
        </w:rPr>
        <w:t>。</w:t>
      </w:r>
    </w:p>
    <w:p w14:paraId="3F6A2994">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工程内容：</w:t>
      </w:r>
      <w:r>
        <w:rPr>
          <w:rFonts w:ascii="宋体" w:hAnsi="宋体"/>
          <w:color w:val="auto"/>
          <w:sz w:val="24"/>
          <w:highlight w:val="none"/>
          <w:u w:val="single"/>
        </w:rPr>
        <w:t xml:space="preserve">                          </w:t>
      </w:r>
      <w:r>
        <w:rPr>
          <w:rFonts w:hint="eastAsia" w:ascii="宋体" w:hAnsi="宋体"/>
          <w:color w:val="auto"/>
          <w:sz w:val="24"/>
          <w:highlight w:val="none"/>
        </w:rPr>
        <w:t>。具体内容以施工图纸及工程量清单为准。</w:t>
      </w:r>
    </w:p>
    <w:p w14:paraId="68EFB79B">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u w:val="single"/>
        </w:rPr>
        <w:t>建设业主有权根据工程实施情况，对承包人的承包范围和承包工程量进行适当调整</w:t>
      </w:r>
      <w:r>
        <w:rPr>
          <w:rFonts w:hint="eastAsia" w:ascii="宋体" w:hAnsi="宋体"/>
          <w:color w:val="auto"/>
          <w:sz w:val="24"/>
          <w:highlight w:val="none"/>
        </w:rPr>
        <w:t>。</w:t>
      </w:r>
    </w:p>
    <w:p w14:paraId="25EAEEE4">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工程立项批准文号：</w:t>
      </w:r>
      <w:r>
        <w:rPr>
          <w:rFonts w:ascii="宋体" w:hAnsi="宋体"/>
          <w:color w:val="auto"/>
          <w:sz w:val="24"/>
          <w:highlight w:val="none"/>
          <w:u w:val="single"/>
        </w:rPr>
        <w:t xml:space="preserve">             </w:t>
      </w:r>
      <w:r>
        <w:rPr>
          <w:rFonts w:hint="eastAsia" w:ascii="宋体" w:hAnsi="宋体"/>
          <w:color w:val="auto"/>
          <w:sz w:val="24"/>
          <w:highlight w:val="none"/>
        </w:rPr>
        <w:t>。</w:t>
      </w:r>
    </w:p>
    <w:p w14:paraId="04D61422">
      <w:pPr>
        <w:snapToGrid w:val="0"/>
        <w:spacing w:line="440" w:lineRule="exact"/>
        <w:ind w:firstLine="480"/>
        <w:jc w:val="left"/>
        <w:rPr>
          <w:rFonts w:ascii="宋体" w:hAnsi="宋体"/>
          <w:color w:val="auto"/>
          <w:sz w:val="24"/>
          <w:highlight w:val="none"/>
          <w:u w:val="single"/>
        </w:rPr>
      </w:pPr>
      <w:r>
        <w:rPr>
          <w:rFonts w:hint="eastAsia" w:ascii="宋体" w:hAnsi="宋体"/>
          <w:color w:val="auto"/>
          <w:sz w:val="24"/>
          <w:highlight w:val="none"/>
        </w:rPr>
        <w:t>资金来源：</w:t>
      </w:r>
      <w:r>
        <w:rPr>
          <w:rFonts w:hint="eastAsia" w:ascii="宋体" w:hAnsi="宋体"/>
          <w:color w:val="auto"/>
          <w:sz w:val="24"/>
          <w:highlight w:val="none"/>
          <w:u w:val="single"/>
        </w:rPr>
        <w:t>财政投资</w:t>
      </w:r>
      <w:r>
        <w:rPr>
          <w:rFonts w:hint="eastAsia" w:ascii="宋体" w:hAnsi="宋体"/>
          <w:color w:val="auto"/>
          <w:sz w:val="24"/>
          <w:highlight w:val="none"/>
        </w:rPr>
        <w:t>。</w:t>
      </w:r>
    </w:p>
    <w:p w14:paraId="4DD897C1">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二、工程承包范围及承包方式</w:t>
      </w:r>
    </w:p>
    <w:p w14:paraId="7DFEE84F">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（一）承包范围：</w:t>
      </w:r>
      <w:r>
        <w:rPr>
          <w:rFonts w:hint="eastAsia" w:ascii="宋体" w:hAnsi="宋体"/>
          <w:color w:val="auto"/>
          <w:sz w:val="24"/>
          <w:highlight w:val="none"/>
          <w:u w:val="single"/>
        </w:rPr>
        <w:t>按发包人确认的施工图纸、图纸会审纪录和有关变更文件、资料、招标文件、承包人投标文件以及双方签订的有关协议所包含的内容</w:t>
      </w:r>
      <w:r>
        <w:rPr>
          <w:rFonts w:hint="eastAsia" w:ascii="宋体" w:hAnsi="宋体"/>
          <w:color w:val="auto"/>
          <w:sz w:val="24"/>
          <w:highlight w:val="none"/>
        </w:rPr>
        <w:t>。</w:t>
      </w:r>
    </w:p>
    <w:p w14:paraId="4D82A438">
      <w:pPr>
        <w:snapToGrid w:val="0"/>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rPr>
        <w:t>（二）承包方式：</w:t>
      </w:r>
      <w:r>
        <w:rPr>
          <w:rFonts w:ascii="宋体" w:hAnsi="宋体"/>
          <w:color w:val="auto"/>
          <w:sz w:val="24"/>
          <w:highlight w:val="none"/>
          <w:u w:val="single"/>
        </w:rPr>
        <w:t>包工、包料、包工期、包质量、包安全、包文</w:t>
      </w:r>
      <w:r>
        <w:rPr>
          <w:rFonts w:hint="eastAsia" w:ascii="宋体" w:hAnsi="宋体"/>
          <w:color w:val="auto"/>
          <w:sz w:val="24"/>
          <w:highlight w:val="none"/>
          <w:u w:val="single"/>
        </w:rPr>
        <w:t>明施工、包验收、包保修、综合单价包干，</w:t>
      </w:r>
      <w:r>
        <w:rPr>
          <w:rFonts w:ascii="宋体" w:hAnsi="宋体"/>
          <w:color w:val="auto"/>
          <w:sz w:val="24"/>
          <w:highlight w:val="none"/>
          <w:u w:val="single"/>
        </w:rPr>
        <w:t>措施项目费（除施工围蔽费用外）包干，施工围蔽清单综合单价包干，工程量按实计量</w:t>
      </w:r>
      <w:r>
        <w:rPr>
          <w:rFonts w:hint="eastAsia" w:ascii="宋体" w:hAnsi="宋体"/>
          <w:color w:val="auto"/>
          <w:sz w:val="24"/>
          <w:highlight w:val="none"/>
        </w:rPr>
        <w:t>。</w:t>
      </w:r>
    </w:p>
    <w:p w14:paraId="0786389C">
      <w:pPr>
        <w:snapToGrid w:val="0"/>
        <w:spacing w:line="440" w:lineRule="exact"/>
        <w:ind w:firstLine="482" w:firstLineChars="200"/>
        <w:rPr>
          <w:rFonts w:ascii="宋体" w:hAnsi="宋体"/>
          <w:b/>
          <w:bCs/>
          <w:color w:val="auto"/>
          <w:sz w:val="24"/>
          <w:highlight w:val="none"/>
          <w:u w:val="single"/>
        </w:rPr>
      </w:pPr>
      <w:r>
        <w:rPr>
          <w:rFonts w:hint="eastAsia" w:ascii="宋体" w:hAnsi="宋体"/>
          <w:b/>
          <w:bCs/>
          <w:color w:val="auto"/>
          <w:sz w:val="24"/>
          <w:highlight w:val="none"/>
        </w:rPr>
        <w:t>三、合同工期</w:t>
      </w:r>
    </w:p>
    <w:p w14:paraId="0CB8BBBF">
      <w:pPr>
        <w:snapToGrid w:val="0"/>
        <w:spacing w:line="440" w:lineRule="exact"/>
        <w:ind w:left="480"/>
        <w:rPr>
          <w:rFonts w:ascii="宋体" w:hAnsi="宋体"/>
          <w:color w:val="auto"/>
          <w:sz w:val="24"/>
          <w:highlight w:val="none"/>
          <w:u w:val="single"/>
        </w:rPr>
      </w:pPr>
      <w:r>
        <w:rPr>
          <w:rFonts w:hint="eastAsia" w:ascii="宋体" w:hAnsi="宋体"/>
          <w:color w:val="auto"/>
          <w:sz w:val="24"/>
          <w:highlight w:val="none"/>
        </w:rPr>
        <w:t>暂定开工日期：</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32F52676">
      <w:pPr>
        <w:snapToGrid w:val="0"/>
        <w:spacing w:line="440" w:lineRule="exact"/>
        <w:ind w:left="480"/>
        <w:rPr>
          <w:rFonts w:ascii="宋体" w:hAnsi="宋体"/>
          <w:color w:val="auto"/>
          <w:sz w:val="24"/>
          <w:highlight w:val="none"/>
          <w:u w:val="single"/>
        </w:rPr>
      </w:pPr>
      <w:r>
        <w:rPr>
          <w:rFonts w:hint="eastAsia" w:ascii="宋体" w:hAnsi="宋体"/>
          <w:color w:val="auto"/>
          <w:sz w:val="24"/>
          <w:highlight w:val="none"/>
        </w:rPr>
        <w:t>暂定竣工日期：</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6F402BD7">
      <w:pPr>
        <w:snapToGrid w:val="0"/>
        <w:spacing w:line="440" w:lineRule="exact"/>
        <w:ind w:left="480"/>
        <w:rPr>
          <w:rFonts w:ascii="宋体" w:hAnsi="宋体"/>
          <w:dstrike/>
          <w:color w:val="auto"/>
          <w:sz w:val="24"/>
          <w:highlight w:val="none"/>
        </w:rPr>
      </w:pPr>
      <w:r>
        <w:rPr>
          <w:rFonts w:hint="eastAsia" w:ascii="宋体" w:hAnsi="宋体"/>
          <w:color w:val="auto"/>
          <w:sz w:val="24"/>
          <w:highlight w:val="none"/>
        </w:rPr>
        <w:t>合同工期为</w:t>
      </w:r>
      <w:r>
        <w:rPr>
          <w:rFonts w:ascii="宋体" w:hAnsi="宋体"/>
          <w:color w:val="auto"/>
          <w:sz w:val="24"/>
          <w:highlight w:val="none"/>
          <w:u w:val="single"/>
        </w:rPr>
        <w:t xml:space="preserve">     </w:t>
      </w:r>
      <w:r>
        <w:rPr>
          <w:rFonts w:hint="eastAsia" w:ascii="宋体" w:hAnsi="宋体"/>
          <w:color w:val="auto"/>
          <w:sz w:val="24"/>
          <w:highlight w:val="none"/>
        </w:rPr>
        <w:t>日历天。</w:t>
      </w:r>
    </w:p>
    <w:p w14:paraId="53189710">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四、质量标准</w:t>
      </w:r>
    </w:p>
    <w:p w14:paraId="572D81D4">
      <w:pPr>
        <w:pStyle w:val="31"/>
        <w:snapToGrid w:val="0"/>
        <w:spacing w:line="40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施工要求：符合设计图纸要求和国家、省、市相关法律法规规定要求及行业工程质量标准，</w:t>
      </w:r>
      <w:r>
        <w:rPr>
          <w:rFonts w:hint="eastAsia" w:ascii="宋体" w:hAnsi="宋体"/>
          <w:color w:val="auto"/>
          <w:kern w:val="0"/>
          <w:sz w:val="24"/>
          <w:highlight w:val="none"/>
          <w:u w:val="single"/>
        </w:rPr>
        <w:t>且达到投标承诺的</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标准</w:t>
      </w:r>
      <w:r>
        <w:rPr>
          <w:rFonts w:hint="eastAsia" w:ascii="宋体" w:hAnsi="宋体"/>
          <w:color w:val="auto"/>
          <w:kern w:val="0"/>
          <w:sz w:val="24"/>
          <w:highlight w:val="none"/>
        </w:rPr>
        <w:t>。</w:t>
      </w:r>
    </w:p>
    <w:p w14:paraId="020F3478">
      <w:pPr>
        <w:spacing w:line="400" w:lineRule="exact"/>
        <w:ind w:firstLine="480" w:firstLineChars="200"/>
        <w:rPr>
          <w:rFonts w:ascii="宋体" w:hAnsi="宋体"/>
          <w:color w:val="auto"/>
          <w:kern w:val="0"/>
          <w:sz w:val="24"/>
          <w:highlight w:val="none"/>
          <w:u w:val="single"/>
        </w:rPr>
      </w:pPr>
      <w:r>
        <w:rPr>
          <w:rFonts w:hint="eastAsia" w:ascii="宋体" w:hAnsi="宋体"/>
          <w:color w:val="auto"/>
          <w:kern w:val="0"/>
          <w:sz w:val="24"/>
          <w:highlight w:val="none"/>
        </w:rPr>
        <w:t>工程质量标准：合格，</w:t>
      </w:r>
      <w:r>
        <w:rPr>
          <w:rFonts w:hint="eastAsia" w:ascii="宋体" w:hAnsi="宋体"/>
          <w:color w:val="auto"/>
          <w:kern w:val="0"/>
          <w:sz w:val="24"/>
          <w:highlight w:val="none"/>
          <w:u w:val="single"/>
        </w:rPr>
        <w:t>且达到投标承诺的</w:t>
      </w:r>
      <w:r>
        <w:rPr>
          <w:rFonts w:ascii="宋体" w:hAnsi="宋体"/>
          <w:color w:val="auto"/>
          <w:kern w:val="0"/>
          <w:sz w:val="24"/>
          <w:highlight w:val="none"/>
          <w:u w:val="single"/>
        </w:rPr>
        <w:t xml:space="preserve">    </w:t>
      </w:r>
      <w:r>
        <w:rPr>
          <w:rFonts w:hint="eastAsia" w:ascii="宋体" w:hAnsi="宋体"/>
          <w:color w:val="auto"/>
          <w:kern w:val="0"/>
          <w:sz w:val="24"/>
          <w:highlight w:val="none"/>
          <w:u w:val="single"/>
        </w:rPr>
        <w:t>标准。</w:t>
      </w:r>
    </w:p>
    <w:p w14:paraId="0716FD53">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五、合同价款</w:t>
      </w:r>
    </w:p>
    <w:p w14:paraId="383B2095">
      <w:pPr>
        <w:spacing w:line="440" w:lineRule="exact"/>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合同价款暂定为￥</w:t>
      </w:r>
      <w:r>
        <w:rPr>
          <w:rFonts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元（大写：人民币</w:t>
      </w:r>
      <w:r>
        <w:rPr>
          <w:rFonts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），其中绿色施工安全防护措施费为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元、暂列金额为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元，人工费     元，工人工资比例为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w:t>
      </w:r>
    </w:p>
    <w:p w14:paraId="1AE93011">
      <w:pPr>
        <w:spacing w:line="440" w:lineRule="exact"/>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u w:val="single"/>
        </w:rPr>
        <w:t>工程结算价款以广州开发区财政局审定结算为准</w:t>
      </w:r>
      <w:r>
        <w:rPr>
          <w:rFonts w:hint="eastAsia" w:ascii="宋体" w:hAnsi="宋体"/>
          <w:bCs/>
          <w:snapToGrid w:val="0"/>
          <w:color w:val="auto"/>
          <w:kern w:val="0"/>
          <w:sz w:val="24"/>
          <w:highlight w:val="none"/>
        </w:rPr>
        <w:t>。如遇审计部门审计发现本合同结算价款存在超付的情形，发包人有权据实要求承包人返还该部分款项。</w:t>
      </w:r>
    </w:p>
    <w:p w14:paraId="44722CC7">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六、组成合同的文件</w:t>
      </w:r>
    </w:p>
    <w:p w14:paraId="18BD98DA">
      <w:pPr>
        <w:spacing w:line="440" w:lineRule="exact"/>
        <w:ind w:firstLine="444" w:firstLineChars="185"/>
        <w:rPr>
          <w:rFonts w:ascii="宋体" w:hAnsi="宋体"/>
          <w:color w:val="auto"/>
          <w:sz w:val="24"/>
          <w:highlight w:val="none"/>
        </w:rPr>
      </w:pPr>
      <w:r>
        <w:rPr>
          <w:rFonts w:hint="eastAsia" w:ascii="宋体" w:hAnsi="宋体"/>
          <w:color w:val="auto"/>
          <w:sz w:val="24"/>
          <w:highlight w:val="none"/>
        </w:rPr>
        <w:t>组成本合同的文件包括：</w:t>
      </w:r>
    </w:p>
    <w:p w14:paraId="4784B96E">
      <w:pPr>
        <w:spacing w:line="440" w:lineRule="exact"/>
        <w:ind w:firstLine="444" w:firstLineChars="185"/>
        <w:rPr>
          <w:rFonts w:ascii="宋体" w:hAnsi="宋体"/>
          <w:color w:val="auto"/>
          <w:sz w:val="24"/>
          <w:highlight w:val="none"/>
        </w:rPr>
      </w:pPr>
      <w:r>
        <w:rPr>
          <w:rFonts w:ascii="宋体" w:hAnsi="宋体"/>
          <w:color w:val="auto"/>
          <w:sz w:val="24"/>
          <w:highlight w:val="none"/>
        </w:rPr>
        <w:t>1.本合同履行期间发包人与承包人双方签订的补充合同（协议）或修正文件；</w:t>
      </w:r>
    </w:p>
    <w:p w14:paraId="5AD57DB9">
      <w:pPr>
        <w:spacing w:line="440" w:lineRule="exact"/>
        <w:ind w:firstLine="444" w:firstLineChars="185"/>
        <w:rPr>
          <w:rFonts w:ascii="宋体" w:hAnsi="宋体"/>
          <w:color w:val="auto"/>
          <w:sz w:val="24"/>
          <w:highlight w:val="none"/>
        </w:rPr>
      </w:pPr>
      <w:r>
        <w:rPr>
          <w:rFonts w:ascii="宋体" w:hAnsi="宋体"/>
          <w:color w:val="auto"/>
          <w:sz w:val="24"/>
          <w:highlight w:val="none"/>
        </w:rPr>
        <w:t>2.本合同协议书</w:t>
      </w:r>
      <w:r>
        <w:rPr>
          <w:rFonts w:hint="eastAsia" w:ascii="宋体" w:hAnsi="宋体"/>
          <w:color w:val="auto"/>
          <w:sz w:val="24"/>
          <w:highlight w:val="none"/>
        </w:rPr>
        <w:t>；</w:t>
      </w:r>
    </w:p>
    <w:p w14:paraId="0EFE8623">
      <w:pPr>
        <w:spacing w:line="440" w:lineRule="exact"/>
        <w:ind w:firstLine="444" w:firstLineChars="185"/>
        <w:rPr>
          <w:rFonts w:ascii="宋体" w:hAnsi="宋体"/>
          <w:color w:val="auto"/>
          <w:sz w:val="24"/>
          <w:highlight w:val="none"/>
        </w:rPr>
      </w:pPr>
      <w:r>
        <w:rPr>
          <w:rFonts w:ascii="宋体" w:hAnsi="宋体"/>
          <w:color w:val="auto"/>
          <w:sz w:val="24"/>
          <w:highlight w:val="none"/>
        </w:rPr>
        <w:t>3.国家、广东省、广州市、广州开发区、</w:t>
      </w:r>
      <w:r>
        <w:rPr>
          <w:rFonts w:hint="eastAsia" w:ascii="宋体" w:hAnsi="宋体"/>
          <w:color w:val="auto"/>
          <w:sz w:val="24"/>
          <w:highlight w:val="none"/>
        </w:rPr>
        <w:t>黄埔</w:t>
      </w:r>
      <w:r>
        <w:rPr>
          <w:rFonts w:ascii="宋体" w:hAnsi="宋体"/>
          <w:color w:val="auto"/>
          <w:sz w:val="24"/>
          <w:highlight w:val="none"/>
        </w:rPr>
        <w:t>区关于本工程施工的有关文件（发包人在收到后尽快通报给承包人）；</w:t>
      </w:r>
    </w:p>
    <w:p w14:paraId="683650B4">
      <w:pPr>
        <w:spacing w:line="440" w:lineRule="exact"/>
        <w:ind w:firstLine="444" w:firstLineChars="18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建设业主</w:t>
      </w:r>
      <w:r>
        <w:rPr>
          <w:rFonts w:ascii="宋体" w:hAnsi="宋体"/>
          <w:color w:val="auto"/>
          <w:sz w:val="24"/>
          <w:highlight w:val="none"/>
        </w:rPr>
        <w:t>针对本工程建设管理的各项制度、规定；</w:t>
      </w:r>
    </w:p>
    <w:p w14:paraId="7BD1768B">
      <w:pPr>
        <w:spacing w:line="440" w:lineRule="exact"/>
        <w:ind w:firstLine="444" w:firstLineChars="185"/>
        <w:rPr>
          <w:rFonts w:ascii="宋体" w:hAnsi="宋体"/>
          <w:color w:val="auto"/>
          <w:sz w:val="24"/>
          <w:highlight w:val="none"/>
        </w:rPr>
      </w:pPr>
      <w:r>
        <w:rPr>
          <w:rFonts w:ascii="宋体" w:hAnsi="宋体"/>
          <w:color w:val="auto"/>
          <w:sz w:val="24"/>
          <w:highlight w:val="none"/>
        </w:rPr>
        <w:t>5.中标通知书</w:t>
      </w:r>
      <w:r>
        <w:rPr>
          <w:rFonts w:hint="eastAsia" w:ascii="宋体" w:hAnsi="宋体"/>
          <w:color w:val="auto"/>
          <w:sz w:val="24"/>
          <w:highlight w:val="none"/>
        </w:rPr>
        <w:t>；</w:t>
      </w:r>
    </w:p>
    <w:p w14:paraId="019E6955">
      <w:pPr>
        <w:spacing w:line="440" w:lineRule="exact"/>
        <w:ind w:firstLine="444" w:firstLineChars="185"/>
        <w:rPr>
          <w:rFonts w:ascii="宋体" w:hAnsi="宋体"/>
          <w:color w:val="auto"/>
          <w:sz w:val="24"/>
          <w:highlight w:val="none"/>
        </w:rPr>
      </w:pPr>
      <w:r>
        <w:rPr>
          <w:rFonts w:ascii="宋体" w:hAnsi="宋体"/>
          <w:color w:val="auto"/>
          <w:sz w:val="24"/>
          <w:highlight w:val="none"/>
        </w:rPr>
        <w:t>6.本合同专用条款</w:t>
      </w:r>
      <w:r>
        <w:rPr>
          <w:rFonts w:hint="eastAsia" w:ascii="宋体" w:hAnsi="宋体"/>
          <w:color w:val="auto"/>
          <w:sz w:val="24"/>
          <w:highlight w:val="none"/>
        </w:rPr>
        <w:t>；</w:t>
      </w:r>
    </w:p>
    <w:p w14:paraId="0DAA374A">
      <w:pPr>
        <w:spacing w:line="440" w:lineRule="exact"/>
        <w:ind w:firstLine="444" w:firstLineChars="185"/>
        <w:rPr>
          <w:rFonts w:ascii="宋体" w:hAnsi="宋体"/>
          <w:color w:val="auto"/>
          <w:sz w:val="24"/>
          <w:highlight w:val="none"/>
        </w:rPr>
      </w:pPr>
      <w:r>
        <w:rPr>
          <w:rFonts w:ascii="宋体" w:hAnsi="宋体"/>
          <w:color w:val="auto"/>
          <w:sz w:val="24"/>
          <w:highlight w:val="none"/>
        </w:rPr>
        <w:t>7.招标文件及附件（包括补充、修改、澄清文件及答疑纪要等）</w:t>
      </w:r>
      <w:r>
        <w:rPr>
          <w:rFonts w:hint="eastAsia" w:ascii="宋体" w:hAnsi="宋体"/>
          <w:color w:val="auto"/>
          <w:sz w:val="24"/>
          <w:highlight w:val="none"/>
        </w:rPr>
        <w:t>；</w:t>
      </w:r>
    </w:p>
    <w:p w14:paraId="272AFA1E">
      <w:pPr>
        <w:spacing w:line="440" w:lineRule="exact"/>
        <w:ind w:firstLine="444" w:firstLineChars="185"/>
        <w:rPr>
          <w:rFonts w:ascii="宋体" w:hAnsi="宋体"/>
          <w:color w:val="auto"/>
          <w:sz w:val="24"/>
          <w:highlight w:val="none"/>
        </w:rPr>
      </w:pPr>
      <w:r>
        <w:rPr>
          <w:rFonts w:ascii="宋体" w:hAnsi="宋体"/>
          <w:color w:val="auto"/>
          <w:sz w:val="24"/>
          <w:highlight w:val="none"/>
        </w:rPr>
        <w:t>8.本合同通用条款</w:t>
      </w:r>
      <w:r>
        <w:rPr>
          <w:rFonts w:hint="eastAsia" w:ascii="宋体" w:hAnsi="宋体"/>
          <w:color w:val="auto"/>
          <w:sz w:val="24"/>
          <w:highlight w:val="none"/>
        </w:rPr>
        <w:t>；</w:t>
      </w:r>
    </w:p>
    <w:p w14:paraId="45EE6E9F">
      <w:pPr>
        <w:spacing w:line="440" w:lineRule="exact"/>
        <w:ind w:firstLine="444" w:firstLineChars="185"/>
        <w:rPr>
          <w:rFonts w:ascii="宋体" w:hAnsi="宋体"/>
          <w:color w:val="auto"/>
          <w:sz w:val="24"/>
          <w:highlight w:val="none"/>
        </w:rPr>
      </w:pPr>
      <w:r>
        <w:rPr>
          <w:rFonts w:ascii="宋体" w:hAnsi="宋体"/>
          <w:color w:val="auto"/>
          <w:sz w:val="24"/>
          <w:highlight w:val="none"/>
        </w:rPr>
        <w:t>9.投标文件及附件</w:t>
      </w:r>
      <w:r>
        <w:rPr>
          <w:rFonts w:hint="eastAsia" w:ascii="宋体" w:hAnsi="宋体"/>
          <w:color w:val="auto"/>
          <w:sz w:val="24"/>
          <w:highlight w:val="none"/>
        </w:rPr>
        <w:t>；</w:t>
      </w:r>
    </w:p>
    <w:p w14:paraId="46DCE5F2">
      <w:pPr>
        <w:spacing w:line="440" w:lineRule="exact"/>
        <w:ind w:firstLine="444" w:firstLineChars="185"/>
        <w:rPr>
          <w:rFonts w:ascii="宋体" w:hAnsi="宋体"/>
          <w:color w:val="auto"/>
          <w:sz w:val="24"/>
          <w:highlight w:val="none"/>
        </w:rPr>
      </w:pPr>
      <w:r>
        <w:rPr>
          <w:rFonts w:ascii="宋体" w:hAnsi="宋体"/>
          <w:color w:val="auto"/>
          <w:sz w:val="24"/>
          <w:highlight w:val="none"/>
        </w:rPr>
        <w:t>10.标准、规范和其他有关技术文件</w:t>
      </w:r>
      <w:r>
        <w:rPr>
          <w:rFonts w:hint="eastAsia" w:ascii="宋体" w:hAnsi="宋体"/>
          <w:color w:val="auto"/>
          <w:sz w:val="24"/>
          <w:highlight w:val="none"/>
        </w:rPr>
        <w:t>；</w:t>
      </w:r>
    </w:p>
    <w:p w14:paraId="06FA2368">
      <w:pPr>
        <w:spacing w:line="440" w:lineRule="exact"/>
        <w:ind w:firstLine="444" w:firstLineChars="185"/>
        <w:rPr>
          <w:rFonts w:ascii="宋体" w:hAnsi="宋体"/>
          <w:color w:val="auto"/>
          <w:sz w:val="24"/>
          <w:highlight w:val="none"/>
        </w:rPr>
      </w:pPr>
      <w:r>
        <w:rPr>
          <w:rFonts w:ascii="宋体" w:hAnsi="宋体"/>
          <w:color w:val="auto"/>
          <w:sz w:val="24"/>
          <w:highlight w:val="none"/>
        </w:rPr>
        <w:t>11.图纸</w:t>
      </w:r>
      <w:r>
        <w:rPr>
          <w:rFonts w:hint="eastAsia" w:ascii="宋体" w:hAnsi="宋体"/>
          <w:color w:val="auto"/>
          <w:sz w:val="24"/>
          <w:highlight w:val="none"/>
        </w:rPr>
        <w:t>；</w:t>
      </w:r>
    </w:p>
    <w:p w14:paraId="03C74DFF">
      <w:pPr>
        <w:spacing w:line="440" w:lineRule="exact"/>
        <w:ind w:firstLine="444" w:firstLineChars="185"/>
        <w:rPr>
          <w:rFonts w:ascii="宋体" w:hAnsi="宋体"/>
          <w:color w:val="auto"/>
          <w:sz w:val="24"/>
          <w:highlight w:val="none"/>
        </w:rPr>
      </w:pPr>
      <w:r>
        <w:rPr>
          <w:rFonts w:ascii="宋体" w:hAnsi="宋体"/>
          <w:color w:val="auto"/>
          <w:sz w:val="24"/>
          <w:highlight w:val="none"/>
        </w:rPr>
        <w:t>12.工程量清单</w:t>
      </w:r>
      <w:r>
        <w:rPr>
          <w:rFonts w:hint="eastAsia" w:ascii="宋体" w:hAnsi="宋体"/>
          <w:color w:val="auto"/>
          <w:sz w:val="24"/>
          <w:highlight w:val="none"/>
        </w:rPr>
        <w:t>；</w:t>
      </w:r>
    </w:p>
    <w:p w14:paraId="23CF7B7D">
      <w:pPr>
        <w:spacing w:line="440" w:lineRule="exact"/>
        <w:ind w:firstLine="444" w:firstLineChars="185"/>
        <w:rPr>
          <w:rFonts w:ascii="宋体" w:hAnsi="宋体"/>
          <w:color w:val="auto"/>
          <w:sz w:val="24"/>
          <w:highlight w:val="none"/>
        </w:rPr>
      </w:pPr>
      <w:r>
        <w:rPr>
          <w:rFonts w:ascii="宋体" w:hAnsi="宋体"/>
          <w:color w:val="auto"/>
          <w:sz w:val="24"/>
          <w:highlight w:val="none"/>
        </w:rPr>
        <w:t>13.合同附件（工程质量保修责任书、</w:t>
      </w:r>
      <w:r>
        <w:rPr>
          <w:rFonts w:hint="eastAsia" w:ascii="宋体" w:hAnsi="宋体"/>
          <w:color w:val="auto"/>
          <w:sz w:val="24"/>
          <w:highlight w:val="none"/>
        </w:rPr>
        <w:t>标函承诺书、项目负责人驻场承诺书、工程建设廉政协议书等）；</w:t>
      </w:r>
    </w:p>
    <w:p w14:paraId="486C8840">
      <w:pPr>
        <w:pStyle w:val="34"/>
        <w:spacing w:line="440" w:lineRule="exact"/>
        <w:ind w:left="0" w:firstLine="480" w:firstLineChars="200"/>
        <w:rPr>
          <w:rFonts w:ascii="宋体" w:hAnsi="宋体" w:eastAsia="宋体"/>
          <w:color w:val="auto"/>
          <w:sz w:val="24"/>
          <w:highlight w:val="none"/>
        </w:rPr>
      </w:pPr>
      <w:r>
        <w:rPr>
          <w:rFonts w:hint="eastAsia" w:ascii="宋体" w:hAnsi="宋体" w:eastAsia="宋体"/>
          <w:color w:val="auto"/>
          <w:sz w:val="24"/>
          <w:highlight w:val="none"/>
        </w:rPr>
        <w:t>双方有关工程的洽商、变更等书面协议或文件视为本合同的组成部分。</w:t>
      </w:r>
    </w:p>
    <w:p w14:paraId="3B069B9C">
      <w:pPr>
        <w:snapToGrid w:val="0"/>
        <w:spacing w:line="440" w:lineRule="exact"/>
        <w:ind w:firstLine="482" w:firstLineChars="200"/>
        <w:rPr>
          <w:rFonts w:ascii="宋体" w:hAnsi="宋体"/>
          <w:bCs/>
          <w:color w:val="auto"/>
          <w:sz w:val="24"/>
          <w:highlight w:val="none"/>
        </w:rPr>
      </w:pPr>
      <w:r>
        <w:rPr>
          <w:rFonts w:hint="eastAsia" w:ascii="宋体" w:hAnsi="宋体"/>
          <w:b/>
          <w:bCs/>
          <w:color w:val="auto"/>
          <w:sz w:val="24"/>
          <w:highlight w:val="none"/>
        </w:rPr>
        <w:t>七、协议书中有关词语含义与本合同第二部分《通用条款》中分别赋予它们的定义相同。</w:t>
      </w:r>
    </w:p>
    <w:p w14:paraId="5EB748BF">
      <w:pPr>
        <w:snapToGrid w:val="0"/>
        <w:spacing w:line="440" w:lineRule="exact"/>
        <w:ind w:firstLine="482" w:firstLineChars="200"/>
        <w:rPr>
          <w:rFonts w:ascii="宋体" w:hAnsi="宋体"/>
          <w:bCs/>
          <w:color w:val="auto"/>
          <w:sz w:val="24"/>
          <w:highlight w:val="none"/>
        </w:rPr>
      </w:pPr>
      <w:r>
        <w:rPr>
          <w:rFonts w:hint="eastAsia" w:ascii="宋体" w:hAnsi="宋体"/>
          <w:b/>
          <w:bCs/>
          <w:color w:val="auto"/>
          <w:sz w:val="24"/>
          <w:highlight w:val="none"/>
        </w:rPr>
        <w:t>八、承包人向发包人承诺按照合同约定进行施工、竣工并在质量保修期内承担工程质量保修责任。</w:t>
      </w:r>
    </w:p>
    <w:p w14:paraId="13BA88D7">
      <w:pPr>
        <w:snapToGrid w:val="0"/>
        <w:spacing w:line="440" w:lineRule="exact"/>
        <w:ind w:left="0" w:firstLine="482" w:firstLineChars="200"/>
        <w:rPr>
          <w:rFonts w:hint="eastAsia" w:ascii="宋体" w:hAnsi="宋体"/>
          <w:b/>
          <w:bCs/>
          <w:color w:val="auto"/>
          <w:sz w:val="24"/>
          <w:highlight w:val="none"/>
        </w:rPr>
      </w:pPr>
      <w:r>
        <w:rPr>
          <w:rFonts w:hint="eastAsia" w:ascii="宋体" w:hAnsi="宋体"/>
          <w:b/>
          <w:bCs/>
          <w:color w:val="auto"/>
          <w:sz w:val="24"/>
          <w:highlight w:val="none"/>
        </w:rPr>
        <w:t>九、发包人向承包人承诺按照合同约定的期限和方式支付合同价款及其他应当支付的款项。</w:t>
      </w:r>
    </w:p>
    <w:p w14:paraId="4F96CBFE">
      <w:pPr>
        <w:pStyle w:val="4"/>
        <w:keepNext/>
        <w:keepLines/>
        <w:snapToGrid/>
        <w:spacing w:line="240" w:lineRule="auto"/>
        <w:ind w:left="0" w:firstLine="482" w:firstLineChars="200"/>
        <w:jc w:val="left"/>
        <w:rPr>
          <w:rFonts w:hint="eastAsia" w:ascii="宋体" w:hAnsi="宋体"/>
          <w:b/>
          <w:bCs/>
          <w:color w:val="auto"/>
          <w:sz w:val="24"/>
          <w:highlight w:val="none"/>
          <w:lang w:eastAsia="zh-CN"/>
        </w:rPr>
      </w:pPr>
      <w:bookmarkStart w:id="258" w:name="_Toc3077"/>
      <w:r>
        <w:rPr>
          <w:rFonts w:hint="eastAsia" w:ascii="宋体" w:hAnsi="宋体"/>
          <w:b/>
          <w:bCs/>
          <w:color w:val="auto"/>
          <w:sz w:val="24"/>
          <w:highlight w:val="none"/>
          <w:lang w:eastAsia="zh-CN"/>
        </w:rPr>
        <w:t>十、</w:t>
      </w:r>
      <w:bookmarkStart w:id="259" w:name="_Toc566321861"/>
      <w:r>
        <w:rPr>
          <w:rFonts w:hint="eastAsia" w:ascii="宋体" w:hAnsi="宋体"/>
          <w:b/>
          <w:bCs/>
          <w:color w:val="auto"/>
          <w:sz w:val="24"/>
          <w:highlight w:val="none"/>
          <w:lang w:eastAsia="zh-CN"/>
        </w:rPr>
        <w:t>承包人在本项目中存在《广州开发区财政投资建设项目管理中心拒绝投标资格惩戒措施清单》应予惩戒事实情形的，将被拒绝一定时期内参与发包人后续工程投标。</w:t>
      </w:r>
      <w:bookmarkEnd w:id="259"/>
      <w:r>
        <w:rPr>
          <w:rFonts w:hint="eastAsia" w:ascii="宋体" w:hAnsi="宋体"/>
          <w:b/>
          <w:bCs/>
          <w:color w:val="auto"/>
          <w:sz w:val="24"/>
          <w:highlight w:val="none"/>
          <w:lang w:eastAsia="zh-CN"/>
        </w:rPr>
        <w:t>惩戒期限3个月起，情形严重的，可视严重程度延长对承包人的拒绝投标时限，最长不超过3年。</w:t>
      </w:r>
      <w:bookmarkEnd w:id="258"/>
    </w:p>
    <w:p w14:paraId="1016BD43">
      <w:pPr>
        <w:pStyle w:val="4"/>
        <w:keepNext/>
        <w:keepLines/>
        <w:snapToGrid/>
        <w:spacing w:line="240" w:lineRule="auto"/>
        <w:ind w:left="0" w:firstLine="482" w:firstLineChars="200"/>
        <w:jc w:val="left"/>
        <w:rPr>
          <w:rFonts w:ascii="宋体" w:hAnsi="宋体"/>
          <w:b/>
          <w:bCs/>
          <w:color w:val="auto"/>
          <w:sz w:val="24"/>
          <w:highlight w:val="none"/>
        </w:rPr>
      </w:pPr>
      <w:bookmarkStart w:id="260" w:name="_Toc32668"/>
      <w:r>
        <w:rPr>
          <w:rFonts w:hint="eastAsia" w:ascii="宋体" w:hAnsi="宋体"/>
          <w:b/>
          <w:bCs/>
          <w:color w:val="auto"/>
          <w:sz w:val="24"/>
          <w:highlight w:val="none"/>
        </w:rPr>
        <w:t>十</w:t>
      </w:r>
      <w:r>
        <w:rPr>
          <w:rFonts w:hint="eastAsia" w:ascii="宋体" w:hAnsi="宋体"/>
          <w:b/>
          <w:bCs/>
          <w:color w:val="auto"/>
          <w:sz w:val="24"/>
          <w:highlight w:val="none"/>
          <w:lang w:eastAsia="zh-CN"/>
        </w:rPr>
        <w:t>一</w:t>
      </w:r>
      <w:r>
        <w:rPr>
          <w:rFonts w:hint="eastAsia" w:ascii="宋体" w:hAnsi="宋体"/>
          <w:b/>
          <w:bCs/>
          <w:color w:val="auto"/>
          <w:sz w:val="24"/>
          <w:highlight w:val="none"/>
        </w:rPr>
        <w:t>、合同生效</w:t>
      </w:r>
      <w:bookmarkEnd w:id="260"/>
    </w:p>
    <w:p w14:paraId="59B4ED35">
      <w:pPr>
        <w:snapToGrid w:val="0"/>
        <w:spacing w:line="440" w:lineRule="exact"/>
        <w:ind w:firstLine="482"/>
        <w:rPr>
          <w:rFonts w:ascii="宋体" w:hAnsi="宋体"/>
          <w:color w:val="auto"/>
          <w:sz w:val="24"/>
          <w:highlight w:val="none"/>
        </w:rPr>
      </w:pPr>
      <w:r>
        <w:rPr>
          <w:rFonts w:hint="eastAsia" w:ascii="宋体" w:hAnsi="宋体"/>
          <w:color w:val="auto"/>
          <w:sz w:val="24"/>
          <w:highlight w:val="none"/>
        </w:rPr>
        <w:t>合同订立时间：</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14:paraId="71D0E740">
      <w:pPr>
        <w:snapToGrid w:val="0"/>
        <w:spacing w:line="440" w:lineRule="exact"/>
        <w:ind w:firstLine="480"/>
        <w:rPr>
          <w:rFonts w:ascii="宋体" w:hAnsi="宋体"/>
          <w:color w:val="auto"/>
          <w:sz w:val="24"/>
          <w:highlight w:val="none"/>
        </w:rPr>
      </w:pPr>
      <w:r>
        <w:rPr>
          <w:rFonts w:hint="eastAsia" w:ascii="宋体" w:hAnsi="宋体"/>
          <w:color w:val="auto"/>
          <w:sz w:val="24"/>
          <w:highlight w:val="none"/>
        </w:rPr>
        <w:t>合同订立地点：</w:t>
      </w:r>
      <w:r>
        <w:rPr>
          <w:rFonts w:hint="eastAsia" w:ascii="宋体" w:hAnsi="宋体"/>
          <w:color w:val="auto"/>
          <w:sz w:val="24"/>
          <w:highlight w:val="none"/>
          <w:u w:val="single"/>
        </w:rPr>
        <w:t>广州市黄埔区</w:t>
      </w:r>
    </w:p>
    <w:p w14:paraId="0E767AA8">
      <w:pPr>
        <w:snapToGrid w:val="0"/>
        <w:spacing w:line="440" w:lineRule="exact"/>
        <w:ind w:firstLine="480"/>
        <w:rPr>
          <w:rFonts w:ascii="宋体" w:hAnsi="宋体"/>
          <w:color w:val="auto"/>
          <w:sz w:val="24"/>
          <w:highlight w:val="none"/>
        </w:rPr>
      </w:pPr>
      <w:r>
        <w:rPr>
          <w:rFonts w:hint="eastAsia" w:ascii="宋体" w:hAnsi="宋体"/>
          <w:color w:val="auto"/>
          <w:sz w:val="24"/>
          <w:highlight w:val="none"/>
        </w:rPr>
        <w:t>本合同双方约定：</w:t>
      </w:r>
      <w:r>
        <w:rPr>
          <w:rFonts w:hint="eastAsia" w:ascii="宋体" w:hAnsi="宋体"/>
          <w:color w:val="auto"/>
          <w:sz w:val="24"/>
          <w:highlight w:val="none"/>
          <w:u w:val="single"/>
        </w:rPr>
        <w:t>双方签名、盖章并在承包人提交履约担保</w:t>
      </w:r>
      <w:r>
        <w:rPr>
          <w:rFonts w:hint="eastAsia" w:ascii="宋体" w:hAnsi="宋体"/>
          <w:color w:val="auto"/>
          <w:sz w:val="24"/>
          <w:highlight w:val="none"/>
        </w:rPr>
        <w:t>后生效。</w:t>
      </w:r>
    </w:p>
    <w:p w14:paraId="1401BF82">
      <w:pPr>
        <w:snapToGrid w:val="0"/>
        <w:spacing w:line="440" w:lineRule="exact"/>
        <w:rPr>
          <w:rFonts w:ascii="宋体" w:hAnsi="宋体"/>
          <w:color w:val="auto"/>
          <w:sz w:val="24"/>
          <w:highlight w:val="none"/>
        </w:rPr>
      </w:pPr>
      <w:r>
        <w:rPr>
          <w:rFonts w:ascii="宋体" w:hAnsi="宋体"/>
          <w:color w:val="auto"/>
          <w:sz w:val="24"/>
          <w:highlight w:val="none"/>
        </w:rPr>
        <w:br w:type="page"/>
      </w:r>
    </w:p>
    <w:tbl>
      <w:tblPr>
        <w:tblStyle w:val="17"/>
        <w:tblW w:w="0" w:type="auto"/>
        <w:tblInd w:w="0" w:type="dxa"/>
        <w:tblLayout w:type="fixed"/>
        <w:tblCellMar>
          <w:top w:w="0" w:type="dxa"/>
          <w:left w:w="108" w:type="dxa"/>
          <w:bottom w:w="0" w:type="dxa"/>
          <w:right w:w="108" w:type="dxa"/>
        </w:tblCellMar>
      </w:tblPr>
      <w:tblGrid>
        <w:gridCol w:w="4839"/>
        <w:gridCol w:w="4839"/>
      </w:tblGrid>
      <w:tr w14:paraId="428CB92D">
        <w:tblPrEx>
          <w:tblCellMar>
            <w:top w:w="0" w:type="dxa"/>
            <w:left w:w="108" w:type="dxa"/>
            <w:bottom w:w="0" w:type="dxa"/>
            <w:right w:w="108" w:type="dxa"/>
          </w:tblCellMar>
        </w:tblPrEx>
        <w:trPr>
          <w:trHeight w:val="1134" w:hRule="atLeast"/>
        </w:trPr>
        <w:tc>
          <w:tcPr>
            <w:tcW w:w="4839" w:type="dxa"/>
            <w:noWrap/>
          </w:tcPr>
          <w:p w14:paraId="1DDFEADD">
            <w:pPr>
              <w:snapToGrid w:val="0"/>
              <w:spacing w:line="440" w:lineRule="exact"/>
              <w:rPr>
                <w:rFonts w:ascii="宋体" w:hAnsi="宋体"/>
                <w:color w:val="auto"/>
                <w:sz w:val="24"/>
                <w:highlight w:val="none"/>
              </w:rPr>
            </w:pPr>
            <w:r>
              <w:rPr>
                <w:rFonts w:ascii="宋体" w:hAnsi="宋体"/>
                <w:color w:val="auto"/>
                <w:sz w:val="24"/>
                <w:highlight w:val="none"/>
              </w:rPr>
              <w:t>发包人：（公章）</w:t>
            </w:r>
          </w:p>
        </w:tc>
        <w:tc>
          <w:tcPr>
            <w:tcW w:w="4839" w:type="dxa"/>
            <w:noWrap/>
          </w:tcPr>
          <w:p w14:paraId="3CF7A5B5">
            <w:pPr>
              <w:snapToGrid w:val="0"/>
              <w:spacing w:line="440" w:lineRule="exact"/>
              <w:rPr>
                <w:rFonts w:ascii="宋体" w:hAnsi="宋体"/>
                <w:color w:val="auto"/>
                <w:sz w:val="24"/>
                <w:highlight w:val="none"/>
              </w:rPr>
            </w:pPr>
            <w:r>
              <w:rPr>
                <w:rFonts w:ascii="宋体" w:hAnsi="宋体"/>
                <w:color w:val="auto"/>
                <w:sz w:val="24"/>
                <w:highlight w:val="none"/>
              </w:rPr>
              <w:t>承包人：（公章）</w:t>
            </w:r>
          </w:p>
        </w:tc>
      </w:tr>
      <w:tr w14:paraId="6EC7E309">
        <w:tblPrEx>
          <w:tblCellMar>
            <w:top w:w="0" w:type="dxa"/>
            <w:left w:w="108" w:type="dxa"/>
            <w:bottom w:w="0" w:type="dxa"/>
            <w:right w:w="108" w:type="dxa"/>
          </w:tblCellMar>
        </w:tblPrEx>
        <w:trPr>
          <w:trHeight w:val="1134" w:hRule="atLeast"/>
        </w:trPr>
        <w:tc>
          <w:tcPr>
            <w:tcW w:w="4839" w:type="dxa"/>
            <w:noWrap/>
          </w:tcPr>
          <w:p w14:paraId="3E836C3F">
            <w:pPr>
              <w:snapToGrid w:val="0"/>
              <w:spacing w:line="440" w:lineRule="exact"/>
              <w:rPr>
                <w:rFonts w:ascii="宋体" w:hAnsi="宋体"/>
                <w:color w:val="auto"/>
                <w:sz w:val="24"/>
                <w:highlight w:val="none"/>
              </w:rPr>
            </w:pPr>
            <w:r>
              <w:rPr>
                <w:rFonts w:hint="eastAsia" w:ascii="宋体" w:hAnsi="宋体"/>
                <w:color w:val="auto"/>
                <w:sz w:val="24"/>
                <w:highlight w:val="none"/>
              </w:rPr>
              <w:t>住</w:t>
            </w:r>
            <w:r>
              <w:rPr>
                <w:rFonts w:ascii="宋体" w:hAnsi="宋体"/>
                <w:color w:val="auto"/>
                <w:sz w:val="24"/>
                <w:highlight w:val="none"/>
              </w:rPr>
              <w:t xml:space="preserve">  </w:t>
            </w:r>
            <w:r>
              <w:rPr>
                <w:rFonts w:hint="eastAsia" w:ascii="宋体" w:hAnsi="宋体"/>
                <w:color w:val="auto"/>
                <w:sz w:val="24"/>
                <w:highlight w:val="none"/>
              </w:rPr>
              <w:t>所：</w:t>
            </w:r>
          </w:p>
        </w:tc>
        <w:tc>
          <w:tcPr>
            <w:tcW w:w="4839" w:type="dxa"/>
            <w:noWrap/>
          </w:tcPr>
          <w:p w14:paraId="4C6A40AA">
            <w:pPr>
              <w:snapToGrid w:val="0"/>
              <w:spacing w:line="440" w:lineRule="exact"/>
              <w:rPr>
                <w:rFonts w:ascii="宋体" w:hAnsi="宋体"/>
                <w:color w:val="auto"/>
                <w:sz w:val="24"/>
                <w:highlight w:val="none"/>
              </w:rPr>
            </w:pPr>
            <w:r>
              <w:rPr>
                <w:rFonts w:hint="eastAsia" w:ascii="宋体" w:hAnsi="宋体"/>
                <w:color w:val="auto"/>
                <w:sz w:val="24"/>
                <w:highlight w:val="none"/>
              </w:rPr>
              <w:t>住</w:t>
            </w:r>
            <w:r>
              <w:rPr>
                <w:rFonts w:ascii="宋体" w:hAnsi="宋体"/>
                <w:color w:val="auto"/>
                <w:sz w:val="24"/>
                <w:highlight w:val="none"/>
              </w:rPr>
              <w:t xml:space="preserve">  </w:t>
            </w:r>
            <w:r>
              <w:rPr>
                <w:rFonts w:hint="eastAsia" w:ascii="宋体" w:hAnsi="宋体"/>
                <w:color w:val="auto"/>
                <w:sz w:val="24"/>
                <w:highlight w:val="none"/>
              </w:rPr>
              <w:t>所：</w:t>
            </w:r>
          </w:p>
        </w:tc>
      </w:tr>
      <w:tr w14:paraId="4DF4FDFA">
        <w:tblPrEx>
          <w:tblCellMar>
            <w:top w:w="0" w:type="dxa"/>
            <w:left w:w="108" w:type="dxa"/>
            <w:bottom w:w="0" w:type="dxa"/>
            <w:right w:w="108" w:type="dxa"/>
          </w:tblCellMar>
        </w:tblPrEx>
        <w:trPr>
          <w:trHeight w:val="1134" w:hRule="atLeast"/>
        </w:trPr>
        <w:tc>
          <w:tcPr>
            <w:tcW w:w="4839" w:type="dxa"/>
            <w:noWrap/>
          </w:tcPr>
          <w:p w14:paraId="786DDF01">
            <w:pPr>
              <w:snapToGrid w:val="0"/>
              <w:spacing w:line="440" w:lineRule="exact"/>
              <w:rPr>
                <w:rFonts w:ascii="宋体" w:hAnsi="宋体"/>
                <w:color w:val="auto"/>
                <w:sz w:val="24"/>
                <w:highlight w:val="none"/>
              </w:rPr>
            </w:pPr>
            <w:r>
              <w:rPr>
                <w:rFonts w:ascii="宋体" w:hAnsi="宋体"/>
                <w:color w:val="auto"/>
                <w:sz w:val="24"/>
                <w:highlight w:val="none"/>
              </w:rPr>
              <w:t>法定代表人：</w:t>
            </w:r>
          </w:p>
        </w:tc>
        <w:tc>
          <w:tcPr>
            <w:tcW w:w="4839" w:type="dxa"/>
            <w:noWrap/>
          </w:tcPr>
          <w:p w14:paraId="7CFBDE8D">
            <w:pPr>
              <w:snapToGrid w:val="0"/>
              <w:spacing w:line="440" w:lineRule="exact"/>
              <w:rPr>
                <w:rFonts w:ascii="宋体" w:hAnsi="宋体"/>
                <w:color w:val="auto"/>
                <w:sz w:val="24"/>
                <w:highlight w:val="none"/>
              </w:rPr>
            </w:pPr>
            <w:r>
              <w:rPr>
                <w:rFonts w:ascii="宋体" w:hAnsi="宋体"/>
                <w:color w:val="auto"/>
                <w:sz w:val="24"/>
                <w:highlight w:val="none"/>
              </w:rPr>
              <w:t>法定代表人：</w:t>
            </w:r>
          </w:p>
        </w:tc>
      </w:tr>
      <w:tr w14:paraId="12AE2F40">
        <w:tblPrEx>
          <w:tblCellMar>
            <w:top w:w="0" w:type="dxa"/>
            <w:left w:w="108" w:type="dxa"/>
            <w:bottom w:w="0" w:type="dxa"/>
            <w:right w:w="108" w:type="dxa"/>
          </w:tblCellMar>
        </w:tblPrEx>
        <w:trPr>
          <w:trHeight w:val="1134" w:hRule="atLeast"/>
        </w:trPr>
        <w:tc>
          <w:tcPr>
            <w:tcW w:w="4839" w:type="dxa"/>
            <w:noWrap/>
          </w:tcPr>
          <w:p w14:paraId="558F6204">
            <w:pPr>
              <w:snapToGrid w:val="0"/>
              <w:spacing w:line="440" w:lineRule="exact"/>
              <w:rPr>
                <w:rFonts w:ascii="宋体" w:hAnsi="宋体"/>
                <w:color w:val="auto"/>
                <w:sz w:val="24"/>
                <w:highlight w:val="none"/>
              </w:rPr>
            </w:pPr>
            <w:r>
              <w:rPr>
                <w:rFonts w:hint="eastAsia" w:ascii="宋体" w:hAnsi="宋体"/>
                <w:color w:val="auto"/>
                <w:sz w:val="24"/>
                <w:highlight w:val="none"/>
              </w:rPr>
              <w:t>委托代理人：</w:t>
            </w:r>
          </w:p>
        </w:tc>
        <w:tc>
          <w:tcPr>
            <w:tcW w:w="4839" w:type="dxa"/>
            <w:noWrap/>
          </w:tcPr>
          <w:p w14:paraId="743F9856">
            <w:pPr>
              <w:snapToGrid w:val="0"/>
              <w:spacing w:line="440" w:lineRule="exact"/>
              <w:rPr>
                <w:rFonts w:ascii="宋体" w:hAnsi="宋体"/>
                <w:color w:val="auto"/>
                <w:sz w:val="24"/>
                <w:highlight w:val="none"/>
              </w:rPr>
            </w:pPr>
            <w:r>
              <w:rPr>
                <w:rFonts w:hint="eastAsia" w:ascii="宋体" w:hAnsi="宋体"/>
                <w:color w:val="auto"/>
                <w:sz w:val="24"/>
                <w:highlight w:val="none"/>
              </w:rPr>
              <w:t>委托代理人：</w:t>
            </w:r>
          </w:p>
        </w:tc>
      </w:tr>
      <w:tr w14:paraId="2FCCDE60">
        <w:tblPrEx>
          <w:tblCellMar>
            <w:top w:w="0" w:type="dxa"/>
            <w:left w:w="108" w:type="dxa"/>
            <w:bottom w:w="0" w:type="dxa"/>
            <w:right w:w="108" w:type="dxa"/>
          </w:tblCellMar>
        </w:tblPrEx>
        <w:trPr>
          <w:trHeight w:val="1134" w:hRule="atLeast"/>
        </w:trPr>
        <w:tc>
          <w:tcPr>
            <w:tcW w:w="4839" w:type="dxa"/>
            <w:noWrap/>
          </w:tcPr>
          <w:p w14:paraId="7AEA2019">
            <w:pPr>
              <w:snapToGrid w:val="0"/>
              <w:spacing w:line="440" w:lineRule="exact"/>
              <w:rPr>
                <w:rFonts w:ascii="宋体" w:hAns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话：</w:t>
            </w:r>
          </w:p>
        </w:tc>
        <w:tc>
          <w:tcPr>
            <w:tcW w:w="4839" w:type="dxa"/>
            <w:noWrap/>
          </w:tcPr>
          <w:p w14:paraId="1700921A">
            <w:pPr>
              <w:snapToGrid w:val="0"/>
              <w:spacing w:line="440" w:lineRule="exact"/>
              <w:rPr>
                <w:rFonts w:ascii="宋体" w:hAns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话：</w:t>
            </w:r>
          </w:p>
        </w:tc>
      </w:tr>
      <w:tr w14:paraId="4903A98D">
        <w:tblPrEx>
          <w:tblCellMar>
            <w:top w:w="0" w:type="dxa"/>
            <w:left w:w="108" w:type="dxa"/>
            <w:bottom w:w="0" w:type="dxa"/>
            <w:right w:w="108" w:type="dxa"/>
          </w:tblCellMar>
        </w:tblPrEx>
        <w:trPr>
          <w:trHeight w:val="1134" w:hRule="atLeast"/>
        </w:trPr>
        <w:tc>
          <w:tcPr>
            <w:tcW w:w="4839" w:type="dxa"/>
            <w:noWrap/>
          </w:tcPr>
          <w:p w14:paraId="35C1CD67">
            <w:pPr>
              <w:snapToGrid w:val="0"/>
              <w:spacing w:line="440" w:lineRule="exact"/>
              <w:rPr>
                <w:rFonts w:ascii="宋体" w:hAns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真：</w:t>
            </w:r>
          </w:p>
        </w:tc>
        <w:tc>
          <w:tcPr>
            <w:tcW w:w="4839" w:type="dxa"/>
            <w:noWrap/>
          </w:tcPr>
          <w:p w14:paraId="1AB0DD81">
            <w:pPr>
              <w:snapToGrid w:val="0"/>
              <w:spacing w:line="440" w:lineRule="exact"/>
              <w:rPr>
                <w:rFonts w:ascii="宋体" w:hAns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真：</w:t>
            </w:r>
          </w:p>
        </w:tc>
      </w:tr>
      <w:tr w14:paraId="1644F550">
        <w:tblPrEx>
          <w:tblCellMar>
            <w:top w:w="0" w:type="dxa"/>
            <w:left w:w="108" w:type="dxa"/>
            <w:bottom w:w="0" w:type="dxa"/>
            <w:right w:w="108" w:type="dxa"/>
          </w:tblCellMar>
        </w:tblPrEx>
        <w:trPr>
          <w:trHeight w:val="1134" w:hRule="atLeast"/>
        </w:trPr>
        <w:tc>
          <w:tcPr>
            <w:tcW w:w="4839" w:type="dxa"/>
            <w:noWrap/>
          </w:tcPr>
          <w:p w14:paraId="4DF4C137">
            <w:pPr>
              <w:snapToGrid w:val="0"/>
              <w:spacing w:line="440" w:lineRule="exact"/>
              <w:rPr>
                <w:rFonts w:ascii="宋体" w:hAnsi="宋体"/>
                <w:color w:val="auto"/>
                <w:sz w:val="24"/>
                <w:highlight w:val="none"/>
              </w:rPr>
            </w:pPr>
            <w:r>
              <w:rPr>
                <w:rFonts w:hint="eastAsia" w:ascii="宋体" w:hAnsi="宋体"/>
                <w:color w:val="auto"/>
                <w:sz w:val="24"/>
                <w:highlight w:val="none"/>
              </w:rPr>
              <w:t>开户银行：</w:t>
            </w:r>
          </w:p>
        </w:tc>
        <w:tc>
          <w:tcPr>
            <w:tcW w:w="4839" w:type="dxa"/>
            <w:noWrap/>
          </w:tcPr>
          <w:p w14:paraId="13667886">
            <w:pPr>
              <w:snapToGrid w:val="0"/>
              <w:spacing w:line="440" w:lineRule="exact"/>
              <w:rPr>
                <w:rFonts w:ascii="宋体" w:hAnsi="宋体"/>
                <w:color w:val="auto"/>
                <w:sz w:val="24"/>
                <w:highlight w:val="none"/>
              </w:rPr>
            </w:pPr>
            <w:r>
              <w:rPr>
                <w:rFonts w:hint="eastAsia" w:ascii="宋体" w:hAnsi="宋体"/>
                <w:color w:val="auto"/>
                <w:sz w:val="24"/>
                <w:highlight w:val="none"/>
              </w:rPr>
              <w:t>开户银行：</w:t>
            </w:r>
          </w:p>
        </w:tc>
      </w:tr>
      <w:tr w14:paraId="609CF61E">
        <w:tblPrEx>
          <w:tblCellMar>
            <w:top w:w="0" w:type="dxa"/>
            <w:left w:w="108" w:type="dxa"/>
            <w:bottom w:w="0" w:type="dxa"/>
            <w:right w:w="108" w:type="dxa"/>
          </w:tblCellMar>
        </w:tblPrEx>
        <w:trPr>
          <w:trHeight w:val="1134" w:hRule="atLeast"/>
        </w:trPr>
        <w:tc>
          <w:tcPr>
            <w:tcW w:w="4839" w:type="dxa"/>
            <w:noWrap/>
          </w:tcPr>
          <w:p w14:paraId="15C843C9">
            <w:pPr>
              <w:snapToGrid w:val="0"/>
              <w:spacing w:line="440" w:lineRule="exact"/>
              <w:rPr>
                <w:rFonts w:ascii="宋体" w:hAnsi="宋体"/>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号：</w:t>
            </w:r>
          </w:p>
        </w:tc>
        <w:tc>
          <w:tcPr>
            <w:tcW w:w="4839" w:type="dxa"/>
            <w:noWrap/>
          </w:tcPr>
          <w:p w14:paraId="5A5E110E">
            <w:pPr>
              <w:snapToGrid w:val="0"/>
              <w:spacing w:line="440" w:lineRule="exact"/>
              <w:rPr>
                <w:rFonts w:ascii="宋体" w:hAnsi="宋体"/>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号：</w:t>
            </w:r>
          </w:p>
        </w:tc>
      </w:tr>
      <w:tr w14:paraId="56154C57">
        <w:tblPrEx>
          <w:tblCellMar>
            <w:top w:w="0" w:type="dxa"/>
            <w:left w:w="108" w:type="dxa"/>
            <w:bottom w:w="0" w:type="dxa"/>
            <w:right w:w="108" w:type="dxa"/>
          </w:tblCellMar>
        </w:tblPrEx>
        <w:trPr>
          <w:trHeight w:val="1134" w:hRule="atLeast"/>
        </w:trPr>
        <w:tc>
          <w:tcPr>
            <w:tcW w:w="4839" w:type="dxa"/>
            <w:noWrap/>
          </w:tcPr>
          <w:p w14:paraId="54A1A72B">
            <w:pPr>
              <w:snapToGrid w:val="0"/>
              <w:spacing w:line="440" w:lineRule="exact"/>
              <w:rPr>
                <w:rFonts w:ascii="宋体" w:hAnsi="宋体"/>
                <w:color w:val="auto"/>
                <w:sz w:val="24"/>
                <w:highlight w:val="none"/>
              </w:rPr>
            </w:pPr>
            <w:r>
              <w:rPr>
                <w:rFonts w:hint="eastAsia" w:ascii="宋体" w:hAnsi="宋体"/>
                <w:color w:val="auto"/>
                <w:sz w:val="24"/>
                <w:highlight w:val="none"/>
              </w:rPr>
              <w:t>邮政编码：</w:t>
            </w:r>
          </w:p>
        </w:tc>
        <w:tc>
          <w:tcPr>
            <w:tcW w:w="4839" w:type="dxa"/>
            <w:noWrap/>
          </w:tcPr>
          <w:p w14:paraId="3D890F0C">
            <w:pPr>
              <w:snapToGrid w:val="0"/>
              <w:spacing w:line="440" w:lineRule="exact"/>
              <w:rPr>
                <w:rFonts w:ascii="宋体" w:hAnsi="宋体"/>
                <w:color w:val="auto"/>
                <w:sz w:val="24"/>
                <w:highlight w:val="none"/>
              </w:rPr>
            </w:pPr>
            <w:r>
              <w:rPr>
                <w:rFonts w:hint="eastAsia" w:ascii="宋体" w:hAnsi="宋体"/>
                <w:color w:val="auto"/>
                <w:sz w:val="24"/>
                <w:highlight w:val="none"/>
              </w:rPr>
              <w:t>邮政编码：</w:t>
            </w:r>
          </w:p>
        </w:tc>
      </w:tr>
    </w:tbl>
    <w:p w14:paraId="1309C6DA">
      <w:pPr>
        <w:snapToGrid w:val="0"/>
        <w:spacing w:line="440" w:lineRule="exact"/>
        <w:ind w:firstLine="120" w:firstLineChars="50"/>
        <w:rPr>
          <w:rFonts w:ascii="宋体" w:hAnsi="宋体"/>
          <w:color w:val="auto"/>
          <w:sz w:val="24"/>
          <w:highlight w:val="none"/>
        </w:rPr>
      </w:pPr>
    </w:p>
    <w:p w14:paraId="07DFE43E">
      <w:pPr>
        <w:pStyle w:val="9"/>
        <w:spacing w:before="88" w:line="342" w:lineRule="auto"/>
        <w:ind w:right="258"/>
        <w:jc w:val="center"/>
        <w:rPr>
          <w:rFonts w:hint="default" w:ascii="黑体" w:hAnsi="黑体" w:eastAsia="黑体" w:cs="黑体"/>
          <w:color w:val="auto"/>
          <w:spacing w:val="3"/>
          <w:sz w:val="18"/>
          <w:szCs w:val="18"/>
          <w:highlight w:val="none"/>
          <w:vertAlign w:val="baseline"/>
          <w:lang w:val="en-US" w:eastAsia="zh-CN"/>
        </w:rPr>
      </w:pPr>
      <w:r>
        <w:rPr>
          <w:rFonts w:ascii="宋体" w:hAnsi="宋体"/>
          <w:color w:val="auto"/>
          <w:sz w:val="24"/>
          <w:highlight w:val="none"/>
        </w:rPr>
        <w:br w:type="page"/>
      </w:r>
      <w:r>
        <w:rPr>
          <w:rFonts w:hint="eastAsia" w:ascii="宋体" w:hAnsi="宋体" w:eastAsia="宋体" w:cs="宋体"/>
          <w:b/>
          <w:bCs/>
          <w:color w:val="auto"/>
          <w:spacing w:val="3"/>
          <w:sz w:val="24"/>
          <w:szCs w:val="24"/>
          <w:highlight w:val="none"/>
          <w:lang w:val="en-US" w:eastAsia="zh-CN"/>
        </w:rPr>
        <w:t>附件：《广州开发区财政投资建设项目管理中心拒绝投标资格惩戒措施清单》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627"/>
        <w:gridCol w:w="1528"/>
        <w:gridCol w:w="3312"/>
      </w:tblGrid>
      <w:tr w14:paraId="6479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19" w:type="dxa"/>
            <w:noWrap w:val="0"/>
            <w:vAlign w:val="top"/>
          </w:tcPr>
          <w:p w14:paraId="1DB62BAC">
            <w:pPr>
              <w:pStyle w:val="9"/>
              <w:spacing w:before="88" w:line="342" w:lineRule="auto"/>
              <w:ind w:right="258"/>
              <w:jc w:val="center"/>
              <w:rPr>
                <w:rFonts w:hint="eastAsia" w:ascii="黑体" w:hAnsi="黑体" w:eastAsia="黑体" w:cs="黑体"/>
                <w:color w:val="auto"/>
                <w:spacing w:val="3"/>
                <w:sz w:val="21"/>
                <w:szCs w:val="21"/>
                <w:highlight w:val="none"/>
                <w:vertAlign w:val="baseline"/>
                <w:lang w:eastAsia="zh-CN"/>
              </w:rPr>
            </w:pPr>
            <w:r>
              <w:rPr>
                <w:rFonts w:hint="eastAsia" w:ascii="黑体" w:hAnsi="黑体" w:eastAsia="黑体" w:cs="黑体"/>
                <w:color w:val="auto"/>
                <w:spacing w:val="3"/>
                <w:sz w:val="21"/>
                <w:szCs w:val="21"/>
                <w:highlight w:val="none"/>
                <w:vertAlign w:val="baseline"/>
                <w:lang w:eastAsia="zh-CN"/>
              </w:rPr>
              <w:t>序号</w:t>
            </w:r>
          </w:p>
        </w:tc>
        <w:tc>
          <w:tcPr>
            <w:tcW w:w="3627" w:type="dxa"/>
            <w:noWrap w:val="0"/>
            <w:vAlign w:val="center"/>
          </w:tcPr>
          <w:p w14:paraId="5D07F0CB">
            <w:pPr>
              <w:pStyle w:val="9"/>
              <w:spacing w:before="88" w:line="342" w:lineRule="auto"/>
              <w:ind w:right="258"/>
              <w:jc w:val="center"/>
              <w:rPr>
                <w:rFonts w:hint="eastAsia" w:ascii="黑体" w:hAnsi="黑体" w:eastAsia="黑体" w:cs="黑体"/>
                <w:color w:val="auto"/>
                <w:spacing w:val="3"/>
                <w:sz w:val="21"/>
                <w:szCs w:val="21"/>
                <w:highlight w:val="none"/>
                <w:vertAlign w:val="baseline"/>
                <w:lang w:eastAsia="zh-CN"/>
              </w:rPr>
            </w:pPr>
            <w:r>
              <w:rPr>
                <w:rFonts w:hint="eastAsia" w:ascii="黑体" w:hAnsi="黑体" w:eastAsia="黑体" w:cs="黑体"/>
                <w:color w:val="auto"/>
                <w:spacing w:val="3"/>
                <w:sz w:val="21"/>
                <w:szCs w:val="21"/>
                <w:highlight w:val="none"/>
                <w:vertAlign w:val="baseline"/>
                <w:lang w:eastAsia="zh-CN"/>
              </w:rPr>
              <w:t>拒绝投标情形</w:t>
            </w:r>
          </w:p>
        </w:tc>
        <w:tc>
          <w:tcPr>
            <w:tcW w:w="1528" w:type="dxa"/>
            <w:noWrap w:val="0"/>
            <w:vAlign w:val="center"/>
          </w:tcPr>
          <w:p w14:paraId="658849CD">
            <w:pPr>
              <w:pStyle w:val="9"/>
              <w:spacing w:before="88" w:line="342" w:lineRule="auto"/>
              <w:ind w:right="258"/>
              <w:jc w:val="center"/>
              <w:rPr>
                <w:rFonts w:hint="eastAsia" w:ascii="黑体" w:hAnsi="黑体" w:eastAsia="黑体" w:cs="黑体"/>
                <w:color w:val="auto"/>
                <w:spacing w:val="3"/>
                <w:sz w:val="21"/>
                <w:szCs w:val="21"/>
                <w:highlight w:val="none"/>
                <w:vertAlign w:val="baseline"/>
                <w:lang w:eastAsia="zh-CN"/>
              </w:rPr>
            </w:pPr>
            <w:r>
              <w:rPr>
                <w:rFonts w:hint="eastAsia" w:ascii="黑体" w:hAnsi="黑体" w:eastAsia="黑体" w:cs="黑体"/>
                <w:color w:val="auto"/>
                <w:spacing w:val="3"/>
                <w:sz w:val="21"/>
                <w:szCs w:val="21"/>
                <w:highlight w:val="none"/>
                <w:vertAlign w:val="baseline"/>
                <w:lang w:eastAsia="zh-CN"/>
              </w:rPr>
              <w:t>惩戒期限</w:t>
            </w:r>
          </w:p>
        </w:tc>
        <w:tc>
          <w:tcPr>
            <w:tcW w:w="3312" w:type="dxa"/>
            <w:noWrap w:val="0"/>
            <w:vAlign w:val="center"/>
          </w:tcPr>
          <w:p w14:paraId="65DC704E">
            <w:pPr>
              <w:pStyle w:val="9"/>
              <w:spacing w:before="88" w:line="342" w:lineRule="auto"/>
              <w:ind w:right="258"/>
              <w:jc w:val="center"/>
              <w:rPr>
                <w:rFonts w:hint="default" w:ascii="黑体" w:hAnsi="黑体" w:eastAsia="黑体" w:cs="黑体"/>
                <w:color w:val="auto"/>
                <w:spacing w:val="3"/>
                <w:sz w:val="21"/>
                <w:szCs w:val="21"/>
                <w:highlight w:val="none"/>
                <w:vertAlign w:val="baseline"/>
                <w:lang w:val="en-US" w:eastAsia="zh-CN"/>
              </w:rPr>
            </w:pPr>
            <w:r>
              <w:rPr>
                <w:rFonts w:hint="eastAsia" w:ascii="黑体" w:hAnsi="黑体" w:eastAsia="黑体" w:cs="黑体"/>
                <w:color w:val="auto"/>
                <w:spacing w:val="3"/>
                <w:sz w:val="21"/>
                <w:szCs w:val="21"/>
                <w:highlight w:val="none"/>
                <w:vertAlign w:val="baseline"/>
                <w:lang w:val="en-US" w:eastAsia="zh-CN"/>
              </w:rPr>
              <w:t>政策依据</w:t>
            </w:r>
          </w:p>
        </w:tc>
      </w:tr>
      <w:tr w14:paraId="427E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19" w:type="dxa"/>
            <w:noWrap w:val="0"/>
            <w:vAlign w:val="center"/>
          </w:tcPr>
          <w:p w14:paraId="22BEBD30">
            <w:pPr>
              <w:pStyle w:val="9"/>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1</w:t>
            </w:r>
          </w:p>
        </w:tc>
        <w:tc>
          <w:tcPr>
            <w:tcW w:w="3627" w:type="dxa"/>
            <w:noWrap w:val="0"/>
            <w:vAlign w:val="center"/>
          </w:tcPr>
          <w:p w14:paraId="4F5B270C">
            <w:pPr>
              <w:pStyle w:val="9"/>
              <w:spacing w:before="88" w:line="342" w:lineRule="auto"/>
              <w:ind w:right="258"/>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将中标工程转包或者违法分包的。</w:t>
            </w:r>
          </w:p>
        </w:tc>
        <w:tc>
          <w:tcPr>
            <w:tcW w:w="1528" w:type="dxa"/>
            <w:noWrap w:val="0"/>
            <w:vAlign w:val="center"/>
          </w:tcPr>
          <w:p w14:paraId="075697D1">
            <w:pPr>
              <w:pStyle w:val="9"/>
              <w:spacing w:before="88" w:line="342" w:lineRule="auto"/>
              <w:ind w:right="258"/>
              <w:jc w:val="center"/>
              <w:rPr>
                <w:rFonts w:hint="default" w:ascii="仿宋" w:hAnsi="仿宋" w:eastAsia="仿宋" w:cs="仿宋"/>
                <w:snapToGrid w:val="0"/>
                <w:color w:val="auto"/>
                <w:kern w:val="0"/>
                <w:sz w:val="21"/>
                <w:szCs w:val="21"/>
                <w:highlight w:val="none"/>
                <w:lang w:val="en-US" w:eastAsia="zh-CN" w:bidi="ar-SA"/>
              </w:rPr>
            </w:pPr>
            <w:r>
              <w:rPr>
                <w:rFonts w:hint="eastAsia" w:cs="仿宋"/>
                <w:snapToGrid w:val="0"/>
                <w:color w:val="auto"/>
                <w:kern w:val="0"/>
                <w:sz w:val="21"/>
                <w:szCs w:val="21"/>
                <w:highlight w:val="none"/>
                <w:lang w:val="en-US" w:eastAsia="zh-CN" w:bidi="ar-SA"/>
              </w:rPr>
              <w:t>3个月起</w:t>
            </w:r>
          </w:p>
        </w:tc>
        <w:tc>
          <w:tcPr>
            <w:tcW w:w="3312" w:type="dxa"/>
            <w:noWrap w:val="0"/>
            <w:vAlign w:val="top"/>
          </w:tcPr>
          <w:p w14:paraId="4DFC3B96">
            <w:pPr>
              <w:numPr>
                <w:ilvl w:val="0"/>
                <w:numId w:val="0"/>
              </w:numP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14:paraId="5E56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66569072">
            <w:pPr>
              <w:pStyle w:val="9"/>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2</w:t>
            </w:r>
          </w:p>
        </w:tc>
        <w:tc>
          <w:tcPr>
            <w:tcW w:w="3627" w:type="dxa"/>
            <w:noWrap w:val="0"/>
            <w:vAlign w:val="center"/>
          </w:tcPr>
          <w:p w14:paraId="5448CB7A">
            <w:pPr>
              <w:snapToGrid w:val="0"/>
              <w:spacing w:line="360" w:lineRule="auto"/>
              <w:contextualSpacing/>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在中标工程中不执行质量、安全生产相关规定的，造成质量或安全事故的</w:t>
            </w:r>
            <w:r>
              <w:rPr>
                <w:rFonts w:hint="eastAsia" w:ascii="仿宋" w:hAnsi="仿宋" w:eastAsia="仿宋" w:cs="仿宋"/>
                <w:color w:val="auto"/>
                <w:sz w:val="21"/>
                <w:szCs w:val="21"/>
                <w:highlight w:val="none"/>
                <w:lang w:eastAsia="zh-CN"/>
              </w:rPr>
              <w:t>。</w:t>
            </w:r>
          </w:p>
        </w:tc>
        <w:tc>
          <w:tcPr>
            <w:tcW w:w="1528" w:type="dxa"/>
            <w:noWrap w:val="0"/>
            <w:vAlign w:val="center"/>
          </w:tcPr>
          <w:p w14:paraId="35FDE40B">
            <w:pPr>
              <w:pStyle w:val="9"/>
              <w:spacing w:before="88" w:line="342" w:lineRule="auto"/>
              <w:ind w:right="258"/>
              <w:jc w:val="center"/>
              <w:rPr>
                <w:rFonts w:hint="default" w:cs="仿宋"/>
                <w:snapToGrid w:val="0"/>
                <w:color w:val="auto"/>
                <w:kern w:val="0"/>
                <w:sz w:val="21"/>
                <w:szCs w:val="21"/>
                <w:highlight w:val="none"/>
                <w:lang w:val="en-US" w:eastAsia="zh-CN" w:bidi="ar-SA"/>
              </w:rPr>
            </w:pPr>
            <w:r>
              <w:rPr>
                <w:rFonts w:hint="eastAsia" w:cs="仿宋"/>
                <w:snapToGrid w:val="0"/>
                <w:color w:val="auto"/>
                <w:kern w:val="0"/>
                <w:sz w:val="21"/>
                <w:szCs w:val="21"/>
                <w:highlight w:val="none"/>
                <w:lang w:val="en-US" w:eastAsia="zh-CN" w:bidi="ar-SA"/>
              </w:rPr>
              <w:t>3个月起</w:t>
            </w:r>
          </w:p>
        </w:tc>
        <w:tc>
          <w:tcPr>
            <w:tcW w:w="3312" w:type="dxa"/>
            <w:noWrap w:val="0"/>
            <w:vAlign w:val="top"/>
          </w:tcPr>
          <w:p w14:paraId="1BED5790">
            <w:pPr>
              <w:numPr>
                <w:ilvl w:val="0"/>
                <w:numId w:val="0"/>
              </w:numP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14:paraId="6E03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41C4E373">
            <w:pPr>
              <w:pStyle w:val="9"/>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3</w:t>
            </w:r>
          </w:p>
        </w:tc>
        <w:tc>
          <w:tcPr>
            <w:tcW w:w="3627" w:type="dxa"/>
            <w:noWrap w:val="0"/>
            <w:vAlign w:val="center"/>
          </w:tcPr>
          <w:p w14:paraId="0A9FB441">
            <w:pPr>
              <w:pStyle w:val="9"/>
              <w:spacing w:before="88" w:line="342" w:lineRule="auto"/>
              <w:ind w:right="258"/>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snapToGrid w:val="0"/>
                <w:color w:val="auto"/>
                <w:kern w:val="0"/>
                <w:sz w:val="21"/>
                <w:szCs w:val="21"/>
                <w:highlight w:val="none"/>
                <w:lang w:val="en-US" w:eastAsia="en-US" w:bidi="ar-SA"/>
              </w:rPr>
              <w:t>出让投标资格的</w:t>
            </w:r>
            <w:r>
              <w:rPr>
                <w:rFonts w:hint="eastAsia" w:ascii="仿宋" w:hAnsi="仿宋" w:eastAsia="仿宋" w:cs="仿宋"/>
                <w:snapToGrid w:val="0"/>
                <w:color w:val="auto"/>
                <w:kern w:val="0"/>
                <w:sz w:val="21"/>
                <w:szCs w:val="21"/>
                <w:highlight w:val="none"/>
                <w:lang w:val="en-US" w:eastAsia="zh-CN" w:bidi="ar-SA"/>
              </w:rPr>
              <w:t>。</w:t>
            </w:r>
          </w:p>
        </w:tc>
        <w:tc>
          <w:tcPr>
            <w:tcW w:w="1528" w:type="dxa"/>
            <w:noWrap w:val="0"/>
            <w:vAlign w:val="center"/>
          </w:tcPr>
          <w:p w14:paraId="1EFC214E">
            <w:pPr>
              <w:pStyle w:val="9"/>
              <w:spacing w:before="88" w:line="342" w:lineRule="auto"/>
              <w:ind w:right="258"/>
              <w:jc w:val="center"/>
              <w:rPr>
                <w:rFonts w:hint="default" w:cs="仿宋"/>
                <w:snapToGrid w:val="0"/>
                <w:color w:val="auto"/>
                <w:kern w:val="0"/>
                <w:sz w:val="21"/>
                <w:szCs w:val="21"/>
                <w:highlight w:val="none"/>
                <w:lang w:val="en-US" w:eastAsia="zh-CN" w:bidi="ar-SA"/>
              </w:rPr>
            </w:pPr>
            <w:r>
              <w:rPr>
                <w:rFonts w:hint="eastAsia" w:cs="仿宋"/>
                <w:snapToGrid w:val="0"/>
                <w:color w:val="auto"/>
                <w:kern w:val="0"/>
                <w:sz w:val="21"/>
                <w:szCs w:val="21"/>
                <w:highlight w:val="none"/>
                <w:lang w:val="en-US" w:eastAsia="zh-CN" w:bidi="ar-SA"/>
              </w:rPr>
              <w:t>3个月起</w:t>
            </w:r>
          </w:p>
        </w:tc>
        <w:tc>
          <w:tcPr>
            <w:tcW w:w="3312" w:type="dxa"/>
            <w:noWrap w:val="0"/>
            <w:vAlign w:val="top"/>
          </w:tcPr>
          <w:p w14:paraId="46D70A66">
            <w:pPr>
              <w:numPr>
                <w:ilvl w:val="0"/>
                <w:numId w:val="0"/>
              </w:numP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14:paraId="41F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6E08E5C0">
            <w:pPr>
              <w:pStyle w:val="9"/>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4</w:t>
            </w:r>
          </w:p>
        </w:tc>
        <w:tc>
          <w:tcPr>
            <w:tcW w:w="3627" w:type="dxa"/>
            <w:noWrap w:val="0"/>
            <w:vAlign w:val="center"/>
          </w:tcPr>
          <w:p w14:paraId="6C157AE8">
            <w:pPr>
              <w:pStyle w:val="9"/>
              <w:spacing w:before="88" w:line="342" w:lineRule="auto"/>
              <w:ind w:right="258"/>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color w:val="auto"/>
                <w:spacing w:val="3"/>
                <w:sz w:val="21"/>
                <w:szCs w:val="21"/>
                <w:highlight w:val="none"/>
                <w:vertAlign w:val="baseline"/>
                <w:lang w:eastAsia="zh-CN"/>
              </w:rPr>
              <w:t>存在围标或串标情形的。</w:t>
            </w:r>
          </w:p>
        </w:tc>
        <w:tc>
          <w:tcPr>
            <w:tcW w:w="1528" w:type="dxa"/>
            <w:noWrap w:val="0"/>
            <w:vAlign w:val="center"/>
          </w:tcPr>
          <w:p w14:paraId="5453DF83">
            <w:pPr>
              <w:pStyle w:val="9"/>
              <w:spacing w:before="88" w:line="342" w:lineRule="auto"/>
              <w:ind w:right="258"/>
              <w:jc w:val="center"/>
              <w:rPr>
                <w:rFonts w:hint="eastAsia" w:ascii="仿宋" w:hAnsi="仿宋" w:eastAsia="仿宋" w:cs="仿宋"/>
                <w:color w:val="auto"/>
                <w:spacing w:val="3"/>
                <w:sz w:val="21"/>
                <w:szCs w:val="21"/>
                <w:highlight w:val="none"/>
                <w:vertAlign w:val="baseline"/>
                <w:lang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top"/>
          </w:tcPr>
          <w:p w14:paraId="2AE5F4B1">
            <w:pPr>
              <w:numPr>
                <w:ilvl w:val="0"/>
                <w:numId w:val="0"/>
              </w:numP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14:paraId="4A5A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1A2E5930">
            <w:pPr>
              <w:pStyle w:val="9"/>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5</w:t>
            </w:r>
          </w:p>
        </w:tc>
        <w:tc>
          <w:tcPr>
            <w:tcW w:w="3627" w:type="dxa"/>
            <w:noWrap w:val="0"/>
            <w:vAlign w:val="center"/>
          </w:tcPr>
          <w:p w14:paraId="416A10C9">
            <w:pPr>
              <w:pStyle w:val="9"/>
              <w:spacing w:before="88" w:line="342" w:lineRule="auto"/>
              <w:ind w:right="258"/>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snapToGrid w:val="0"/>
                <w:color w:val="auto"/>
                <w:spacing w:val="3"/>
                <w:kern w:val="0"/>
                <w:sz w:val="21"/>
                <w:szCs w:val="21"/>
                <w:highlight w:val="none"/>
                <w:lang w:val="en-US" w:eastAsia="zh-CN" w:bidi="ar-SA"/>
              </w:rPr>
              <w:t>在投标文件中提供虚假材料的。</w:t>
            </w:r>
          </w:p>
        </w:tc>
        <w:tc>
          <w:tcPr>
            <w:tcW w:w="1528" w:type="dxa"/>
            <w:noWrap w:val="0"/>
            <w:vAlign w:val="center"/>
          </w:tcPr>
          <w:p w14:paraId="682B8299">
            <w:pPr>
              <w:pStyle w:val="9"/>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top"/>
          </w:tcPr>
          <w:p w14:paraId="100CB9FE">
            <w:pPr>
              <w:numPr>
                <w:ilvl w:val="0"/>
                <w:numId w:val="0"/>
              </w:numP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14:paraId="1039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4D26D651">
            <w:pPr>
              <w:pStyle w:val="9"/>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6</w:t>
            </w:r>
          </w:p>
        </w:tc>
        <w:tc>
          <w:tcPr>
            <w:tcW w:w="3627" w:type="dxa"/>
            <w:noWrap w:val="0"/>
            <w:vAlign w:val="center"/>
          </w:tcPr>
          <w:p w14:paraId="5ED805A5">
            <w:pPr>
              <w:spacing w:line="360" w:lineRule="auto"/>
              <w:jc w:val="left"/>
              <w:rPr>
                <w:rFonts w:hint="eastAsia" w:ascii="仿宋" w:hAnsi="仿宋" w:eastAsia="仿宋" w:cs="仿宋"/>
                <w:snapToGrid w:val="0"/>
                <w:color w:val="auto"/>
                <w:spacing w:val="3"/>
                <w:kern w:val="0"/>
                <w:sz w:val="21"/>
                <w:szCs w:val="21"/>
                <w:highlight w:val="none"/>
                <w:lang w:val="en-US" w:eastAsia="zh-CN" w:bidi="ar-SA"/>
              </w:rPr>
            </w:pPr>
            <w:r>
              <w:rPr>
                <w:rFonts w:hint="eastAsia" w:ascii="仿宋" w:hAnsi="仿宋" w:eastAsia="仿宋" w:cs="仿宋"/>
                <w:color w:val="auto"/>
                <w:sz w:val="21"/>
                <w:szCs w:val="21"/>
                <w:highlight w:val="none"/>
              </w:rPr>
              <w:t>存在少放、不放业绩、奖项等客观评审资料，减少自身竞争力情形的</w:t>
            </w:r>
            <w:r>
              <w:rPr>
                <w:rFonts w:hint="eastAsia" w:ascii="仿宋" w:hAnsi="仿宋" w:eastAsia="仿宋" w:cs="仿宋"/>
                <w:color w:val="auto"/>
                <w:sz w:val="21"/>
                <w:szCs w:val="21"/>
                <w:highlight w:val="none"/>
                <w:lang w:eastAsia="zh-CN"/>
              </w:rPr>
              <w:t>。</w:t>
            </w:r>
          </w:p>
        </w:tc>
        <w:tc>
          <w:tcPr>
            <w:tcW w:w="1528" w:type="dxa"/>
            <w:noWrap w:val="0"/>
            <w:vAlign w:val="center"/>
          </w:tcPr>
          <w:p w14:paraId="6266F5FC">
            <w:pPr>
              <w:pStyle w:val="9"/>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14:paraId="216312CD">
            <w:pPr>
              <w:pStyle w:val="9"/>
              <w:spacing w:before="88" w:line="342" w:lineRule="auto"/>
              <w:ind w:right="258"/>
              <w:jc w:val="both"/>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14:paraId="42F1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719DE7C6">
            <w:pPr>
              <w:pStyle w:val="9"/>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7</w:t>
            </w:r>
          </w:p>
        </w:tc>
        <w:tc>
          <w:tcPr>
            <w:tcW w:w="3627" w:type="dxa"/>
            <w:noWrap w:val="0"/>
            <w:vAlign w:val="center"/>
          </w:tcPr>
          <w:p w14:paraId="35A661FC">
            <w:pPr>
              <w:spacing w:line="360" w:lineRule="auto"/>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snapToGrid w:val="0"/>
                <w:color w:val="auto"/>
                <w:spacing w:val="3"/>
                <w:kern w:val="0"/>
                <w:sz w:val="21"/>
                <w:szCs w:val="21"/>
                <w:highlight w:val="none"/>
                <w:lang w:val="en-US" w:eastAsia="zh-CN" w:bidi="ar-SA"/>
              </w:rPr>
              <w:t>存在行贿情形的。</w:t>
            </w:r>
          </w:p>
        </w:tc>
        <w:tc>
          <w:tcPr>
            <w:tcW w:w="1528" w:type="dxa"/>
            <w:noWrap w:val="0"/>
            <w:vAlign w:val="center"/>
          </w:tcPr>
          <w:p w14:paraId="2302AB76">
            <w:pPr>
              <w:pStyle w:val="9"/>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top"/>
          </w:tcPr>
          <w:p w14:paraId="6900384A">
            <w:pPr>
              <w:numPr>
                <w:ilvl w:val="0"/>
                <w:numId w:val="0"/>
              </w:numP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14:paraId="0F52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5276BDBC">
            <w:pPr>
              <w:pStyle w:val="9"/>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8</w:t>
            </w:r>
          </w:p>
        </w:tc>
        <w:tc>
          <w:tcPr>
            <w:tcW w:w="3627" w:type="dxa"/>
            <w:noWrap w:val="0"/>
            <w:vAlign w:val="center"/>
          </w:tcPr>
          <w:p w14:paraId="48A204A8">
            <w:pPr>
              <w:pStyle w:val="9"/>
              <w:spacing w:before="88" w:line="342" w:lineRule="auto"/>
              <w:ind w:right="258"/>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color w:val="auto"/>
                <w:sz w:val="21"/>
                <w:szCs w:val="21"/>
                <w:highlight w:val="none"/>
              </w:rPr>
              <w:t>拖欠农民工工资的</w:t>
            </w:r>
            <w:r>
              <w:rPr>
                <w:rFonts w:hint="eastAsia" w:cs="仿宋"/>
                <w:color w:val="auto"/>
                <w:sz w:val="21"/>
                <w:szCs w:val="21"/>
                <w:highlight w:val="none"/>
                <w:lang w:eastAsia="zh-CN"/>
              </w:rPr>
              <w:t>。</w:t>
            </w:r>
          </w:p>
        </w:tc>
        <w:tc>
          <w:tcPr>
            <w:tcW w:w="1528" w:type="dxa"/>
            <w:noWrap w:val="0"/>
            <w:vAlign w:val="center"/>
          </w:tcPr>
          <w:p w14:paraId="25C5A1E9">
            <w:pPr>
              <w:pStyle w:val="9"/>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14:paraId="5A88556E">
            <w:pPr>
              <w:pStyle w:val="9"/>
              <w:spacing w:before="88" w:line="342" w:lineRule="auto"/>
              <w:ind w:right="258"/>
              <w:jc w:val="both"/>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14:paraId="0CD6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14E533B6">
            <w:pPr>
              <w:pStyle w:val="9"/>
              <w:spacing w:before="88" w:line="342" w:lineRule="auto"/>
              <w:ind w:right="258"/>
              <w:jc w:val="center"/>
              <w:rPr>
                <w:rFonts w:hint="eastAsia" w:ascii="仿宋" w:hAnsi="仿宋" w:eastAsia="仿宋" w:cs="仿宋"/>
                <w:color w:val="auto"/>
                <w:spacing w:val="3"/>
                <w:sz w:val="21"/>
                <w:szCs w:val="21"/>
                <w:highlight w:val="none"/>
                <w:vertAlign w:val="baseline"/>
                <w:lang w:val="en-US" w:eastAsia="zh-CN"/>
              </w:rPr>
            </w:pPr>
            <w:r>
              <w:rPr>
                <w:rFonts w:hint="eastAsia" w:ascii="仿宋" w:hAnsi="仿宋" w:eastAsia="仿宋" w:cs="仿宋"/>
                <w:color w:val="auto"/>
                <w:spacing w:val="3"/>
                <w:sz w:val="21"/>
                <w:szCs w:val="21"/>
                <w:highlight w:val="none"/>
                <w:vertAlign w:val="baseline"/>
                <w:lang w:val="en-US" w:eastAsia="zh-CN"/>
              </w:rPr>
              <w:t>9</w:t>
            </w:r>
          </w:p>
        </w:tc>
        <w:tc>
          <w:tcPr>
            <w:tcW w:w="3627" w:type="dxa"/>
            <w:noWrap w:val="0"/>
            <w:vAlign w:val="center"/>
          </w:tcPr>
          <w:p w14:paraId="33DEB0E8">
            <w:pPr>
              <w:pStyle w:val="9"/>
              <w:spacing w:before="88" w:line="342" w:lineRule="auto"/>
              <w:ind w:right="258"/>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color w:val="auto"/>
                <w:spacing w:val="3"/>
                <w:sz w:val="21"/>
                <w:szCs w:val="21"/>
                <w:highlight w:val="none"/>
                <w:vertAlign w:val="baseline"/>
                <w:lang w:val="en-US" w:eastAsia="zh-CN"/>
              </w:rPr>
              <w:t>未按照国家、省、市有关建筑施工实名制管理和工人工资支付分账管理的规定执行，被行政监管部门处罚的。</w:t>
            </w:r>
          </w:p>
        </w:tc>
        <w:tc>
          <w:tcPr>
            <w:tcW w:w="1528" w:type="dxa"/>
            <w:noWrap w:val="0"/>
            <w:vAlign w:val="center"/>
          </w:tcPr>
          <w:p w14:paraId="6ADA0388">
            <w:pPr>
              <w:pStyle w:val="9"/>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14:paraId="74CB8FCE">
            <w:pPr>
              <w:pStyle w:val="9"/>
              <w:spacing w:before="88" w:line="342" w:lineRule="auto"/>
              <w:ind w:right="258"/>
              <w:jc w:val="both"/>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14:paraId="2ACA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5530EC90">
            <w:pPr>
              <w:pStyle w:val="9"/>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color w:val="auto"/>
                <w:spacing w:val="3"/>
                <w:sz w:val="21"/>
                <w:szCs w:val="21"/>
                <w:highlight w:val="none"/>
                <w:vertAlign w:val="baseline"/>
                <w:lang w:val="en-US" w:eastAsia="zh-CN"/>
              </w:rPr>
              <w:t>10</w:t>
            </w:r>
          </w:p>
        </w:tc>
        <w:tc>
          <w:tcPr>
            <w:tcW w:w="3627" w:type="dxa"/>
            <w:noWrap w:val="0"/>
            <w:vAlign w:val="center"/>
          </w:tcPr>
          <w:p w14:paraId="5F5AF9A5">
            <w:pPr>
              <w:pStyle w:val="9"/>
              <w:spacing w:before="88" w:line="342" w:lineRule="auto"/>
              <w:ind w:right="258"/>
              <w:jc w:val="left"/>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color w:val="auto"/>
                <w:spacing w:val="3"/>
                <w:sz w:val="21"/>
                <w:szCs w:val="21"/>
                <w:highlight w:val="none"/>
                <w:vertAlign w:val="baseline"/>
                <w:lang w:val="en-US" w:eastAsia="zh-CN"/>
              </w:rPr>
              <w:t>在项目实施过程中选取的专业分包单位或劳务企业或劳务班组长与投标承诺不一致的（如有）。</w:t>
            </w:r>
          </w:p>
        </w:tc>
        <w:tc>
          <w:tcPr>
            <w:tcW w:w="1528" w:type="dxa"/>
            <w:noWrap w:val="0"/>
            <w:vAlign w:val="center"/>
          </w:tcPr>
          <w:p w14:paraId="54B04BA1">
            <w:pPr>
              <w:pStyle w:val="9"/>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14:paraId="2F8C5EC1">
            <w:pPr>
              <w:pStyle w:val="9"/>
              <w:spacing w:before="88" w:line="342" w:lineRule="auto"/>
              <w:ind w:right="258"/>
              <w:jc w:val="both"/>
              <w:rPr>
                <w:rFonts w:hint="eastAsia" w:ascii="仿宋" w:hAnsi="仿宋" w:eastAsia="仿宋" w:cs="仿宋"/>
                <w:color w:val="auto"/>
                <w:spacing w:val="3"/>
                <w:sz w:val="21"/>
                <w:szCs w:val="21"/>
                <w:highlight w:val="none"/>
                <w:vertAlign w:val="baseline"/>
                <w:lang w:eastAsia="zh-CN"/>
              </w:rPr>
            </w:pPr>
            <w:r>
              <w:rPr>
                <w:rFonts w:hint="eastAsia" w:ascii="仿宋" w:hAnsi="仿宋" w:eastAsia="仿宋" w:cs="仿宋"/>
                <w:snapToGrid w:val="0"/>
                <w:color w:val="auto"/>
                <w:kern w:val="0"/>
                <w:sz w:val="21"/>
                <w:szCs w:val="21"/>
                <w:highlight w:val="none"/>
                <w:lang w:val="en-US" w:eastAsia="zh-CN" w:bidi="ar-SA"/>
              </w:rPr>
              <w:t>广州市建设工程施工招标文件范本修改表（2024年11月）</w:t>
            </w:r>
          </w:p>
        </w:tc>
      </w:tr>
      <w:tr w14:paraId="2A4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72121AB6">
            <w:pPr>
              <w:pStyle w:val="9"/>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color w:val="auto"/>
                <w:spacing w:val="3"/>
                <w:sz w:val="21"/>
                <w:szCs w:val="21"/>
                <w:highlight w:val="none"/>
                <w:vertAlign w:val="baseline"/>
                <w:lang w:val="en-US" w:eastAsia="zh-CN"/>
              </w:rPr>
              <w:t>11</w:t>
            </w:r>
          </w:p>
        </w:tc>
        <w:tc>
          <w:tcPr>
            <w:tcW w:w="3627" w:type="dxa"/>
            <w:noWrap w:val="0"/>
            <w:vAlign w:val="center"/>
          </w:tcPr>
          <w:p w14:paraId="3430D0C7">
            <w:pPr>
              <w:spacing w:line="360" w:lineRule="auto"/>
              <w:jc w:val="left"/>
              <w:rPr>
                <w:rFonts w:hint="eastAsia" w:ascii="仿宋" w:hAnsi="仿宋" w:eastAsia="仿宋" w:cs="仿宋"/>
                <w:snapToGrid w:val="0"/>
                <w:color w:val="auto"/>
                <w:spacing w:val="3"/>
                <w:kern w:val="0"/>
                <w:sz w:val="21"/>
                <w:szCs w:val="21"/>
                <w:highlight w:val="none"/>
                <w:vertAlign w:val="baseline"/>
                <w:lang w:val="en-US" w:eastAsia="zh-CN" w:bidi="ar-SA"/>
              </w:rPr>
            </w:pPr>
            <w:r>
              <w:rPr>
                <w:rFonts w:hint="eastAsia" w:ascii="仿宋" w:hAnsi="仿宋" w:eastAsia="仿宋" w:cs="仿宋"/>
                <w:snapToGrid w:val="0"/>
                <w:color w:val="auto"/>
                <w:spacing w:val="3"/>
                <w:kern w:val="0"/>
                <w:sz w:val="21"/>
                <w:szCs w:val="21"/>
                <w:highlight w:val="none"/>
                <w:vertAlign w:val="baseline"/>
                <w:lang w:val="en-US" w:eastAsia="zh-CN" w:bidi="ar-SA"/>
              </w:rPr>
              <w:t>中标人未按规定购买安全生产责任保险的。</w:t>
            </w:r>
          </w:p>
        </w:tc>
        <w:tc>
          <w:tcPr>
            <w:tcW w:w="1528" w:type="dxa"/>
            <w:noWrap w:val="0"/>
            <w:vAlign w:val="center"/>
          </w:tcPr>
          <w:p w14:paraId="41D707DC">
            <w:pPr>
              <w:pStyle w:val="9"/>
              <w:spacing w:before="88" w:line="342" w:lineRule="auto"/>
              <w:ind w:right="258"/>
              <w:jc w:val="center"/>
              <w:rPr>
                <w:rFonts w:hint="default" w:ascii="仿宋" w:hAnsi="仿宋" w:eastAsia="仿宋"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14:paraId="1ADF2C11">
            <w:pPr>
              <w:pStyle w:val="9"/>
              <w:spacing w:before="88" w:line="342" w:lineRule="auto"/>
              <w:ind w:right="258"/>
              <w:jc w:val="center"/>
              <w:rPr>
                <w:rFonts w:hint="eastAsia" w:ascii="仿宋" w:hAnsi="仿宋" w:eastAsia="仿宋" w:cs="仿宋"/>
                <w:color w:val="auto"/>
                <w:spacing w:val="3"/>
                <w:sz w:val="21"/>
                <w:szCs w:val="21"/>
                <w:highlight w:val="none"/>
                <w:vertAlign w:val="baseline"/>
                <w:lang w:eastAsia="zh-CN"/>
              </w:rPr>
            </w:pPr>
            <w:r>
              <w:rPr>
                <w:rFonts w:hint="eastAsia" w:cs="仿宋"/>
                <w:color w:val="auto"/>
                <w:spacing w:val="3"/>
                <w:sz w:val="21"/>
                <w:szCs w:val="21"/>
                <w:highlight w:val="none"/>
                <w:vertAlign w:val="baseline"/>
                <w:lang w:eastAsia="zh-CN"/>
              </w:rPr>
              <w:t>广州开发区建设工程招投标管理办公室印发的</w:t>
            </w:r>
            <w:r>
              <w:rPr>
                <w:rFonts w:hint="eastAsia" w:ascii="仿宋" w:hAnsi="仿宋" w:eastAsia="仿宋" w:cs="仿宋"/>
                <w:color w:val="auto"/>
                <w:spacing w:val="3"/>
                <w:sz w:val="21"/>
                <w:szCs w:val="21"/>
                <w:highlight w:val="none"/>
                <w:vertAlign w:val="baseline"/>
                <w:lang w:eastAsia="zh-CN"/>
              </w:rPr>
              <w:t xml:space="preserve"> </w:t>
            </w:r>
            <w:r>
              <w:rPr>
                <w:rFonts w:hint="eastAsia" w:cs="仿宋"/>
                <w:color w:val="auto"/>
                <w:spacing w:val="3"/>
                <w:sz w:val="21"/>
                <w:szCs w:val="21"/>
                <w:highlight w:val="none"/>
                <w:vertAlign w:val="baseline"/>
                <w:lang w:eastAsia="zh-CN"/>
              </w:rPr>
              <w:t>《</w:t>
            </w:r>
            <w:r>
              <w:rPr>
                <w:rFonts w:hint="eastAsia" w:ascii="仿宋" w:hAnsi="仿宋" w:eastAsia="仿宋" w:cs="仿宋"/>
                <w:color w:val="auto"/>
                <w:spacing w:val="3"/>
                <w:sz w:val="21"/>
                <w:szCs w:val="21"/>
                <w:highlight w:val="none"/>
                <w:vertAlign w:val="baseline"/>
                <w:lang w:eastAsia="zh-CN"/>
              </w:rPr>
              <w:t>于施工项目招投标环节严格落实安全生产要求的指引</w:t>
            </w:r>
            <w:r>
              <w:rPr>
                <w:rFonts w:hint="eastAsia" w:cs="仿宋"/>
                <w:color w:val="auto"/>
                <w:spacing w:val="3"/>
                <w:sz w:val="21"/>
                <w:szCs w:val="21"/>
                <w:highlight w:val="none"/>
                <w:vertAlign w:val="baseline"/>
                <w:lang w:eastAsia="zh-CN"/>
              </w:rPr>
              <w:t>》</w:t>
            </w:r>
            <w:r>
              <w:rPr>
                <w:rFonts w:hint="eastAsia" w:ascii="仿宋" w:hAnsi="仿宋" w:eastAsia="仿宋" w:cs="仿宋"/>
                <w:color w:val="auto"/>
                <w:spacing w:val="3"/>
                <w:sz w:val="21"/>
                <w:szCs w:val="21"/>
                <w:highlight w:val="none"/>
                <w:vertAlign w:val="baseline"/>
                <w:lang w:eastAsia="zh-CN"/>
              </w:rPr>
              <w:t>关（2021年第4期）</w:t>
            </w:r>
          </w:p>
        </w:tc>
      </w:tr>
      <w:tr w14:paraId="0CD6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5424CFBF">
            <w:pPr>
              <w:pStyle w:val="9"/>
              <w:spacing w:before="88" w:line="342" w:lineRule="auto"/>
              <w:ind w:right="258"/>
              <w:jc w:val="center"/>
              <w:rPr>
                <w:rFonts w:hint="default" w:cs="仿宋"/>
                <w:color w:val="auto"/>
                <w:spacing w:val="3"/>
                <w:sz w:val="21"/>
                <w:szCs w:val="21"/>
                <w:highlight w:val="none"/>
                <w:vertAlign w:val="baseline"/>
                <w:lang w:val="en-US" w:eastAsia="zh-CN"/>
              </w:rPr>
            </w:pPr>
            <w:r>
              <w:rPr>
                <w:rFonts w:hint="eastAsia" w:cs="仿宋"/>
                <w:color w:val="auto"/>
                <w:spacing w:val="3"/>
                <w:sz w:val="21"/>
                <w:szCs w:val="21"/>
                <w:highlight w:val="none"/>
                <w:vertAlign w:val="baseline"/>
                <w:lang w:val="en-US" w:eastAsia="zh-CN"/>
              </w:rPr>
              <w:t>12</w:t>
            </w:r>
          </w:p>
        </w:tc>
        <w:tc>
          <w:tcPr>
            <w:tcW w:w="3627" w:type="dxa"/>
            <w:noWrap w:val="0"/>
            <w:vAlign w:val="center"/>
          </w:tcPr>
          <w:p w14:paraId="722BE291">
            <w:pPr>
              <w:spacing w:line="360" w:lineRule="auto"/>
              <w:jc w:val="left"/>
              <w:rPr>
                <w:rFonts w:hint="eastAsia" w:ascii="仿宋" w:hAnsi="仿宋" w:eastAsia="仿宋" w:cs="仿宋"/>
                <w:snapToGrid w:val="0"/>
                <w:color w:val="auto"/>
                <w:spacing w:val="3"/>
                <w:kern w:val="0"/>
                <w:sz w:val="21"/>
                <w:szCs w:val="21"/>
                <w:highlight w:val="none"/>
                <w:vertAlign w:val="baseline"/>
                <w:lang w:val="en-US" w:eastAsia="zh-CN" w:bidi="ar-SA"/>
              </w:rPr>
            </w:pPr>
            <w:r>
              <w:rPr>
                <w:rFonts w:hint="eastAsia" w:ascii="仿宋" w:hAnsi="仿宋" w:eastAsia="仿宋" w:cs="仿宋"/>
                <w:snapToGrid w:val="0"/>
                <w:color w:val="auto"/>
                <w:spacing w:val="3"/>
                <w:kern w:val="0"/>
                <w:sz w:val="21"/>
                <w:szCs w:val="21"/>
                <w:highlight w:val="none"/>
                <w:vertAlign w:val="baseline"/>
                <w:lang w:val="en-US" w:eastAsia="zh-CN" w:bidi="ar-SA"/>
              </w:rPr>
              <w:t>承包人在项目实施过程中因不诚信或不充分履约达到合同列明的拒绝投标程度的。</w:t>
            </w:r>
          </w:p>
        </w:tc>
        <w:tc>
          <w:tcPr>
            <w:tcW w:w="1528" w:type="dxa"/>
            <w:noWrap w:val="0"/>
            <w:vAlign w:val="center"/>
          </w:tcPr>
          <w:p w14:paraId="3D79BAFD">
            <w:pPr>
              <w:pStyle w:val="9"/>
              <w:spacing w:before="88" w:line="342" w:lineRule="auto"/>
              <w:ind w:right="258"/>
              <w:jc w:val="center"/>
              <w:rPr>
                <w:rFonts w:hint="eastAsia" w:cs="仿宋"/>
                <w:color w:val="auto"/>
                <w:spacing w:val="3"/>
                <w:sz w:val="21"/>
                <w:szCs w:val="21"/>
                <w:highlight w:val="none"/>
                <w:vertAlign w:val="baseline"/>
                <w:lang w:val="en-US" w:eastAsia="zh-CN"/>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14:paraId="00D94DD7">
            <w:pPr>
              <w:keepNext w:val="0"/>
              <w:keepLines w:val="0"/>
              <w:widowControl/>
              <w:suppressLineNumbers w:val="0"/>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《广州市工程建设项目招标投标管理办法》</w:t>
            </w:r>
          </w:p>
          <w:p w14:paraId="57E732AB">
            <w:pPr>
              <w:pStyle w:val="9"/>
              <w:spacing w:before="88" w:line="342" w:lineRule="auto"/>
              <w:ind w:right="258"/>
              <w:jc w:val="center"/>
              <w:rPr>
                <w:rFonts w:hint="eastAsia" w:cs="仿宋"/>
                <w:color w:val="auto"/>
                <w:spacing w:val="3"/>
                <w:sz w:val="21"/>
                <w:szCs w:val="21"/>
                <w:highlight w:val="none"/>
                <w:vertAlign w:val="baseline"/>
                <w:lang w:eastAsia="zh-CN"/>
              </w:rPr>
            </w:pPr>
          </w:p>
        </w:tc>
      </w:tr>
      <w:tr w14:paraId="60ED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602BA3FE">
            <w:pPr>
              <w:pStyle w:val="9"/>
              <w:spacing w:before="88" w:line="342" w:lineRule="auto"/>
              <w:ind w:right="258" w:rightChars="0"/>
              <w:jc w:val="center"/>
              <w:rPr>
                <w:rFonts w:hint="eastAsia" w:ascii="Times New Roman" w:hAnsi="Times New Roman" w:eastAsia="宋体" w:cs="仿宋"/>
                <w:color w:val="auto"/>
                <w:spacing w:val="3"/>
                <w:kern w:val="2"/>
                <w:sz w:val="21"/>
                <w:szCs w:val="21"/>
                <w:highlight w:val="none"/>
                <w:vertAlign w:val="baseline"/>
                <w:lang w:val="en-US" w:eastAsia="zh-CN" w:bidi="ar-SA"/>
              </w:rPr>
            </w:pPr>
            <w:r>
              <w:rPr>
                <w:rFonts w:hint="eastAsia" w:cs="仿宋"/>
                <w:color w:val="auto"/>
                <w:spacing w:val="3"/>
                <w:sz w:val="21"/>
                <w:szCs w:val="21"/>
                <w:highlight w:val="none"/>
                <w:vertAlign w:val="baseline"/>
                <w:lang w:val="en-US" w:eastAsia="zh-CN"/>
              </w:rPr>
              <w:t>13</w:t>
            </w:r>
          </w:p>
        </w:tc>
        <w:tc>
          <w:tcPr>
            <w:tcW w:w="3627" w:type="dxa"/>
            <w:noWrap w:val="0"/>
            <w:vAlign w:val="center"/>
          </w:tcPr>
          <w:p w14:paraId="5E26213A">
            <w:pPr>
              <w:spacing w:line="360" w:lineRule="auto"/>
              <w:jc w:val="left"/>
              <w:rPr>
                <w:rFonts w:hint="eastAsia" w:ascii="仿宋" w:hAnsi="仿宋" w:eastAsia="仿宋" w:cs="仿宋"/>
                <w:snapToGrid w:val="0"/>
                <w:color w:val="auto"/>
                <w:spacing w:val="3"/>
                <w:kern w:val="0"/>
                <w:sz w:val="21"/>
                <w:szCs w:val="21"/>
                <w:highlight w:val="none"/>
                <w:vertAlign w:val="baseline"/>
                <w:lang w:val="en-US" w:eastAsia="zh-CN" w:bidi="ar-SA"/>
              </w:rPr>
            </w:pPr>
            <w:bookmarkStart w:id="261" w:name="OLE_LINK1"/>
            <w:r>
              <w:rPr>
                <w:rFonts w:hint="eastAsia" w:ascii="仿宋" w:hAnsi="仿宋" w:eastAsia="仿宋" w:cs="仿宋"/>
                <w:snapToGrid w:val="0"/>
                <w:color w:val="auto"/>
                <w:spacing w:val="3"/>
                <w:kern w:val="0"/>
                <w:sz w:val="21"/>
                <w:szCs w:val="21"/>
                <w:highlight w:val="none"/>
                <w:vertAlign w:val="baseline"/>
                <w:lang w:val="en-US" w:eastAsia="zh-CN" w:bidi="ar-SA"/>
              </w:rPr>
              <w:t>承包人在本项目投标时拟派的专职安全员在其他项目中有任职且在本项目开工前未完成更换确保专职安全员只在本项目上任职的;</w:t>
            </w:r>
            <w:bookmarkEnd w:id="261"/>
          </w:p>
        </w:tc>
        <w:tc>
          <w:tcPr>
            <w:tcW w:w="1528" w:type="dxa"/>
            <w:noWrap w:val="0"/>
            <w:vAlign w:val="center"/>
          </w:tcPr>
          <w:p w14:paraId="64D49380">
            <w:pPr>
              <w:pStyle w:val="9"/>
              <w:spacing w:before="88" w:line="342" w:lineRule="auto"/>
              <w:ind w:right="258" w:rightChars="0"/>
              <w:jc w:val="center"/>
              <w:rPr>
                <w:rFonts w:hint="eastAsia" w:ascii="Times New Roman" w:hAnsi="Times New Roman" w:eastAsia="宋体" w:cs="仿宋"/>
                <w:snapToGrid w:val="0"/>
                <w:color w:val="auto"/>
                <w:kern w:val="0"/>
                <w:sz w:val="21"/>
                <w:szCs w:val="21"/>
                <w:highlight w:val="none"/>
                <w:lang w:val="en-US" w:eastAsia="zh-CN" w:bidi="ar-SA"/>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14:paraId="63786A82">
            <w:pPr>
              <w:pStyle w:val="9"/>
              <w:spacing w:before="88" w:line="342" w:lineRule="auto"/>
              <w:ind w:right="258" w:rightChars="0"/>
              <w:jc w:val="center"/>
              <w:rPr>
                <w:rFonts w:hint="eastAsia" w:ascii="Times New Roman" w:hAnsi="Times New Roman" w:eastAsia="宋体" w:cs="仿宋"/>
                <w:color w:val="auto"/>
                <w:spacing w:val="3"/>
                <w:kern w:val="2"/>
                <w:sz w:val="21"/>
                <w:szCs w:val="21"/>
                <w:highlight w:val="none"/>
                <w:vertAlign w:val="baseline"/>
                <w:lang w:val="en-US" w:eastAsia="zh-CN" w:bidi="ar-SA"/>
              </w:rPr>
            </w:pPr>
            <w:r>
              <w:rPr>
                <w:rFonts w:hint="eastAsia" w:cs="仿宋"/>
                <w:color w:val="auto"/>
                <w:spacing w:val="3"/>
                <w:sz w:val="21"/>
                <w:szCs w:val="21"/>
                <w:highlight w:val="none"/>
                <w:vertAlign w:val="baseline"/>
                <w:lang w:eastAsia="zh-CN"/>
              </w:rPr>
              <w:t>广州市建设工程施工招标文件范本修改表（2025年7月）</w:t>
            </w:r>
          </w:p>
        </w:tc>
      </w:tr>
      <w:tr w14:paraId="2C72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337FCC00">
            <w:pPr>
              <w:pStyle w:val="9"/>
              <w:spacing w:before="88" w:line="342" w:lineRule="auto"/>
              <w:ind w:right="258" w:rightChars="0"/>
              <w:jc w:val="center"/>
              <w:rPr>
                <w:rFonts w:hint="default" w:ascii="Times New Roman" w:hAnsi="Times New Roman" w:eastAsia="宋体" w:cs="仿宋"/>
                <w:color w:val="auto"/>
                <w:spacing w:val="3"/>
                <w:kern w:val="2"/>
                <w:sz w:val="21"/>
                <w:szCs w:val="21"/>
                <w:highlight w:val="none"/>
                <w:vertAlign w:val="baseline"/>
                <w:lang w:val="en-US" w:eastAsia="zh-CN" w:bidi="ar-SA"/>
              </w:rPr>
            </w:pPr>
            <w:r>
              <w:rPr>
                <w:rFonts w:hint="eastAsia" w:cs="仿宋"/>
                <w:color w:val="auto"/>
                <w:spacing w:val="3"/>
                <w:sz w:val="21"/>
                <w:szCs w:val="21"/>
                <w:highlight w:val="none"/>
                <w:vertAlign w:val="baseline"/>
                <w:lang w:val="en-US" w:eastAsia="zh-CN"/>
              </w:rPr>
              <w:t>14</w:t>
            </w:r>
          </w:p>
        </w:tc>
        <w:tc>
          <w:tcPr>
            <w:tcW w:w="3627" w:type="dxa"/>
            <w:noWrap w:val="0"/>
            <w:vAlign w:val="center"/>
          </w:tcPr>
          <w:p w14:paraId="01FD1AB1">
            <w:pPr>
              <w:spacing w:line="360" w:lineRule="auto"/>
              <w:jc w:val="left"/>
              <w:rPr>
                <w:rFonts w:hint="eastAsia" w:ascii="仿宋" w:hAnsi="仿宋" w:eastAsia="仿宋" w:cs="仿宋"/>
                <w:snapToGrid w:val="0"/>
                <w:color w:val="auto"/>
                <w:spacing w:val="3"/>
                <w:kern w:val="0"/>
                <w:sz w:val="21"/>
                <w:szCs w:val="21"/>
                <w:highlight w:val="none"/>
                <w:vertAlign w:val="baseline"/>
                <w:lang w:val="en-US" w:eastAsia="zh-CN" w:bidi="ar-SA"/>
              </w:rPr>
            </w:pPr>
            <w:r>
              <w:rPr>
                <w:rFonts w:hint="eastAsia" w:ascii="仿宋" w:hAnsi="仿宋" w:eastAsia="仿宋" w:cs="仿宋"/>
                <w:snapToGrid w:val="0"/>
                <w:color w:val="auto"/>
                <w:spacing w:val="3"/>
                <w:kern w:val="0"/>
                <w:sz w:val="21"/>
                <w:szCs w:val="21"/>
                <w:highlight w:val="none"/>
                <w:vertAlign w:val="baseline"/>
                <w:lang w:val="en-US" w:eastAsia="zh-CN" w:bidi="ar-SA"/>
              </w:rPr>
              <w:t>其他法定情形</w:t>
            </w:r>
          </w:p>
        </w:tc>
        <w:tc>
          <w:tcPr>
            <w:tcW w:w="1528" w:type="dxa"/>
            <w:noWrap w:val="0"/>
            <w:vAlign w:val="center"/>
          </w:tcPr>
          <w:p w14:paraId="16A7A3CE">
            <w:pPr>
              <w:pStyle w:val="9"/>
              <w:spacing w:before="88" w:line="342" w:lineRule="auto"/>
              <w:ind w:right="258" w:rightChars="0"/>
              <w:jc w:val="center"/>
              <w:rPr>
                <w:rFonts w:hint="eastAsia" w:ascii="Times New Roman" w:hAnsi="Times New Roman" w:eastAsia="宋体" w:cs="仿宋"/>
                <w:color w:val="auto"/>
                <w:spacing w:val="3"/>
                <w:kern w:val="2"/>
                <w:sz w:val="21"/>
                <w:szCs w:val="21"/>
                <w:highlight w:val="none"/>
                <w:vertAlign w:val="baseline"/>
                <w:lang w:val="en-US" w:eastAsia="zh-CN" w:bidi="ar-SA"/>
              </w:rPr>
            </w:pPr>
            <w:r>
              <w:rPr>
                <w:rFonts w:hint="eastAsia" w:cs="仿宋"/>
                <w:snapToGrid w:val="0"/>
                <w:color w:val="auto"/>
                <w:kern w:val="0"/>
                <w:sz w:val="21"/>
                <w:szCs w:val="21"/>
                <w:highlight w:val="none"/>
                <w:lang w:val="en-US" w:eastAsia="zh-CN" w:bidi="ar-SA"/>
              </w:rPr>
              <w:t>3个月起</w:t>
            </w:r>
          </w:p>
        </w:tc>
        <w:tc>
          <w:tcPr>
            <w:tcW w:w="3312" w:type="dxa"/>
            <w:noWrap w:val="0"/>
            <w:vAlign w:val="center"/>
          </w:tcPr>
          <w:p w14:paraId="2674742F">
            <w:pPr>
              <w:pStyle w:val="9"/>
              <w:spacing w:before="88" w:line="342" w:lineRule="auto"/>
              <w:ind w:right="258" w:rightChars="0"/>
              <w:jc w:val="center"/>
              <w:rPr>
                <w:rFonts w:hint="eastAsia" w:ascii="Times New Roman" w:hAnsi="Times New Roman" w:eastAsia="宋体" w:cs="仿宋"/>
                <w:color w:val="auto"/>
                <w:spacing w:val="3"/>
                <w:kern w:val="2"/>
                <w:sz w:val="21"/>
                <w:szCs w:val="21"/>
                <w:highlight w:val="none"/>
                <w:vertAlign w:val="baseline"/>
                <w:lang w:val="en-US" w:eastAsia="zh-CN" w:bidi="ar-SA"/>
              </w:rPr>
            </w:pPr>
          </w:p>
        </w:tc>
      </w:tr>
    </w:tbl>
    <w:p w14:paraId="158AE8C6">
      <w:pPr>
        <w:pStyle w:val="9"/>
        <w:spacing w:before="88" w:line="342" w:lineRule="auto"/>
        <w:ind w:right="258" w:firstLine="432" w:firstLineChars="200"/>
        <w:jc w:val="both"/>
        <w:rPr>
          <w:rFonts w:hint="eastAsia" w:ascii="仿宋" w:hAnsi="仿宋" w:eastAsia="仿宋" w:cs="仿宋"/>
          <w:snapToGrid w:val="0"/>
          <w:color w:val="auto"/>
          <w:spacing w:val="3"/>
          <w:kern w:val="0"/>
          <w:sz w:val="21"/>
          <w:szCs w:val="21"/>
          <w:highlight w:val="none"/>
          <w:vertAlign w:val="baseline"/>
          <w:lang w:val="en-US" w:eastAsia="zh-CN" w:bidi="ar-SA"/>
        </w:rPr>
      </w:pPr>
    </w:p>
    <w:p w14:paraId="523CD3D6">
      <w:pPr>
        <w:snapToGrid w:val="0"/>
        <w:spacing w:line="440" w:lineRule="exact"/>
        <w:jc w:val="center"/>
        <w:rPr>
          <w:rFonts w:hint="eastAsia" w:ascii="宋体" w:hAnsi="宋体"/>
          <w:b/>
          <w:bCs/>
          <w:color w:val="auto"/>
          <w:sz w:val="28"/>
          <w:szCs w:val="28"/>
          <w:highlight w:val="none"/>
        </w:rPr>
      </w:pPr>
    </w:p>
    <w:p w14:paraId="224E6988">
      <w:pPr>
        <w:snapToGrid w:val="0"/>
        <w:spacing w:line="440" w:lineRule="exact"/>
        <w:jc w:val="center"/>
        <w:rPr>
          <w:rFonts w:hint="eastAsia" w:ascii="宋体" w:hAnsi="宋体"/>
          <w:b/>
          <w:bCs/>
          <w:color w:val="auto"/>
          <w:sz w:val="28"/>
          <w:szCs w:val="28"/>
          <w:highlight w:val="none"/>
        </w:rPr>
      </w:pPr>
    </w:p>
    <w:p w14:paraId="618C3497">
      <w:pPr>
        <w:spacing w:line="500" w:lineRule="exact"/>
        <w:rPr>
          <w:rFonts w:hint="eastAsia" w:ascii="宋体" w:hAnsi="宋体"/>
          <w:b/>
          <w:color w:val="auto"/>
          <w:sz w:val="32"/>
          <w:highlight w:val="none"/>
        </w:rPr>
      </w:pPr>
      <w:r>
        <w:rPr>
          <w:rFonts w:hint="eastAsia" w:ascii="宋体" w:hAnsi="宋体"/>
          <w:b/>
          <w:color w:val="auto"/>
          <w:sz w:val="32"/>
          <w:highlight w:val="none"/>
          <w:lang w:val="en-US" w:eastAsia="zh-CN"/>
        </w:rPr>
        <w:t>附件：</w:t>
      </w:r>
      <w:r>
        <w:rPr>
          <w:rFonts w:hint="eastAsia" w:ascii="宋体" w:hAnsi="宋体"/>
          <w:b/>
          <w:color w:val="auto"/>
          <w:sz w:val="32"/>
          <w:highlight w:val="none"/>
        </w:rPr>
        <w:t>联合体协议（如有）放协议书附件</w:t>
      </w:r>
    </w:p>
    <w:p w14:paraId="6495D1D4">
      <w:pPr>
        <w:snapToGrid w:val="0"/>
        <w:spacing w:line="440" w:lineRule="exact"/>
        <w:jc w:val="center"/>
        <w:rPr>
          <w:rFonts w:hint="eastAsia" w:ascii="宋体" w:hAnsi="宋体"/>
          <w:b/>
          <w:bCs/>
          <w:color w:val="auto"/>
          <w:sz w:val="28"/>
          <w:szCs w:val="28"/>
          <w:highlight w:val="none"/>
        </w:rPr>
      </w:pPr>
    </w:p>
    <w:p w14:paraId="0325D0CF">
      <w:pPr>
        <w:snapToGrid w:val="0"/>
        <w:spacing w:line="440" w:lineRule="exact"/>
        <w:jc w:val="center"/>
        <w:rPr>
          <w:rFonts w:hint="eastAsia" w:ascii="宋体" w:hAnsi="宋体"/>
          <w:b/>
          <w:bCs/>
          <w:color w:val="auto"/>
          <w:sz w:val="28"/>
          <w:szCs w:val="28"/>
          <w:highlight w:val="none"/>
        </w:rPr>
      </w:pPr>
    </w:p>
    <w:p w14:paraId="5E546EFE">
      <w:pPr>
        <w:snapToGrid w:val="0"/>
        <w:spacing w:line="440" w:lineRule="exact"/>
        <w:jc w:val="center"/>
        <w:rPr>
          <w:rFonts w:hint="eastAsia" w:ascii="宋体" w:hAnsi="宋体"/>
          <w:b/>
          <w:bCs/>
          <w:color w:val="auto"/>
          <w:sz w:val="28"/>
          <w:szCs w:val="28"/>
          <w:highlight w:val="none"/>
        </w:rPr>
      </w:pPr>
    </w:p>
    <w:p w14:paraId="65A7153C">
      <w:pPr>
        <w:snapToGrid w:val="0"/>
        <w:spacing w:line="440" w:lineRule="exact"/>
        <w:jc w:val="center"/>
        <w:rPr>
          <w:rFonts w:hint="eastAsia" w:ascii="宋体" w:hAnsi="宋体"/>
          <w:b/>
          <w:bCs/>
          <w:color w:val="auto"/>
          <w:sz w:val="28"/>
          <w:szCs w:val="28"/>
          <w:highlight w:val="none"/>
        </w:rPr>
      </w:pPr>
    </w:p>
    <w:p w14:paraId="67A292AD">
      <w:pPr>
        <w:pStyle w:val="3"/>
        <w:rPr>
          <w:rFonts w:hint="eastAsia" w:ascii="宋体" w:hAnsi="宋体"/>
          <w:b/>
          <w:bCs/>
          <w:color w:val="auto"/>
          <w:sz w:val="28"/>
          <w:szCs w:val="28"/>
          <w:highlight w:val="none"/>
        </w:rPr>
      </w:pPr>
    </w:p>
    <w:p w14:paraId="5FAA99F5">
      <w:pPr>
        <w:rPr>
          <w:rFonts w:hint="eastAsia" w:ascii="宋体" w:hAnsi="宋体"/>
          <w:b/>
          <w:bCs/>
          <w:color w:val="auto"/>
          <w:sz w:val="28"/>
          <w:szCs w:val="28"/>
          <w:highlight w:val="none"/>
        </w:rPr>
      </w:pPr>
    </w:p>
    <w:p w14:paraId="38142E77">
      <w:pPr>
        <w:pStyle w:val="3"/>
        <w:rPr>
          <w:rFonts w:hint="eastAsia" w:ascii="宋体" w:hAnsi="宋体"/>
          <w:b/>
          <w:bCs/>
          <w:color w:val="auto"/>
          <w:sz w:val="28"/>
          <w:szCs w:val="28"/>
          <w:highlight w:val="none"/>
        </w:rPr>
      </w:pPr>
    </w:p>
    <w:p w14:paraId="086390C6">
      <w:pPr>
        <w:rPr>
          <w:rFonts w:hint="eastAsia" w:ascii="宋体" w:hAnsi="宋体"/>
          <w:b/>
          <w:bCs/>
          <w:color w:val="auto"/>
          <w:sz w:val="28"/>
          <w:szCs w:val="28"/>
          <w:highlight w:val="none"/>
        </w:rPr>
      </w:pPr>
    </w:p>
    <w:p w14:paraId="47A35286">
      <w:pPr>
        <w:pStyle w:val="3"/>
        <w:rPr>
          <w:rFonts w:hint="eastAsia" w:ascii="宋体" w:hAnsi="宋体"/>
          <w:b/>
          <w:bCs/>
          <w:color w:val="auto"/>
          <w:sz w:val="28"/>
          <w:szCs w:val="28"/>
          <w:highlight w:val="none"/>
        </w:rPr>
      </w:pPr>
    </w:p>
    <w:p w14:paraId="0D0D69FF">
      <w:pPr>
        <w:rPr>
          <w:rFonts w:hint="eastAsia" w:ascii="宋体" w:hAnsi="宋体"/>
          <w:b/>
          <w:bCs/>
          <w:color w:val="auto"/>
          <w:sz w:val="28"/>
          <w:szCs w:val="28"/>
          <w:highlight w:val="none"/>
        </w:rPr>
      </w:pPr>
    </w:p>
    <w:p w14:paraId="6B0D284C">
      <w:pPr>
        <w:pStyle w:val="3"/>
        <w:rPr>
          <w:rFonts w:hint="eastAsia"/>
          <w:color w:val="auto"/>
          <w:highlight w:val="none"/>
        </w:rPr>
      </w:pPr>
    </w:p>
    <w:p w14:paraId="770F4FB2">
      <w:pPr>
        <w:snapToGrid w:val="0"/>
        <w:spacing w:line="440" w:lineRule="exact"/>
        <w:jc w:val="center"/>
        <w:rPr>
          <w:rFonts w:hint="eastAsia" w:ascii="宋体" w:hAnsi="宋体"/>
          <w:b/>
          <w:bCs/>
          <w:color w:val="auto"/>
          <w:sz w:val="28"/>
          <w:szCs w:val="28"/>
          <w:highlight w:val="none"/>
        </w:rPr>
      </w:pPr>
    </w:p>
    <w:p w14:paraId="702419A1">
      <w:pPr>
        <w:snapToGrid w:val="0"/>
        <w:spacing w:line="440" w:lineRule="exact"/>
        <w:jc w:val="center"/>
        <w:rPr>
          <w:rFonts w:ascii="宋体" w:hAnsi="宋体"/>
          <w:color w:val="auto"/>
          <w:sz w:val="24"/>
          <w:highlight w:val="none"/>
        </w:rPr>
      </w:pPr>
      <w:r>
        <w:rPr>
          <w:rFonts w:hint="eastAsia" w:ascii="宋体" w:hAnsi="宋体"/>
          <w:b/>
          <w:bCs/>
          <w:color w:val="auto"/>
          <w:sz w:val="28"/>
          <w:szCs w:val="28"/>
          <w:highlight w:val="none"/>
        </w:rPr>
        <w:t>第二部分</w:t>
      </w:r>
      <w:r>
        <w:rPr>
          <w:rFonts w:ascii="宋体" w:hAnsi="宋体"/>
          <w:b/>
          <w:bCs/>
          <w:color w:val="auto"/>
          <w:sz w:val="28"/>
          <w:szCs w:val="28"/>
          <w:highlight w:val="none"/>
        </w:rPr>
        <w:t xml:space="preserve"> </w:t>
      </w:r>
      <w:r>
        <w:rPr>
          <w:rFonts w:hint="eastAsia" w:ascii="宋体" w:hAnsi="宋体"/>
          <w:b/>
          <w:bCs/>
          <w:color w:val="auto"/>
          <w:sz w:val="28"/>
          <w:szCs w:val="28"/>
          <w:highlight w:val="none"/>
        </w:rPr>
        <w:t>通用条款</w:t>
      </w:r>
    </w:p>
    <w:p w14:paraId="055B8013">
      <w:pPr>
        <w:spacing w:line="440" w:lineRule="exact"/>
        <w:jc w:val="center"/>
        <w:rPr>
          <w:rFonts w:ascii="宋体" w:hAnsi="宋体"/>
          <w:color w:val="auto"/>
          <w:sz w:val="24"/>
          <w:highlight w:val="none"/>
        </w:rPr>
      </w:pPr>
    </w:p>
    <w:p w14:paraId="0559FE73">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一、词语定义及合同文件</w:t>
      </w:r>
      <w:r>
        <w:rPr>
          <w:rFonts w:ascii="宋体" w:hAnsi="宋体"/>
          <w:color w:val="auto"/>
          <w:sz w:val="21"/>
          <w:szCs w:val="21"/>
          <w:highlight w:val="none"/>
        </w:rPr>
        <w:t xml:space="preserve"> </w:t>
      </w:r>
    </w:p>
    <w:p w14:paraId="1B450A2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词语定义</w:t>
      </w:r>
      <w:r>
        <w:rPr>
          <w:rFonts w:ascii="宋体" w:hAnsi="宋体"/>
          <w:color w:val="auto"/>
          <w:sz w:val="21"/>
          <w:szCs w:val="21"/>
          <w:highlight w:val="none"/>
        </w:rPr>
        <w:t xml:space="preserve"> </w:t>
      </w:r>
    </w:p>
    <w:p w14:paraId="03A61D84">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下列词语除专用条款另有约定外，应具有本条所赋予的定义：</w:t>
      </w:r>
    </w:p>
    <w:p w14:paraId="73FBFD1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 通用条款：是根据法律、行政法规规定及建设工程施工的需要订立，通用于建设工程施工的条款。 </w:t>
      </w:r>
    </w:p>
    <w:p w14:paraId="65383DE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 专用条款：是发包人与承包人根据法律、行政法规规定，结合具体工程实际，经协商达成一致意见的条款，是对通用条款的具体化、补充或修改。 </w:t>
      </w:r>
    </w:p>
    <w:p w14:paraId="67F761B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1.3 发包人：指在协议书中约定，具有工程发包主体资格和支付工程价款能力的当事人以及取得该当事人资格的合法继承人。 </w:t>
      </w:r>
    </w:p>
    <w:p w14:paraId="74A186A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 承包人：指在协议书中约定，被发包人接受的具有工程施工承包主体资格的当事人以及取得该当事人资格的合法继承人。 </w:t>
      </w:r>
    </w:p>
    <w:p w14:paraId="5B3D195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1.5 </w:t>
      </w:r>
      <w:r>
        <w:rPr>
          <w:rFonts w:hint="eastAsia" w:ascii="宋体" w:hAnsi="宋体"/>
          <w:color w:val="auto"/>
          <w:sz w:val="21"/>
          <w:szCs w:val="21"/>
          <w:highlight w:val="none"/>
        </w:rPr>
        <w:t>项目负责人：指承包人在专用条款中指定的负责施工管理和合同履行的代表。</w:t>
      </w:r>
      <w:r>
        <w:rPr>
          <w:rFonts w:ascii="宋体" w:hAnsi="宋体"/>
          <w:color w:val="auto"/>
          <w:sz w:val="21"/>
          <w:szCs w:val="21"/>
          <w:highlight w:val="none"/>
        </w:rPr>
        <w:t xml:space="preserve"> </w:t>
      </w:r>
    </w:p>
    <w:p w14:paraId="70E2E02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 设计单位：指发包人委托的负责本工程设计并取得相应工程设计资质等级证书的单位。 </w:t>
      </w:r>
    </w:p>
    <w:p w14:paraId="691A8FE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 监理单位：指发包人委托的负责本工程监理并取得相应在工程监理资质等级证书的单位。 </w:t>
      </w:r>
    </w:p>
    <w:p w14:paraId="5E48ACF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1.8 工程师：指本工程监理单位委派的总监理工程师或发包人指定的履行本合同的代表，其具体身份和职权由发包人承包人在专用条款中约定。 </w:t>
      </w:r>
    </w:p>
    <w:p w14:paraId="550E62C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 工程造价管理部门：指国务院有关部门、县级以上人民政府建设行政主管部门或其委托的工程造价管理机构。 </w:t>
      </w:r>
    </w:p>
    <w:p w14:paraId="25750D6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1.10 工程：指发包人承包人在协议书中约定的承包范围内的工程。 </w:t>
      </w:r>
    </w:p>
    <w:p w14:paraId="4E680D0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1.11 合同价款：指发包人承包人在协议书中约定，发包人用以支付承包人按照合同约定完成承包范围内全部工程并承担质量保修责任的款项。 </w:t>
      </w:r>
    </w:p>
    <w:p w14:paraId="29F1951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1.12 追加合同价款：指在合同履行中发生需要增加合同价款的情况，经发包人确认后按计算合同价款的方法增加的合同价款。 </w:t>
      </w:r>
    </w:p>
    <w:p w14:paraId="17AE059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1.13 </w:t>
      </w:r>
      <w:r>
        <w:rPr>
          <w:rFonts w:hint="eastAsia" w:ascii="宋体" w:hAnsi="宋体"/>
          <w:color w:val="auto"/>
          <w:sz w:val="21"/>
          <w:szCs w:val="21"/>
          <w:highlight w:val="none"/>
        </w:rPr>
        <w:t>费用：指不包含在合同价款之内的应当由发包人或承包人承担的经济支出。</w:t>
      </w:r>
    </w:p>
    <w:p w14:paraId="5A46A73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1.14 </w:t>
      </w:r>
      <w:r>
        <w:rPr>
          <w:rFonts w:hint="eastAsia" w:ascii="宋体" w:hAnsi="宋体"/>
          <w:color w:val="auto"/>
          <w:sz w:val="21"/>
          <w:szCs w:val="21"/>
          <w:highlight w:val="none"/>
        </w:rPr>
        <w:t>工期：指发包人承包人在协议书中约定，按总日历天数（包括法定节假日）计算的承包天数。</w:t>
      </w:r>
      <w:r>
        <w:rPr>
          <w:rFonts w:ascii="宋体" w:hAnsi="宋体"/>
          <w:color w:val="auto"/>
          <w:sz w:val="21"/>
          <w:szCs w:val="21"/>
          <w:highlight w:val="none"/>
        </w:rPr>
        <w:t xml:space="preserve"> </w:t>
      </w:r>
    </w:p>
    <w:p w14:paraId="5985CFF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1.15 开工日期：指发包人承包人在协议书中约定，承包人开始施工的绝对或相对的日期。 </w:t>
      </w:r>
    </w:p>
    <w:p w14:paraId="1587948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1.16 竣工日期：指发包人承包人在协议书中约定，承包人完成承包范围内工程的绝对或相对的日期。 </w:t>
      </w:r>
    </w:p>
    <w:p w14:paraId="2561AF0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1.17 图纸：指由发包人提供或承包人提供并经发包人批准，满足承包人施工需要的所有图纸（包括配套说明和有关资料）。 </w:t>
      </w:r>
    </w:p>
    <w:p w14:paraId="2CAE68D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1.18 施工场地：指由发包人提供的用于工程施工的场所以及发包人在图纸中具体指定的供施工使用的任何其他场所。 </w:t>
      </w:r>
    </w:p>
    <w:p w14:paraId="06F3742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1.19 书面形式：指合同书、信件和数据电文（包括电报、电传、传真、电子数据交换和电子邮件）等可以有形地表现所载内容的形式。 </w:t>
      </w:r>
    </w:p>
    <w:p w14:paraId="3726D46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1.20 违约责任：指合同一方不履行合同义务或履行合同义务不符合约定所应承担的责任。 </w:t>
      </w:r>
    </w:p>
    <w:p w14:paraId="344F271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1.21 索赔：指在合同履行过程中，对于并非自己的过错，而是应由对方承担责任的情况造成的实际损失，向对方提出经济补偿和（或）工期顺延的要求。 </w:t>
      </w:r>
    </w:p>
    <w:p w14:paraId="34BD49B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1.22 不可抗力：指不能预见、不能避免并不能克服的客观情况。 </w:t>
      </w:r>
    </w:p>
    <w:p w14:paraId="404204F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14:paraId="73D3A79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2、合同文件及解释顺序 </w:t>
      </w:r>
    </w:p>
    <w:p w14:paraId="39E5ED1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2.1 合同文件应能相互解释，互为说明。除专用条款另有约定外，组成本合同的文件及优先解释顺序如下： </w:t>
      </w:r>
    </w:p>
    <w:p w14:paraId="21F4808D">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1）本合同协议书 </w:t>
      </w:r>
    </w:p>
    <w:p w14:paraId="35CE98CA">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2）中标通知书 </w:t>
      </w:r>
    </w:p>
    <w:p w14:paraId="44B105C8">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3）投标书及其附件 </w:t>
      </w:r>
    </w:p>
    <w:p w14:paraId="1A72F30C">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4）本合同专用条款 </w:t>
      </w:r>
    </w:p>
    <w:p w14:paraId="490068F1">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5）本合同通用条款 </w:t>
      </w:r>
    </w:p>
    <w:p w14:paraId="7EB8296F">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6）标准、规范及有关技术文件 </w:t>
      </w:r>
    </w:p>
    <w:p w14:paraId="33CB78DE">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7）图纸 </w:t>
      </w:r>
    </w:p>
    <w:p w14:paraId="6E565C6B">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8）工程量清单 </w:t>
      </w:r>
    </w:p>
    <w:p w14:paraId="727324D5">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9）工程报价单或预算书</w:t>
      </w:r>
    </w:p>
    <w:p w14:paraId="76F3ABB6">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合同履行中，发包人承包人有关工程的洽商、变更等书面协议或文件视为本合同的组成部分。</w:t>
      </w:r>
      <w:r>
        <w:rPr>
          <w:rFonts w:ascii="宋体" w:hAnsi="宋体"/>
          <w:color w:val="auto"/>
          <w:sz w:val="21"/>
          <w:szCs w:val="21"/>
          <w:highlight w:val="none"/>
        </w:rPr>
        <w:t xml:space="preserve"> </w:t>
      </w:r>
    </w:p>
    <w:p w14:paraId="220E52B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14:paraId="3269085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3、语言文字和适用法律、标准及规范 </w:t>
      </w:r>
    </w:p>
    <w:p w14:paraId="0470CE9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 语言文字 </w:t>
      </w:r>
    </w:p>
    <w:p w14:paraId="54989953">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本合同文件使用汉语语言文字书写、解释和说明。如专用条款约定使用两种以上（含两种）语言文字时，汉语应为解释和说明本合同的标准语言文字。</w:t>
      </w:r>
    </w:p>
    <w:p w14:paraId="6E61B1D2">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在少数民族地区，双方可以约定使用少数民族语言文字书写和解释、说明本合同。</w:t>
      </w:r>
    </w:p>
    <w:p w14:paraId="00E1962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 适用法律和法规 </w:t>
      </w:r>
    </w:p>
    <w:p w14:paraId="406E0694">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本合同文件适用国家的法律和行政法规。需要明示的法律、行政法规，由双方在专用条款中约定。</w:t>
      </w:r>
    </w:p>
    <w:p w14:paraId="0B47447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 适用标准、规范 </w:t>
      </w:r>
    </w:p>
    <w:p w14:paraId="36605D08">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2CD84D0A">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国内没有相应标准、规范的，由发包人按专用条款约定的时间向承包人</w:t>
      </w:r>
      <w:r>
        <w:rPr>
          <w:rFonts w:hint="eastAsia" w:ascii="宋体" w:hAnsi="宋体"/>
          <w:color w:val="auto"/>
          <w:spacing w:val="4"/>
          <w:sz w:val="21"/>
          <w:szCs w:val="21"/>
          <w:highlight w:val="none"/>
        </w:rPr>
        <w:t>提出施工技术要求，承包人按约定的时间和要求提出施工工艺，经发包人认</w:t>
      </w:r>
      <w:r>
        <w:rPr>
          <w:rFonts w:hint="eastAsia" w:ascii="宋体" w:hAnsi="宋体"/>
          <w:color w:val="auto"/>
          <w:sz w:val="21"/>
          <w:szCs w:val="21"/>
          <w:highlight w:val="none"/>
        </w:rPr>
        <w:t>可后执行。发包人要求使用国外标准、规范的，应负责提供中文译本。</w:t>
      </w:r>
      <w:r>
        <w:rPr>
          <w:rFonts w:ascii="宋体" w:hAnsi="宋体"/>
          <w:color w:val="auto"/>
          <w:sz w:val="21"/>
          <w:szCs w:val="21"/>
          <w:highlight w:val="none"/>
        </w:rPr>
        <w:t xml:space="preserve"> </w:t>
      </w:r>
    </w:p>
    <w:p w14:paraId="22BAFDAB">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本条所发生的购买、翻译标准、规范或制定施工工艺的费用，由发包人承担。</w:t>
      </w:r>
    </w:p>
    <w:p w14:paraId="0C5B8BD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4、图纸 </w:t>
      </w:r>
    </w:p>
    <w:p w14:paraId="7EEFDEB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 </w:t>
      </w:r>
      <w:r>
        <w:rPr>
          <w:rFonts w:hint="eastAsia" w:ascii="宋体" w:hAnsi="宋体"/>
          <w:color w:val="auto"/>
          <w:sz w:val="21"/>
          <w:szCs w:val="21"/>
          <w:highlight w:val="none"/>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r>
        <w:rPr>
          <w:rFonts w:ascii="宋体" w:hAnsi="宋体"/>
          <w:color w:val="auto"/>
          <w:sz w:val="21"/>
          <w:szCs w:val="21"/>
          <w:highlight w:val="none"/>
        </w:rPr>
        <w:t xml:space="preserve"> </w:t>
      </w:r>
    </w:p>
    <w:p w14:paraId="56A5782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4.2 承包人未经发包人同意，不得将本工程图纸转给第三人。工程质量保修期满后，除承包人存档需要的图纸外，应将全部图纸退还给发包人。 </w:t>
      </w:r>
    </w:p>
    <w:p w14:paraId="31A1D21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4.3 承包人应在施工现场保留一套完整图纸，供工程师及有关人员进行工程检查时使用。 </w:t>
      </w:r>
    </w:p>
    <w:p w14:paraId="287ABB92">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二、双方一般权利和义务</w:t>
      </w:r>
      <w:r>
        <w:rPr>
          <w:rFonts w:ascii="宋体" w:hAnsi="宋体"/>
          <w:color w:val="auto"/>
          <w:sz w:val="21"/>
          <w:szCs w:val="21"/>
          <w:highlight w:val="none"/>
        </w:rPr>
        <w:t xml:space="preserve"> </w:t>
      </w:r>
    </w:p>
    <w:p w14:paraId="5569FBB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5、工程师 </w:t>
      </w:r>
    </w:p>
    <w:p w14:paraId="7D4C94C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5.1实行工程监理的，发包人应在实施监理前将委托的监理单位名称、监理内容及监理权限以书面形式通知承包人。 </w:t>
      </w:r>
    </w:p>
    <w:p w14:paraId="7B06141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14:paraId="6430358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14:paraId="4E6B59D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5.4 </w:t>
      </w:r>
      <w:r>
        <w:rPr>
          <w:rFonts w:hint="eastAsia" w:ascii="宋体" w:hAnsi="宋体"/>
          <w:color w:val="auto"/>
          <w:sz w:val="21"/>
          <w:szCs w:val="21"/>
          <w:highlight w:val="none"/>
        </w:rPr>
        <w:t>合同履行中，发生影响发包人承包人双方权利或义务的事件时，负责监理的工程师应依据合同在其职权范围内客观公正地进行处理。一方对工程师的处理有异议时，按本通用条款</w:t>
      </w:r>
      <w:r>
        <w:rPr>
          <w:rFonts w:ascii="宋体" w:hAnsi="宋体"/>
          <w:color w:val="auto"/>
          <w:sz w:val="21"/>
          <w:szCs w:val="21"/>
          <w:highlight w:val="none"/>
        </w:rPr>
        <w:t xml:space="preserve">37条关于争议的约定处理。 </w:t>
      </w:r>
    </w:p>
    <w:p w14:paraId="25DA2AF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5.5 </w:t>
      </w:r>
      <w:r>
        <w:rPr>
          <w:rFonts w:hint="eastAsia" w:ascii="宋体" w:hAnsi="宋体"/>
          <w:color w:val="auto"/>
          <w:sz w:val="21"/>
          <w:szCs w:val="21"/>
          <w:highlight w:val="none"/>
        </w:rPr>
        <w:t>除合同内有明确约定或经发包人同意外，负责监理的工程师无权解除本合同约定的承包人的任何权利与义务。</w:t>
      </w:r>
    </w:p>
    <w:p w14:paraId="2263E69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5.6 不实行工程监理的，本合同中工程师专指发包人派驻施工现场履行合同的代表，其具体职权由发包人在专用条款中写明。 </w:t>
      </w:r>
    </w:p>
    <w:p w14:paraId="3F2F215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6、工程师的委派和指令 </w:t>
      </w:r>
    </w:p>
    <w:p w14:paraId="639CEC0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14:paraId="77EBAA9A">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Pr>
          <w:rFonts w:ascii="宋体" w:hAnsi="宋体"/>
          <w:color w:val="auto"/>
          <w:sz w:val="21"/>
          <w:szCs w:val="21"/>
          <w:highlight w:val="none"/>
        </w:rPr>
        <w:t xml:space="preserve"> </w:t>
      </w:r>
    </w:p>
    <w:p w14:paraId="120747D8">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除工程师或工程师代表外，发包人派驻工地的其他人员均无权向承包人发出任何指令。</w:t>
      </w:r>
      <w:r>
        <w:rPr>
          <w:rFonts w:ascii="宋体" w:hAnsi="宋体"/>
          <w:color w:val="auto"/>
          <w:sz w:val="21"/>
          <w:szCs w:val="21"/>
          <w:highlight w:val="none"/>
        </w:rPr>
        <w:t xml:space="preserve"> </w:t>
      </w:r>
    </w:p>
    <w:p w14:paraId="3C0B98E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6.2 </w:t>
      </w:r>
      <w:r>
        <w:rPr>
          <w:rFonts w:hint="eastAsia" w:ascii="宋体" w:hAnsi="宋体"/>
          <w:color w:val="auto"/>
          <w:sz w:val="21"/>
          <w:szCs w:val="21"/>
          <w:highlight w:val="none"/>
        </w:rPr>
        <w:t>工程师的指令、通知由其本人签字后，以书面形式交给项目负责人，项目负责人在回执上签署姓名和收到时间后生效。确有必要时，工程师可发出口头指令，并在</w:t>
      </w:r>
      <w:r>
        <w:rPr>
          <w:rFonts w:ascii="宋体" w:hAnsi="宋体"/>
          <w:color w:val="auto"/>
          <w:sz w:val="21"/>
          <w:szCs w:val="21"/>
          <w:highlight w:val="none"/>
        </w:rPr>
        <w:t xml:space="preserve">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14:paraId="48B7A9F9">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承包人认为工程师指令不合理，应在收到指令后</w:t>
      </w:r>
      <w:r>
        <w:rPr>
          <w:rFonts w:ascii="宋体" w:hAnsi="宋体"/>
          <w:color w:val="auto"/>
          <w:sz w:val="21"/>
          <w:szCs w:val="21"/>
          <w:highlight w:val="none"/>
        </w:rPr>
        <w:t>24小时内向工程师提出修改指令的书面报告，工程师在收到承包人报告后24小时内</w:t>
      </w:r>
      <w:r>
        <w:rPr>
          <w:rFonts w:hint="eastAsia" w:ascii="宋体" w:hAnsi="宋体"/>
          <w:color w:val="auto"/>
          <w:sz w:val="21"/>
          <w:szCs w:val="21"/>
          <w:highlight w:val="none"/>
        </w:rPr>
        <w:t>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r>
        <w:rPr>
          <w:rFonts w:ascii="宋体" w:hAnsi="宋体"/>
          <w:color w:val="auto"/>
          <w:sz w:val="21"/>
          <w:szCs w:val="21"/>
          <w:highlight w:val="none"/>
        </w:rPr>
        <w:t xml:space="preserve"> </w:t>
      </w:r>
    </w:p>
    <w:p w14:paraId="1F1460A0">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本款规定同样适用于由工程师代表发出的指令、通知。</w:t>
      </w:r>
    </w:p>
    <w:p w14:paraId="2BAA4C1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6.3 </w:t>
      </w:r>
      <w:r>
        <w:rPr>
          <w:rFonts w:hint="eastAsia" w:ascii="宋体" w:hAnsi="宋体"/>
          <w:color w:val="auto"/>
          <w:sz w:val="21"/>
          <w:szCs w:val="21"/>
          <w:highlight w:val="none"/>
        </w:rPr>
        <w:t>工程师应按合同约定，及时向承包人提供所需指令、批准并履行约定的</w:t>
      </w:r>
      <w:r>
        <w:rPr>
          <w:rFonts w:hint="eastAsia" w:ascii="宋体" w:hAnsi="宋体"/>
          <w:color w:val="auto"/>
          <w:spacing w:val="4"/>
          <w:sz w:val="21"/>
          <w:szCs w:val="21"/>
          <w:highlight w:val="none"/>
        </w:rPr>
        <w:t>其他义务。由于工程师未能按合同约定履行义务造成工期延误，发包人应承</w:t>
      </w:r>
      <w:r>
        <w:rPr>
          <w:rFonts w:hint="eastAsia" w:ascii="宋体" w:hAnsi="宋体"/>
          <w:color w:val="auto"/>
          <w:sz w:val="21"/>
          <w:szCs w:val="21"/>
          <w:highlight w:val="none"/>
        </w:rPr>
        <w:t>担延误造成的追加合同价款，并赔偿承包人有关损失，顺延延误的工期。</w:t>
      </w:r>
      <w:r>
        <w:rPr>
          <w:rFonts w:ascii="宋体" w:hAnsi="宋体"/>
          <w:color w:val="auto"/>
          <w:sz w:val="21"/>
          <w:szCs w:val="21"/>
          <w:highlight w:val="none"/>
        </w:rPr>
        <w:t xml:space="preserve"> </w:t>
      </w:r>
    </w:p>
    <w:p w14:paraId="398402B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6.4 如需更换工程师，发包人应至少提前7天以书面形式通知承包人，后任继续行使合同文件约定的前任的职权，履行前任的义务。 </w:t>
      </w:r>
    </w:p>
    <w:p w14:paraId="65E2177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项目负责人</w:t>
      </w:r>
      <w:r>
        <w:rPr>
          <w:rFonts w:ascii="宋体" w:hAnsi="宋体"/>
          <w:color w:val="auto"/>
          <w:sz w:val="21"/>
          <w:szCs w:val="21"/>
          <w:highlight w:val="none"/>
        </w:rPr>
        <w:t xml:space="preserve"> </w:t>
      </w:r>
    </w:p>
    <w:p w14:paraId="52BA342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7.1 </w:t>
      </w:r>
      <w:r>
        <w:rPr>
          <w:rFonts w:hint="eastAsia" w:ascii="宋体" w:hAnsi="宋体"/>
          <w:color w:val="auto"/>
          <w:sz w:val="21"/>
          <w:szCs w:val="21"/>
          <w:highlight w:val="none"/>
        </w:rPr>
        <w:t>项目负责人的姓名、职务在专用条款内写明。</w:t>
      </w:r>
      <w:r>
        <w:rPr>
          <w:rFonts w:ascii="宋体" w:hAnsi="宋体"/>
          <w:color w:val="auto"/>
          <w:sz w:val="21"/>
          <w:szCs w:val="21"/>
          <w:highlight w:val="none"/>
        </w:rPr>
        <w:t xml:space="preserve"> </w:t>
      </w:r>
    </w:p>
    <w:p w14:paraId="64D3787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7.2 </w:t>
      </w:r>
      <w:r>
        <w:rPr>
          <w:rFonts w:hint="eastAsia" w:ascii="宋体" w:hAnsi="宋体"/>
          <w:color w:val="auto"/>
          <w:sz w:val="21"/>
          <w:szCs w:val="21"/>
          <w:highlight w:val="none"/>
        </w:rPr>
        <w:t>承包人依据合同发出的通知，以书面形式由项目负责人签字后送交工程师，工程师在回执上签署姓名和收到时间后生效。</w:t>
      </w:r>
      <w:r>
        <w:rPr>
          <w:rFonts w:ascii="宋体" w:hAnsi="宋体"/>
          <w:color w:val="auto"/>
          <w:sz w:val="21"/>
          <w:szCs w:val="21"/>
          <w:highlight w:val="none"/>
        </w:rPr>
        <w:t xml:space="preserve"> </w:t>
      </w:r>
    </w:p>
    <w:p w14:paraId="550DDF3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7.3 </w:t>
      </w:r>
      <w:r>
        <w:rPr>
          <w:rFonts w:hint="eastAsia" w:ascii="宋体" w:hAnsi="宋体"/>
          <w:color w:val="auto"/>
          <w:sz w:val="21"/>
          <w:szCs w:val="21"/>
          <w:highlight w:val="none"/>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Pr>
          <w:rFonts w:ascii="宋体" w:hAnsi="宋体"/>
          <w:color w:val="auto"/>
          <w:sz w:val="21"/>
          <w:szCs w:val="21"/>
          <w:highlight w:val="none"/>
        </w:rPr>
        <w:t xml:space="preserve">48小时内向工程师送交报告。责任在发包人或第三人，由发包人承担由此发生的追加合同价款，相应顺延工期；责任在承包人，由承包人承担费用，不顺延工期。 </w:t>
      </w:r>
    </w:p>
    <w:p w14:paraId="38591BE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7.4 </w:t>
      </w:r>
      <w:r>
        <w:rPr>
          <w:rFonts w:hint="eastAsia" w:ascii="宋体" w:hAnsi="宋体"/>
          <w:color w:val="auto"/>
          <w:sz w:val="21"/>
          <w:szCs w:val="21"/>
          <w:highlight w:val="none"/>
        </w:rPr>
        <w:t>承包人如需更换项目负责人，应至少提前</w:t>
      </w:r>
      <w:r>
        <w:rPr>
          <w:rFonts w:ascii="宋体" w:hAnsi="宋体"/>
          <w:color w:val="auto"/>
          <w:sz w:val="21"/>
          <w:szCs w:val="21"/>
          <w:highlight w:val="none"/>
        </w:rPr>
        <w:t xml:space="preserve">7天以书面形式通知发包人，并征得发包人同意。后任继续行使合同文件约定的前任的职权，履行前任的义务。 </w:t>
      </w:r>
    </w:p>
    <w:p w14:paraId="5A0793C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7.5 </w:t>
      </w:r>
      <w:r>
        <w:rPr>
          <w:rFonts w:hint="eastAsia" w:ascii="宋体" w:hAnsi="宋体"/>
          <w:color w:val="auto"/>
          <w:sz w:val="21"/>
          <w:szCs w:val="21"/>
          <w:highlight w:val="none"/>
        </w:rPr>
        <w:t>发包人可以与承包人协商，建议更换其认为不称职的项目负责人。</w:t>
      </w:r>
      <w:r>
        <w:rPr>
          <w:rFonts w:ascii="宋体" w:hAnsi="宋体"/>
          <w:color w:val="auto"/>
          <w:sz w:val="21"/>
          <w:szCs w:val="21"/>
          <w:highlight w:val="none"/>
        </w:rPr>
        <w:t xml:space="preserve"> </w:t>
      </w:r>
    </w:p>
    <w:p w14:paraId="776A81C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8、发包人工作 </w:t>
      </w:r>
    </w:p>
    <w:p w14:paraId="3A11163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8.1 发包人按专用条款约定的内容和时间完成以下工作: </w:t>
      </w:r>
    </w:p>
    <w:p w14:paraId="74F37C1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办理土地征用、拆迁补偿、平整施工场地等工作，使施工场地具备施工条件，在开工后继续负责解决以上事项遗留问题； </w:t>
      </w:r>
    </w:p>
    <w:p w14:paraId="1E67C15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将施工所需水、电、电讯线路从施工场地外部接至专用条款约定地点，保证施工期间的需要； </w:t>
      </w:r>
    </w:p>
    <w:p w14:paraId="43487B0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开通施工场地与城乡公共道路的通道，以及专用条款约定的施工场地内的主要道路，满足施工运输的需要，保证施工期间的畅通。 </w:t>
      </w:r>
    </w:p>
    <w:p w14:paraId="6810CA9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向承包人提供施工场地的工程地质和地下管线资料，对资料的真实准确性负责； </w:t>
      </w:r>
    </w:p>
    <w:p w14:paraId="3C1489F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w:t>
      </w:r>
      <w:r>
        <w:rPr>
          <w:rFonts w:hint="eastAsia" w:ascii="宋体" w:hAnsi="宋体"/>
          <w:color w:val="auto"/>
          <w:sz w:val="21"/>
          <w:szCs w:val="21"/>
          <w:highlight w:val="none"/>
        </w:rPr>
        <w:t>办理施工许可证及其他施工所需证件、批件和临时用地、停水、停电、中断道路交通、爆破作业等的申请批准文件（证明承包人自身资质的证件除外）；</w:t>
      </w:r>
    </w:p>
    <w:p w14:paraId="7B67228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 </w:t>
      </w:r>
      <w:r>
        <w:rPr>
          <w:rFonts w:hint="eastAsia" w:ascii="宋体" w:hAnsi="宋体"/>
          <w:color w:val="auto"/>
          <w:sz w:val="21"/>
          <w:szCs w:val="21"/>
          <w:highlight w:val="none"/>
        </w:rPr>
        <w:t>确定水准点与坐标控制点，以书面形式交给承包人，进行现场交验；</w:t>
      </w:r>
    </w:p>
    <w:p w14:paraId="6D705D1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 </w:t>
      </w:r>
      <w:r>
        <w:rPr>
          <w:rFonts w:hint="eastAsia" w:ascii="宋体" w:hAnsi="宋体"/>
          <w:color w:val="auto"/>
          <w:sz w:val="21"/>
          <w:szCs w:val="21"/>
          <w:highlight w:val="none"/>
        </w:rPr>
        <w:t>组织承包人和设计单位进行图纸会审和设计交底；</w:t>
      </w:r>
    </w:p>
    <w:p w14:paraId="4D82275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(8) 协调管理施工场地周围地下管线和邻近建筑物、构筑物（包括文物保护建筑）、古树名木的保护工作，承担有关费用； </w:t>
      </w:r>
    </w:p>
    <w:p w14:paraId="5C68E38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(9) 发包人应做的其他工作，双方在专用条款内约定。 </w:t>
      </w:r>
    </w:p>
    <w:p w14:paraId="6A0248F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8.2 发包人未履行8.1款各项义务，导致工期延误或给承包人造成损失的，发包人赔偿承包人有关损失，顺延延误的工期。 </w:t>
      </w:r>
    </w:p>
    <w:p w14:paraId="4B80493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9、承包人工作 </w:t>
      </w:r>
    </w:p>
    <w:p w14:paraId="119C777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9.1 承包人按专用条款约定的内容和时间完成以下工作： </w:t>
      </w:r>
    </w:p>
    <w:p w14:paraId="253407B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根据发包人委托，在其设计资质等级和业务允许的范围内，完成施工图设计或与工程配套的设计，经工程师确认后使用，发包人承担由此发生的费用；</w:t>
      </w:r>
    </w:p>
    <w:p w14:paraId="3B05629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向工程师提供年、季、月度工程进度计划及相应进度统计报表；</w:t>
      </w:r>
      <w:r>
        <w:rPr>
          <w:rFonts w:ascii="宋体" w:hAnsi="宋体"/>
          <w:color w:val="auto"/>
          <w:sz w:val="21"/>
          <w:szCs w:val="21"/>
          <w:highlight w:val="none"/>
        </w:rPr>
        <w:t xml:space="preserve"> </w:t>
      </w:r>
    </w:p>
    <w:p w14:paraId="4E2F1C4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根据工程需要，提供和维修非夜间施工使用的照明、围栏设施，并负责安全保卫；</w:t>
      </w:r>
    </w:p>
    <w:p w14:paraId="277B13F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按专用条款约定的数量和要求，向发包人提供施工场地办公和生活的房屋及设施，发包人承担由此发生的费用；</w:t>
      </w:r>
      <w:r>
        <w:rPr>
          <w:rFonts w:ascii="宋体" w:hAnsi="宋体"/>
          <w:color w:val="auto"/>
          <w:sz w:val="21"/>
          <w:szCs w:val="21"/>
          <w:highlight w:val="none"/>
        </w:rPr>
        <w:t xml:space="preserve"> </w:t>
      </w:r>
    </w:p>
    <w:p w14:paraId="31B66AC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遵守政府有关主管部门对施工场地交通、施工噪音以及环境保护和安全生产等的管理规定，按规定办理有关手续，并以书面形式通知发包人，发包人承担由此发生的费用，因承包人责任造成的罚款除外；</w:t>
      </w:r>
      <w:r>
        <w:rPr>
          <w:rFonts w:ascii="宋体" w:hAnsi="宋体"/>
          <w:color w:val="auto"/>
          <w:sz w:val="21"/>
          <w:szCs w:val="21"/>
          <w:highlight w:val="none"/>
        </w:rPr>
        <w:t xml:space="preserve"> </w:t>
      </w:r>
    </w:p>
    <w:p w14:paraId="7ADECDC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5BAF42F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按专用条款约定做好施工场地地下管线和邻近建筑物、构筑物（包括文物保护建筑）、古树名木的保护工作；</w:t>
      </w:r>
    </w:p>
    <w:p w14:paraId="54236AD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保证施工场地清洁符合环境卫生管理的有关规定，交工前清理现场达到专用条款约定的要求，承担因自身原因违反有关规定造成的损失和罚款；</w:t>
      </w:r>
    </w:p>
    <w:p w14:paraId="5AAC5C6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pacing w:val="-6"/>
          <w:sz w:val="21"/>
          <w:szCs w:val="21"/>
          <w:highlight w:val="none"/>
        </w:rPr>
        <w:t>办理施工许可证及施工所需证件、批件和临时用地、停水、停电、中断</w:t>
      </w:r>
      <w:r>
        <w:rPr>
          <w:rFonts w:hint="eastAsia" w:ascii="宋体" w:hAnsi="宋体"/>
          <w:color w:val="auto"/>
          <w:sz w:val="21"/>
          <w:szCs w:val="21"/>
          <w:highlight w:val="none"/>
        </w:rPr>
        <w:t>道路交通、爆破作业等的申请批准手续（证明承包人自身资质的证件除外）；</w:t>
      </w:r>
    </w:p>
    <w:p w14:paraId="1D83DC1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(10)承包人应做的其他工作，双方在专用条款内约定。</w:t>
      </w:r>
    </w:p>
    <w:p w14:paraId="2C5A112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9.2承包人未能履行9.1款各项义务，造成发包人损失的，承包人赔偿发包人有关损失。</w:t>
      </w:r>
    </w:p>
    <w:p w14:paraId="14AB6E2E">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三、施工组织设计和工期</w:t>
      </w:r>
      <w:r>
        <w:rPr>
          <w:rFonts w:ascii="宋体" w:hAnsi="宋体"/>
          <w:color w:val="auto"/>
          <w:sz w:val="21"/>
          <w:szCs w:val="21"/>
          <w:highlight w:val="none"/>
        </w:rPr>
        <w:t xml:space="preserve"> </w:t>
      </w:r>
    </w:p>
    <w:p w14:paraId="5D2B6F1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10、进度计划 </w:t>
      </w:r>
    </w:p>
    <w:p w14:paraId="06569B2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14:paraId="57139E6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10.2群体工程中单位工程分期进行施工的，承包人应按照发包人提供图纸及有关资料的时间，按单位工程编制进度计划，其具体内容双方在专用条款中约定。 </w:t>
      </w:r>
    </w:p>
    <w:p w14:paraId="71BF383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420762C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11、开工及延期开工 </w:t>
      </w:r>
    </w:p>
    <w:p w14:paraId="5C069FA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14:paraId="0A81B28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11.2因发包人原因不能按照协议书约定的开工日期开工，工程师应以书面形式通知承</w:t>
      </w:r>
      <w:r>
        <w:rPr>
          <w:rFonts w:hint="eastAsia" w:ascii="宋体" w:hAnsi="宋体"/>
          <w:color w:val="auto"/>
          <w:sz w:val="21"/>
          <w:szCs w:val="21"/>
          <w:highlight w:val="none"/>
        </w:rPr>
        <w:t>包人，推迟开工日期。发包人赔偿承包人因延期开工造成的损失，并相应顺延工期。</w:t>
      </w:r>
      <w:r>
        <w:rPr>
          <w:rFonts w:ascii="宋体" w:hAnsi="宋体"/>
          <w:color w:val="auto"/>
          <w:sz w:val="21"/>
          <w:szCs w:val="21"/>
          <w:highlight w:val="none"/>
        </w:rPr>
        <w:t xml:space="preserve"> </w:t>
      </w:r>
    </w:p>
    <w:p w14:paraId="12399D0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12、暂停施工 </w:t>
      </w:r>
    </w:p>
    <w:p w14:paraId="46C7C868">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工程师认为确有必要暂停施工时，应当以书面形式要求承包人暂停施工，并在提出要求后</w:t>
      </w:r>
      <w:r>
        <w:rPr>
          <w:rFonts w:ascii="宋体" w:hAnsi="宋体"/>
          <w:color w:val="auto"/>
          <w:sz w:val="21"/>
          <w:szCs w:val="21"/>
          <w:highlight w:val="none"/>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1504405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13、工期延误 </w:t>
      </w:r>
    </w:p>
    <w:p w14:paraId="633DD94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13.1因以下原因造成工期延误，经工程师确认工期相应顺延； </w:t>
      </w:r>
    </w:p>
    <w:p w14:paraId="541101C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发包人未能按专用条款的约定提供图纸及开工条件； </w:t>
      </w:r>
    </w:p>
    <w:p w14:paraId="5C51F19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发包人未能按约定日期支付工程预付款、进度款，致使施工不能正常进行；</w:t>
      </w:r>
    </w:p>
    <w:p w14:paraId="3228757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w:t>
      </w:r>
      <w:r>
        <w:rPr>
          <w:rFonts w:hint="eastAsia" w:ascii="宋体" w:hAnsi="宋体"/>
          <w:color w:val="auto"/>
          <w:sz w:val="21"/>
          <w:szCs w:val="21"/>
          <w:highlight w:val="none"/>
        </w:rPr>
        <w:t>工程师未按合同约定提供所需指令、批准等，致使施工不能正常进行；</w:t>
      </w:r>
    </w:p>
    <w:p w14:paraId="2BFD968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设计变更和工程量增加； </w:t>
      </w:r>
    </w:p>
    <w:p w14:paraId="5F7F8A1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w:t>
      </w:r>
      <w:r>
        <w:rPr>
          <w:rFonts w:hint="eastAsia" w:ascii="宋体" w:hAnsi="宋体"/>
          <w:color w:val="auto"/>
          <w:sz w:val="21"/>
          <w:szCs w:val="21"/>
          <w:highlight w:val="none"/>
        </w:rPr>
        <w:t>一周内非承包人原因停水、停电、停气造成停工累计超过</w:t>
      </w:r>
      <w:r>
        <w:rPr>
          <w:rFonts w:ascii="宋体" w:hAnsi="宋体"/>
          <w:color w:val="auto"/>
          <w:sz w:val="21"/>
          <w:szCs w:val="21"/>
          <w:highlight w:val="none"/>
        </w:rPr>
        <w:t>8小时；</w:t>
      </w:r>
    </w:p>
    <w:p w14:paraId="7083B8E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 </w:t>
      </w:r>
      <w:r>
        <w:rPr>
          <w:rFonts w:hint="eastAsia" w:ascii="宋体" w:hAnsi="宋体"/>
          <w:color w:val="auto"/>
          <w:sz w:val="21"/>
          <w:szCs w:val="21"/>
          <w:highlight w:val="none"/>
        </w:rPr>
        <w:t>不可抗力；</w:t>
      </w:r>
    </w:p>
    <w:p w14:paraId="6F19517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 </w:t>
      </w:r>
      <w:r>
        <w:rPr>
          <w:rFonts w:hint="eastAsia" w:ascii="宋体" w:hAnsi="宋体"/>
          <w:color w:val="auto"/>
          <w:sz w:val="21"/>
          <w:szCs w:val="21"/>
          <w:highlight w:val="none"/>
        </w:rPr>
        <w:t>专用条款中约定或工程师同意工期顺延的其他情况。</w:t>
      </w:r>
    </w:p>
    <w:p w14:paraId="25DAB8B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13.2承包人在13.1款情况发生后14天内，就延误的工期以书面形式向工程师提出报告。工程师在收到报告后14天内予以确认，逾期不予确认也不提出修改意见，视为同意顺延工期。 </w:t>
      </w:r>
    </w:p>
    <w:p w14:paraId="7AAD86B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14、工程竣工 </w:t>
      </w:r>
    </w:p>
    <w:p w14:paraId="366E458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14.1 承包人必须按照协议书约定的竣工日期或工程师同意顺延的工期竣工。 </w:t>
      </w:r>
    </w:p>
    <w:p w14:paraId="4215B6E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14.2 因承包人原因不能按照协议书约定的竣工日期或工程师同意顺延的工期竣工的，承包人承担违约责任。 </w:t>
      </w:r>
    </w:p>
    <w:p w14:paraId="6933618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14:paraId="19FB6831">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四、质量与检验</w:t>
      </w:r>
      <w:r>
        <w:rPr>
          <w:rFonts w:ascii="宋体" w:hAnsi="宋体"/>
          <w:color w:val="auto"/>
          <w:sz w:val="21"/>
          <w:szCs w:val="21"/>
          <w:highlight w:val="none"/>
        </w:rPr>
        <w:t xml:space="preserve"> </w:t>
      </w:r>
    </w:p>
    <w:p w14:paraId="78E3879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15、工程质量 </w:t>
      </w:r>
    </w:p>
    <w:p w14:paraId="14487F6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w:t>
      </w:r>
      <w:r>
        <w:rPr>
          <w:rFonts w:ascii="宋体" w:hAnsi="宋体"/>
          <w:color w:val="auto"/>
          <w:spacing w:val="6"/>
          <w:sz w:val="21"/>
          <w:szCs w:val="21"/>
          <w:highlight w:val="none"/>
        </w:rPr>
        <w:t xml:space="preserve">5.1 </w:t>
      </w:r>
      <w:r>
        <w:rPr>
          <w:rFonts w:hint="eastAsia" w:ascii="宋体" w:hAnsi="宋体"/>
          <w:color w:val="auto"/>
          <w:spacing w:val="6"/>
          <w:sz w:val="21"/>
          <w:szCs w:val="21"/>
          <w:highlight w:val="none"/>
        </w:rPr>
        <w:t>工程质量应当达到协议书约定的质量标准，质量标准的评定以国家或</w:t>
      </w:r>
      <w:r>
        <w:rPr>
          <w:rFonts w:hint="eastAsia" w:ascii="宋体" w:hAnsi="宋体"/>
          <w:color w:val="auto"/>
          <w:sz w:val="21"/>
          <w:szCs w:val="21"/>
          <w:highlight w:val="none"/>
        </w:rPr>
        <w:t>行业的质量检验评定标准为依据。因承包人原因工程质量达不到约定的质量标准，承包人承担违约责任。</w:t>
      </w:r>
      <w:r>
        <w:rPr>
          <w:rFonts w:ascii="宋体" w:hAnsi="宋体"/>
          <w:color w:val="auto"/>
          <w:sz w:val="21"/>
          <w:szCs w:val="21"/>
          <w:highlight w:val="none"/>
        </w:rPr>
        <w:t xml:space="preserve"> </w:t>
      </w:r>
    </w:p>
    <w:p w14:paraId="4A84409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15.2 双方对工程质量有争议，由双方同意的工程质量检测机构鉴定，所需费用及因此造成的损失，由责任方承担。双方均有责任，由双方根据其责任分别承担。 </w:t>
      </w:r>
    </w:p>
    <w:p w14:paraId="6F592DF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16、检查和返工 </w:t>
      </w:r>
    </w:p>
    <w:p w14:paraId="35D97F8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16.1 承包人应认真按照标准、规范和设计图纸要求以及工程师依据合同发出的指令施工，随时接受工程师的检查检验，为检查检验提供便利条件。 </w:t>
      </w:r>
    </w:p>
    <w:p w14:paraId="5A96B2B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14:paraId="53B418E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0F21E37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16.4 因工程师指令失误或其他非承包人原因发生的追加合同价款，由发包人承担。 </w:t>
      </w:r>
    </w:p>
    <w:p w14:paraId="5E0EC20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17、隐蔽工程和中间验收 </w:t>
      </w:r>
    </w:p>
    <w:p w14:paraId="4D413A8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17.1 </w:t>
      </w:r>
      <w:r>
        <w:rPr>
          <w:rFonts w:hint="eastAsia" w:ascii="宋体" w:hAnsi="宋体"/>
          <w:color w:val="auto"/>
          <w:sz w:val="21"/>
          <w:szCs w:val="21"/>
          <w:highlight w:val="none"/>
        </w:rPr>
        <w:t>工程具备隐蔽条件或达到专用条款约定的中间验收部位，承包人进行自检，并在隐蔽或中间验收前</w:t>
      </w:r>
      <w:r>
        <w:rPr>
          <w:rFonts w:ascii="宋体" w:hAnsi="宋体"/>
          <w:color w:val="auto"/>
          <w:sz w:val="21"/>
          <w:szCs w:val="21"/>
          <w:highlight w:val="none"/>
        </w:rPr>
        <w:t>48小时以书面形式通知工程师验收。通知包括隐蔽和中间验收的内容、验收时间和地点。承包人准备验收记录，验收合格，</w:t>
      </w:r>
      <w:r>
        <w:rPr>
          <w:rFonts w:hint="eastAsia" w:ascii="宋体" w:hAnsi="宋体"/>
          <w:color w:val="auto"/>
          <w:spacing w:val="4"/>
          <w:sz w:val="21"/>
          <w:szCs w:val="21"/>
          <w:highlight w:val="none"/>
        </w:rPr>
        <w:t>工程师在验收记录上签字后，承包人可进行隐蔽和继续施工。验收不合格</w:t>
      </w:r>
      <w:r>
        <w:rPr>
          <w:rFonts w:hint="eastAsia" w:ascii="宋体" w:hAnsi="宋体"/>
          <w:color w:val="auto"/>
          <w:sz w:val="21"/>
          <w:szCs w:val="21"/>
          <w:highlight w:val="none"/>
        </w:rPr>
        <w:t>，承包人在工程师限定的时间内修改后重新验收。</w:t>
      </w:r>
      <w:r>
        <w:rPr>
          <w:rFonts w:ascii="宋体" w:hAnsi="宋体"/>
          <w:color w:val="auto"/>
          <w:sz w:val="21"/>
          <w:szCs w:val="21"/>
          <w:highlight w:val="none"/>
        </w:rPr>
        <w:t xml:space="preserve"> </w:t>
      </w:r>
    </w:p>
    <w:p w14:paraId="3DA3233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14:paraId="5CA3127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17.3 </w:t>
      </w:r>
      <w:r>
        <w:rPr>
          <w:rFonts w:hint="eastAsia" w:ascii="宋体" w:hAnsi="宋体"/>
          <w:color w:val="auto"/>
          <w:sz w:val="21"/>
          <w:szCs w:val="21"/>
          <w:highlight w:val="none"/>
        </w:rPr>
        <w:t>经工程师验收，工程质量符合标准、规范和设计图纸等要求，验收</w:t>
      </w:r>
      <w:r>
        <w:rPr>
          <w:rFonts w:ascii="宋体" w:hAnsi="宋体"/>
          <w:color w:val="auto"/>
          <w:sz w:val="21"/>
          <w:szCs w:val="21"/>
          <w:highlight w:val="none"/>
        </w:rPr>
        <w:t>24</w:t>
      </w:r>
      <w:r>
        <w:rPr>
          <w:rFonts w:hint="eastAsia" w:ascii="宋体" w:hAnsi="宋体"/>
          <w:color w:val="auto"/>
          <w:spacing w:val="4"/>
          <w:sz w:val="21"/>
          <w:szCs w:val="21"/>
          <w:highlight w:val="none"/>
        </w:rPr>
        <w:t>小时后，工程师不在验收记录上签字，视为工程师已经认可验收记录，承包</w:t>
      </w:r>
      <w:r>
        <w:rPr>
          <w:rFonts w:hint="eastAsia" w:ascii="宋体" w:hAnsi="宋体"/>
          <w:color w:val="auto"/>
          <w:sz w:val="21"/>
          <w:szCs w:val="21"/>
          <w:highlight w:val="none"/>
        </w:rPr>
        <w:t>人可进行隐蔽或继续施工。</w:t>
      </w:r>
      <w:r>
        <w:rPr>
          <w:rFonts w:ascii="宋体" w:hAnsi="宋体"/>
          <w:color w:val="auto"/>
          <w:sz w:val="21"/>
          <w:szCs w:val="21"/>
          <w:highlight w:val="none"/>
        </w:rPr>
        <w:t xml:space="preserve"> </w:t>
      </w:r>
    </w:p>
    <w:p w14:paraId="7FEE9F8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18、重新检验 </w:t>
      </w:r>
    </w:p>
    <w:p w14:paraId="2EBDEC55">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Pr>
          <w:rFonts w:ascii="宋体" w:hAnsi="宋体"/>
          <w:color w:val="auto"/>
          <w:sz w:val="21"/>
          <w:szCs w:val="21"/>
          <w:highlight w:val="none"/>
        </w:rPr>
        <w:t xml:space="preserve"> </w:t>
      </w:r>
    </w:p>
    <w:p w14:paraId="1E6A663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19、工程试车 </w:t>
      </w:r>
    </w:p>
    <w:p w14:paraId="2463678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19.1 双方约定需要试车的，试车内容应与承包人承包的安装范围相一致。 </w:t>
      </w:r>
    </w:p>
    <w:p w14:paraId="62A0A71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1F55A4D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14:paraId="7D4680D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14:paraId="281C382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19.5双方责任 </w:t>
      </w:r>
    </w:p>
    <w:p w14:paraId="3772593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14:paraId="047420D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02AF179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由于承包人施工原因试车达不到验收要求，承包人按工程师要求重新安装和试车，并承担重新安装和试车的费用，工期不予顺延。 </w:t>
      </w:r>
    </w:p>
    <w:p w14:paraId="705F6A5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w:t>
      </w:r>
      <w:r>
        <w:rPr>
          <w:rFonts w:hint="eastAsia" w:ascii="宋体" w:hAnsi="宋体"/>
          <w:color w:val="auto"/>
          <w:sz w:val="21"/>
          <w:szCs w:val="21"/>
          <w:highlight w:val="none"/>
        </w:rPr>
        <w:t>试车费用除已包括在合同价款之内或专用条款另有约定外，均由发包人承担。</w:t>
      </w:r>
    </w:p>
    <w:p w14:paraId="4EC5135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工程师在试车合格后不在试车记录上签字，试车结束24小时后，视为工程师已经认可试车记录，承包人可继续施工或办理竣工手续。 </w:t>
      </w:r>
    </w:p>
    <w:p w14:paraId="6CF094E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19.6 投料试车应在工程竣工验收后由发包人负责，如发包人要求在工程竣工验收前进行或需要承包人配合时，应征得承包人同意，另行签订补充协议。 </w:t>
      </w:r>
    </w:p>
    <w:p w14:paraId="48963FD4">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五、安全施工</w:t>
      </w:r>
      <w:r>
        <w:rPr>
          <w:rFonts w:ascii="宋体" w:hAnsi="宋体"/>
          <w:color w:val="auto"/>
          <w:sz w:val="21"/>
          <w:szCs w:val="21"/>
          <w:highlight w:val="none"/>
        </w:rPr>
        <w:t xml:space="preserve"> </w:t>
      </w:r>
    </w:p>
    <w:p w14:paraId="603B456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20、安全施工与检查 </w:t>
      </w:r>
    </w:p>
    <w:p w14:paraId="1AEA27E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547ADD4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14:paraId="76E6DFB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21、安全防护 </w:t>
      </w:r>
    </w:p>
    <w:p w14:paraId="04673EC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14:paraId="344BE30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21.2实施爆破作业，在放射、毒害性环境中施工（含储存、运输、使用）及使用毒害性、腐蚀性物品施工时，承包人应在施工前14天以书面形式通知工</w:t>
      </w:r>
      <w:r>
        <w:rPr>
          <w:rFonts w:hint="eastAsia" w:ascii="宋体" w:hAnsi="宋体"/>
          <w:color w:val="auto"/>
          <w:spacing w:val="2"/>
          <w:sz w:val="21"/>
          <w:szCs w:val="21"/>
          <w:highlight w:val="none"/>
        </w:rPr>
        <w:t>程师，并提出相应的安全防护措施，经工程师认可后实施</w:t>
      </w:r>
      <w:r>
        <w:rPr>
          <w:rFonts w:ascii="宋体" w:hAnsi="宋体"/>
          <w:color w:val="auto"/>
          <w:spacing w:val="2"/>
          <w:sz w:val="21"/>
          <w:szCs w:val="21"/>
          <w:highlight w:val="none"/>
        </w:rPr>
        <w:t>,由发包人承担安全</w:t>
      </w:r>
      <w:r>
        <w:rPr>
          <w:rFonts w:hint="eastAsia" w:ascii="宋体" w:hAnsi="宋体"/>
          <w:color w:val="auto"/>
          <w:sz w:val="21"/>
          <w:szCs w:val="21"/>
          <w:highlight w:val="none"/>
        </w:rPr>
        <w:t>防护措施费用。</w:t>
      </w:r>
      <w:r>
        <w:rPr>
          <w:rFonts w:ascii="宋体" w:hAnsi="宋体"/>
          <w:color w:val="auto"/>
          <w:sz w:val="21"/>
          <w:szCs w:val="21"/>
          <w:highlight w:val="none"/>
        </w:rPr>
        <w:t xml:space="preserve"> </w:t>
      </w:r>
    </w:p>
    <w:p w14:paraId="1E937C9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22、事故处理 </w:t>
      </w:r>
    </w:p>
    <w:p w14:paraId="27BE46C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22.1发生重大伤亡及其他安全事故，承包人应按有关规定立即上报有关部门并通知工程师，同时按政府有关部门要求处理，由事故责任方承担发生的费用。</w:t>
      </w:r>
    </w:p>
    <w:p w14:paraId="39D8A0B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22.2发包人承包人对事故责任有争议时，应按政府有关部门的认定处理。 </w:t>
      </w:r>
    </w:p>
    <w:p w14:paraId="1130826D">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六、合同价款与支付</w:t>
      </w:r>
      <w:r>
        <w:rPr>
          <w:rFonts w:ascii="宋体" w:hAnsi="宋体"/>
          <w:color w:val="auto"/>
          <w:sz w:val="21"/>
          <w:szCs w:val="21"/>
          <w:highlight w:val="none"/>
        </w:rPr>
        <w:t xml:space="preserve"> </w:t>
      </w:r>
    </w:p>
    <w:p w14:paraId="32C765F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23、合同价款及调整 </w:t>
      </w:r>
    </w:p>
    <w:p w14:paraId="342E5F0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23.1招标工程的合同价款由发包人承包人依据中标通知书中的中标价格在协议书内约定。非招标工程的合同价款由发包人承包人依据工程预算书在协议书内约定。 </w:t>
      </w:r>
    </w:p>
    <w:p w14:paraId="7680BE0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23.2合同价款在协议书内约定后，任何一方不得擅自改变。下列三种确定合同价款的方式，双方可在专用条款内约定采用其中一种： </w:t>
      </w:r>
    </w:p>
    <w:p w14:paraId="131B3B3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14:paraId="2DCB2D4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可调价格合同。合同价款可根据双方的约定而调整，双方在专用条款内约定合同价款调整方法。</w:t>
      </w:r>
      <w:r>
        <w:rPr>
          <w:rFonts w:ascii="宋体" w:hAnsi="宋体"/>
          <w:color w:val="auto"/>
          <w:sz w:val="21"/>
          <w:szCs w:val="21"/>
          <w:highlight w:val="none"/>
        </w:rPr>
        <w:t xml:space="preserve"> </w:t>
      </w:r>
    </w:p>
    <w:p w14:paraId="69182A4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成本加酬金合同。合同价款包括成本和酬金两部分，双方在专用条款内约定成本构成和酬金的计算方法。 </w:t>
      </w:r>
    </w:p>
    <w:p w14:paraId="03017FB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23.3可调价格合同中合同价款的调整因素包括：</w:t>
      </w:r>
    </w:p>
    <w:p w14:paraId="786BBB9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法律、行政法规和国家有关政策变化影响合同价款； </w:t>
      </w:r>
    </w:p>
    <w:p w14:paraId="104BB1C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工程造价管理部门公布的价格调整； </w:t>
      </w:r>
    </w:p>
    <w:p w14:paraId="2EBB125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一周内非承包人原因停水、停电、停气造成的停工累计超过8小时； </w:t>
      </w:r>
    </w:p>
    <w:p w14:paraId="2EC59E2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双方约定的其他因素。 </w:t>
      </w:r>
    </w:p>
    <w:p w14:paraId="75AF92C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14:paraId="6D0C04B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24、工程预付款 </w:t>
      </w:r>
    </w:p>
    <w:p w14:paraId="4DF56650">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实行工程预付款的，双方应当在专用条款内约定发包人向承包人预付工程款的时间和数额，开工后按约定的时间和比例逐次扣回。预付时间应不迟于约定的开工日期前</w:t>
      </w:r>
      <w:r>
        <w:rPr>
          <w:rFonts w:ascii="宋体" w:hAnsi="宋体"/>
          <w:color w:val="auto"/>
          <w:sz w:val="21"/>
          <w:szCs w:val="21"/>
          <w:highlight w:val="none"/>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14:paraId="353D622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25、工程量的确认 </w:t>
      </w:r>
    </w:p>
    <w:p w14:paraId="0EBCB49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14:paraId="378F3F1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14:paraId="2B5BFB9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25.3对承包人超出设计图纸范围和因承包人原因造成返工的工程量，工程师不予计量。 </w:t>
      </w:r>
    </w:p>
    <w:p w14:paraId="4CCB47F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26、工程款（进度款）支付。 </w:t>
      </w:r>
    </w:p>
    <w:p w14:paraId="47A88D4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26.1 在确认计量结果后14天内，发包人应向承包人支付工程款（进度款）。按约定时间发包人应扣回的预付款，与工程款（进度款）同期结算。 </w:t>
      </w:r>
    </w:p>
    <w:p w14:paraId="27423F8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26.2 本通用条款第23条确定调整的合同价款，第31条工程变更调整的合同价款及其他条款中约定的追加合同价款，应与工程款（进度款）同期调整支付。 </w:t>
      </w:r>
    </w:p>
    <w:p w14:paraId="1769DA8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14:paraId="164DD30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26.4 发包人不按合同约定支付工程款（进度款），双方又未达成延期付款协议，导致施工无法进行，承包人可停止施工，由发包人承担违约责任。 </w:t>
      </w:r>
    </w:p>
    <w:p w14:paraId="51D6B0CE">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七、材料设备供应</w:t>
      </w:r>
      <w:r>
        <w:rPr>
          <w:rFonts w:ascii="宋体" w:hAnsi="宋体"/>
          <w:color w:val="auto"/>
          <w:sz w:val="21"/>
          <w:szCs w:val="21"/>
          <w:highlight w:val="none"/>
        </w:rPr>
        <w:t xml:space="preserve"> </w:t>
      </w:r>
    </w:p>
    <w:p w14:paraId="0FE1FA2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27、发包人供应材料设备 </w:t>
      </w:r>
    </w:p>
    <w:p w14:paraId="5A7F75D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14:paraId="7CF9BD7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05C4C67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27.3 发包人供应的材料设备，承包人派人参加清点后由承包人妥善保管，发包人支付相应保管费用。因承包人原因发生丢失损坏，由承包人负责赔偿。 </w:t>
      </w:r>
    </w:p>
    <w:p w14:paraId="68BA5991">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发包人未通知承包人清点，承包人不负责材料设备的保管，丢失损坏由发包人负责。</w:t>
      </w:r>
      <w:r>
        <w:rPr>
          <w:rFonts w:ascii="宋体" w:hAnsi="宋体"/>
          <w:color w:val="auto"/>
          <w:sz w:val="21"/>
          <w:szCs w:val="21"/>
          <w:highlight w:val="none"/>
        </w:rPr>
        <w:t xml:space="preserve"> </w:t>
      </w:r>
    </w:p>
    <w:p w14:paraId="1A7036B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27.4发包人供应的材料设备与一览表不符时，发包人承担有关责任。发包人应承担责任的具体内容，双方根据下列情况在专用条款内约定。 </w:t>
      </w:r>
    </w:p>
    <w:p w14:paraId="68A40F8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材料设备单价与一览表不符，由发包人承担所有价差； </w:t>
      </w:r>
    </w:p>
    <w:p w14:paraId="40FAE73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材料设备的品种、规格、型号、质量等级与一览表不符，承包人可拒绝接收保管，由发包人运出施工场地并重新采购； </w:t>
      </w:r>
    </w:p>
    <w:p w14:paraId="24BD325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发包人供应的材料规格、型号与一览表不符，经发包人同意，承包人可代为调剂串换，由发包人承担相应费用； </w:t>
      </w:r>
    </w:p>
    <w:p w14:paraId="205B8B6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到货地点与一览表不符，由发包人负责运至一览表指定地点： </w:t>
      </w:r>
    </w:p>
    <w:p w14:paraId="3EF8D1A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供应数量少于一览表约定的数量时，由发包人补齐，多于一览表约定数量时，发包人负责将多出部分运出施工场地； </w:t>
      </w:r>
    </w:p>
    <w:p w14:paraId="0B62BB5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 到货时间早于一览表约定时间，由发包人承担因此发生的保管费用；到货时间迟于一览表约定的供应时间，发包人赔偿由此造成的承包人损失，造成工期延误的，相应顺延工期。 </w:t>
      </w:r>
    </w:p>
    <w:p w14:paraId="7694E27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27.5发包人供应的材料设备使用前，由承包人负责检验或试验，不合格的不得使用，检验或试验费用由发包人承担。 </w:t>
      </w:r>
    </w:p>
    <w:p w14:paraId="1D80FE9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27.6发包人供应材料设备的结算方法，双方在专用条款内约定。 </w:t>
      </w:r>
    </w:p>
    <w:p w14:paraId="134BCEB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28、承包人采购材料设备 </w:t>
      </w:r>
    </w:p>
    <w:p w14:paraId="2F2BB28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28.1 </w:t>
      </w:r>
      <w:r>
        <w:rPr>
          <w:rFonts w:hint="eastAsia" w:ascii="宋体" w:hAnsi="宋体"/>
          <w:color w:val="auto"/>
          <w:sz w:val="21"/>
          <w:szCs w:val="21"/>
          <w:highlight w:val="none"/>
        </w:rPr>
        <w:t>承包人负责采购材料设备的，应按照专用条款约定及设计和有关标准要求采购，并提供产品合格证明，对材料设备质量负责。承包人在材料设备到货前</w:t>
      </w:r>
      <w:r>
        <w:rPr>
          <w:rFonts w:ascii="宋体" w:hAnsi="宋体"/>
          <w:color w:val="auto"/>
          <w:sz w:val="21"/>
          <w:szCs w:val="21"/>
          <w:highlight w:val="none"/>
        </w:rPr>
        <w:t>24小时通知工程师清点。</w:t>
      </w:r>
    </w:p>
    <w:p w14:paraId="2C7AEB2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28.2</w:t>
      </w:r>
      <w:r>
        <w:rPr>
          <w:rFonts w:ascii="宋体" w:hAnsi="宋体"/>
          <w:color w:val="auto"/>
          <w:spacing w:val="8"/>
          <w:sz w:val="21"/>
          <w:szCs w:val="21"/>
          <w:highlight w:val="none"/>
        </w:rPr>
        <w:t xml:space="preserve"> 承包人采购的材料设备与设计或标准要求不符时，承包人应按工程师要</w:t>
      </w:r>
      <w:r>
        <w:rPr>
          <w:rFonts w:hint="eastAsia" w:ascii="宋体" w:hAnsi="宋体"/>
          <w:color w:val="auto"/>
          <w:sz w:val="21"/>
          <w:szCs w:val="21"/>
          <w:highlight w:val="none"/>
        </w:rPr>
        <w:t>求的时间运出施工场地，重新采购符合要求的产品，承担由此发生的费用，由此延误的工期不予顺延。</w:t>
      </w:r>
      <w:r>
        <w:rPr>
          <w:rFonts w:ascii="宋体" w:hAnsi="宋体"/>
          <w:color w:val="auto"/>
          <w:sz w:val="21"/>
          <w:szCs w:val="21"/>
          <w:highlight w:val="none"/>
        </w:rPr>
        <w:t xml:space="preserve"> </w:t>
      </w:r>
    </w:p>
    <w:p w14:paraId="09768D4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28.3 承包人采购的材料设备在使用前，承包人应按工程师的要求进行检验或试验，不合格的不得使用，检验或试验费用由承包人承担。 </w:t>
      </w:r>
    </w:p>
    <w:p w14:paraId="24EED9C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28.4 工程师发现承包人采购并使用不符合设计或标准要求的材料设备时，应要求由承包人负责修复、拆除或重新采购，并承担发生的费用，由此延误的工期不予顺延。 </w:t>
      </w:r>
    </w:p>
    <w:p w14:paraId="7796ACC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28.5 承包人需要使用代用材料时，应经工程师认可后才能使用，由此增减的合同价款双方以书面形式议定。 </w:t>
      </w:r>
    </w:p>
    <w:p w14:paraId="6332B75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28.6 由承包人采购的材料设备，发包人不得指定生产厂或供应商。 </w:t>
      </w:r>
    </w:p>
    <w:p w14:paraId="07594F10">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八、工程变更</w:t>
      </w:r>
      <w:r>
        <w:rPr>
          <w:rFonts w:ascii="宋体" w:hAnsi="宋体"/>
          <w:color w:val="auto"/>
          <w:sz w:val="21"/>
          <w:szCs w:val="21"/>
          <w:highlight w:val="none"/>
        </w:rPr>
        <w:t xml:space="preserve"> </w:t>
      </w:r>
    </w:p>
    <w:p w14:paraId="6C5DFB8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29、工程设计变更 </w:t>
      </w:r>
    </w:p>
    <w:p w14:paraId="182CA7E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30C4DF6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更改工程有关部分的标高、基线、位置和尺寸； </w:t>
      </w:r>
    </w:p>
    <w:p w14:paraId="2C8FCE0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增减合同中约定的工程量； </w:t>
      </w:r>
    </w:p>
    <w:p w14:paraId="6BDF1FC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改变有关工程的施工时间和顺序； </w:t>
      </w:r>
    </w:p>
    <w:p w14:paraId="6C02DA7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其他有关工程变更需要的附加工作。 </w:t>
      </w:r>
    </w:p>
    <w:p w14:paraId="34AFD353">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因变更导致合同价款的增减及造成的承包人损失，由发包人承担，延误的工期相应顺延。</w:t>
      </w:r>
      <w:r>
        <w:rPr>
          <w:rFonts w:ascii="宋体" w:hAnsi="宋体"/>
          <w:color w:val="auto"/>
          <w:sz w:val="21"/>
          <w:szCs w:val="21"/>
          <w:highlight w:val="none"/>
        </w:rPr>
        <w:t xml:space="preserve"> </w:t>
      </w:r>
    </w:p>
    <w:p w14:paraId="0F96FE4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29.2施工中承包人不得对原工程设计进行变更。因承包人擅自变更设计发生的费用和由此导致发包人的直接损失，由承包人承担，延误的工期不予顺延。</w:t>
      </w:r>
    </w:p>
    <w:p w14:paraId="60764FC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0AB42AFA">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工程师同意采用承包人合理化建议，所发生的费用和获得的收益，发包人承包人另行约定分担或分享。</w:t>
      </w:r>
      <w:r>
        <w:rPr>
          <w:rFonts w:ascii="宋体" w:hAnsi="宋体"/>
          <w:color w:val="auto"/>
          <w:sz w:val="21"/>
          <w:szCs w:val="21"/>
          <w:highlight w:val="none"/>
        </w:rPr>
        <w:t xml:space="preserve"> </w:t>
      </w:r>
    </w:p>
    <w:p w14:paraId="7B97FCA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30、其他变更 </w:t>
      </w:r>
    </w:p>
    <w:p w14:paraId="3A669C8A">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合同履行中发包人要求变更工程质量标准及发生其他实质性变更，由双方协商解决。</w:t>
      </w:r>
      <w:r>
        <w:rPr>
          <w:rFonts w:ascii="宋体" w:hAnsi="宋体"/>
          <w:color w:val="auto"/>
          <w:sz w:val="21"/>
          <w:szCs w:val="21"/>
          <w:highlight w:val="none"/>
        </w:rPr>
        <w:t xml:space="preserve"> </w:t>
      </w:r>
    </w:p>
    <w:p w14:paraId="2252C3B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31、确定变更价款 </w:t>
      </w:r>
    </w:p>
    <w:p w14:paraId="6695AC9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31.1承包人在工程变更确定后14天内，提出变更工程价款的报告，经工程师确认后调整合同价款。变更合同价款按下列方法进行： </w:t>
      </w:r>
    </w:p>
    <w:p w14:paraId="693CD6E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合同中已有适用于变更工程的价格，按合同已有的价格变更合同价款； </w:t>
      </w:r>
    </w:p>
    <w:p w14:paraId="2A83392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合同中只有类似于变更工程的价格，可以参照类似价格变更合同价款； </w:t>
      </w:r>
    </w:p>
    <w:p w14:paraId="2FA0E5D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合同中没有适用或类似于变更工程的价格，由承包人提出适当的变更价格，经工程师确认后执行。 </w:t>
      </w:r>
    </w:p>
    <w:p w14:paraId="49B7484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31.2承包人在双方确定变更后14天内不向工程师提出变更工程价款报告时，视为该项变更不涉及合同价款的变更。 </w:t>
      </w:r>
    </w:p>
    <w:p w14:paraId="5E30987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31.3工程师应在收到变更工程价款报告之日起14天内予以确认，工程师无正当理由不确认时，自变更工程价款报告送达之日起14天后视为变更工程价款报告已被确认。 </w:t>
      </w:r>
    </w:p>
    <w:p w14:paraId="1C23F4B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31.4工程师不同意承包人提出的变更价款，按本通用条款第37条关于争议的约定处理。 </w:t>
      </w:r>
    </w:p>
    <w:p w14:paraId="122E772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31.5工程师确认增加的工程变更价款作为追加合同价款，与工程款同期支付。</w:t>
      </w:r>
    </w:p>
    <w:p w14:paraId="53B355A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31.6因承包人自身原因导致的工程变更，承包人无权要求追加合同价款。 </w:t>
      </w:r>
    </w:p>
    <w:p w14:paraId="1AFC8B82">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九、竣工验收与结算</w:t>
      </w:r>
      <w:r>
        <w:rPr>
          <w:rFonts w:ascii="宋体" w:hAnsi="宋体"/>
          <w:color w:val="auto"/>
          <w:sz w:val="21"/>
          <w:szCs w:val="21"/>
          <w:highlight w:val="none"/>
        </w:rPr>
        <w:t xml:space="preserve"> </w:t>
      </w:r>
    </w:p>
    <w:p w14:paraId="35C4188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32、竣工验收 </w:t>
      </w:r>
    </w:p>
    <w:p w14:paraId="768A444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32.1 </w:t>
      </w:r>
      <w:r>
        <w:rPr>
          <w:rFonts w:hint="eastAsia" w:ascii="宋体" w:hAnsi="宋体"/>
          <w:color w:val="auto"/>
          <w:sz w:val="21"/>
          <w:szCs w:val="21"/>
          <w:highlight w:val="none"/>
        </w:rPr>
        <w:t>工程具备竣工验收条件，承包人按国家工程竣工验收有关规定，向发包人提供完整竣工资料及竣工验收报告。双方约定由承包人提供竣工图的，应当在专用条款内约定提供的日期和份数。</w:t>
      </w:r>
      <w:r>
        <w:rPr>
          <w:rFonts w:ascii="宋体" w:hAnsi="宋体"/>
          <w:color w:val="auto"/>
          <w:sz w:val="21"/>
          <w:szCs w:val="21"/>
          <w:highlight w:val="none"/>
        </w:rPr>
        <w:t xml:space="preserve"> </w:t>
      </w:r>
    </w:p>
    <w:p w14:paraId="4B93191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32.2 </w:t>
      </w:r>
      <w:r>
        <w:rPr>
          <w:rFonts w:hint="eastAsia" w:ascii="宋体" w:hAnsi="宋体"/>
          <w:color w:val="auto"/>
          <w:sz w:val="21"/>
          <w:szCs w:val="21"/>
          <w:highlight w:val="none"/>
        </w:rPr>
        <w:t>发包人收到竣工验收报告后</w:t>
      </w:r>
      <w:r>
        <w:rPr>
          <w:rFonts w:ascii="宋体" w:hAnsi="宋体"/>
          <w:color w:val="auto"/>
          <w:sz w:val="21"/>
          <w:szCs w:val="21"/>
          <w:highlight w:val="none"/>
        </w:rPr>
        <w:t>28天内组织有关单位验收，并在验收后14天内给予认可或提出修改意见。承包人按要求修改，并承担由自身原因造成修改的费用。</w:t>
      </w:r>
    </w:p>
    <w:p w14:paraId="13D6D87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32.3 发包人收到承包人送交的竣工验收报告后28天内不组织验收，或验收后14天内不提出修改意见，视为竣工验收报告已被认可。 </w:t>
      </w:r>
    </w:p>
    <w:p w14:paraId="7C53B4E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32.4 工程竣工验收通过，承包人送交竣工验收报告的日期为实际竣工日期。工程按发包人要求修改后通过竣工验收的，实际竣工日期为承包人修改后提请发包人验收的日期。 </w:t>
      </w:r>
    </w:p>
    <w:p w14:paraId="620EA4D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32.5 发包人收到承包人竣工验收报告后28天内不组织验收，从第29天起承担工程保管及一切意外责任。 </w:t>
      </w:r>
    </w:p>
    <w:p w14:paraId="6C1B23C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32.6 中间交工工程的范围和竣工时间，双方在专用条款内约定，其验收程序按本通用条款32.1款至32.4款办理。 </w:t>
      </w:r>
    </w:p>
    <w:p w14:paraId="6951E54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32.7 因特殊原因，发包人要求部分单位工程或工程部位甩项竣工的，双方另行签订甩项竣工协议，明确双方责任和工程价款支付方法。 </w:t>
      </w:r>
    </w:p>
    <w:p w14:paraId="5DD1961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32.8 工程未经竣工验收或竣工验收未通过的，发包人不得使用。发包人强行使用时，由此发生的质量问题及其他问题，由发包人承担责任。 </w:t>
      </w:r>
    </w:p>
    <w:p w14:paraId="040A85C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33、竣工结算 </w:t>
      </w:r>
    </w:p>
    <w:p w14:paraId="50365C6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14:paraId="07C022C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14:paraId="0862DDE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33.3 </w:t>
      </w:r>
      <w:r>
        <w:rPr>
          <w:rFonts w:hint="eastAsia" w:ascii="宋体" w:hAnsi="宋体"/>
          <w:color w:val="auto"/>
          <w:sz w:val="21"/>
          <w:szCs w:val="21"/>
          <w:highlight w:val="none"/>
        </w:rPr>
        <w:t>发包人收到竣工结算报告及结算资料后</w:t>
      </w:r>
      <w:r>
        <w:rPr>
          <w:rFonts w:ascii="宋体" w:hAnsi="宋体"/>
          <w:color w:val="auto"/>
          <w:sz w:val="21"/>
          <w:szCs w:val="21"/>
          <w:highlight w:val="none"/>
        </w:rPr>
        <w:t>28天内无正当理由不支付工程竣工结算价款，从第29天起按承包人同期向银行贷款利率支付拖欠工程价款的利息，并承担违约责任。</w:t>
      </w:r>
    </w:p>
    <w:p w14:paraId="1C2F858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33.4 </w:t>
      </w:r>
      <w:r>
        <w:rPr>
          <w:rFonts w:hint="eastAsia" w:ascii="宋体" w:hAnsi="宋体"/>
          <w:color w:val="auto"/>
          <w:sz w:val="21"/>
          <w:szCs w:val="21"/>
          <w:highlight w:val="none"/>
        </w:rPr>
        <w:t>发包人收到竣工结算报告及结算资料后</w:t>
      </w:r>
      <w:r>
        <w:rPr>
          <w:rFonts w:ascii="宋体" w:hAnsi="宋体"/>
          <w:color w:val="auto"/>
          <w:sz w:val="21"/>
          <w:szCs w:val="21"/>
          <w:highlight w:val="none"/>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56E1E1B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0CDF4BD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33.6 发包人承包人对工程竣工结算价款发生争议时，按本通用条款37条关于争议的约定处理。 </w:t>
      </w:r>
    </w:p>
    <w:p w14:paraId="4B809A7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34、质量保修 </w:t>
      </w:r>
    </w:p>
    <w:p w14:paraId="1B9E967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34.1 承包人应按法律、行政法规或国家关于工程质量保修的有关规定，对交付发包人使用的工程在质量保修期内承担质量保修责任。 </w:t>
      </w:r>
    </w:p>
    <w:p w14:paraId="4E8C073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34.2 质量保修工作的实施。承包人应在工程竣工验收之前，与发包人签订质量保修书，作为本合同附件（附件3）。 </w:t>
      </w:r>
    </w:p>
    <w:p w14:paraId="7BADA14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34.3 质量保修书的主要内容包括： </w:t>
      </w:r>
    </w:p>
    <w:p w14:paraId="0319320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质量保修项目内容及范围； </w:t>
      </w:r>
    </w:p>
    <w:p w14:paraId="7FF887F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质量保修期； </w:t>
      </w:r>
    </w:p>
    <w:p w14:paraId="6328B91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质量保修责任； </w:t>
      </w:r>
    </w:p>
    <w:p w14:paraId="361A9B5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质量保修金的支付方法。 </w:t>
      </w:r>
    </w:p>
    <w:p w14:paraId="6A6C0865">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十、违约、索赔和争议</w:t>
      </w:r>
      <w:r>
        <w:rPr>
          <w:rFonts w:ascii="宋体" w:hAnsi="宋体"/>
          <w:color w:val="auto"/>
          <w:sz w:val="21"/>
          <w:szCs w:val="21"/>
          <w:highlight w:val="none"/>
        </w:rPr>
        <w:t xml:space="preserve"> </w:t>
      </w:r>
    </w:p>
    <w:p w14:paraId="1328545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35、违约 </w:t>
      </w:r>
    </w:p>
    <w:p w14:paraId="442DE52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35.1发包人违约。当发生下列情况时：</w:t>
      </w:r>
    </w:p>
    <w:p w14:paraId="1334305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本通用条款第24条提到的发包人不按时支付工程预付款； </w:t>
      </w:r>
    </w:p>
    <w:p w14:paraId="4D217F1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本通用条款第26.4款提到的发包人不按合同约定支付工程款，导致施工无法进行； </w:t>
      </w:r>
    </w:p>
    <w:p w14:paraId="2A9EC5F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w:t>
      </w:r>
      <w:r>
        <w:rPr>
          <w:rFonts w:hint="eastAsia" w:ascii="宋体" w:hAnsi="宋体"/>
          <w:color w:val="auto"/>
          <w:sz w:val="21"/>
          <w:szCs w:val="21"/>
          <w:highlight w:val="none"/>
        </w:rPr>
        <w:t>本通用条款第</w:t>
      </w:r>
      <w:r>
        <w:rPr>
          <w:rFonts w:ascii="宋体" w:hAnsi="宋体"/>
          <w:color w:val="auto"/>
          <w:sz w:val="21"/>
          <w:szCs w:val="21"/>
          <w:highlight w:val="none"/>
        </w:rPr>
        <w:t>33.3款提到的发包人无正当理由不支付工程竣工结算价款；</w:t>
      </w:r>
    </w:p>
    <w:p w14:paraId="259C551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发包人不履行合同义务或不按合同约定履行义务的其他情况。 </w:t>
      </w:r>
    </w:p>
    <w:p w14:paraId="39FD4B7A">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发包人承担违约责任，赔偿因其违约给承包人造成的经济损失，顺延延误的工期。双方在专用条款内约定发包人赔偿承包人损失的计算方法或者发包人应当支付违约金的数额或计算方法。</w:t>
      </w:r>
      <w:r>
        <w:rPr>
          <w:rFonts w:ascii="宋体" w:hAnsi="宋体"/>
          <w:color w:val="auto"/>
          <w:sz w:val="21"/>
          <w:szCs w:val="21"/>
          <w:highlight w:val="none"/>
        </w:rPr>
        <w:t xml:space="preserve"> </w:t>
      </w:r>
    </w:p>
    <w:p w14:paraId="1F4C137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35.2承包人违约。当发生下列情况时： </w:t>
      </w:r>
    </w:p>
    <w:p w14:paraId="48BCAC1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本通用条款第14.2款提到的因承包人原因不能按照协议书约定的竣工日期或工程师同意顺延的工期竣工； </w:t>
      </w:r>
    </w:p>
    <w:p w14:paraId="5417879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本通用条款第15.1款提到的因承包人原因工程质量达不到协议书约定的质量标准； </w:t>
      </w:r>
    </w:p>
    <w:p w14:paraId="52918B2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承包人不履行合同义务或不按合同约定履行义务的其他情况。 </w:t>
      </w:r>
    </w:p>
    <w:p w14:paraId="5E8454F8">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承包人承担违约责任，赔偿因其违约给发包人造成的损失。双方在专用条款内约定承包人赔偿发包人损失的计算方法或者承包人应当支付违约金的数额或计算方法。</w:t>
      </w:r>
      <w:r>
        <w:rPr>
          <w:rFonts w:ascii="宋体" w:hAnsi="宋体"/>
          <w:color w:val="auto"/>
          <w:sz w:val="21"/>
          <w:szCs w:val="21"/>
          <w:highlight w:val="none"/>
        </w:rPr>
        <w:t xml:space="preserve"> </w:t>
      </w:r>
    </w:p>
    <w:p w14:paraId="6E70C02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35.3一方违约后，另一方要求违约方继续履行合同时，违约方承担上述违约责任后仍应继续履行合同。 </w:t>
      </w:r>
    </w:p>
    <w:p w14:paraId="7B983FC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36、索赔 </w:t>
      </w:r>
    </w:p>
    <w:p w14:paraId="6183B9D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36.1当</w:t>
      </w:r>
      <w:r>
        <w:rPr>
          <w:rFonts w:hint="eastAsia" w:ascii="宋体" w:hAnsi="宋体"/>
          <w:color w:val="auto"/>
          <w:sz w:val="21"/>
          <w:szCs w:val="21"/>
          <w:highlight w:val="none"/>
        </w:rPr>
        <w:t>一方向另一方提出索赔时，要有正当索赔理由，且有索赔事件发生时的有效证据。</w:t>
      </w:r>
      <w:r>
        <w:rPr>
          <w:rFonts w:ascii="宋体" w:hAnsi="宋体"/>
          <w:color w:val="auto"/>
          <w:sz w:val="21"/>
          <w:szCs w:val="21"/>
          <w:highlight w:val="none"/>
        </w:rPr>
        <w:t xml:space="preserve"> </w:t>
      </w:r>
    </w:p>
    <w:p w14:paraId="075427B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56F5669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索赔事件发生后28天内，向工程师发出索赔意向通知； </w:t>
      </w:r>
    </w:p>
    <w:p w14:paraId="7CDD588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发出索赔意向通知后28天内，向工程师提出延长工期和（或）补偿经济损失的索赔报告及有关资料； </w:t>
      </w:r>
    </w:p>
    <w:p w14:paraId="04AC078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工程师在收到承包人送交的索赔报告及有关资料后，于28天内给予答复，或要求承包人进一步补充索赔理由和证据； </w:t>
      </w:r>
    </w:p>
    <w:p w14:paraId="135E924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工程师在收到承包人送交的索赔报告和有关资料后28天内未予答复或未对承包人作进一步要求，视为该项索赔已经认可； </w:t>
      </w:r>
    </w:p>
    <w:p w14:paraId="1CFB242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当该索赔事件持续进行时，承包人应当阶段性向工程师发出索赔意向，在索赔事件终了后28天内，向工程师送交索赔的有关资料和最终索赔报告。索赔答复程序与（3）、（4）规定相同。 </w:t>
      </w:r>
    </w:p>
    <w:p w14:paraId="2EE113D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36.3承包人未能按合同约定履行自己的各项义务或发生错误，给发包人造成经济损失，发包人可按36.2款确定的时限向承包人提出索赔。 </w:t>
      </w:r>
    </w:p>
    <w:p w14:paraId="351ED75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37、争议 </w:t>
      </w:r>
    </w:p>
    <w:p w14:paraId="471CA2C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37.1发包人承包人在履行合同时发生争议，可以和解或者要求有关主管部门调解。当事人不愿和解、调解或者和解、调解不成的，双方可以在专用条款内约定以下一种方式解决争议： </w:t>
      </w:r>
    </w:p>
    <w:p w14:paraId="4822EB4F">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第一种解决方式：双方达成仲裁协议，向约定的仲裁委员会申请仲裁；</w:t>
      </w:r>
      <w:r>
        <w:rPr>
          <w:rFonts w:ascii="宋体" w:hAnsi="宋体"/>
          <w:color w:val="auto"/>
          <w:sz w:val="21"/>
          <w:szCs w:val="21"/>
          <w:highlight w:val="none"/>
        </w:rPr>
        <w:t xml:space="preserve"> </w:t>
      </w:r>
    </w:p>
    <w:p w14:paraId="43AB0008">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第二种解决方式：向有管辖权的人民法院起诉。</w:t>
      </w:r>
      <w:r>
        <w:rPr>
          <w:rFonts w:ascii="宋体" w:hAnsi="宋体"/>
          <w:color w:val="auto"/>
          <w:sz w:val="21"/>
          <w:szCs w:val="21"/>
          <w:highlight w:val="none"/>
        </w:rPr>
        <w:t xml:space="preserve"> </w:t>
      </w:r>
    </w:p>
    <w:p w14:paraId="6E51277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37.2发生争议后，除非出现下列情况的，双方都应继续履行合同，保持施工连续，保护好已完工程： </w:t>
      </w:r>
    </w:p>
    <w:p w14:paraId="6566394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单方违约导致合同确已无法履行，双方协议停止施工； </w:t>
      </w:r>
    </w:p>
    <w:p w14:paraId="3F8E8D0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调解要求停止施工，且为双方接受； </w:t>
      </w:r>
    </w:p>
    <w:p w14:paraId="79B9F09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仲裁机构要求停止施工； </w:t>
      </w:r>
    </w:p>
    <w:p w14:paraId="2C0D4B5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法院要求停止施工。 </w:t>
      </w:r>
    </w:p>
    <w:p w14:paraId="22E93A95">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十一、其他</w:t>
      </w:r>
      <w:r>
        <w:rPr>
          <w:rFonts w:ascii="宋体" w:hAnsi="宋体"/>
          <w:color w:val="auto"/>
          <w:sz w:val="21"/>
          <w:szCs w:val="21"/>
          <w:highlight w:val="none"/>
        </w:rPr>
        <w:t xml:space="preserve"> </w:t>
      </w:r>
    </w:p>
    <w:p w14:paraId="582B255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38、工程分包 </w:t>
      </w:r>
    </w:p>
    <w:p w14:paraId="7F6626A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38.1 承包人按专用条款的约定分包所承包的部分工程，并与分包单位签订分包合同。非经发包人同意，承包人不得将承包工程的任何部分分包。 </w:t>
      </w:r>
    </w:p>
    <w:p w14:paraId="7640CC3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38.2 承包人不得将其承包的全部工程转包给他人，也不得将其承包的全部工程肢解以后以分包的名义分别转包给他人。 </w:t>
      </w:r>
    </w:p>
    <w:p w14:paraId="1023932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14:paraId="2B0FA16E">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38.4分包工程价款由承包人与分包单位结算。发包人未经承包人同意不得以任何形式向分包单位支付各种工程款项。 </w:t>
      </w:r>
    </w:p>
    <w:p w14:paraId="5D47F27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39、不可抗力 </w:t>
      </w:r>
    </w:p>
    <w:p w14:paraId="71C9FF2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39.1 </w:t>
      </w:r>
      <w:r>
        <w:rPr>
          <w:rFonts w:hint="eastAsia" w:ascii="宋体" w:hAnsi="宋体"/>
          <w:color w:val="auto"/>
          <w:sz w:val="21"/>
          <w:szCs w:val="21"/>
          <w:highlight w:val="none"/>
        </w:rPr>
        <w:t>不可抗力包括因战争、动乱、空中飞行物体坠落或其他非发包人承包人责任造成的爆炸、火灾，以及专用条款约定的风、雨、雪、洪、震等自然灾害。</w:t>
      </w:r>
    </w:p>
    <w:p w14:paraId="553C964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14:paraId="3A91C31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39.3 </w:t>
      </w:r>
      <w:r>
        <w:rPr>
          <w:rFonts w:hint="eastAsia" w:ascii="宋体" w:hAnsi="宋体"/>
          <w:color w:val="auto"/>
          <w:sz w:val="21"/>
          <w:szCs w:val="21"/>
          <w:highlight w:val="none"/>
        </w:rPr>
        <w:t>因不可抗力事件导致的费用及延误的工期由双方按以下方法分别承担：</w:t>
      </w:r>
    </w:p>
    <w:p w14:paraId="22D0A62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w:t>
      </w:r>
      <w:r>
        <w:rPr>
          <w:rFonts w:hint="eastAsia" w:ascii="宋体" w:hAnsi="宋体"/>
          <w:color w:val="auto"/>
          <w:sz w:val="21"/>
          <w:szCs w:val="21"/>
          <w:highlight w:val="none"/>
        </w:rPr>
        <w:t>工程本身的损害、因工程损害导致第三人人员伤亡和财产损失以及运至施工场地用于施工的材料和待安装的设备的损害，由发包人承担；</w:t>
      </w:r>
      <w:r>
        <w:rPr>
          <w:rFonts w:ascii="宋体" w:hAnsi="宋体"/>
          <w:color w:val="auto"/>
          <w:sz w:val="21"/>
          <w:szCs w:val="21"/>
          <w:highlight w:val="none"/>
        </w:rPr>
        <w:t xml:space="preserve"> </w:t>
      </w:r>
    </w:p>
    <w:p w14:paraId="43AE70C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发包人承包人人员伤亡由其所在单位负责，并承担相应费用； </w:t>
      </w:r>
    </w:p>
    <w:p w14:paraId="3D57F6E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承包人机械设备损坏及停工损失，由承包人承担； </w:t>
      </w:r>
    </w:p>
    <w:p w14:paraId="3DFCC53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停工期间，承包人应工程师要求留在施工场地的必要的管理人员及保卫人员的费用由发包人承担； </w:t>
      </w:r>
    </w:p>
    <w:p w14:paraId="7F5137B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工程所需清理、修复费用，由发包人承担； </w:t>
      </w:r>
    </w:p>
    <w:p w14:paraId="0C0E7580">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 延误的工期相应顺延。 </w:t>
      </w:r>
    </w:p>
    <w:p w14:paraId="46B632C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39.4因合同一方迟延履行合同后发生不可抗力的，不能免除迟延履行方的相应责任。</w:t>
      </w:r>
    </w:p>
    <w:p w14:paraId="76D035E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40、保险 </w:t>
      </w:r>
    </w:p>
    <w:p w14:paraId="2783F92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40.1工程开工前，发包人为建设工程和施工场地内的自有人员及第三</w:t>
      </w:r>
      <w:r>
        <w:rPr>
          <w:rFonts w:hint="eastAsia" w:ascii="宋体" w:hAnsi="宋体"/>
          <w:color w:val="auto"/>
          <w:sz w:val="21"/>
          <w:szCs w:val="21"/>
          <w:highlight w:val="none"/>
        </w:rPr>
        <w:t>人人员生命财产办理保险，支付保险费用。</w:t>
      </w:r>
      <w:r>
        <w:rPr>
          <w:rFonts w:ascii="宋体" w:hAnsi="宋体"/>
          <w:color w:val="auto"/>
          <w:sz w:val="21"/>
          <w:szCs w:val="21"/>
          <w:highlight w:val="none"/>
        </w:rPr>
        <w:t xml:space="preserve"> </w:t>
      </w:r>
    </w:p>
    <w:p w14:paraId="56095B1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40.2运至施工场内用于工程的材料和待安装设备，由发包人办理保险，并支付保险费用。 </w:t>
      </w:r>
    </w:p>
    <w:p w14:paraId="4E148EA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40.3发包人可以将有关保险事项委托承包人办理，费用由发包人承担。 </w:t>
      </w:r>
    </w:p>
    <w:p w14:paraId="31434FB8">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40.4承包人必须为从事危险作业的职工办理意外伤害保险，并为施工场地内自有人员生命财产和施工机械设备办理保险，支付保险费用。 </w:t>
      </w:r>
    </w:p>
    <w:p w14:paraId="00AD394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40.5保险事故发生时，发包人承包人有责任尽力采取必要的措施，防止或者减少损失。 </w:t>
      </w:r>
    </w:p>
    <w:p w14:paraId="54CDECF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40.6具体投保内容和相关责任，发包人承包人在专用条款中约定。 </w:t>
      </w:r>
    </w:p>
    <w:p w14:paraId="38BE7FD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41、担保 </w:t>
      </w:r>
    </w:p>
    <w:p w14:paraId="26B2141B">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41.1发包人、承包人为了全面履行合同，应互相提供以下担保： </w:t>
      </w:r>
    </w:p>
    <w:p w14:paraId="2EA4A44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发包人向承包人提供履约担保，按合同约定支付工程价款及履行合同约定的其他义务。 </w:t>
      </w:r>
    </w:p>
    <w:p w14:paraId="43240A51">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承包人向发包人提供履约担保，按合同约定履行自己的各项义务。 </w:t>
      </w:r>
    </w:p>
    <w:p w14:paraId="37C2999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41.2 一方违约后，另一方可要求提供担保的第三人承担相应责任。 </w:t>
      </w:r>
    </w:p>
    <w:p w14:paraId="61D21C0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41.3 提供担保的内容、方式和相关责任，发包人承包人除在专用条款中约定外，被担保方与担保方还应签订担保合同，作为本合同附件。 </w:t>
      </w:r>
    </w:p>
    <w:p w14:paraId="00DBF9F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42、专利技术及特殊工艺 </w:t>
      </w:r>
    </w:p>
    <w:p w14:paraId="0BA59CB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42.1 </w:t>
      </w:r>
      <w:r>
        <w:rPr>
          <w:rFonts w:hint="eastAsia" w:ascii="宋体" w:hAnsi="宋体"/>
          <w:color w:val="auto"/>
          <w:sz w:val="21"/>
          <w:szCs w:val="21"/>
          <w:highlight w:val="none"/>
        </w:rPr>
        <w:t>发包人要求使用专利技术或特殊工艺，应负责办理相应的申报手续，承担申报、试验、使用等费用；承包人提出使用专利技术或特殊工艺，应取得工程师认可，承包人负责办理申报手续并承担有关费用。</w:t>
      </w:r>
      <w:r>
        <w:rPr>
          <w:rFonts w:ascii="宋体" w:hAnsi="宋体"/>
          <w:color w:val="auto"/>
          <w:sz w:val="21"/>
          <w:szCs w:val="21"/>
          <w:highlight w:val="none"/>
        </w:rPr>
        <w:t xml:space="preserve"> </w:t>
      </w:r>
    </w:p>
    <w:p w14:paraId="1A0D47B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42.2 擅自使用专利技术侵犯他人专利权的，责任者依法承担相应责任。 </w:t>
      </w:r>
    </w:p>
    <w:p w14:paraId="32BAE02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43、文物和地下障碍物 </w:t>
      </w:r>
    </w:p>
    <w:p w14:paraId="120665B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43.1 </w:t>
      </w:r>
      <w:r>
        <w:rPr>
          <w:rFonts w:hint="eastAsia" w:ascii="宋体" w:hAnsi="宋体"/>
          <w:color w:val="auto"/>
          <w:sz w:val="21"/>
          <w:szCs w:val="21"/>
          <w:highlight w:val="none"/>
        </w:rPr>
        <w:t>在施工中发现古墓、古建筑遗址等文物及化石或其他有考古、地质研究等价值的物品时，承包人应立即保护好现场并于</w:t>
      </w:r>
      <w:r>
        <w:rPr>
          <w:rFonts w:ascii="宋体" w:hAnsi="宋体"/>
          <w:color w:val="auto"/>
          <w:sz w:val="21"/>
          <w:szCs w:val="21"/>
          <w:highlight w:val="none"/>
        </w:rPr>
        <w:t>4小时内以书面形式通知工程师，工程师应于收到书面通知后24小时内报告当地文物管理部门，发包人承包人按文物管理部门的要求采取妥善保护措施。发包人承担由此发生的费用，顺延延误的工期。</w:t>
      </w:r>
    </w:p>
    <w:p w14:paraId="12736BB4">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如发现后隐瞒不报，致使文物遭受破坏，责任者依法承担相应责任。</w:t>
      </w:r>
      <w:r>
        <w:rPr>
          <w:rFonts w:ascii="宋体" w:hAnsi="宋体"/>
          <w:color w:val="auto"/>
          <w:sz w:val="21"/>
          <w:szCs w:val="21"/>
          <w:highlight w:val="none"/>
        </w:rPr>
        <w:t xml:space="preserve"> </w:t>
      </w:r>
    </w:p>
    <w:p w14:paraId="741EA88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43.2 </w:t>
      </w:r>
      <w:r>
        <w:rPr>
          <w:rFonts w:hint="eastAsia" w:ascii="宋体" w:hAnsi="宋体"/>
          <w:color w:val="auto"/>
          <w:sz w:val="21"/>
          <w:szCs w:val="21"/>
          <w:highlight w:val="none"/>
        </w:rPr>
        <w:t>施工中发现影响施工的地下障碍物时，承包人应于</w:t>
      </w:r>
      <w:r>
        <w:rPr>
          <w:rFonts w:ascii="宋体" w:hAnsi="宋体"/>
          <w:color w:val="auto"/>
          <w:sz w:val="21"/>
          <w:szCs w:val="21"/>
          <w:highlight w:val="none"/>
        </w:rPr>
        <w:t>8小时内以书面形式通知工程师，同时提出处置</w:t>
      </w:r>
      <w:r>
        <w:rPr>
          <w:rFonts w:hint="eastAsia" w:ascii="宋体" w:hAnsi="宋体"/>
          <w:color w:val="auto"/>
          <w:sz w:val="21"/>
          <w:szCs w:val="21"/>
          <w:highlight w:val="none"/>
        </w:rPr>
        <w:t>方案，工程师收到</w:t>
      </w:r>
      <w:r>
        <w:rPr>
          <w:rFonts w:ascii="宋体" w:hAnsi="宋体"/>
          <w:color w:val="auto"/>
          <w:sz w:val="21"/>
          <w:szCs w:val="21"/>
          <w:highlight w:val="none"/>
        </w:rPr>
        <w:t>处置</w:t>
      </w:r>
      <w:r>
        <w:rPr>
          <w:rFonts w:hint="eastAsia" w:ascii="宋体" w:hAnsi="宋体"/>
          <w:color w:val="auto"/>
          <w:sz w:val="21"/>
          <w:szCs w:val="21"/>
          <w:highlight w:val="none"/>
        </w:rPr>
        <w:t>方案后</w:t>
      </w:r>
      <w:r>
        <w:rPr>
          <w:rFonts w:ascii="宋体" w:hAnsi="宋体"/>
          <w:color w:val="auto"/>
          <w:sz w:val="21"/>
          <w:szCs w:val="21"/>
          <w:highlight w:val="none"/>
        </w:rPr>
        <w:t>24小时内予以认可或提出修正方案。发包人承担由此发生的费用，顺延延误的工期。</w:t>
      </w:r>
    </w:p>
    <w:p w14:paraId="54558941">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所发现的地下障碍物有归属单位时，发包人应报请有关部门协同处置。</w:t>
      </w:r>
      <w:r>
        <w:rPr>
          <w:rFonts w:ascii="宋体" w:hAnsi="宋体"/>
          <w:color w:val="auto"/>
          <w:sz w:val="21"/>
          <w:szCs w:val="21"/>
          <w:highlight w:val="none"/>
        </w:rPr>
        <w:t xml:space="preserve"> </w:t>
      </w:r>
    </w:p>
    <w:p w14:paraId="1B6AEFB7">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44、合同解除 </w:t>
      </w:r>
    </w:p>
    <w:p w14:paraId="226E5C6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44.1 发包人承包人协商一致，可以解除合同。 </w:t>
      </w:r>
    </w:p>
    <w:p w14:paraId="5844676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44.2 发生本通用条款第26.4款情况，停止施工超过56天，发包人仍不支付工程款（进度款），承包人有权解除合同。 </w:t>
      </w:r>
    </w:p>
    <w:p w14:paraId="0637DD39">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44.3 发生本通用条款第38.2款禁止的情况，承包人将其承包的全部工程转包给他人或者肢解以后以分包的名义分别转包给他人，发包人有权解除合同。 </w:t>
      </w:r>
    </w:p>
    <w:p w14:paraId="6AA1AD3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44.4 有下列情形之一的，发包人承包人可以解除合同： </w:t>
      </w:r>
    </w:p>
    <w:p w14:paraId="2EB23D3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因不可抗力致使合同无法履行； </w:t>
      </w:r>
    </w:p>
    <w:p w14:paraId="317D2245">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因一方违约（包括因发包人原因造成工程停建或缓建）致使合同无法履行。</w:t>
      </w:r>
    </w:p>
    <w:p w14:paraId="1D77E8F2">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5EA6BCA6">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w:t>
      </w:r>
      <w:r>
        <w:rPr>
          <w:rFonts w:hint="eastAsia" w:ascii="宋体" w:hAnsi="宋体"/>
          <w:color w:val="auto"/>
          <w:sz w:val="21"/>
          <w:szCs w:val="21"/>
          <w:highlight w:val="none"/>
        </w:rPr>
        <w:t>合同解除给对方造成的损失。</w:t>
      </w:r>
      <w:r>
        <w:rPr>
          <w:rFonts w:ascii="宋体" w:hAnsi="宋体"/>
          <w:color w:val="auto"/>
          <w:sz w:val="21"/>
          <w:szCs w:val="21"/>
          <w:highlight w:val="none"/>
        </w:rPr>
        <w:t xml:space="preserve"> </w:t>
      </w:r>
    </w:p>
    <w:p w14:paraId="75AB170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44.7合同解除后，不影响双方在合同中约定的结算和清理条款的效力。 </w:t>
      </w:r>
    </w:p>
    <w:p w14:paraId="11D5DF1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45、合同生效与终止 </w:t>
      </w:r>
    </w:p>
    <w:p w14:paraId="30AD6B2F">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45.1双方在协议书中约定合同生效方式。 </w:t>
      </w:r>
    </w:p>
    <w:p w14:paraId="10C8E42A">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45.2除本通用条款第34条外，发包人承包人履行合同全部义务，竣工结算价款支付完毕，承包人向发包人交付竣工工程后，本合同即告终止。 </w:t>
      </w:r>
    </w:p>
    <w:p w14:paraId="31F6E57D">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45.3合同的权利义务终止后，发包人承包人应当遵循诚实信用原则，履行通知、协助、保密等义务。 </w:t>
      </w:r>
    </w:p>
    <w:p w14:paraId="0AEDB4D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46、合同份数 </w:t>
      </w:r>
    </w:p>
    <w:p w14:paraId="37691164">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46.1本合同正本两份，具有同等效力，由发包人承包人分别保存一份。 </w:t>
      </w:r>
    </w:p>
    <w:p w14:paraId="46B887D3">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46.2本合同副本份数，由双方根据需要在专用条款内约定。 </w:t>
      </w:r>
    </w:p>
    <w:p w14:paraId="2E7B958C">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47、补充条款 </w:t>
      </w:r>
    </w:p>
    <w:p w14:paraId="768BB510">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双方根据有关法律、行政法规规定，结合工程实际，经协商一致后，可对本通用条款内容具体化，补充或修改，在专用条款内约定。</w:t>
      </w:r>
    </w:p>
    <w:p w14:paraId="11233B23">
      <w:pPr>
        <w:spacing w:line="440" w:lineRule="exact"/>
        <w:ind w:firstLine="359" w:firstLineChars="171"/>
        <w:jc w:val="center"/>
        <w:rPr>
          <w:rFonts w:ascii="宋体" w:hAnsi="宋体"/>
          <w:b/>
          <w:color w:val="auto"/>
          <w:sz w:val="28"/>
          <w:szCs w:val="28"/>
          <w:highlight w:val="none"/>
        </w:rPr>
      </w:pPr>
      <w:r>
        <w:rPr>
          <w:rFonts w:ascii="宋体" w:hAnsi="宋体"/>
          <w:color w:val="auto"/>
          <w:sz w:val="21"/>
          <w:szCs w:val="21"/>
          <w:highlight w:val="none"/>
        </w:rPr>
        <w:br w:type="page"/>
      </w:r>
      <w:r>
        <w:rPr>
          <w:rFonts w:hint="eastAsia" w:ascii="宋体" w:hAnsi="宋体"/>
          <w:b/>
          <w:color w:val="auto"/>
          <w:sz w:val="28"/>
          <w:szCs w:val="28"/>
          <w:highlight w:val="none"/>
        </w:rPr>
        <w:t>第三部分</w:t>
      </w:r>
      <w:r>
        <w:rPr>
          <w:rFonts w:ascii="宋体" w:hAnsi="宋体"/>
          <w:b/>
          <w:color w:val="auto"/>
          <w:sz w:val="28"/>
          <w:szCs w:val="28"/>
          <w:highlight w:val="none"/>
        </w:rPr>
        <w:t xml:space="preserve">  </w:t>
      </w:r>
      <w:r>
        <w:rPr>
          <w:rFonts w:hint="eastAsia" w:ascii="宋体" w:hAnsi="宋体"/>
          <w:b/>
          <w:color w:val="auto"/>
          <w:sz w:val="28"/>
          <w:szCs w:val="28"/>
          <w:highlight w:val="none"/>
        </w:rPr>
        <w:t>专用条款</w:t>
      </w:r>
    </w:p>
    <w:p w14:paraId="195BAF47">
      <w:pPr>
        <w:snapToGrid w:val="0"/>
        <w:spacing w:line="440" w:lineRule="exact"/>
        <w:ind w:firstLine="397"/>
        <w:rPr>
          <w:rFonts w:ascii="宋体" w:hAnsi="宋体"/>
          <w:b/>
          <w:color w:val="auto"/>
          <w:sz w:val="24"/>
          <w:highlight w:val="none"/>
        </w:rPr>
      </w:pPr>
    </w:p>
    <w:p w14:paraId="6C6660AE">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一、词语定义及合同文件</w:t>
      </w:r>
    </w:p>
    <w:p w14:paraId="6272B636">
      <w:pPr>
        <w:snapToGrid w:val="0"/>
        <w:spacing w:line="440" w:lineRule="exact"/>
        <w:ind w:firstLine="482" w:firstLineChars="200"/>
        <w:rPr>
          <w:rFonts w:ascii="宋体" w:hAnsi="宋体" w:cs="宋体"/>
          <w:color w:val="auto"/>
          <w:sz w:val="24"/>
          <w:szCs w:val="24"/>
          <w:highlight w:val="none"/>
        </w:rPr>
      </w:pPr>
      <w:r>
        <w:rPr>
          <w:rFonts w:ascii="宋体" w:hAnsi="宋体" w:cs="宋体"/>
          <w:b/>
          <w:bCs/>
          <w:color w:val="auto"/>
          <w:sz w:val="24"/>
          <w:highlight w:val="none"/>
        </w:rPr>
        <w:t>1.</w:t>
      </w:r>
      <w:r>
        <w:rPr>
          <w:rFonts w:hint="eastAsia" w:ascii="宋体" w:hAnsi="宋体" w:cs="宋体"/>
          <w:b/>
          <w:bCs/>
          <w:color w:val="auto"/>
          <w:sz w:val="24"/>
          <w:highlight w:val="none"/>
        </w:rPr>
        <w:t>词语定义</w:t>
      </w:r>
    </w:p>
    <w:p w14:paraId="13C84F78">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1.6</w:t>
      </w:r>
      <w:r>
        <w:rPr>
          <w:rFonts w:hint="eastAsia" w:ascii="宋体" w:hAnsi="宋体" w:cs="宋体"/>
          <w:color w:val="auto"/>
          <w:sz w:val="24"/>
          <w:szCs w:val="24"/>
          <w:highlight w:val="none"/>
        </w:rPr>
        <w:t>设计单位</w:t>
      </w:r>
    </w:p>
    <w:p w14:paraId="301399FF">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本合同工程的设计单位是：</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7D43B07">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1.7</w:t>
      </w:r>
      <w:r>
        <w:rPr>
          <w:rFonts w:hint="eastAsia" w:ascii="宋体" w:hAnsi="宋体" w:cs="宋体"/>
          <w:color w:val="auto"/>
          <w:sz w:val="24"/>
          <w:szCs w:val="24"/>
          <w:highlight w:val="none"/>
        </w:rPr>
        <w:t>监理单位</w:t>
      </w:r>
    </w:p>
    <w:p w14:paraId="6DEB6249">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本合同工程的监理单位是：</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p>
    <w:p w14:paraId="08811018">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1.24招标控制价：</w:t>
      </w:r>
      <w:r>
        <w:rPr>
          <w:rFonts w:hint="eastAsia" w:ascii="宋体" w:hAnsi="宋体" w:cs="宋体"/>
          <w:color w:val="auto"/>
          <w:sz w:val="24"/>
          <w:szCs w:val="24"/>
          <w:highlight w:val="none"/>
          <w:u w:val="single"/>
        </w:rPr>
        <w:t>指经招标人确定的最高投标限价，并在广州公共资源交易中心开发区、黄埔区交易部公示</w:t>
      </w:r>
      <w:r>
        <w:rPr>
          <w:rFonts w:hint="eastAsia" w:ascii="宋体" w:hAnsi="宋体" w:cs="宋体"/>
          <w:color w:val="auto"/>
          <w:sz w:val="24"/>
          <w:szCs w:val="24"/>
          <w:highlight w:val="none"/>
        </w:rPr>
        <w:t>。</w:t>
      </w:r>
    </w:p>
    <w:p w14:paraId="2F0C42B9">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1.25中标下浮率：</w:t>
      </w:r>
      <w:r>
        <w:rPr>
          <w:rFonts w:hint="eastAsia" w:ascii="宋体" w:hAnsi="宋体" w:cs="宋体"/>
          <w:color w:val="auto"/>
          <w:sz w:val="24"/>
          <w:szCs w:val="24"/>
          <w:highlight w:val="none"/>
          <w:u w:val="single"/>
        </w:rPr>
        <w:t>中标下浮率</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1-中标价格÷招标控制价</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100%,</w:t>
      </w:r>
      <w:r>
        <w:rPr>
          <w:rFonts w:hint="eastAsia" w:ascii="宋体" w:hAnsi="宋体" w:cs="宋体"/>
          <w:color w:val="auto"/>
          <w:sz w:val="24"/>
          <w:szCs w:val="24"/>
          <w:highlight w:val="none"/>
          <w:u w:val="single"/>
        </w:rPr>
        <w:t>式中的中标价格及招标控制价均不含不可竞争的绿色施工安全防护措施费及暂列金额。</w:t>
      </w:r>
    </w:p>
    <w:p w14:paraId="0CCD26B1">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1.26工人工资比例=</w:t>
      </w:r>
      <w:r>
        <w:rPr>
          <w:rFonts w:hint="eastAsia" w:ascii="宋体" w:hAnsi="宋体" w:cs="宋体"/>
          <w:color w:val="auto"/>
          <w:sz w:val="24"/>
          <w:szCs w:val="24"/>
          <w:highlight w:val="none"/>
        </w:rPr>
        <w:t>中标的人工费金额</w:t>
      </w:r>
      <w:r>
        <w:rPr>
          <w:rFonts w:ascii="宋体" w:hAnsi="宋体" w:cs="宋体"/>
          <w:color w:val="auto"/>
          <w:sz w:val="24"/>
          <w:szCs w:val="24"/>
          <w:highlight w:val="none"/>
        </w:rPr>
        <w:t>÷</w:t>
      </w:r>
      <w:r>
        <w:rPr>
          <w:rFonts w:hint="eastAsia" w:ascii="宋体" w:hAnsi="宋体" w:cs="宋体"/>
          <w:color w:val="auto"/>
          <w:sz w:val="24"/>
          <w:szCs w:val="24"/>
          <w:highlight w:val="none"/>
        </w:rPr>
        <w:t>中标价格</w:t>
      </w:r>
    </w:p>
    <w:p w14:paraId="56787623">
      <w:pPr>
        <w:snapToGrid w:val="0"/>
        <w:spacing w:line="440" w:lineRule="exact"/>
        <w:ind w:firstLine="482" w:firstLineChars="200"/>
        <w:rPr>
          <w:rFonts w:ascii="宋体" w:hAns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、合同文件及解释顺序</w:t>
      </w:r>
    </w:p>
    <w:p w14:paraId="0D17B5B6">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2.1</w:t>
      </w:r>
      <w:r>
        <w:rPr>
          <w:rFonts w:hint="eastAsia" w:ascii="宋体" w:hAnsi="宋体" w:cs="宋体"/>
          <w:color w:val="auto"/>
          <w:sz w:val="24"/>
          <w:szCs w:val="24"/>
          <w:highlight w:val="none"/>
        </w:rPr>
        <w:t>合同文件组成及解释顺序：</w:t>
      </w: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本合同履行期间发包人与承包人双方签订的补充合同（协议）或修正文件；</w:t>
      </w:r>
      <w:r>
        <w:rPr>
          <w:rFonts w:ascii="宋体" w:hAnsi="宋体" w:cs="宋体"/>
          <w:color w:val="auto"/>
          <w:sz w:val="24"/>
          <w:szCs w:val="24"/>
          <w:highlight w:val="none"/>
          <w:u w:val="single"/>
        </w:rPr>
        <w:t>2.</w:t>
      </w:r>
      <w:r>
        <w:rPr>
          <w:rFonts w:hint="eastAsia" w:ascii="宋体" w:hAnsi="宋体" w:cs="宋体"/>
          <w:color w:val="auto"/>
          <w:sz w:val="24"/>
          <w:szCs w:val="24"/>
          <w:highlight w:val="none"/>
          <w:u w:val="single"/>
        </w:rPr>
        <w:t>本合同协议书；</w:t>
      </w:r>
      <w:r>
        <w:rPr>
          <w:rFonts w:ascii="宋体" w:hAnsi="宋体" w:cs="宋体"/>
          <w:color w:val="auto"/>
          <w:sz w:val="24"/>
          <w:szCs w:val="24"/>
          <w:highlight w:val="none"/>
          <w:u w:val="single"/>
        </w:rPr>
        <w:t>3.</w:t>
      </w:r>
      <w:r>
        <w:rPr>
          <w:rFonts w:hint="eastAsia" w:ascii="宋体" w:hAnsi="宋体" w:cs="宋体"/>
          <w:color w:val="auto"/>
          <w:sz w:val="24"/>
          <w:szCs w:val="24"/>
          <w:highlight w:val="none"/>
          <w:u w:val="single"/>
        </w:rPr>
        <w:t>国家、广东省、广州市、广州开发区黄埔区关于本工程施工的有关文件（发包人在收到后尽快通报给承包人）；</w:t>
      </w:r>
      <w:r>
        <w:rPr>
          <w:rFonts w:ascii="宋体" w:hAnsi="宋体" w:cs="宋体"/>
          <w:color w:val="auto"/>
          <w:sz w:val="24"/>
          <w:szCs w:val="24"/>
          <w:highlight w:val="none"/>
          <w:u w:val="single"/>
        </w:rPr>
        <w:t>4.</w:t>
      </w:r>
      <w:r>
        <w:rPr>
          <w:rFonts w:hint="eastAsia" w:ascii="宋体" w:hAnsi="宋体" w:cs="宋体"/>
          <w:color w:val="auto"/>
          <w:sz w:val="24"/>
          <w:szCs w:val="24"/>
          <w:highlight w:val="none"/>
          <w:u w:val="single"/>
        </w:rPr>
        <w:t>发包人针对本工程建设管理的各项制度、规定；</w:t>
      </w:r>
      <w:r>
        <w:rPr>
          <w:rFonts w:ascii="宋体" w:hAnsi="宋体" w:cs="宋体"/>
          <w:color w:val="auto"/>
          <w:sz w:val="24"/>
          <w:szCs w:val="24"/>
          <w:highlight w:val="none"/>
          <w:u w:val="single"/>
        </w:rPr>
        <w:t>5.</w:t>
      </w:r>
      <w:r>
        <w:rPr>
          <w:rFonts w:hint="eastAsia" w:ascii="宋体" w:hAnsi="宋体" w:cs="宋体"/>
          <w:color w:val="auto"/>
          <w:sz w:val="24"/>
          <w:szCs w:val="24"/>
          <w:highlight w:val="none"/>
          <w:u w:val="single"/>
        </w:rPr>
        <w:t>中标通知书；</w:t>
      </w:r>
      <w:r>
        <w:rPr>
          <w:rFonts w:ascii="宋体" w:hAnsi="宋体" w:cs="宋体"/>
          <w:color w:val="auto"/>
          <w:sz w:val="24"/>
          <w:szCs w:val="24"/>
          <w:highlight w:val="none"/>
          <w:u w:val="single"/>
        </w:rPr>
        <w:t>6.</w:t>
      </w:r>
      <w:r>
        <w:rPr>
          <w:rFonts w:hint="eastAsia" w:ascii="宋体" w:hAnsi="宋体" w:cs="宋体"/>
          <w:color w:val="auto"/>
          <w:sz w:val="24"/>
          <w:szCs w:val="24"/>
          <w:highlight w:val="none"/>
          <w:u w:val="single"/>
        </w:rPr>
        <w:t>本合同专用条款；</w:t>
      </w:r>
      <w:r>
        <w:rPr>
          <w:rFonts w:ascii="宋体" w:hAnsi="宋体" w:cs="宋体"/>
          <w:color w:val="auto"/>
          <w:sz w:val="24"/>
          <w:szCs w:val="24"/>
          <w:highlight w:val="none"/>
          <w:u w:val="single"/>
        </w:rPr>
        <w:t>7.</w:t>
      </w:r>
      <w:r>
        <w:rPr>
          <w:rFonts w:hint="eastAsia" w:ascii="宋体" w:hAnsi="宋体" w:cs="宋体"/>
          <w:color w:val="auto"/>
          <w:sz w:val="24"/>
          <w:szCs w:val="24"/>
          <w:highlight w:val="none"/>
          <w:u w:val="single"/>
        </w:rPr>
        <w:t>招标文件及附件（包括补充、修改、澄清文件及答疑纪要等）；</w:t>
      </w:r>
      <w:r>
        <w:rPr>
          <w:rFonts w:ascii="宋体" w:hAnsi="宋体" w:cs="宋体"/>
          <w:color w:val="auto"/>
          <w:sz w:val="24"/>
          <w:szCs w:val="24"/>
          <w:highlight w:val="none"/>
          <w:u w:val="single"/>
        </w:rPr>
        <w:t>8.</w:t>
      </w:r>
      <w:r>
        <w:rPr>
          <w:rFonts w:hint="eastAsia" w:ascii="宋体" w:hAnsi="宋体" w:cs="宋体"/>
          <w:color w:val="auto"/>
          <w:sz w:val="24"/>
          <w:szCs w:val="24"/>
          <w:highlight w:val="none"/>
          <w:u w:val="single"/>
        </w:rPr>
        <w:t>本合同通用条款；</w:t>
      </w:r>
      <w:r>
        <w:rPr>
          <w:rFonts w:ascii="宋体" w:hAnsi="宋体" w:cs="宋体"/>
          <w:color w:val="auto"/>
          <w:sz w:val="24"/>
          <w:szCs w:val="24"/>
          <w:highlight w:val="none"/>
          <w:u w:val="single"/>
        </w:rPr>
        <w:t>9.</w:t>
      </w:r>
      <w:r>
        <w:rPr>
          <w:rFonts w:hint="eastAsia" w:ascii="宋体" w:hAnsi="宋体" w:cs="宋体"/>
          <w:color w:val="auto"/>
          <w:sz w:val="24"/>
          <w:szCs w:val="24"/>
          <w:highlight w:val="none"/>
          <w:u w:val="single"/>
        </w:rPr>
        <w:t>投标文件及附件；</w:t>
      </w:r>
      <w:r>
        <w:rPr>
          <w:rFonts w:ascii="宋体" w:hAnsi="宋体" w:cs="宋体"/>
          <w:color w:val="auto"/>
          <w:sz w:val="24"/>
          <w:szCs w:val="24"/>
          <w:highlight w:val="none"/>
          <w:u w:val="single"/>
        </w:rPr>
        <w:t>10.</w:t>
      </w:r>
      <w:r>
        <w:rPr>
          <w:rFonts w:hint="eastAsia" w:ascii="宋体" w:hAnsi="宋体" w:cs="宋体"/>
          <w:color w:val="auto"/>
          <w:sz w:val="24"/>
          <w:szCs w:val="24"/>
          <w:highlight w:val="none"/>
          <w:u w:val="single"/>
        </w:rPr>
        <w:t>标准、规范和其他有关技术文件；</w:t>
      </w:r>
      <w:r>
        <w:rPr>
          <w:rFonts w:ascii="宋体" w:hAnsi="宋体" w:cs="宋体"/>
          <w:color w:val="auto"/>
          <w:sz w:val="24"/>
          <w:szCs w:val="24"/>
          <w:highlight w:val="none"/>
          <w:u w:val="single"/>
        </w:rPr>
        <w:t>11.</w:t>
      </w:r>
      <w:r>
        <w:rPr>
          <w:rFonts w:hint="eastAsia" w:ascii="宋体" w:hAnsi="宋体" w:cs="宋体"/>
          <w:color w:val="auto"/>
          <w:sz w:val="24"/>
          <w:szCs w:val="24"/>
          <w:highlight w:val="none"/>
          <w:u w:val="single"/>
        </w:rPr>
        <w:t>图纸；</w:t>
      </w:r>
      <w:r>
        <w:rPr>
          <w:rFonts w:ascii="宋体" w:hAnsi="宋体" w:cs="宋体"/>
          <w:color w:val="auto"/>
          <w:sz w:val="24"/>
          <w:szCs w:val="24"/>
          <w:highlight w:val="none"/>
          <w:u w:val="single"/>
        </w:rPr>
        <w:t>12.</w:t>
      </w:r>
      <w:r>
        <w:rPr>
          <w:rFonts w:hint="eastAsia" w:ascii="宋体" w:hAnsi="宋体" w:cs="宋体"/>
          <w:color w:val="auto"/>
          <w:sz w:val="24"/>
          <w:szCs w:val="24"/>
          <w:highlight w:val="none"/>
          <w:u w:val="single"/>
        </w:rPr>
        <w:t>工程量清单；</w:t>
      </w:r>
      <w:r>
        <w:rPr>
          <w:rFonts w:ascii="宋体" w:hAnsi="宋体" w:cs="宋体"/>
          <w:color w:val="auto"/>
          <w:sz w:val="24"/>
          <w:szCs w:val="24"/>
          <w:highlight w:val="none"/>
          <w:u w:val="single"/>
        </w:rPr>
        <w:t>13.</w:t>
      </w:r>
      <w:r>
        <w:rPr>
          <w:rFonts w:hint="eastAsia" w:ascii="宋体" w:hAnsi="宋体" w:cs="宋体"/>
          <w:color w:val="auto"/>
          <w:sz w:val="24"/>
          <w:szCs w:val="24"/>
          <w:highlight w:val="none"/>
          <w:u w:val="single"/>
        </w:rPr>
        <w:t>合同附件（工程质量保修责任书、标函承诺书、项目负责人驻场承诺书、工程建设廉政协议书等）</w:t>
      </w:r>
      <w:r>
        <w:rPr>
          <w:rFonts w:hint="eastAsia" w:ascii="宋体" w:hAnsi="宋体" w:cs="宋体"/>
          <w:color w:val="auto"/>
          <w:sz w:val="24"/>
          <w:szCs w:val="24"/>
          <w:highlight w:val="none"/>
        </w:rPr>
        <w:t>。</w:t>
      </w:r>
    </w:p>
    <w:p w14:paraId="3632DE21">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w:t>
      </w:r>
      <w:r>
        <w:rPr>
          <w:rFonts w:hint="eastAsia" w:ascii="宋体" w:hAnsi="宋体" w:cs="宋体"/>
          <w:b/>
          <w:color w:val="auto"/>
          <w:sz w:val="24"/>
          <w:highlight w:val="none"/>
        </w:rPr>
        <w:t>、语言文字和适用法律、标准及规范</w:t>
      </w:r>
    </w:p>
    <w:p w14:paraId="100E56F0">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3.1</w:t>
      </w:r>
      <w:r>
        <w:rPr>
          <w:rFonts w:hint="eastAsia" w:ascii="宋体" w:hAnsi="宋体" w:cs="宋体"/>
          <w:color w:val="auto"/>
          <w:sz w:val="24"/>
          <w:szCs w:val="24"/>
          <w:highlight w:val="none"/>
        </w:rPr>
        <w:t>本合同除使用汉语外，还使用</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语言文字。</w:t>
      </w:r>
    </w:p>
    <w:p w14:paraId="6A0CFF6A">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3.2</w:t>
      </w:r>
      <w:r>
        <w:rPr>
          <w:rFonts w:hint="eastAsia" w:ascii="宋体" w:hAnsi="宋体" w:cs="宋体"/>
          <w:color w:val="auto"/>
          <w:sz w:val="24"/>
          <w:szCs w:val="24"/>
          <w:highlight w:val="none"/>
        </w:rPr>
        <w:t>适用法律和法规</w:t>
      </w:r>
    </w:p>
    <w:p w14:paraId="7E312D43">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需要明示的法律、行政法规：</w:t>
      </w:r>
      <w:r>
        <w:rPr>
          <w:rFonts w:hint="eastAsia" w:ascii="宋体" w:hAnsi="宋体" w:cs="宋体"/>
          <w:color w:val="auto"/>
          <w:sz w:val="24"/>
          <w:szCs w:val="24"/>
          <w:highlight w:val="none"/>
          <w:u w:val="single"/>
        </w:rPr>
        <w:t>按照现行的法律、法规</w:t>
      </w:r>
      <w:r>
        <w:rPr>
          <w:rFonts w:hint="eastAsia" w:ascii="宋体" w:hAnsi="宋体" w:cs="宋体"/>
          <w:color w:val="auto"/>
          <w:sz w:val="24"/>
          <w:szCs w:val="24"/>
          <w:highlight w:val="none"/>
        </w:rPr>
        <w:t>。</w:t>
      </w:r>
    </w:p>
    <w:p w14:paraId="5A468281">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rPr>
        <w:t>适用标准、规范</w:t>
      </w:r>
    </w:p>
    <w:p w14:paraId="7188C122">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适用标准、规范的名称：</w:t>
      </w:r>
      <w:r>
        <w:rPr>
          <w:rFonts w:hint="eastAsia" w:ascii="宋体" w:hAnsi="宋体" w:cs="宋体"/>
          <w:color w:val="auto"/>
          <w:sz w:val="24"/>
          <w:szCs w:val="24"/>
          <w:highlight w:val="none"/>
          <w:u w:val="single"/>
        </w:rPr>
        <w:t>相应工种现行施工规范</w:t>
      </w:r>
      <w:r>
        <w:rPr>
          <w:rFonts w:hint="eastAsia" w:ascii="宋体" w:hAnsi="宋体" w:cs="宋体"/>
          <w:color w:val="auto"/>
          <w:sz w:val="24"/>
          <w:szCs w:val="24"/>
          <w:highlight w:val="none"/>
        </w:rPr>
        <w:t>。</w:t>
      </w:r>
    </w:p>
    <w:p w14:paraId="4B435D9F">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发包人提供标准、规范的时间：</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35069DA8">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国内没有相应标准、规范时的约定：</w:t>
      </w:r>
      <w:r>
        <w:rPr>
          <w:rFonts w:hint="eastAsia" w:ascii="宋体" w:hAnsi="宋体" w:cs="宋体"/>
          <w:color w:val="auto"/>
          <w:sz w:val="24"/>
          <w:szCs w:val="24"/>
          <w:highlight w:val="none"/>
          <w:u w:val="single"/>
        </w:rPr>
        <w:t>按施工图纸，招标文件和广州开发区相关规定及答疑纪要的要求执行</w:t>
      </w:r>
      <w:r>
        <w:rPr>
          <w:rFonts w:hint="eastAsia" w:ascii="宋体" w:hAnsi="宋体" w:cs="宋体"/>
          <w:color w:val="auto"/>
          <w:sz w:val="24"/>
          <w:szCs w:val="24"/>
          <w:highlight w:val="none"/>
        </w:rPr>
        <w:t>。</w:t>
      </w:r>
    </w:p>
    <w:p w14:paraId="322447DB">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w:t>
      </w:r>
      <w:r>
        <w:rPr>
          <w:rFonts w:hint="eastAsia" w:ascii="宋体" w:hAnsi="宋体" w:cs="宋体"/>
          <w:b/>
          <w:color w:val="auto"/>
          <w:sz w:val="24"/>
          <w:highlight w:val="none"/>
        </w:rPr>
        <w:t>、图纸</w:t>
      </w:r>
    </w:p>
    <w:p w14:paraId="648859ED">
      <w:pPr>
        <w:snapToGrid w:val="0"/>
        <w:spacing w:line="440" w:lineRule="exact"/>
        <w:ind w:firstLine="315"/>
        <w:rPr>
          <w:rFonts w:ascii="宋体" w:hAnsi="宋体" w:cs="宋体"/>
          <w:color w:val="auto"/>
          <w:sz w:val="24"/>
          <w:szCs w:val="24"/>
          <w:highlight w:val="none"/>
          <w:u w:val="single"/>
        </w:rPr>
      </w:pPr>
      <w:r>
        <w:rPr>
          <w:rFonts w:ascii="宋体" w:hAnsi="宋体" w:cs="宋体"/>
          <w:color w:val="auto"/>
          <w:sz w:val="24"/>
          <w:szCs w:val="24"/>
          <w:highlight w:val="none"/>
        </w:rPr>
        <w:t>4.1</w:t>
      </w:r>
      <w:r>
        <w:rPr>
          <w:rFonts w:hint="eastAsia" w:ascii="宋体" w:hAnsi="宋体" w:cs="宋体"/>
          <w:color w:val="auto"/>
          <w:sz w:val="24"/>
          <w:szCs w:val="24"/>
          <w:highlight w:val="none"/>
        </w:rPr>
        <w:t>发包人向承包人提供图纸日期和套数：</w:t>
      </w:r>
      <w:r>
        <w:rPr>
          <w:rFonts w:hint="eastAsia" w:ascii="宋体" w:hAnsi="宋体" w:cs="宋体"/>
          <w:color w:val="auto"/>
          <w:sz w:val="24"/>
          <w:szCs w:val="24"/>
          <w:highlight w:val="none"/>
          <w:u w:val="single"/>
        </w:rPr>
        <w:t>开工前提供肆套图纸</w:t>
      </w:r>
      <w:r>
        <w:rPr>
          <w:rFonts w:hint="eastAsia" w:ascii="宋体" w:hAnsi="宋体" w:cs="宋体"/>
          <w:color w:val="auto"/>
          <w:sz w:val="24"/>
          <w:szCs w:val="24"/>
          <w:highlight w:val="none"/>
        </w:rPr>
        <w:t>。</w:t>
      </w:r>
    </w:p>
    <w:p w14:paraId="69FD2937">
      <w:pPr>
        <w:snapToGrid w:val="0"/>
        <w:spacing w:line="440" w:lineRule="exact"/>
        <w:ind w:left="997" w:leftChars="132" w:hanging="720" w:hangingChars="300"/>
        <w:rPr>
          <w:rFonts w:ascii="宋体" w:hAnsi="宋体" w:cs="宋体"/>
          <w:color w:val="auto"/>
          <w:sz w:val="24"/>
          <w:szCs w:val="24"/>
          <w:highlight w:val="none"/>
          <w:u w:val="single"/>
        </w:rPr>
      </w:pPr>
      <w:r>
        <w:rPr>
          <w:rFonts w:hint="eastAsia" w:ascii="宋体" w:hAnsi="宋体" w:cs="宋体"/>
          <w:color w:val="auto"/>
          <w:sz w:val="24"/>
          <w:szCs w:val="24"/>
          <w:highlight w:val="none"/>
        </w:rPr>
        <w:t>发包人对图纸的保密要求：</w:t>
      </w:r>
      <w:r>
        <w:rPr>
          <w:rFonts w:hint="eastAsia" w:ascii="宋体" w:hAnsi="宋体" w:cs="宋体"/>
          <w:color w:val="auto"/>
          <w:sz w:val="24"/>
          <w:szCs w:val="24"/>
          <w:highlight w:val="none"/>
          <w:u w:val="single"/>
        </w:rPr>
        <w:t>按本合同通用条款</w:t>
      </w:r>
      <w:r>
        <w:rPr>
          <w:rFonts w:hint="eastAsia" w:ascii="宋体" w:hAnsi="宋体" w:cs="宋体"/>
          <w:color w:val="auto"/>
          <w:sz w:val="24"/>
          <w:szCs w:val="24"/>
          <w:highlight w:val="none"/>
        </w:rPr>
        <w:t>。</w:t>
      </w:r>
    </w:p>
    <w:p w14:paraId="7006D4F2">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使用国外图纸的要求及费用承担：</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56E604CA">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二、双方一般权利和义务</w:t>
      </w:r>
    </w:p>
    <w:p w14:paraId="4FE11598">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5</w:t>
      </w:r>
      <w:r>
        <w:rPr>
          <w:rFonts w:hint="eastAsia" w:ascii="宋体" w:hAnsi="宋体" w:cs="宋体"/>
          <w:b/>
          <w:color w:val="auto"/>
          <w:sz w:val="24"/>
          <w:highlight w:val="none"/>
        </w:rPr>
        <w:t>、工程师</w:t>
      </w:r>
    </w:p>
    <w:p w14:paraId="4F1B065E">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监理单位委派的工程师</w:t>
      </w:r>
    </w:p>
    <w:p w14:paraId="61E0BC5F">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总监理工程师</w:t>
      </w:r>
      <w:r>
        <w:rPr>
          <w:rFonts w:hint="eastAsia" w:ascii="宋体" w:hAnsi="宋体" w:cs="宋体"/>
          <w:color w:val="auto"/>
          <w:sz w:val="24"/>
          <w:szCs w:val="24"/>
          <w:highlight w:val="none"/>
        </w:rPr>
        <w:t>。</w:t>
      </w:r>
    </w:p>
    <w:p w14:paraId="5E56258E">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发包人委托的职权：</w:t>
      </w:r>
      <w:r>
        <w:rPr>
          <w:rFonts w:hint="eastAsia" w:ascii="宋体" w:hAnsi="宋体" w:cs="宋体"/>
          <w:color w:val="auto"/>
          <w:sz w:val="24"/>
          <w:szCs w:val="24"/>
          <w:highlight w:val="none"/>
          <w:u w:val="single"/>
        </w:rPr>
        <w:t>对本工程进行全过程的监理</w:t>
      </w:r>
      <w:r>
        <w:rPr>
          <w:rFonts w:hint="eastAsia" w:ascii="宋体" w:hAnsi="宋体" w:cs="宋体"/>
          <w:color w:val="auto"/>
          <w:sz w:val="24"/>
          <w:szCs w:val="24"/>
          <w:highlight w:val="none"/>
        </w:rPr>
        <w:t>。</w:t>
      </w:r>
    </w:p>
    <w:p w14:paraId="15A6D497">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需要取得发包人批准才能行使的职权：</w:t>
      </w:r>
      <w:r>
        <w:rPr>
          <w:rFonts w:hint="eastAsia" w:ascii="宋体" w:hAnsi="宋体" w:cs="宋体"/>
          <w:color w:val="auto"/>
          <w:sz w:val="24"/>
          <w:szCs w:val="24"/>
          <w:highlight w:val="none"/>
          <w:u w:val="single"/>
        </w:rPr>
        <w:t>按发包人与监理单位签订的监理合同有关规定执行，涉及变更签证或费用</w:t>
      </w:r>
      <w:r>
        <w:rPr>
          <w:rFonts w:hint="eastAsia" w:ascii="宋体" w:hAnsi="宋体" w:cs="宋体"/>
          <w:color w:val="auto"/>
          <w:sz w:val="24"/>
          <w:szCs w:val="24"/>
          <w:highlight w:val="none"/>
        </w:rPr>
        <w:t>调整、发布开工、停工、复工令等均需经</w:t>
      </w:r>
      <w:r>
        <w:rPr>
          <w:rFonts w:hint="eastAsia" w:ascii="宋体" w:hAnsi="宋体" w:cs="宋体"/>
          <w:color w:val="auto"/>
          <w:sz w:val="24"/>
          <w:szCs w:val="24"/>
          <w:highlight w:val="none"/>
          <w:u w:val="single"/>
        </w:rPr>
        <w:t>发包人书面认可</w:t>
      </w:r>
      <w:r>
        <w:rPr>
          <w:rFonts w:hint="eastAsia" w:ascii="宋体" w:hAnsi="宋体" w:cs="宋体"/>
          <w:color w:val="auto"/>
          <w:sz w:val="24"/>
          <w:szCs w:val="24"/>
          <w:highlight w:val="none"/>
        </w:rPr>
        <w:t>。</w:t>
      </w:r>
    </w:p>
    <w:p w14:paraId="4558058F">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义务：</w:t>
      </w:r>
      <w:r>
        <w:rPr>
          <w:rFonts w:hint="eastAsia" w:ascii="宋体" w:hAnsi="宋体" w:cs="宋体"/>
          <w:color w:val="auto"/>
          <w:sz w:val="24"/>
          <w:szCs w:val="24"/>
          <w:highlight w:val="none"/>
          <w:u w:val="single"/>
        </w:rPr>
        <w:t>常驻现场，代表监理单位履行与发包人签订的监理合同</w:t>
      </w:r>
      <w:r>
        <w:rPr>
          <w:rFonts w:hint="eastAsia" w:ascii="宋体" w:hAnsi="宋体" w:cs="宋体"/>
          <w:color w:val="auto"/>
          <w:sz w:val="24"/>
          <w:szCs w:val="24"/>
          <w:highlight w:val="none"/>
        </w:rPr>
        <w:t>。</w:t>
      </w:r>
    </w:p>
    <w:p w14:paraId="0AE6117B">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发包人派驻的工程师</w:t>
      </w:r>
    </w:p>
    <w:p w14:paraId="00B64F63">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工程师</w:t>
      </w:r>
      <w:r>
        <w:rPr>
          <w:rFonts w:hint="eastAsia" w:ascii="宋体" w:hAnsi="宋体" w:cs="宋体"/>
          <w:color w:val="auto"/>
          <w:sz w:val="24"/>
          <w:szCs w:val="24"/>
          <w:highlight w:val="none"/>
        </w:rPr>
        <w:t>。</w:t>
      </w:r>
    </w:p>
    <w:p w14:paraId="00321E9B">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职权：</w:t>
      </w:r>
      <w:r>
        <w:rPr>
          <w:rFonts w:hint="eastAsia" w:ascii="宋体" w:hAnsi="宋体" w:cs="宋体"/>
          <w:color w:val="auto"/>
          <w:sz w:val="24"/>
          <w:szCs w:val="24"/>
          <w:highlight w:val="none"/>
          <w:u w:val="single"/>
        </w:rPr>
        <w:t>发包人代表，行使发包人的权利</w:t>
      </w:r>
      <w:r>
        <w:rPr>
          <w:rFonts w:hint="eastAsia" w:ascii="宋体" w:hAnsi="宋体" w:cs="宋体"/>
          <w:color w:val="auto"/>
          <w:sz w:val="24"/>
          <w:szCs w:val="24"/>
          <w:highlight w:val="none"/>
        </w:rPr>
        <w:t>。</w:t>
      </w:r>
    </w:p>
    <w:p w14:paraId="6FA3F45A">
      <w:pPr>
        <w:snapToGrid w:val="0"/>
        <w:spacing w:line="440" w:lineRule="exact"/>
        <w:ind w:firstLine="397"/>
        <w:rPr>
          <w:rFonts w:ascii="宋体" w:hAnsi="宋体" w:cs="宋体"/>
          <w:color w:val="auto"/>
          <w:spacing w:val="-8"/>
          <w:sz w:val="24"/>
          <w:szCs w:val="24"/>
          <w:highlight w:val="none"/>
          <w:u w:val="single"/>
        </w:rPr>
      </w:pPr>
      <w:r>
        <w:rPr>
          <w:rFonts w:hint="eastAsia" w:ascii="宋体" w:hAnsi="宋体" w:cs="宋体"/>
          <w:color w:val="auto"/>
          <w:spacing w:val="-8"/>
          <w:sz w:val="24"/>
          <w:szCs w:val="24"/>
          <w:highlight w:val="none"/>
        </w:rPr>
        <w:t>义务：</w:t>
      </w:r>
      <w:r>
        <w:rPr>
          <w:rFonts w:hint="eastAsia" w:ascii="宋体" w:hAnsi="宋体" w:cs="宋体"/>
          <w:color w:val="auto"/>
          <w:spacing w:val="-8"/>
          <w:sz w:val="24"/>
          <w:szCs w:val="24"/>
          <w:highlight w:val="none"/>
          <w:u w:val="single"/>
        </w:rPr>
        <w:t>常驻现场，代表发包人负责工程质量、进度、技术、投资控制等施工期间的日常管理工作，履行与承包人签订的本建设工程施工合同。</w:t>
      </w:r>
    </w:p>
    <w:p w14:paraId="3D4B9951">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5.6</w:t>
      </w:r>
      <w:r>
        <w:rPr>
          <w:rFonts w:hint="eastAsia" w:ascii="宋体" w:hAnsi="宋体" w:cs="宋体"/>
          <w:color w:val="auto"/>
          <w:sz w:val="24"/>
          <w:szCs w:val="24"/>
          <w:highlight w:val="none"/>
        </w:rPr>
        <w:t>不实行监理的，工程师的职权：</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66EB27E9">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7</w:t>
      </w:r>
      <w:r>
        <w:rPr>
          <w:rFonts w:hint="eastAsia" w:ascii="宋体" w:hAnsi="宋体" w:cs="宋体"/>
          <w:b/>
          <w:color w:val="auto"/>
          <w:sz w:val="24"/>
          <w:highlight w:val="none"/>
        </w:rPr>
        <w:t>、项目负责人</w:t>
      </w:r>
    </w:p>
    <w:p w14:paraId="0C3E0680">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7.1</w:t>
      </w: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项目负责人</w:t>
      </w:r>
    </w:p>
    <w:p w14:paraId="4B07A0D0">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，职权：</w:t>
      </w:r>
      <w:r>
        <w:rPr>
          <w:rFonts w:hint="eastAsia" w:ascii="宋体" w:hAnsi="宋体" w:cs="宋体"/>
          <w:color w:val="auto"/>
          <w:sz w:val="24"/>
          <w:szCs w:val="24"/>
          <w:highlight w:val="none"/>
          <w:u w:val="single"/>
        </w:rPr>
        <w:t>代表承包人全权处理本工程的一切事务</w:t>
      </w:r>
      <w:r>
        <w:rPr>
          <w:rFonts w:hint="eastAsia" w:ascii="宋体" w:hAnsi="宋体" w:cs="宋体"/>
          <w:color w:val="auto"/>
          <w:sz w:val="24"/>
          <w:szCs w:val="24"/>
          <w:highlight w:val="none"/>
        </w:rPr>
        <w:t>。</w:t>
      </w:r>
    </w:p>
    <w:p w14:paraId="547423F3">
      <w:pPr>
        <w:snapToGrid w:val="0"/>
        <w:spacing w:line="440" w:lineRule="exact"/>
        <w:ind w:firstLine="397"/>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义务：</w:t>
      </w:r>
      <w:r>
        <w:rPr>
          <w:rFonts w:hint="eastAsia" w:ascii="宋体" w:hAnsi="宋体" w:cs="宋体"/>
          <w:color w:val="auto"/>
          <w:sz w:val="24"/>
          <w:szCs w:val="24"/>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s="宋体"/>
          <w:color w:val="auto"/>
          <w:sz w:val="24"/>
          <w:szCs w:val="24"/>
          <w:highlight w:val="none"/>
        </w:rPr>
        <w:t>。</w:t>
      </w:r>
      <w:r>
        <w:rPr>
          <w:rFonts w:hint="eastAsia" w:ascii="宋体" w:hAnsi="宋体" w:cs="宋体"/>
          <w:color w:val="auto"/>
          <w:sz w:val="24"/>
          <w:szCs w:val="24"/>
          <w:highlight w:val="none"/>
          <w:u w:val="none"/>
          <w:lang w:eastAsia="zh-CN"/>
        </w:rPr>
        <w:t>本工程的项</w:t>
      </w:r>
      <w:r>
        <w:rPr>
          <w:rFonts w:hint="eastAsia" w:ascii="宋体" w:hAnsi="宋体" w:eastAsia="宋体" w:cs="宋体"/>
          <w:color w:val="auto"/>
          <w:sz w:val="24"/>
          <w:szCs w:val="24"/>
          <w:highlight w:val="none"/>
          <w:u w:val="none"/>
          <w:lang w:eastAsia="zh-CN"/>
        </w:rPr>
        <w:t>目负责人管理执行</w:t>
      </w:r>
      <w:r>
        <w:rPr>
          <w:rFonts w:hint="eastAsia" w:ascii="宋体" w:hAnsi="宋体" w:cs="宋体"/>
          <w:color w:val="auto"/>
          <w:sz w:val="24"/>
          <w:szCs w:val="24"/>
          <w:highlight w:val="none"/>
        </w:rPr>
        <w:t>《广州市住房和城乡建设局关于加强建筑工程项目负责人管理的通知》（穗建规字〔2025〕9 号）</w:t>
      </w:r>
      <w:r>
        <w:rPr>
          <w:rFonts w:hint="eastAsia" w:ascii="宋体" w:hAnsi="宋体" w:cs="宋体"/>
          <w:color w:val="auto"/>
          <w:sz w:val="24"/>
          <w:szCs w:val="24"/>
          <w:highlight w:val="none"/>
          <w:lang w:eastAsia="zh-CN"/>
        </w:rPr>
        <w:t>的相关规定，如有新规，按最新规定执行。</w:t>
      </w:r>
    </w:p>
    <w:p w14:paraId="1091B93C">
      <w:pPr>
        <w:snapToGrid w:val="0"/>
        <w:spacing w:line="440" w:lineRule="exact"/>
        <w:ind w:firstLine="397"/>
        <w:rPr>
          <w:rFonts w:ascii="宋体" w:hAnsi="宋体" w:cs="宋体"/>
          <w:color w:val="auto"/>
          <w:sz w:val="24"/>
          <w:szCs w:val="24"/>
          <w:highlight w:val="none"/>
        </w:rPr>
      </w:pPr>
    </w:p>
    <w:p w14:paraId="635B2BC5">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7.4</w:t>
      </w:r>
      <w:r>
        <w:rPr>
          <w:rFonts w:hint="eastAsia" w:ascii="宋体" w:hAnsi="宋体" w:cs="宋体"/>
          <w:color w:val="auto"/>
          <w:sz w:val="24"/>
          <w:szCs w:val="24"/>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cs="宋体"/>
          <w:color w:val="auto"/>
          <w:sz w:val="24"/>
          <w:szCs w:val="24"/>
          <w:highlight w:val="none"/>
        </w:rPr>
        <w:t>。</w:t>
      </w:r>
    </w:p>
    <w:p w14:paraId="0FC73573">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7.5</w:t>
      </w:r>
      <w:r>
        <w:rPr>
          <w:rFonts w:hint="eastAsia" w:ascii="宋体" w:hAnsi="宋体" w:cs="宋体"/>
          <w:color w:val="auto"/>
          <w:sz w:val="24"/>
          <w:szCs w:val="24"/>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s="宋体"/>
          <w:color w:val="auto"/>
          <w:sz w:val="24"/>
          <w:szCs w:val="24"/>
          <w:highlight w:val="none"/>
        </w:rPr>
        <w:t>。</w:t>
      </w:r>
    </w:p>
    <w:p w14:paraId="23D5EB46">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7.6</w:t>
      </w:r>
      <w:r>
        <w:rPr>
          <w:rFonts w:hint="eastAsia" w:ascii="宋体" w:hAnsi="宋体" w:cs="宋体"/>
          <w:color w:val="auto"/>
          <w:sz w:val="24"/>
          <w:szCs w:val="24"/>
          <w:highlight w:val="none"/>
          <w:u w:val="single"/>
        </w:rPr>
        <w:t>承包人项目负责人不得兼任其他工程项目负责人，否则发包人可按单方面终止合同处理</w:t>
      </w:r>
      <w:r>
        <w:rPr>
          <w:rFonts w:hint="eastAsia" w:ascii="宋体" w:hAnsi="宋体" w:cs="宋体"/>
          <w:color w:val="auto"/>
          <w:sz w:val="24"/>
          <w:szCs w:val="24"/>
          <w:highlight w:val="none"/>
        </w:rPr>
        <w:t>。</w:t>
      </w:r>
    </w:p>
    <w:p w14:paraId="76B64673">
      <w:pPr>
        <w:adjustRightInd w:val="0"/>
        <w:snapToGrid w:val="0"/>
        <w:spacing w:line="440" w:lineRule="exact"/>
        <w:ind w:right="11" w:firstLine="360" w:firstLineChars="150"/>
        <w:outlineLvl w:val="3"/>
        <w:rPr>
          <w:rFonts w:ascii="宋体" w:hAnsi="宋体" w:cs="宋体"/>
          <w:color w:val="auto"/>
          <w:sz w:val="24"/>
          <w:szCs w:val="24"/>
          <w:highlight w:val="none"/>
        </w:rPr>
      </w:pPr>
      <w:r>
        <w:rPr>
          <w:rFonts w:ascii="宋体" w:hAnsi="宋体" w:cs="宋体"/>
          <w:color w:val="auto"/>
          <w:sz w:val="24"/>
          <w:szCs w:val="24"/>
          <w:highlight w:val="none"/>
        </w:rPr>
        <w:t xml:space="preserve"> 7.7现场管理机构</w:t>
      </w:r>
    </w:p>
    <w:p w14:paraId="6A066C74">
      <w:pPr>
        <w:adjustRightInd w:val="0"/>
        <w:snapToGrid w:val="0"/>
        <w:spacing w:line="4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1）承包人必须按照投标文件的承诺建立现场管理机构，严格执行现行建设工程项目管理规范，并积极主动接受建设行政主管部门的监督和检查。</w:t>
      </w:r>
    </w:p>
    <w:p w14:paraId="12C90B2B">
      <w:pPr>
        <w:adjustRightInd w:val="0"/>
        <w:snapToGrid w:val="0"/>
        <w:spacing w:line="440" w:lineRule="exact"/>
        <w:ind w:right="11"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2DB45127">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45AC9996">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4AC3EA40">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643AD908">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8</w:t>
      </w:r>
      <w:r>
        <w:rPr>
          <w:rFonts w:hint="eastAsia" w:ascii="宋体" w:hAnsi="宋体" w:cs="宋体"/>
          <w:b/>
          <w:color w:val="auto"/>
          <w:sz w:val="24"/>
          <w:highlight w:val="none"/>
        </w:rPr>
        <w:t>、发包人工作</w:t>
      </w:r>
    </w:p>
    <w:p w14:paraId="7446CE10">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8.1</w:t>
      </w:r>
      <w:r>
        <w:rPr>
          <w:rFonts w:hint="eastAsia" w:ascii="宋体" w:hAnsi="宋体" w:cs="宋体"/>
          <w:color w:val="auto"/>
          <w:sz w:val="24"/>
          <w:szCs w:val="24"/>
          <w:highlight w:val="none"/>
        </w:rPr>
        <w:t>发包人应按约定的时间和要求完成以下工作：</w:t>
      </w:r>
    </w:p>
    <w:p w14:paraId="494B7A7B">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）施工场地具备施工条件的要求及完成的时间：</w:t>
      </w:r>
      <w:r>
        <w:rPr>
          <w:rFonts w:hint="eastAsia" w:ascii="宋体" w:hAnsi="宋体" w:cs="宋体"/>
          <w:color w:val="auto"/>
          <w:sz w:val="24"/>
          <w:szCs w:val="24"/>
          <w:highlight w:val="none"/>
          <w:u w:val="single"/>
        </w:rPr>
        <w:t>土地征收、拆迁补偿工作完成时间原则上在开工前；因土地征收和拆迁补偿进度原因不能按时移交场地的，可采取分段逐步方式移交施工场地</w:t>
      </w:r>
      <w:r>
        <w:rPr>
          <w:rFonts w:hint="eastAsia" w:ascii="宋体" w:hAnsi="宋体" w:cs="宋体"/>
          <w:color w:val="auto"/>
          <w:sz w:val="24"/>
          <w:szCs w:val="24"/>
          <w:highlight w:val="none"/>
        </w:rPr>
        <w:t>。</w:t>
      </w:r>
    </w:p>
    <w:p w14:paraId="5724F970">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）将施工所需的水、电、电讯线路接至施工场地的时间、地点和供应要求：</w:t>
      </w:r>
      <w:r>
        <w:rPr>
          <w:rFonts w:hint="eastAsia" w:ascii="宋体" w:hAnsi="宋体" w:cs="宋体"/>
          <w:color w:val="auto"/>
          <w:sz w:val="24"/>
          <w:szCs w:val="24"/>
          <w:highlight w:val="none"/>
          <w:u w:val="single"/>
        </w:rPr>
        <w:t>由承包人自行解决，费用已包在本工程中标总造价中</w:t>
      </w:r>
      <w:r>
        <w:rPr>
          <w:rFonts w:hint="eastAsia" w:ascii="宋体" w:hAnsi="宋体" w:cs="宋体"/>
          <w:color w:val="auto"/>
          <w:sz w:val="24"/>
          <w:szCs w:val="24"/>
          <w:highlight w:val="none"/>
        </w:rPr>
        <w:t>。</w:t>
      </w:r>
    </w:p>
    <w:p w14:paraId="229D01D3">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）施工场地与公共道路的通道开通时间和要求：</w:t>
      </w:r>
      <w:r>
        <w:rPr>
          <w:rFonts w:hint="eastAsia" w:ascii="宋体" w:hAnsi="宋体" w:cs="宋体"/>
          <w:color w:val="auto"/>
          <w:sz w:val="24"/>
          <w:szCs w:val="24"/>
          <w:highlight w:val="none"/>
          <w:u w:val="single"/>
        </w:rPr>
        <w:t>通道按现状，不论满足施工要求与否，该通道及施工便道均由承包人自行解决，费用已包在本工程中标总造价中</w:t>
      </w:r>
      <w:r>
        <w:rPr>
          <w:rFonts w:hint="eastAsia" w:ascii="宋体" w:hAnsi="宋体" w:cs="宋体"/>
          <w:color w:val="auto"/>
          <w:sz w:val="24"/>
          <w:szCs w:val="24"/>
          <w:highlight w:val="none"/>
        </w:rPr>
        <w:t>。</w:t>
      </w:r>
    </w:p>
    <w:p w14:paraId="14C75BC9">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）工程地质和地下管线资料的提供时间：</w:t>
      </w:r>
      <w:r>
        <w:rPr>
          <w:rFonts w:hint="eastAsia" w:ascii="宋体" w:hAnsi="宋体" w:cs="宋体"/>
          <w:color w:val="auto"/>
          <w:sz w:val="24"/>
          <w:szCs w:val="24"/>
          <w:highlight w:val="none"/>
          <w:u w:val="single"/>
        </w:rPr>
        <w:t>根据施工计划提前提供</w:t>
      </w:r>
      <w:r>
        <w:rPr>
          <w:rFonts w:hint="eastAsia" w:ascii="宋体" w:hAnsi="宋体" w:cs="宋体"/>
          <w:color w:val="auto"/>
          <w:sz w:val="24"/>
          <w:szCs w:val="24"/>
          <w:highlight w:val="none"/>
        </w:rPr>
        <w:t>。</w:t>
      </w:r>
    </w:p>
    <w:p w14:paraId="5EE78EC1">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）由发包人办理的施工所需证件、批件的名称和完成时间：</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5250A7DC">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）水准点与坐标控制点交验要求：</w:t>
      </w:r>
      <w:r>
        <w:rPr>
          <w:rFonts w:hint="eastAsia" w:ascii="宋体" w:hAnsi="宋体" w:cs="宋体"/>
          <w:color w:val="auto"/>
          <w:sz w:val="24"/>
          <w:szCs w:val="24"/>
          <w:highlight w:val="none"/>
          <w:u w:val="single"/>
        </w:rPr>
        <w:t>开工前交验</w:t>
      </w:r>
      <w:r>
        <w:rPr>
          <w:rFonts w:hint="eastAsia" w:ascii="宋体" w:hAnsi="宋体" w:cs="宋体"/>
          <w:color w:val="auto"/>
          <w:sz w:val="24"/>
          <w:szCs w:val="24"/>
          <w:highlight w:val="none"/>
        </w:rPr>
        <w:t>。</w:t>
      </w:r>
    </w:p>
    <w:p w14:paraId="588FFAE5">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）图纸会审和设计交底时间：</w:t>
      </w:r>
      <w:r>
        <w:rPr>
          <w:rFonts w:hint="eastAsia" w:ascii="宋体" w:hAnsi="宋体" w:cs="宋体"/>
          <w:color w:val="auto"/>
          <w:sz w:val="24"/>
          <w:szCs w:val="24"/>
          <w:highlight w:val="none"/>
          <w:u w:val="single"/>
        </w:rPr>
        <w:t>工程施工前</w:t>
      </w:r>
      <w:r>
        <w:rPr>
          <w:rFonts w:hint="eastAsia" w:ascii="宋体" w:hAnsi="宋体" w:cs="宋体"/>
          <w:color w:val="auto"/>
          <w:sz w:val="24"/>
          <w:szCs w:val="24"/>
          <w:highlight w:val="none"/>
        </w:rPr>
        <w:t>。</w:t>
      </w:r>
    </w:p>
    <w:p w14:paraId="28E74167">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8</w:t>
      </w:r>
      <w:r>
        <w:rPr>
          <w:rFonts w:hint="eastAsia" w:ascii="宋体" w:hAnsi="宋体" w:cs="宋体"/>
          <w:color w:val="auto"/>
          <w:sz w:val="24"/>
          <w:szCs w:val="24"/>
          <w:highlight w:val="none"/>
        </w:rPr>
        <w:t>）协调处理施工场地周围地下管线和邻近建筑物、构筑物（含文物保护建筑）、古树名木的保护工作：</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DFA751A">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9</w:t>
      </w:r>
      <w:r>
        <w:rPr>
          <w:rFonts w:hint="eastAsia" w:ascii="宋体" w:hAnsi="宋体" w:cs="宋体"/>
          <w:color w:val="auto"/>
          <w:sz w:val="24"/>
          <w:szCs w:val="24"/>
          <w:highlight w:val="none"/>
        </w:rPr>
        <w:t>）双方约定发包人应做的其他工作：</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发包人按现有场地移交给承包人，承包人应无条件接受。</w:t>
      </w:r>
      <w:r>
        <w:rPr>
          <w:rFonts w:ascii="宋体" w:hAnsi="宋体" w:cs="宋体"/>
          <w:color w:val="auto"/>
          <w:sz w:val="24"/>
          <w:szCs w:val="24"/>
          <w:highlight w:val="none"/>
          <w:u w:val="single"/>
        </w:rPr>
        <w:t xml:space="preserve">   </w:t>
      </w:r>
    </w:p>
    <w:p w14:paraId="490E2684">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8.2</w:t>
      </w:r>
      <w:r>
        <w:rPr>
          <w:rFonts w:hint="eastAsia" w:ascii="宋体" w:hAnsi="宋体" w:cs="宋体"/>
          <w:color w:val="auto"/>
          <w:sz w:val="24"/>
          <w:szCs w:val="24"/>
          <w:highlight w:val="none"/>
        </w:rPr>
        <w:t>发包人委托承包人办理的工作：</w:t>
      </w:r>
      <w:r>
        <w:rPr>
          <w:rFonts w:hint="eastAsia" w:ascii="宋体" w:hAnsi="宋体" w:cs="宋体"/>
          <w:color w:val="auto"/>
          <w:sz w:val="24"/>
          <w:szCs w:val="24"/>
          <w:highlight w:val="none"/>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14:paraId="60DD280E">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9</w:t>
      </w:r>
      <w:r>
        <w:rPr>
          <w:rFonts w:hint="eastAsia" w:ascii="宋体" w:hAnsi="宋体" w:cs="宋体"/>
          <w:b/>
          <w:color w:val="auto"/>
          <w:sz w:val="24"/>
          <w:highlight w:val="none"/>
        </w:rPr>
        <w:t>、承包人工作</w:t>
      </w:r>
    </w:p>
    <w:p w14:paraId="5E372511">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承包人应按约定时间和要求，完成以下工作：</w:t>
      </w:r>
    </w:p>
    <w:p w14:paraId="7F9041F8">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）需由设计资质等级和业务范围允许的承包人完成的设计文件提交时间：</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501426E6">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）应提供计划、报表的名称及完成时间：</w:t>
      </w:r>
      <w:r>
        <w:rPr>
          <w:rFonts w:hint="eastAsia" w:ascii="宋体" w:hAnsi="宋体" w:cs="宋体"/>
          <w:color w:val="auto"/>
          <w:sz w:val="24"/>
          <w:szCs w:val="24"/>
          <w:highlight w:val="none"/>
          <w:u w:val="single"/>
        </w:rPr>
        <w:t>施工组织设计、管理人员架构表，于开工前三天报。提交工程年、季、月度计划及进度统计报表</w:t>
      </w:r>
      <w:r>
        <w:rPr>
          <w:rFonts w:hint="eastAsia" w:ascii="宋体" w:hAnsi="宋体" w:cs="宋体"/>
          <w:color w:val="auto"/>
          <w:sz w:val="24"/>
          <w:szCs w:val="24"/>
          <w:highlight w:val="none"/>
        </w:rPr>
        <w:t>。</w:t>
      </w:r>
    </w:p>
    <w:p w14:paraId="68A3C10B">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3）承担施工安全保卫工作及非夜间施工照明的责任和要求：</w:t>
      </w:r>
      <w:r>
        <w:rPr>
          <w:rFonts w:hint="eastAsia" w:ascii="宋体" w:hAnsi="宋体" w:cs="宋体"/>
          <w:color w:val="auto"/>
          <w:sz w:val="24"/>
          <w:szCs w:val="24"/>
          <w:highlight w:val="none"/>
          <w:u w:val="single"/>
        </w:rPr>
        <w:t>按招标文件要求及国家、省、市、区相关规定执行，并满足本工程需要</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根据工程需要，提供和维护施工使用的照明、围栏设施和警卫，并负责整个现场的安全生产和绿色施工、安全保卫。</w:t>
      </w:r>
    </w:p>
    <w:p w14:paraId="7BB30868">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承包人自行解决办公、交通、生活及通讯等设施，费用已包含在本工程中标总造价中；</w:t>
      </w:r>
      <w:r>
        <w:rPr>
          <w:rFonts w:ascii="宋体" w:hAnsi="宋体" w:cs="宋体"/>
          <w:color w:val="auto"/>
          <w:sz w:val="24"/>
          <w:szCs w:val="24"/>
          <w:highlight w:val="none"/>
        </w:rPr>
        <w:t>向发包人或监理工程师提供的办公、交通和生活、通讯设施的要求：</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641FA821">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5）需承包人办理有关施工场地交通、环卫和施工噪音管理等手续：</w:t>
      </w:r>
      <w:r>
        <w:rPr>
          <w:rFonts w:hint="eastAsia" w:ascii="宋体" w:hAnsi="宋体" w:cs="宋体"/>
          <w:color w:val="auto"/>
          <w:sz w:val="24"/>
          <w:szCs w:val="24"/>
          <w:highlight w:val="none"/>
          <w:u w:val="single"/>
        </w:rPr>
        <w:t>承包人按本合同通用条款要求执行，并承担相关费用</w:t>
      </w:r>
      <w:r>
        <w:rPr>
          <w:rFonts w:hint="eastAsia" w:ascii="宋体" w:hAnsi="宋体" w:cs="宋体"/>
          <w:color w:val="auto"/>
          <w:sz w:val="24"/>
          <w:szCs w:val="24"/>
          <w:highlight w:val="none"/>
        </w:rPr>
        <w:t>。</w:t>
      </w:r>
    </w:p>
    <w:p w14:paraId="4FF07E46">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）已完工程成品保护的特殊要求及费用承担：</w:t>
      </w:r>
      <w:r>
        <w:rPr>
          <w:rFonts w:hint="eastAsia" w:ascii="宋体" w:hAnsi="宋体" w:cs="宋体"/>
          <w:color w:val="auto"/>
          <w:sz w:val="24"/>
          <w:szCs w:val="24"/>
          <w:highlight w:val="none"/>
          <w:u w:val="single"/>
        </w:rPr>
        <w:t>按本合同通用条款执行</w:t>
      </w:r>
      <w:r>
        <w:rPr>
          <w:rFonts w:hint="eastAsia" w:ascii="宋体" w:hAnsi="宋体" w:cs="宋体"/>
          <w:color w:val="auto"/>
          <w:sz w:val="24"/>
          <w:szCs w:val="24"/>
          <w:highlight w:val="none"/>
        </w:rPr>
        <w:t>。</w:t>
      </w:r>
    </w:p>
    <w:p w14:paraId="61C66C80">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）施工场地周围地下管线和邻近建筑物、构筑物（含文物保护建筑）、古树名木的保护要求及费用承担：</w:t>
      </w:r>
      <w:r>
        <w:rPr>
          <w:rFonts w:hint="eastAsia" w:ascii="宋体" w:hAnsi="宋体" w:cs="宋体"/>
          <w:color w:val="auto"/>
          <w:sz w:val="24"/>
          <w:szCs w:val="24"/>
          <w:highlight w:val="none"/>
          <w:u w:val="single"/>
        </w:rPr>
        <w:t>除文物保护外的保护费全部由承包人承担</w:t>
      </w:r>
      <w:r>
        <w:rPr>
          <w:rFonts w:hint="eastAsia" w:ascii="宋体" w:hAnsi="宋体" w:cs="宋体"/>
          <w:color w:val="auto"/>
          <w:sz w:val="24"/>
          <w:szCs w:val="24"/>
          <w:highlight w:val="none"/>
        </w:rPr>
        <w:t>。</w:t>
      </w:r>
    </w:p>
    <w:p w14:paraId="023468C0">
      <w:pPr>
        <w:snapToGrid w:val="0"/>
        <w:spacing w:line="440" w:lineRule="exact"/>
        <w:ind w:left="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8）</w:t>
      </w:r>
      <w:r>
        <w:rPr>
          <w:rFonts w:hint="eastAsia" w:ascii="宋体" w:hAnsi="宋体" w:cs="宋体"/>
          <w:color w:val="auto"/>
          <w:sz w:val="24"/>
          <w:szCs w:val="24"/>
          <w:highlight w:val="none"/>
        </w:rPr>
        <w:t>施工场地清洁卫生的要求：</w:t>
      </w:r>
      <w:r>
        <w:rPr>
          <w:rFonts w:hint="eastAsia" w:ascii="宋体" w:hAnsi="宋体" w:cs="宋体"/>
          <w:color w:val="auto"/>
          <w:sz w:val="24"/>
          <w:szCs w:val="24"/>
          <w:highlight w:val="none"/>
          <w:u w:val="single"/>
        </w:rPr>
        <w:t>满足</w:t>
      </w:r>
      <w:r>
        <w:rPr>
          <w:rFonts w:hint="eastAsia" w:ascii="宋体" w:hAnsi="宋体" w:cs="宋体"/>
          <w:color w:val="auto"/>
          <w:spacing w:val="-10"/>
          <w:sz w:val="24"/>
          <w:szCs w:val="24"/>
          <w:highlight w:val="none"/>
          <w:u w:val="single"/>
        </w:rPr>
        <w:t>文明施工要求及广州市、黄埔区关于扬尘治理的有关要求</w:t>
      </w:r>
      <w:r>
        <w:rPr>
          <w:rFonts w:hint="eastAsia" w:ascii="宋体" w:hAnsi="宋体" w:cs="宋体"/>
          <w:color w:val="auto"/>
          <w:spacing w:val="-10"/>
          <w:sz w:val="24"/>
          <w:szCs w:val="24"/>
          <w:highlight w:val="none"/>
        </w:rPr>
        <w:t>。</w:t>
      </w:r>
      <w:r>
        <w:rPr>
          <w:rFonts w:hint="eastAsia" w:ascii="宋体" w:hAnsi="宋体" w:cs="宋体"/>
          <w:color w:val="auto"/>
          <w:sz w:val="24"/>
          <w:szCs w:val="24"/>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14:paraId="65431C70">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9）双方约定承包人应做的其他工作：</w:t>
      </w:r>
    </w:p>
    <w:p w14:paraId="4ADD2F07">
      <w:pPr>
        <w:snapToGrid w:val="0"/>
        <w:spacing w:line="440" w:lineRule="exact"/>
        <w:rPr>
          <w:rFonts w:ascii="宋体" w:hAnsi="宋体" w:cs="宋体"/>
          <w:color w:val="auto"/>
          <w:sz w:val="24"/>
          <w:szCs w:val="24"/>
          <w:highlight w:val="none"/>
          <w:u w:val="singl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w:t>
      </w:r>
      <w:r>
        <w:rPr>
          <w:rFonts w:hint="eastAsia" w:ascii="宋体" w:hAnsi="宋体" w:cs="宋体"/>
          <w:color w:val="auto"/>
          <w:sz w:val="24"/>
          <w:highlight w:val="none"/>
          <w:u w:val="single"/>
        </w:rPr>
        <w:t>《广州市住房和城乡建设局关于规范房屋建筑工程施工承发包管理的通知》(穗建规字〔2019〕10号)</w:t>
      </w:r>
      <w:r>
        <w:rPr>
          <w:rFonts w:hint="eastAsia" w:ascii="宋体" w:hAnsi="宋体" w:cs="宋体"/>
          <w:color w:val="auto"/>
          <w:sz w:val="24"/>
          <w:szCs w:val="24"/>
          <w:highlight w:val="none"/>
          <w:u w:val="single"/>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注：总承包工程适用本条款）</w:t>
      </w:r>
    </w:p>
    <w:p w14:paraId="06B6B938">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　②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14:paraId="691B1311">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③承包人应按照《广州市建设领域工人工资支付分账管理实施细则》的规定选择商业银行开立工人工资支付专用账户，在用工之日起</w:t>
      </w:r>
      <w:r>
        <w:rPr>
          <w:rFonts w:ascii="宋体" w:hAnsi="宋体" w:cs="宋体"/>
          <w:color w:val="auto"/>
          <w:sz w:val="24"/>
          <w:szCs w:val="24"/>
          <w:highlight w:val="none"/>
        </w:rPr>
        <w:t>15日内为每个工人办理工人工资个人账户，保证按时足额支付工人工资。承包人应对</w:t>
      </w:r>
      <w:r>
        <w:rPr>
          <w:rFonts w:hint="eastAsia" w:ascii="宋体" w:hAnsi="宋体" w:cs="宋体"/>
          <w:color w:val="auto"/>
          <w:sz w:val="24"/>
          <w:szCs w:val="24"/>
          <w:highlight w:val="none"/>
        </w:rPr>
        <w:t>依法分包的专业工程和劳务工程的承包人实施统一管理，严格按国家、省、市关于农民工工资实施总承包单位代发制度的相关规定代发分包单位工人工资。</w:t>
      </w:r>
    </w:p>
    <w:p w14:paraId="742B19FD">
      <w:pPr>
        <w:snapToGrid w:val="0"/>
        <w:spacing w:line="440" w:lineRule="exact"/>
        <w:ind w:firstLine="397"/>
        <w:rPr>
          <w:rFonts w:ascii="宋体" w:hAnsi="宋体" w:cs="宋体"/>
          <w:color w:val="auto"/>
          <w:sz w:val="24"/>
          <w:highlight w:val="none"/>
        </w:rPr>
      </w:pPr>
      <w:r>
        <w:rPr>
          <w:rFonts w:hint="eastAsia" w:ascii="宋体" w:hAnsi="宋体" w:cs="宋体"/>
          <w:color w:val="auto"/>
          <w:sz w:val="24"/>
          <w:szCs w:val="24"/>
          <w:highlight w:val="none"/>
        </w:rPr>
        <w:t>④承包人应当建立工人考勤、工资结算和支付等管理台账，存档备查，并将相关信息按月报送发包人及监理单位。</w:t>
      </w:r>
    </w:p>
    <w:p w14:paraId="2F804E6A">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10）承包人应在本项目中投入使用燃料电池汽车等新能源工程车,且投入数量占本项目投入的建筑垃圾自卸车（渣土车）总数比例不得低于40%，相关费用已包含在合同价中，不另行计取。</w:t>
      </w:r>
    </w:p>
    <w:p w14:paraId="0E5CD9E5">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11）承包人应当建立燃料电池汽车等新能源工程车投入管理台账备查，并将投入现场的影像等相关资料按要求报送发包人及监理单位核查。</w:t>
      </w:r>
      <w:r>
        <w:rPr>
          <w:rFonts w:hint="eastAsia" w:ascii="宋体" w:hAnsi="宋体" w:cs="宋体"/>
          <w:color w:val="auto"/>
          <w:sz w:val="24"/>
          <w:szCs w:val="24"/>
          <w:highlight w:val="none"/>
        </w:rPr>
        <w:t>（适用于一般项目）</w:t>
      </w:r>
    </w:p>
    <w:p w14:paraId="67B62C3D">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10）承包人应在本项目中投入使用燃料电池汽车等新能源工程车,且投入数量占本项目投入的建筑垃圾自卸车（渣土车）总数比例不得低于  %（按投标承诺），相关费用已包含在合同价中，不另行计取。</w:t>
      </w:r>
    </w:p>
    <w:p w14:paraId="746C73E1">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11）承包人应当建立燃料电池汽车等新能源工程车投入管理台账备查，并将投入现场的影像等相关资料按要求报送发包人及监理单位核查。</w:t>
      </w:r>
      <w:r>
        <w:rPr>
          <w:rFonts w:hint="eastAsia" w:ascii="宋体" w:hAnsi="宋体" w:cs="宋体"/>
          <w:color w:val="auto"/>
          <w:sz w:val="24"/>
          <w:szCs w:val="24"/>
          <w:highlight w:val="none"/>
        </w:rPr>
        <w:t>（适用于复杂项目）</w:t>
      </w:r>
    </w:p>
    <w:p w14:paraId="3938904A">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12）承包人必须严格按照《工程建设领域农民工工资保证金规定》[人社部发（2021）65号]、《广州市建设领域施工企业工人工资支付保证金管理办法》[穗人社规字[2023]1号]等有关要求，执行工资保证金专用账户的开立、工资保证金的存储、补足或农民工工资保证金银行保函的开具、备案及提交新保函等工作（如相关规定有更新，按适时有效的最新规定执行）。</w:t>
      </w:r>
    </w:p>
    <w:p w14:paraId="419CAECD">
      <w:pPr>
        <w:snapToGrid w:val="0"/>
        <w:spacing w:line="440" w:lineRule="exact"/>
        <w:ind w:firstLine="397"/>
        <w:rPr>
          <w:rFonts w:ascii="宋体" w:hAnsi="宋体" w:cs="宋体"/>
          <w:color w:val="auto"/>
          <w:sz w:val="24"/>
          <w:szCs w:val="24"/>
          <w:highlight w:val="none"/>
        </w:rPr>
      </w:pPr>
    </w:p>
    <w:p w14:paraId="2ECAC669">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三、施工组织设计和工期</w:t>
      </w:r>
    </w:p>
    <w:p w14:paraId="59526D4A">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10</w:t>
      </w:r>
      <w:r>
        <w:rPr>
          <w:rFonts w:hint="eastAsia" w:ascii="宋体" w:hAnsi="宋体" w:cs="宋体"/>
          <w:b/>
          <w:color w:val="auto"/>
          <w:sz w:val="24"/>
          <w:highlight w:val="none"/>
        </w:rPr>
        <w:t>、进度计划</w:t>
      </w:r>
    </w:p>
    <w:p w14:paraId="65A79533">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承包人提供施工组织设计</w:t>
      </w:r>
      <w:r>
        <w:rPr>
          <w:rFonts w:ascii="宋体" w:hAnsi="宋体" w:cs="宋体"/>
          <w:color w:val="auto"/>
          <w:sz w:val="24"/>
          <w:szCs w:val="24"/>
          <w:highlight w:val="none"/>
        </w:rPr>
        <w:t>(施工方案)和进度计划时间：</w:t>
      </w:r>
    </w:p>
    <w:p w14:paraId="09B96382">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承包人应于接到中标通知书后</w:t>
      </w:r>
      <w:r>
        <w:rPr>
          <w:rFonts w:ascii="宋体" w:hAnsi="宋体" w:cs="宋体"/>
          <w:color w:val="auto"/>
          <w:sz w:val="24"/>
          <w:szCs w:val="24"/>
          <w:highlight w:val="none"/>
          <w:u w:val="single"/>
        </w:rPr>
        <w:t>4天内向发包人提交总体工程进度计划（网络计划），并</w:t>
      </w:r>
      <w:r>
        <w:rPr>
          <w:rFonts w:hint="eastAsia" w:ascii="宋体" w:hAnsi="宋体" w:cs="宋体"/>
          <w:color w:val="auto"/>
          <w:sz w:val="24"/>
          <w:szCs w:val="24"/>
          <w:highlight w:val="none"/>
          <w:u w:val="single"/>
        </w:rPr>
        <w:t>于开工前</w:t>
      </w:r>
      <w:r>
        <w:rPr>
          <w:rFonts w:ascii="宋体" w:hAnsi="宋体" w:cs="宋体"/>
          <w:color w:val="auto"/>
          <w:sz w:val="24"/>
          <w:szCs w:val="24"/>
          <w:highlight w:val="none"/>
          <w:u w:val="single"/>
        </w:rPr>
        <w:t>3天内提交施工组织设计（施工方案）给发包人</w:t>
      </w:r>
      <w:r>
        <w:rPr>
          <w:rFonts w:hint="eastAsia" w:ascii="宋体" w:hAnsi="宋体" w:cs="宋体"/>
          <w:color w:val="auto"/>
          <w:sz w:val="24"/>
          <w:szCs w:val="24"/>
          <w:highlight w:val="none"/>
        </w:rPr>
        <w:t>。</w:t>
      </w:r>
    </w:p>
    <w:p w14:paraId="353F15C9">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承包人提交的施工组织设计应当按监理工程师及国家、省、市及广州开发区关于施工承包管理的要求编制</w:t>
      </w:r>
      <w:r>
        <w:rPr>
          <w:rFonts w:hint="eastAsia" w:ascii="宋体" w:hAnsi="宋体" w:cs="宋体"/>
          <w:color w:val="auto"/>
          <w:sz w:val="24"/>
          <w:szCs w:val="24"/>
          <w:highlight w:val="none"/>
        </w:rPr>
        <w:t>。</w:t>
      </w:r>
    </w:p>
    <w:p w14:paraId="40D58395">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cs="宋体"/>
          <w:color w:val="auto"/>
          <w:sz w:val="24"/>
          <w:szCs w:val="24"/>
          <w:highlight w:val="none"/>
        </w:rPr>
        <w:t>。</w:t>
      </w:r>
    </w:p>
    <w:p w14:paraId="7C3E796D">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总监理工程师在接到承包人提交的施工组织设计和工程进度计划后，予以确认或提出修改意见</w:t>
      </w:r>
      <w:r>
        <w:rPr>
          <w:rFonts w:hint="eastAsia" w:ascii="宋体" w:hAnsi="宋体" w:cs="宋体"/>
          <w:color w:val="auto"/>
          <w:sz w:val="24"/>
          <w:szCs w:val="24"/>
          <w:highlight w:val="none"/>
        </w:rPr>
        <w:t>。</w:t>
      </w:r>
    </w:p>
    <w:p w14:paraId="4233BCBA">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工程师确认的时间：</w:t>
      </w:r>
      <w:r>
        <w:rPr>
          <w:rFonts w:hint="eastAsia" w:ascii="宋体" w:hAnsi="宋体" w:cs="宋体"/>
          <w:color w:val="auto"/>
          <w:sz w:val="24"/>
          <w:szCs w:val="24"/>
          <w:highlight w:val="none"/>
          <w:u w:val="single"/>
        </w:rPr>
        <w:t>开工前</w:t>
      </w:r>
      <w:r>
        <w:rPr>
          <w:rFonts w:hint="eastAsia" w:ascii="宋体" w:hAnsi="宋体" w:cs="宋体"/>
          <w:color w:val="auto"/>
          <w:sz w:val="24"/>
          <w:szCs w:val="24"/>
          <w:highlight w:val="none"/>
        </w:rPr>
        <w:t>。</w:t>
      </w:r>
    </w:p>
    <w:p w14:paraId="46A42A7A">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10.2</w:t>
      </w:r>
      <w:r>
        <w:rPr>
          <w:rFonts w:hint="eastAsia" w:ascii="宋体" w:hAnsi="宋体" w:cs="宋体"/>
          <w:color w:val="auto"/>
          <w:sz w:val="24"/>
          <w:szCs w:val="24"/>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14:paraId="5C65E6DC">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10.3</w:t>
      </w:r>
      <w:r>
        <w:rPr>
          <w:rFonts w:hint="eastAsia" w:ascii="宋体" w:hAnsi="宋体" w:cs="宋体"/>
          <w:color w:val="auto"/>
          <w:sz w:val="24"/>
          <w:szCs w:val="24"/>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s="宋体"/>
          <w:color w:val="auto"/>
          <w:sz w:val="24"/>
          <w:szCs w:val="24"/>
          <w:highlight w:val="none"/>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hAnsi="宋体" w:cs="宋体"/>
          <w:color w:val="auto"/>
          <w:sz w:val="24"/>
          <w:szCs w:val="24"/>
          <w:highlight w:val="none"/>
        </w:rPr>
        <w:t>。</w:t>
      </w:r>
    </w:p>
    <w:p w14:paraId="489F4296">
      <w:pPr>
        <w:snapToGrid w:val="0"/>
        <w:spacing w:line="440" w:lineRule="exact"/>
        <w:ind w:firstLine="482" w:firstLineChars="200"/>
        <w:rPr>
          <w:rFonts w:ascii="宋体" w:hAnsi="宋体" w:cs="宋体"/>
          <w:b/>
          <w:color w:val="auto"/>
          <w:sz w:val="24"/>
          <w:highlight w:val="none"/>
        </w:rPr>
      </w:pPr>
      <w:r>
        <w:rPr>
          <w:rFonts w:ascii="宋体" w:hAnsi="宋体" w:cs="宋体"/>
          <w:b/>
          <w:color w:val="auto"/>
          <w:sz w:val="24"/>
          <w:highlight w:val="none"/>
        </w:rPr>
        <w:t>11、开工及延期开工</w:t>
      </w:r>
    </w:p>
    <w:p w14:paraId="5F359C15">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11.1</w:t>
      </w:r>
      <w:r>
        <w:rPr>
          <w:rFonts w:hint="eastAsia" w:ascii="宋体" w:hAnsi="宋体" w:cs="宋体"/>
          <w:color w:val="auto"/>
          <w:sz w:val="24"/>
          <w:szCs w:val="24"/>
          <w:highlight w:val="none"/>
        </w:rPr>
        <w:t>开工日期和竣工日期</w:t>
      </w:r>
    </w:p>
    <w:p w14:paraId="3227E1CF">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11.1.1</w:t>
      </w:r>
      <w:r>
        <w:rPr>
          <w:rFonts w:hint="eastAsia" w:ascii="宋体" w:hAnsi="宋体" w:cs="宋体"/>
          <w:color w:val="auto"/>
          <w:sz w:val="24"/>
          <w:szCs w:val="24"/>
          <w:highlight w:val="none"/>
        </w:rPr>
        <w:t>本工程工期为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日历天。其中开工时间初定为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日。（具体开工日期以发包人或监理单位开工令或批准的开工报告日期为准）</w:t>
      </w:r>
    </w:p>
    <w:p w14:paraId="571917FC">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11.1.2</w:t>
      </w:r>
      <w:r>
        <w:rPr>
          <w:rFonts w:hint="eastAsia" w:ascii="宋体" w:hAnsi="宋体" w:cs="宋体"/>
          <w:color w:val="auto"/>
          <w:sz w:val="24"/>
          <w:szCs w:val="24"/>
          <w:highlight w:val="none"/>
        </w:rPr>
        <w:t>承包人必须采取一切有效措施保证竣工日期，不得延误。除非发生了以下情形：</w:t>
      </w:r>
    </w:p>
    <w:p w14:paraId="18DE9491">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政府对本工程建设项目作出停建、缓建的决定</w:t>
      </w:r>
      <w:r>
        <w:rPr>
          <w:rFonts w:hint="eastAsia" w:ascii="宋体" w:hAnsi="宋体" w:cs="宋体"/>
          <w:color w:val="auto"/>
          <w:sz w:val="24"/>
          <w:szCs w:val="24"/>
          <w:highlight w:val="none"/>
        </w:rPr>
        <w:t>；</w:t>
      </w:r>
    </w:p>
    <w:p w14:paraId="75BE62A3">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重大设计变更导致本工程在规划、使用、功能方面有重大调整</w:t>
      </w:r>
      <w:r>
        <w:rPr>
          <w:rFonts w:hint="eastAsia" w:ascii="宋体" w:hAnsi="宋体" w:cs="宋体"/>
          <w:color w:val="auto"/>
          <w:sz w:val="24"/>
          <w:szCs w:val="24"/>
          <w:highlight w:val="none"/>
        </w:rPr>
        <w:t>；</w:t>
      </w:r>
    </w:p>
    <w:p w14:paraId="3F8E1E3A">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不可抗力持续影响而延误工期超过</w:t>
      </w:r>
      <w:r>
        <w:rPr>
          <w:rFonts w:ascii="宋体" w:hAnsi="宋体" w:cs="宋体"/>
          <w:color w:val="auto"/>
          <w:sz w:val="24"/>
          <w:szCs w:val="24"/>
          <w:highlight w:val="none"/>
          <w:u w:val="single"/>
        </w:rPr>
        <w:t>12</w:t>
      </w:r>
      <w:r>
        <w:rPr>
          <w:rFonts w:hint="eastAsia" w:ascii="宋体" w:hAnsi="宋体" w:cs="宋体"/>
          <w:color w:val="auto"/>
          <w:sz w:val="24"/>
          <w:szCs w:val="24"/>
          <w:highlight w:val="none"/>
          <w:u w:val="single"/>
        </w:rPr>
        <w:t>天以上</w:t>
      </w:r>
      <w:r>
        <w:rPr>
          <w:rFonts w:hint="eastAsia" w:ascii="宋体" w:hAnsi="宋体" w:cs="宋体"/>
          <w:color w:val="auto"/>
          <w:sz w:val="24"/>
          <w:szCs w:val="24"/>
          <w:highlight w:val="none"/>
        </w:rPr>
        <w:t>；</w:t>
      </w:r>
    </w:p>
    <w:p w14:paraId="57C1B1B5">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u w:val="single"/>
        </w:rPr>
        <w:t>本合同专用条款约定的其他非承包人原因导致的工期延误</w:t>
      </w:r>
      <w:r>
        <w:rPr>
          <w:rFonts w:hint="eastAsia" w:ascii="宋体" w:hAnsi="宋体" w:cs="宋体"/>
          <w:color w:val="auto"/>
          <w:sz w:val="24"/>
          <w:szCs w:val="24"/>
          <w:highlight w:val="none"/>
        </w:rPr>
        <w:t>。</w:t>
      </w:r>
    </w:p>
    <w:p w14:paraId="168C6653">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11.2</w:t>
      </w:r>
      <w:r>
        <w:rPr>
          <w:rFonts w:hint="eastAsia" w:ascii="宋体" w:hAnsi="宋体" w:cs="宋体"/>
          <w:color w:val="auto"/>
          <w:sz w:val="24"/>
          <w:szCs w:val="24"/>
          <w:highlight w:val="none"/>
        </w:rPr>
        <w:t>延期开工：</w:t>
      </w:r>
    </w:p>
    <w:p w14:paraId="435AC64C">
      <w:pPr>
        <w:adjustRightInd w:val="0"/>
        <w:snapToGrid w:val="0"/>
        <w:spacing w:line="440" w:lineRule="exact"/>
        <w:ind w:right="11" w:firstLine="420" w:firstLineChars="175"/>
        <w:rPr>
          <w:rFonts w:ascii="宋体" w:hAnsi="宋体" w:cs="宋体"/>
          <w:color w:val="auto"/>
          <w:sz w:val="24"/>
          <w:szCs w:val="24"/>
          <w:highlight w:val="none"/>
          <w:u w:val="single"/>
        </w:rPr>
      </w:pPr>
      <w:r>
        <w:rPr>
          <w:rFonts w:ascii="宋体" w:hAnsi="宋体" w:cs="宋体"/>
          <w:color w:val="auto"/>
          <w:sz w:val="24"/>
          <w:szCs w:val="24"/>
          <w:highlight w:val="none"/>
        </w:rPr>
        <w:t>11.2.1</w:t>
      </w:r>
      <w:r>
        <w:rPr>
          <w:rFonts w:hint="eastAsia" w:ascii="宋体" w:hAnsi="宋体" w:cs="宋体"/>
          <w:color w:val="auto"/>
          <w:sz w:val="24"/>
          <w:szCs w:val="24"/>
          <w:highlight w:val="none"/>
          <w:u w:val="single"/>
        </w:rPr>
        <w:t>因发包人原因不能按照协议书约定的开工日期开工或暂停施工的，总监理工程师应通知承包人推迟开工日期，经监理单位、发包人确认后，工期可相应顺延，但不作费用补偿</w:t>
      </w:r>
      <w:r>
        <w:rPr>
          <w:rFonts w:hint="eastAsia" w:ascii="宋体" w:hAnsi="宋体" w:cs="宋体"/>
          <w:color w:val="auto"/>
          <w:sz w:val="24"/>
          <w:szCs w:val="24"/>
          <w:highlight w:val="none"/>
        </w:rPr>
        <w:t>。</w:t>
      </w:r>
    </w:p>
    <w:p w14:paraId="449F4EFC">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11.2.2</w:t>
      </w:r>
      <w:r>
        <w:rPr>
          <w:rFonts w:hint="eastAsia" w:ascii="宋体" w:hAnsi="宋体" w:cs="宋体"/>
          <w:color w:val="auto"/>
          <w:sz w:val="24"/>
          <w:szCs w:val="24"/>
          <w:highlight w:val="none"/>
          <w:u w:val="single"/>
        </w:rPr>
        <w:t>承包人未能主动及时地履行其协调、配合服务义务而造成专业承包单位无法开工，由此产生的工期延误等损失由承包人承担，并承担违约责任</w:t>
      </w:r>
      <w:r>
        <w:rPr>
          <w:rFonts w:hint="eastAsia" w:ascii="宋体" w:hAnsi="宋体" w:cs="宋体"/>
          <w:color w:val="auto"/>
          <w:sz w:val="24"/>
          <w:szCs w:val="24"/>
          <w:highlight w:val="none"/>
        </w:rPr>
        <w:t>。</w:t>
      </w:r>
    </w:p>
    <w:p w14:paraId="198CA354">
      <w:pPr>
        <w:snapToGrid w:val="0"/>
        <w:spacing w:line="440" w:lineRule="exact"/>
        <w:ind w:firstLine="482" w:firstLineChars="200"/>
        <w:rPr>
          <w:rFonts w:ascii="宋体" w:hAnsi="宋体" w:cs="宋体"/>
          <w:b/>
          <w:color w:val="auto"/>
          <w:sz w:val="24"/>
          <w:highlight w:val="none"/>
        </w:rPr>
      </w:pPr>
      <w:r>
        <w:rPr>
          <w:rFonts w:ascii="宋体" w:hAnsi="宋体" w:cs="宋体"/>
          <w:b/>
          <w:color w:val="auto"/>
          <w:sz w:val="24"/>
          <w:highlight w:val="none"/>
        </w:rPr>
        <w:t>12、暂停施工</w:t>
      </w:r>
    </w:p>
    <w:p w14:paraId="6E30407F">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12.1因下列原因，总监理工程师报经发包人同意，可通知承包人暂停施工：</w:t>
      </w:r>
    </w:p>
    <w:p w14:paraId="26E5FE6E">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工程设计发生重大变更</w:t>
      </w:r>
      <w:r>
        <w:rPr>
          <w:rFonts w:hint="eastAsia" w:ascii="宋体" w:hAnsi="宋体" w:cs="宋体"/>
          <w:color w:val="auto"/>
          <w:sz w:val="24"/>
          <w:szCs w:val="24"/>
          <w:highlight w:val="none"/>
        </w:rPr>
        <w:t>；</w:t>
      </w:r>
    </w:p>
    <w:p w14:paraId="050BFB2D">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不可抗力</w:t>
      </w:r>
      <w:r>
        <w:rPr>
          <w:rFonts w:hint="eastAsia" w:ascii="宋体" w:hAnsi="宋体" w:cs="宋体"/>
          <w:color w:val="auto"/>
          <w:sz w:val="24"/>
          <w:szCs w:val="24"/>
          <w:highlight w:val="none"/>
        </w:rPr>
        <w:t>；</w:t>
      </w:r>
    </w:p>
    <w:p w14:paraId="43289660">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质量事故</w:t>
      </w:r>
      <w:r>
        <w:rPr>
          <w:rFonts w:hint="eastAsia" w:ascii="宋体" w:hAnsi="宋体" w:cs="宋体"/>
          <w:color w:val="auto"/>
          <w:sz w:val="24"/>
          <w:szCs w:val="24"/>
          <w:highlight w:val="none"/>
        </w:rPr>
        <w:t>；</w:t>
      </w:r>
    </w:p>
    <w:p w14:paraId="64DC8F77">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u w:val="single"/>
        </w:rPr>
        <w:t>安全生产事故</w:t>
      </w:r>
      <w:r>
        <w:rPr>
          <w:rFonts w:hint="eastAsia" w:ascii="宋体" w:hAnsi="宋体" w:cs="宋体"/>
          <w:color w:val="auto"/>
          <w:sz w:val="24"/>
          <w:szCs w:val="24"/>
          <w:highlight w:val="none"/>
        </w:rPr>
        <w:t>；</w:t>
      </w:r>
    </w:p>
    <w:p w14:paraId="54DCBA0E">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u w:val="single"/>
        </w:rPr>
        <w:t>因承包人管理不善，可能导致现场混乱</w:t>
      </w:r>
      <w:r>
        <w:rPr>
          <w:rFonts w:hint="eastAsia" w:ascii="宋体" w:hAnsi="宋体" w:cs="宋体"/>
          <w:color w:val="auto"/>
          <w:sz w:val="24"/>
          <w:szCs w:val="24"/>
          <w:highlight w:val="none"/>
        </w:rPr>
        <w:t>；</w:t>
      </w:r>
    </w:p>
    <w:p w14:paraId="16FF2102">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u w:val="single"/>
        </w:rPr>
        <w:t>承包人违规施工，经监理工程师通知改正但仍不执行</w:t>
      </w:r>
      <w:r>
        <w:rPr>
          <w:rFonts w:hint="eastAsia" w:ascii="宋体" w:hAnsi="宋体" w:cs="宋体"/>
          <w:color w:val="auto"/>
          <w:sz w:val="24"/>
          <w:szCs w:val="24"/>
          <w:highlight w:val="none"/>
        </w:rPr>
        <w:t>。</w:t>
      </w:r>
    </w:p>
    <w:p w14:paraId="1AA5764F">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承包人不得以与发包人有争议为由或者以争议未解决为由而单方面停工。否则，应按约定承担工期延误的违约责任</w:t>
      </w:r>
      <w:r>
        <w:rPr>
          <w:rFonts w:hint="eastAsia" w:ascii="宋体" w:hAnsi="宋体" w:cs="宋体"/>
          <w:color w:val="auto"/>
          <w:sz w:val="24"/>
          <w:szCs w:val="24"/>
          <w:highlight w:val="none"/>
        </w:rPr>
        <w:t>。</w:t>
      </w:r>
    </w:p>
    <w:p w14:paraId="087840E7">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因发生上述第（</w:t>
      </w:r>
      <w:r>
        <w:rPr>
          <w:rFonts w:ascii="宋体" w:hAnsi="宋体" w:cs="宋体"/>
          <w:color w:val="auto"/>
          <w:sz w:val="24"/>
          <w:szCs w:val="24"/>
          <w:highlight w:val="none"/>
          <w:u w:val="single"/>
        </w:rPr>
        <w:t>1）、（2）项原因而暂停施工</w:t>
      </w:r>
      <w:r>
        <w:rPr>
          <w:rFonts w:hint="eastAsia" w:ascii="宋体" w:hAnsi="宋体" w:cs="宋体"/>
          <w:color w:val="auto"/>
          <w:sz w:val="24"/>
          <w:szCs w:val="24"/>
          <w:highlight w:val="none"/>
          <w:u w:val="single"/>
        </w:rPr>
        <w:t>的，工期可协商调整，因发生上述第（</w:t>
      </w:r>
      <w:r>
        <w:rPr>
          <w:rFonts w:ascii="宋体" w:hAnsi="宋体" w:cs="宋体"/>
          <w:color w:val="auto"/>
          <w:sz w:val="24"/>
          <w:szCs w:val="24"/>
          <w:highlight w:val="none"/>
          <w:u w:val="single"/>
        </w:rPr>
        <w:t>3）、（4）、（5）、（6）项原因而暂停施工</w:t>
      </w:r>
      <w:r>
        <w:rPr>
          <w:rFonts w:hint="eastAsia" w:ascii="宋体" w:hAnsi="宋体" w:cs="宋体"/>
          <w:color w:val="auto"/>
          <w:sz w:val="24"/>
          <w:szCs w:val="24"/>
          <w:highlight w:val="none"/>
          <w:u w:val="single"/>
        </w:rPr>
        <w:t>的，工期不予顺延</w:t>
      </w:r>
      <w:r>
        <w:rPr>
          <w:rFonts w:ascii="宋体" w:hAnsi="宋体" w:cs="宋体"/>
          <w:color w:val="auto"/>
          <w:sz w:val="24"/>
          <w:szCs w:val="24"/>
          <w:highlight w:val="none"/>
          <w:u w:val="single"/>
        </w:rPr>
        <w:t>,承包人必须承担由此发生的费用并向发包人承担违约责任</w:t>
      </w:r>
      <w:r>
        <w:rPr>
          <w:rFonts w:hint="eastAsia" w:ascii="宋体" w:hAnsi="宋体" w:cs="宋体"/>
          <w:color w:val="auto"/>
          <w:sz w:val="24"/>
          <w:szCs w:val="24"/>
          <w:highlight w:val="none"/>
        </w:rPr>
        <w:t>。</w:t>
      </w:r>
    </w:p>
    <w:p w14:paraId="1004AE81">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12.2为了保证工程质量安全，凡</w:t>
      </w:r>
      <w:r>
        <w:rPr>
          <w:rFonts w:hint="eastAsia" w:ascii="宋体" w:hAnsi="宋体" w:cs="宋体"/>
          <w:color w:val="auto"/>
          <w:sz w:val="24"/>
          <w:szCs w:val="24"/>
          <w:highlight w:val="none"/>
        </w:rPr>
        <w:t>承包人出现下列情况之一（不限于此）的，总监理工程师有权下达停工令，责令承包人停工整改，由此造成的损失由承包人自行承担，工期不予顺延，如果造成工期延误的，承包人还应承担违约责任。</w:t>
      </w:r>
    </w:p>
    <w:p w14:paraId="4183F6FE">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w:t>
      </w:r>
      <w:r>
        <w:rPr>
          <w:rFonts w:hint="eastAsia" w:ascii="宋体" w:hAnsi="宋体" w:cs="宋体"/>
          <w:color w:val="auto"/>
          <w:sz w:val="24"/>
          <w:szCs w:val="24"/>
          <w:highlight w:val="none"/>
          <w:u w:val="single"/>
        </w:rPr>
        <w:t>拒绝监理单位管理</w:t>
      </w:r>
      <w:r>
        <w:rPr>
          <w:rFonts w:hint="eastAsia" w:ascii="宋体" w:hAnsi="宋体" w:cs="宋体"/>
          <w:color w:val="auto"/>
          <w:sz w:val="24"/>
          <w:szCs w:val="24"/>
          <w:highlight w:val="none"/>
        </w:rPr>
        <w:t>；</w:t>
      </w:r>
    </w:p>
    <w:p w14:paraId="2D3577C0">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(2)</w:t>
      </w:r>
      <w:r>
        <w:rPr>
          <w:rFonts w:hint="eastAsia" w:ascii="宋体" w:hAnsi="宋体" w:cs="宋体"/>
          <w:color w:val="auto"/>
          <w:sz w:val="24"/>
          <w:szCs w:val="24"/>
          <w:highlight w:val="none"/>
          <w:u w:val="single"/>
        </w:rPr>
        <w:t>施工组织设计（方案）未获总监理工程师批准而进行施工</w:t>
      </w:r>
      <w:r>
        <w:rPr>
          <w:rFonts w:hint="eastAsia" w:ascii="宋体" w:hAnsi="宋体" w:cs="宋体"/>
          <w:color w:val="auto"/>
          <w:sz w:val="24"/>
          <w:szCs w:val="24"/>
          <w:highlight w:val="none"/>
        </w:rPr>
        <w:t>；</w:t>
      </w:r>
    </w:p>
    <w:p w14:paraId="2422BC71">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u w:val="single"/>
        </w:rPr>
        <w:t>未经监理单位检验而进行下一道工序作业者</w:t>
      </w:r>
      <w:r>
        <w:rPr>
          <w:rFonts w:hint="eastAsia" w:ascii="宋体" w:hAnsi="宋体" w:cs="宋体"/>
          <w:color w:val="auto"/>
          <w:sz w:val="24"/>
          <w:szCs w:val="24"/>
          <w:highlight w:val="none"/>
        </w:rPr>
        <w:t>；</w:t>
      </w:r>
    </w:p>
    <w:p w14:paraId="6E6A32F1">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w:t>
      </w:r>
      <w:r>
        <w:rPr>
          <w:rFonts w:hint="eastAsia" w:ascii="宋体" w:hAnsi="宋体" w:cs="宋体"/>
          <w:color w:val="auto"/>
          <w:sz w:val="24"/>
          <w:szCs w:val="24"/>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cs="宋体"/>
          <w:color w:val="auto"/>
          <w:sz w:val="24"/>
          <w:szCs w:val="24"/>
          <w:highlight w:val="none"/>
        </w:rPr>
        <w:t>；</w:t>
      </w:r>
    </w:p>
    <w:p w14:paraId="5915EC71">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w:t>
      </w:r>
      <w:r>
        <w:rPr>
          <w:rFonts w:hint="eastAsia" w:ascii="宋体" w:hAnsi="宋体" w:cs="宋体"/>
          <w:color w:val="auto"/>
          <w:sz w:val="24"/>
          <w:szCs w:val="24"/>
          <w:highlight w:val="none"/>
          <w:u w:val="single"/>
        </w:rPr>
        <w:t>擅自变更设计图纸的要求</w:t>
      </w:r>
      <w:r>
        <w:rPr>
          <w:rFonts w:hint="eastAsia" w:ascii="宋体" w:hAnsi="宋体" w:cs="宋体"/>
          <w:color w:val="auto"/>
          <w:sz w:val="24"/>
          <w:szCs w:val="24"/>
          <w:highlight w:val="none"/>
        </w:rPr>
        <w:t>；</w:t>
      </w:r>
    </w:p>
    <w:p w14:paraId="3F0E3198">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(6)</w:t>
      </w:r>
      <w:r>
        <w:rPr>
          <w:rFonts w:hint="eastAsia" w:ascii="宋体" w:hAnsi="宋体" w:cs="宋体"/>
          <w:color w:val="auto"/>
          <w:sz w:val="24"/>
          <w:szCs w:val="24"/>
          <w:highlight w:val="none"/>
          <w:u w:val="single"/>
        </w:rPr>
        <w:t>转包工程</w:t>
      </w:r>
      <w:r>
        <w:rPr>
          <w:rFonts w:hint="eastAsia" w:ascii="宋体" w:hAnsi="宋体" w:cs="宋体"/>
          <w:color w:val="auto"/>
          <w:sz w:val="24"/>
          <w:szCs w:val="24"/>
          <w:highlight w:val="none"/>
        </w:rPr>
        <w:t>；</w:t>
      </w:r>
    </w:p>
    <w:p w14:paraId="339E7858">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(7)</w:t>
      </w:r>
      <w:r>
        <w:rPr>
          <w:rFonts w:hint="eastAsia" w:ascii="宋体" w:hAnsi="宋体" w:cs="宋体"/>
          <w:color w:val="auto"/>
          <w:sz w:val="24"/>
          <w:szCs w:val="24"/>
          <w:highlight w:val="none"/>
          <w:u w:val="single"/>
        </w:rPr>
        <w:t>擅自让未经总监理工程师批准的专业承包单位进场作业</w:t>
      </w:r>
      <w:r>
        <w:rPr>
          <w:rFonts w:hint="eastAsia" w:ascii="宋体" w:hAnsi="宋体" w:cs="宋体"/>
          <w:color w:val="auto"/>
          <w:sz w:val="24"/>
          <w:szCs w:val="24"/>
          <w:highlight w:val="none"/>
        </w:rPr>
        <w:t>；</w:t>
      </w:r>
    </w:p>
    <w:p w14:paraId="29AE6B7B">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(8)</w:t>
      </w:r>
      <w:r>
        <w:rPr>
          <w:rFonts w:hint="eastAsia" w:ascii="宋体" w:hAnsi="宋体" w:cs="宋体"/>
          <w:color w:val="auto"/>
          <w:sz w:val="24"/>
          <w:szCs w:val="24"/>
          <w:highlight w:val="none"/>
          <w:u w:val="single"/>
        </w:rPr>
        <w:t>存在安全隐患，未按监理单位要求及时进行整改</w:t>
      </w:r>
      <w:r>
        <w:rPr>
          <w:rFonts w:hint="eastAsia" w:ascii="宋体" w:hAnsi="宋体" w:cs="宋体"/>
          <w:color w:val="auto"/>
          <w:sz w:val="24"/>
          <w:szCs w:val="24"/>
          <w:highlight w:val="none"/>
        </w:rPr>
        <w:t>；</w:t>
      </w:r>
    </w:p>
    <w:p w14:paraId="54D6A810">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(9)</w:t>
      </w:r>
      <w:r>
        <w:rPr>
          <w:rFonts w:hint="eastAsia" w:ascii="宋体" w:hAnsi="宋体" w:cs="宋体"/>
          <w:color w:val="auto"/>
          <w:sz w:val="24"/>
          <w:szCs w:val="24"/>
          <w:highlight w:val="none"/>
          <w:u w:val="single"/>
        </w:rPr>
        <w:t>未按双方约定的资料上报要求上报所需资料的</w:t>
      </w:r>
      <w:r>
        <w:rPr>
          <w:rFonts w:hint="eastAsia" w:ascii="宋体" w:hAnsi="宋体" w:cs="宋体"/>
          <w:color w:val="auto"/>
          <w:sz w:val="24"/>
          <w:szCs w:val="24"/>
          <w:highlight w:val="none"/>
        </w:rPr>
        <w:t>。</w:t>
      </w:r>
    </w:p>
    <w:p w14:paraId="64A5BE96">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12.3因不可抗力引起工程停工，工期按</w:t>
      </w:r>
      <w:r>
        <w:rPr>
          <w:rFonts w:hint="eastAsia" w:ascii="宋体" w:hAnsi="宋体" w:cs="宋体"/>
          <w:color w:val="auto"/>
          <w:sz w:val="24"/>
          <w:szCs w:val="24"/>
          <w:highlight w:val="none"/>
          <w:u w:val="single"/>
        </w:rPr>
        <w:t>专用条款</w:t>
      </w:r>
      <w:r>
        <w:rPr>
          <w:rFonts w:ascii="宋体" w:hAnsi="宋体" w:cs="宋体"/>
          <w:color w:val="auto"/>
          <w:sz w:val="24"/>
          <w:szCs w:val="24"/>
          <w:highlight w:val="none"/>
          <w:u w:val="single"/>
        </w:rPr>
        <w:t>第12.1款</w:t>
      </w:r>
      <w:r>
        <w:rPr>
          <w:rFonts w:hint="eastAsia" w:ascii="宋体" w:hAnsi="宋体" w:cs="宋体"/>
          <w:color w:val="auto"/>
          <w:sz w:val="24"/>
          <w:szCs w:val="24"/>
          <w:highlight w:val="none"/>
        </w:rPr>
        <w:t>约定执行，费用承担按以下原则：</w:t>
      </w:r>
    </w:p>
    <w:p w14:paraId="53DEA0FD">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cs="宋体"/>
          <w:color w:val="auto"/>
          <w:sz w:val="24"/>
          <w:szCs w:val="24"/>
          <w:highlight w:val="none"/>
        </w:rPr>
        <w:t>。</w:t>
      </w:r>
    </w:p>
    <w:p w14:paraId="09314EE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运至施工场地用于施工的材料和待安装的设备的损害，属发包人供应的由发包人承担；属承包人采购的由承包人承担</w:t>
      </w:r>
      <w:r>
        <w:rPr>
          <w:rFonts w:hint="eastAsia" w:ascii="宋体" w:hAnsi="宋体" w:cs="宋体"/>
          <w:color w:val="auto"/>
          <w:sz w:val="24"/>
          <w:szCs w:val="24"/>
          <w:highlight w:val="none"/>
        </w:rPr>
        <w:t>。</w:t>
      </w:r>
    </w:p>
    <w:p w14:paraId="3DAD1E7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发包人承包人人员伤亡由其所在单位负责，并承担相应费用</w:t>
      </w:r>
      <w:r>
        <w:rPr>
          <w:rFonts w:hint="eastAsia" w:ascii="宋体" w:hAnsi="宋体" w:cs="宋体"/>
          <w:color w:val="auto"/>
          <w:sz w:val="24"/>
          <w:szCs w:val="24"/>
          <w:highlight w:val="none"/>
        </w:rPr>
        <w:t>。</w:t>
      </w:r>
    </w:p>
    <w:p w14:paraId="0F73596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u w:val="single"/>
        </w:rPr>
        <w:t>承包人机械设备损坏及停工损失由承包人承担</w:t>
      </w:r>
      <w:r>
        <w:rPr>
          <w:rFonts w:hint="eastAsia" w:ascii="宋体" w:hAnsi="宋体" w:cs="宋体"/>
          <w:color w:val="auto"/>
          <w:sz w:val="24"/>
          <w:szCs w:val="24"/>
          <w:highlight w:val="none"/>
        </w:rPr>
        <w:t>。</w:t>
      </w:r>
    </w:p>
    <w:p w14:paraId="3BF3EAE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u w:val="single"/>
        </w:rPr>
        <w:t>停工期间，承包人应总监理工程师要求留在施工场地的必要的管理人员及保卫人员的费用由承包人承担</w:t>
      </w:r>
      <w:r>
        <w:rPr>
          <w:rFonts w:hint="eastAsia" w:ascii="宋体" w:hAnsi="宋体" w:cs="宋体"/>
          <w:color w:val="auto"/>
          <w:sz w:val="24"/>
          <w:szCs w:val="24"/>
          <w:highlight w:val="none"/>
        </w:rPr>
        <w:t>。</w:t>
      </w:r>
    </w:p>
    <w:p w14:paraId="225E99A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u w:val="single"/>
        </w:rPr>
        <w:t>工程所需清理、修复费用由发包人承担</w:t>
      </w:r>
      <w:r>
        <w:rPr>
          <w:rFonts w:hint="eastAsia" w:ascii="宋体" w:hAnsi="宋体" w:cs="宋体"/>
          <w:color w:val="auto"/>
          <w:sz w:val="24"/>
          <w:szCs w:val="24"/>
          <w:highlight w:val="none"/>
        </w:rPr>
        <w:t>。</w:t>
      </w:r>
    </w:p>
    <w:p w14:paraId="600C67B4">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12.4</w:t>
      </w:r>
      <w:r>
        <w:rPr>
          <w:rFonts w:hint="eastAsia" w:ascii="宋体" w:hAnsi="宋体" w:cs="宋体"/>
          <w:color w:val="auto"/>
          <w:sz w:val="24"/>
          <w:szCs w:val="24"/>
          <w:highlight w:val="none"/>
          <w:u w:val="single"/>
        </w:rPr>
        <w:t>由于承包人自身原因或施工承包管理、配合及协调不力，而导致专业承包工程停工，产生的费用由承包人承担</w:t>
      </w:r>
      <w:r>
        <w:rPr>
          <w:rFonts w:hint="eastAsia" w:ascii="宋体" w:hAnsi="宋体" w:cs="宋体"/>
          <w:color w:val="auto"/>
          <w:sz w:val="24"/>
          <w:szCs w:val="24"/>
          <w:highlight w:val="none"/>
        </w:rPr>
        <w:t>。</w:t>
      </w:r>
    </w:p>
    <w:p w14:paraId="00EC3274">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13、工期延误</w:t>
      </w:r>
    </w:p>
    <w:p w14:paraId="51FE871C">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13.2</w:t>
      </w:r>
      <w:r>
        <w:rPr>
          <w:rFonts w:hint="eastAsia" w:ascii="宋体" w:hAnsi="宋体" w:cs="宋体"/>
          <w:color w:val="auto"/>
          <w:sz w:val="24"/>
          <w:szCs w:val="24"/>
          <w:highlight w:val="none"/>
          <w:u w:val="single"/>
        </w:rPr>
        <w:t>对于非因承包人原因发生的工期延误，承包人应当在工期延误事件发生后</w:t>
      </w:r>
      <w:r>
        <w:rPr>
          <w:rFonts w:ascii="宋体" w:hAnsi="宋体" w:cs="宋体"/>
          <w:color w:val="auto"/>
          <w:sz w:val="24"/>
          <w:szCs w:val="24"/>
          <w:highlight w:val="none"/>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cs="宋体"/>
          <w:color w:val="auto"/>
          <w:sz w:val="24"/>
          <w:szCs w:val="24"/>
          <w:highlight w:val="none"/>
        </w:rPr>
        <w:t>。</w:t>
      </w:r>
    </w:p>
    <w:p w14:paraId="15203726">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四、质量与验收</w:t>
      </w:r>
    </w:p>
    <w:p w14:paraId="57DD45A9">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15、工程质量</w:t>
      </w:r>
    </w:p>
    <w:p w14:paraId="2CB25A5D">
      <w:pPr>
        <w:snapToGrid w:val="0"/>
        <w:spacing w:line="440" w:lineRule="exact"/>
        <w:ind w:firstLine="397"/>
        <w:rPr>
          <w:rFonts w:ascii="宋体" w:hAnsi="宋体" w:cs="宋体"/>
          <w:bCs/>
          <w:color w:val="auto"/>
          <w:sz w:val="24"/>
          <w:szCs w:val="24"/>
          <w:highlight w:val="none"/>
        </w:rPr>
      </w:pPr>
      <w:r>
        <w:rPr>
          <w:rFonts w:ascii="宋体" w:hAnsi="宋体" w:cs="宋体"/>
          <w:bCs/>
          <w:color w:val="auto"/>
          <w:sz w:val="24"/>
          <w:szCs w:val="24"/>
          <w:highlight w:val="none"/>
        </w:rPr>
        <w:t>15.3</w:t>
      </w:r>
      <w:r>
        <w:rPr>
          <w:rFonts w:hint="eastAsia" w:ascii="宋体" w:hAnsi="宋体" w:cs="宋体"/>
          <w:bCs/>
          <w:color w:val="auto"/>
          <w:sz w:val="24"/>
          <w:szCs w:val="24"/>
          <w:highlight w:val="none"/>
          <w:u w:val="single"/>
        </w:rPr>
        <w:t>承包人必须严格按照设计施工图和国家及行业颁发的现行有关设计、施工及验收规范的要求进行施工，确保工程质量，</w:t>
      </w:r>
      <w:r>
        <w:rPr>
          <w:rFonts w:hint="eastAsia" w:ascii="宋体" w:hAnsi="宋体" w:cs="宋体"/>
          <w:bCs/>
          <w:color w:val="auto"/>
          <w:sz w:val="24"/>
          <w:highlight w:val="none"/>
        </w:rPr>
        <w:t>工程的质量标准要求合格，且达到投标承诺的质量标准</w:t>
      </w:r>
      <w:r>
        <w:rPr>
          <w:rFonts w:hint="eastAsia" w:ascii="宋体" w:hAnsi="宋体" w:cs="宋体"/>
          <w:bCs/>
          <w:color w:val="auto"/>
          <w:sz w:val="24"/>
          <w:szCs w:val="24"/>
          <w:highlight w:val="none"/>
          <w:u w:val="single"/>
        </w:rPr>
        <w:t>。承包人对图纸中存在的问题有责任和义务提前以书面形式报告工程师及发包人，以供发包人同监理人核实并及时要求设计方修改设计图纸</w:t>
      </w:r>
      <w:r>
        <w:rPr>
          <w:rFonts w:hint="eastAsia" w:ascii="宋体" w:hAnsi="宋体" w:cs="宋体"/>
          <w:bCs/>
          <w:color w:val="auto"/>
          <w:sz w:val="24"/>
          <w:szCs w:val="24"/>
          <w:highlight w:val="none"/>
        </w:rPr>
        <w:t>。</w:t>
      </w:r>
    </w:p>
    <w:p w14:paraId="0C0FC15D">
      <w:pPr>
        <w:snapToGrid w:val="0"/>
        <w:spacing w:line="440" w:lineRule="exact"/>
        <w:ind w:firstLine="397"/>
        <w:rPr>
          <w:rFonts w:ascii="宋体" w:hAnsi="宋体" w:cs="宋体"/>
          <w:bCs/>
          <w:color w:val="auto"/>
          <w:sz w:val="24"/>
          <w:szCs w:val="24"/>
          <w:highlight w:val="none"/>
        </w:rPr>
      </w:pPr>
      <w:r>
        <w:rPr>
          <w:rFonts w:ascii="宋体" w:hAnsi="宋体" w:cs="宋体"/>
          <w:bCs/>
          <w:color w:val="auto"/>
          <w:sz w:val="24"/>
          <w:szCs w:val="24"/>
          <w:highlight w:val="none"/>
        </w:rPr>
        <w:t>15.4</w:t>
      </w:r>
      <w:r>
        <w:rPr>
          <w:rFonts w:hint="eastAsia" w:ascii="宋体" w:hAnsi="宋体" w:cs="宋体"/>
          <w:bCs/>
          <w:color w:val="auto"/>
          <w:sz w:val="24"/>
          <w:szCs w:val="24"/>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cs="宋体"/>
          <w:bCs/>
          <w:color w:val="auto"/>
          <w:sz w:val="24"/>
          <w:szCs w:val="24"/>
          <w:highlight w:val="none"/>
        </w:rPr>
        <w:t>。</w:t>
      </w:r>
    </w:p>
    <w:p w14:paraId="087837FA">
      <w:pPr>
        <w:snapToGrid w:val="0"/>
        <w:spacing w:line="440" w:lineRule="exact"/>
        <w:ind w:firstLine="397"/>
        <w:rPr>
          <w:rFonts w:ascii="宋体" w:hAnsi="宋体" w:cs="宋体"/>
          <w:bCs/>
          <w:color w:val="auto"/>
          <w:sz w:val="24"/>
          <w:szCs w:val="24"/>
          <w:highlight w:val="none"/>
        </w:rPr>
      </w:pPr>
      <w:r>
        <w:rPr>
          <w:rFonts w:ascii="宋体" w:hAnsi="宋体" w:cs="宋体"/>
          <w:bCs/>
          <w:color w:val="auto"/>
          <w:sz w:val="24"/>
          <w:szCs w:val="24"/>
          <w:highlight w:val="none"/>
        </w:rPr>
        <w:t>15.5</w:t>
      </w:r>
      <w:r>
        <w:rPr>
          <w:rFonts w:hint="eastAsia" w:ascii="宋体" w:hAnsi="宋体" w:cs="宋体"/>
          <w:bCs/>
          <w:color w:val="auto"/>
          <w:sz w:val="24"/>
          <w:szCs w:val="24"/>
          <w:highlight w:val="none"/>
          <w:u w:val="single"/>
        </w:rPr>
        <w:t>工程质量不符合设计要求、质量不合格者，监理工程师可指令承包人停工或返工，返工费用由承包人承担，工期不予顺延</w:t>
      </w:r>
      <w:r>
        <w:rPr>
          <w:rFonts w:hint="eastAsia" w:ascii="宋体" w:hAnsi="宋体" w:cs="宋体"/>
          <w:bCs/>
          <w:color w:val="auto"/>
          <w:sz w:val="24"/>
          <w:szCs w:val="24"/>
          <w:highlight w:val="none"/>
        </w:rPr>
        <w:t>。</w:t>
      </w:r>
    </w:p>
    <w:p w14:paraId="0736A460">
      <w:pPr>
        <w:snapToGrid w:val="0"/>
        <w:spacing w:line="440" w:lineRule="exact"/>
        <w:ind w:firstLine="397"/>
        <w:rPr>
          <w:rFonts w:ascii="宋体" w:hAnsi="宋体" w:cs="宋体"/>
          <w:bCs/>
          <w:color w:val="auto"/>
          <w:sz w:val="24"/>
          <w:szCs w:val="24"/>
          <w:highlight w:val="none"/>
        </w:rPr>
      </w:pPr>
      <w:r>
        <w:rPr>
          <w:rFonts w:ascii="宋体" w:hAnsi="宋体" w:cs="宋体"/>
          <w:bCs/>
          <w:color w:val="auto"/>
          <w:sz w:val="24"/>
          <w:szCs w:val="24"/>
          <w:highlight w:val="none"/>
        </w:rPr>
        <w:t>15.6</w:t>
      </w:r>
      <w:r>
        <w:rPr>
          <w:rFonts w:hint="eastAsia" w:ascii="宋体" w:hAnsi="宋体" w:cs="宋体"/>
          <w:bCs/>
          <w:color w:val="auto"/>
          <w:sz w:val="24"/>
          <w:szCs w:val="24"/>
          <w:highlight w:val="none"/>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cs="宋体"/>
          <w:bCs/>
          <w:color w:val="auto"/>
          <w:sz w:val="24"/>
          <w:szCs w:val="24"/>
          <w:highlight w:val="none"/>
        </w:rPr>
        <w:t>。</w:t>
      </w:r>
    </w:p>
    <w:p w14:paraId="6E1B6201">
      <w:pPr>
        <w:snapToGrid w:val="0"/>
        <w:spacing w:line="440" w:lineRule="exact"/>
        <w:ind w:firstLine="397"/>
        <w:rPr>
          <w:rFonts w:ascii="宋体" w:hAnsi="宋体" w:cs="宋体"/>
          <w:bCs/>
          <w:color w:val="auto"/>
          <w:sz w:val="24"/>
          <w:szCs w:val="24"/>
          <w:highlight w:val="none"/>
        </w:rPr>
      </w:pPr>
      <w:r>
        <w:rPr>
          <w:rFonts w:ascii="宋体" w:hAnsi="宋体" w:cs="宋体"/>
          <w:bCs/>
          <w:color w:val="auto"/>
          <w:sz w:val="24"/>
          <w:szCs w:val="24"/>
          <w:highlight w:val="none"/>
        </w:rPr>
        <w:t>15.7</w:t>
      </w:r>
      <w:r>
        <w:rPr>
          <w:rFonts w:hint="eastAsia" w:ascii="宋体" w:hAnsi="宋体" w:cs="宋体"/>
          <w:bCs/>
          <w:color w:val="auto"/>
          <w:sz w:val="24"/>
          <w:szCs w:val="24"/>
          <w:highlight w:val="none"/>
          <w:u w:val="single"/>
        </w:rPr>
        <w:t>本工程按照本合同专用条款</w:t>
      </w:r>
      <w:r>
        <w:rPr>
          <w:rFonts w:ascii="宋体" w:hAnsi="宋体" w:cs="宋体"/>
          <w:bCs/>
          <w:color w:val="auto"/>
          <w:sz w:val="24"/>
          <w:szCs w:val="24"/>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w:t>
      </w:r>
      <w:r>
        <w:rPr>
          <w:rFonts w:hint="eastAsia" w:ascii="宋体" w:hAnsi="宋体" w:cs="宋体"/>
          <w:bCs/>
          <w:color w:val="auto"/>
          <w:sz w:val="24"/>
          <w:szCs w:val="24"/>
          <w:highlight w:val="none"/>
          <w:u w:val="single"/>
        </w:rPr>
        <w:t>质量标准规范版本的，是否采用新版本规定，由监理工程师与有关各方洽商决定</w:t>
      </w:r>
      <w:r>
        <w:rPr>
          <w:rFonts w:hint="eastAsia" w:ascii="宋体" w:hAnsi="宋体" w:cs="宋体"/>
          <w:bCs/>
          <w:color w:val="auto"/>
          <w:sz w:val="24"/>
          <w:szCs w:val="24"/>
          <w:highlight w:val="none"/>
        </w:rPr>
        <w:t>。</w:t>
      </w:r>
    </w:p>
    <w:p w14:paraId="679C76F0">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16、检查和返工</w:t>
      </w:r>
    </w:p>
    <w:p w14:paraId="388BFD32">
      <w:pPr>
        <w:snapToGrid w:val="0"/>
        <w:spacing w:line="440" w:lineRule="exact"/>
        <w:ind w:firstLine="397"/>
        <w:rPr>
          <w:rFonts w:ascii="宋体" w:hAnsi="宋体" w:cs="宋体"/>
          <w:bCs/>
          <w:color w:val="auto"/>
          <w:sz w:val="24"/>
          <w:szCs w:val="24"/>
          <w:highlight w:val="none"/>
        </w:rPr>
      </w:pPr>
      <w:r>
        <w:rPr>
          <w:rFonts w:ascii="宋体" w:hAnsi="宋体" w:cs="宋体"/>
          <w:bCs/>
          <w:color w:val="auto"/>
          <w:sz w:val="24"/>
          <w:szCs w:val="24"/>
          <w:highlight w:val="none"/>
        </w:rPr>
        <w:t>16.3工程师的检查检验：</w:t>
      </w:r>
      <w:r>
        <w:rPr>
          <w:rFonts w:hint="eastAsia" w:ascii="宋体" w:hAnsi="宋体" w:cs="宋体"/>
          <w:bCs/>
          <w:color w:val="auto"/>
          <w:sz w:val="24"/>
          <w:szCs w:val="24"/>
          <w:highlight w:val="none"/>
          <w:u w:val="single"/>
        </w:rPr>
        <w:t>工程师按规范、标准、设计图纸要求和频率所进行的检查检测不应成为承包人工期顺延的理由</w:t>
      </w:r>
      <w:r>
        <w:rPr>
          <w:rFonts w:hint="eastAsia" w:ascii="宋体" w:hAnsi="宋体" w:cs="宋体"/>
          <w:bCs/>
          <w:color w:val="auto"/>
          <w:sz w:val="24"/>
          <w:szCs w:val="24"/>
          <w:highlight w:val="none"/>
        </w:rPr>
        <w:t>。</w:t>
      </w:r>
    </w:p>
    <w:p w14:paraId="17297F4E">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17</w:t>
      </w:r>
      <w:r>
        <w:rPr>
          <w:rFonts w:hint="eastAsia" w:ascii="宋体" w:hAnsi="宋体" w:cs="宋体"/>
          <w:b/>
          <w:color w:val="auto"/>
          <w:sz w:val="24"/>
          <w:highlight w:val="none"/>
        </w:rPr>
        <w:t>、隐蔽工程和中间验收</w:t>
      </w:r>
    </w:p>
    <w:p w14:paraId="126C5F79">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17.1</w:t>
      </w:r>
      <w:r>
        <w:rPr>
          <w:rFonts w:hint="eastAsia" w:ascii="宋体" w:hAnsi="宋体" w:cs="宋体"/>
          <w:color w:val="auto"/>
          <w:sz w:val="24"/>
          <w:szCs w:val="24"/>
          <w:highlight w:val="none"/>
        </w:rPr>
        <w:t>双方约定中间验收部位：</w:t>
      </w:r>
      <w:r>
        <w:rPr>
          <w:rFonts w:hint="eastAsia" w:ascii="宋体" w:hAnsi="宋体" w:cs="宋体"/>
          <w:color w:val="auto"/>
          <w:sz w:val="24"/>
          <w:szCs w:val="24"/>
          <w:highlight w:val="none"/>
          <w:u w:val="single"/>
        </w:rPr>
        <w:t>按相应工程施工及验收规范要求执行</w:t>
      </w:r>
      <w:r>
        <w:rPr>
          <w:rFonts w:hint="eastAsia" w:ascii="宋体" w:hAnsi="宋体" w:cs="宋体"/>
          <w:color w:val="auto"/>
          <w:sz w:val="24"/>
          <w:szCs w:val="24"/>
          <w:highlight w:val="none"/>
        </w:rPr>
        <w:t>。</w:t>
      </w:r>
    </w:p>
    <w:p w14:paraId="23B96F11">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19</w:t>
      </w:r>
      <w:r>
        <w:rPr>
          <w:rFonts w:hint="eastAsia" w:ascii="宋体" w:hAnsi="宋体" w:cs="宋体"/>
          <w:b/>
          <w:color w:val="auto"/>
          <w:sz w:val="24"/>
          <w:highlight w:val="none"/>
        </w:rPr>
        <w:t>、工程试车</w:t>
      </w:r>
    </w:p>
    <w:p w14:paraId="32D08283">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19.5</w:t>
      </w:r>
      <w:r>
        <w:rPr>
          <w:rFonts w:hint="eastAsia" w:ascii="宋体" w:hAnsi="宋体" w:cs="宋体"/>
          <w:color w:val="auto"/>
          <w:sz w:val="24"/>
          <w:szCs w:val="24"/>
          <w:highlight w:val="none"/>
        </w:rPr>
        <w:t>试车费用的承担：</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5CC9B5AF">
      <w:pPr>
        <w:snapToGrid w:val="0"/>
        <w:spacing w:line="440" w:lineRule="exact"/>
        <w:ind w:firstLine="397"/>
        <w:rPr>
          <w:rFonts w:ascii="宋体" w:hAnsi="宋体" w:cs="宋体"/>
          <w:color w:val="auto"/>
          <w:sz w:val="24"/>
          <w:highlight w:val="none"/>
        </w:rPr>
      </w:pPr>
      <w:r>
        <w:rPr>
          <w:rFonts w:hint="eastAsia" w:ascii="宋体" w:hAnsi="宋体" w:cs="宋体"/>
          <w:b/>
          <w:color w:val="auto"/>
          <w:sz w:val="24"/>
          <w:highlight w:val="none"/>
        </w:rPr>
        <w:t>五、安全施工</w:t>
      </w:r>
    </w:p>
    <w:p w14:paraId="2C64AE87">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20、安全施工与检查</w:t>
      </w:r>
    </w:p>
    <w:p w14:paraId="4B6A385E">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20.3</w:t>
      </w:r>
      <w:r>
        <w:rPr>
          <w:rFonts w:hint="eastAsia" w:ascii="宋体" w:hAnsi="宋体" w:cs="宋体"/>
          <w:color w:val="auto"/>
          <w:sz w:val="24"/>
          <w:szCs w:val="24"/>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hAnsi="宋体" w:cs="宋体"/>
          <w:color w:val="auto"/>
          <w:sz w:val="24"/>
          <w:szCs w:val="24"/>
          <w:highlight w:val="none"/>
        </w:rPr>
        <w:t>。</w:t>
      </w:r>
    </w:p>
    <w:p w14:paraId="68242D26">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20.4</w:t>
      </w:r>
      <w:r>
        <w:rPr>
          <w:rFonts w:hint="eastAsia" w:ascii="宋体" w:hAnsi="宋体" w:cs="宋体"/>
          <w:color w:val="auto"/>
          <w:sz w:val="24"/>
          <w:szCs w:val="24"/>
          <w:highlight w:val="none"/>
          <w:u w:val="single"/>
        </w:rPr>
        <w:t>承包人按规定数量配置安全员</w:t>
      </w:r>
      <w:r>
        <w:rPr>
          <w:rFonts w:hint="eastAsia" w:ascii="宋体" w:hAnsi="宋体" w:cs="宋体"/>
          <w:color w:val="auto"/>
          <w:sz w:val="24"/>
          <w:szCs w:val="24"/>
          <w:highlight w:val="none"/>
        </w:rPr>
        <w:t>。</w:t>
      </w:r>
    </w:p>
    <w:p w14:paraId="13AA7F80">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20.5</w:t>
      </w:r>
      <w:r>
        <w:rPr>
          <w:rFonts w:hint="eastAsia" w:ascii="宋体" w:hAnsi="宋体" w:cs="宋体"/>
          <w:color w:val="auto"/>
          <w:sz w:val="24"/>
          <w:szCs w:val="24"/>
          <w:highlight w:val="none"/>
          <w:u w:val="single"/>
        </w:rPr>
        <w:t>承包人在开工前须向质量安全监督机构提交备案的书面资料</w:t>
      </w:r>
      <w:r>
        <w:rPr>
          <w:rFonts w:hint="eastAsia" w:ascii="宋体" w:hAnsi="宋体" w:cs="宋体"/>
          <w:color w:val="auto"/>
          <w:sz w:val="24"/>
          <w:szCs w:val="24"/>
          <w:highlight w:val="none"/>
        </w:rPr>
        <w:t>。</w:t>
      </w:r>
    </w:p>
    <w:p w14:paraId="4A3028E7">
      <w:pPr>
        <w:snapToGrid w:val="0"/>
        <w:spacing w:line="440" w:lineRule="exact"/>
        <w:ind w:firstLine="397"/>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4"/>
          <w:highlight w:val="none"/>
          <w:u w:val="none"/>
          <w:lang w:val="en-US" w:eastAsia="zh-CN"/>
        </w:rPr>
        <w:t>20.6</w:t>
      </w:r>
      <w:r>
        <w:rPr>
          <w:rFonts w:hint="eastAsia" w:ascii="宋体" w:hAnsi="宋体" w:eastAsia="宋体" w:cs="宋体"/>
          <w:color w:val="auto"/>
          <w:sz w:val="24"/>
          <w:highlight w:val="none"/>
          <w:u w:val="single"/>
          <w:lang w:val="en-US" w:eastAsia="zh-CN"/>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建办质〔2018〕31号）执行。</w:t>
      </w:r>
    </w:p>
    <w:p w14:paraId="5DD05380">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20.7</w:t>
      </w:r>
      <w:r>
        <w:rPr>
          <w:rFonts w:hint="eastAsia" w:ascii="宋体" w:hAnsi="宋体" w:cs="宋体"/>
          <w:color w:val="auto"/>
          <w:sz w:val="24"/>
          <w:szCs w:val="24"/>
          <w:highlight w:val="none"/>
          <w:u w:val="single"/>
        </w:rPr>
        <w:t>承包人按有关安全和防护的规定组织施工生产，不得使用不合标准的防护器材、机具和材料</w:t>
      </w:r>
      <w:r>
        <w:rPr>
          <w:rFonts w:hint="eastAsia" w:ascii="宋体" w:hAnsi="宋体" w:cs="宋体"/>
          <w:color w:val="auto"/>
          <w:sz w:val="24"/>
          <w:szCs w:val="24"/>
          <w:highlight w:val="none"/>
        </w:rPr>
        <w:t>。</w:t>
      </w:r>
    </w:p>
    <w:p w14:paraId="784EEF90">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20.8</w:t>
      </w:r>
      <w:r>
        <w:rPr>
          <w:rFonts w:hint="eastAsia" w:ascii="宋体" w:hAnsi="宋体" w:cs="宋体"/>
          <w:color w:val="auto"/>
          <w:sz w:val="24"/>
          <w:szCs w:val="24"/>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cs="宋体"/>
          <w:color w:val="auto"/>
          <w:sz w:val="24"/>
          <w:szCs w:val="24"/>
          <w:highlight w:val="none"/>
        </w:rPr>
        <w:t>。</w:t>
      </w:r>
    </w:p>
    <w:p w14:paraId="58BCED37">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21、安全防护</w:t>
      </w:r>
    </w:p>
    <w:p w14:paraId="06CD96D8">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21.3</w:t>
      </w:r>
      <w:r>
        <w:rPr>
          <w:rFonts w:hint="eastAsia" w:ascii="宋体" w:hAnsi="宋体" w:cs="宋体"/>
          <w:color w:val="auto"/>
          <w:sz w:val="24"/>
          <w:szCs w:val="24"/>
          <w:highlight w:val="none"/>
          <w:u w:val="single"/>
        </w:rPr>
        <w:t>承包人应在施工现场采取维护安全、防范危险、预防火灾等措施，在特殊作业环境应对作业人员采取劳动保护措施</w:t>
      </w:r>
      <w:r>
        <w:rPr>
          <w:rFonts w:hint="eastAsia" w:ascii="宋体" w:hAnsi="宋体" w:cs="宋体"/>
          <w:color w:val="auto"/>
          <w:sz w:val="24"/>
          <w:szCs w:val="24"/>
          <w:highlight w:val="none"/>
        </w:rPr>
        <w:t>。</w:t>
      </w:r>
    </w:p>
    <w:p w14:paraId="091A5F4C">
      <w:pPr>
        <w:snapToGrid w:val="0"/>
        <w:spacing w:line="440" w:lineRule="exact"/>
        <w:jc w:val="left"/>
        <w:rPr>
          <w:rFonts w:ascii="宋体" w:hAnsi="宋体" w:cs="宋体"/>
          <w:color w:val="auto"/>
          <w:sz w:val="24"/>
          <w:highlight w:val="none"/>
        </w:rPr>
      </w:pPr>
      <w:r>
        <w:rPr>
          <w:rFonts w:ascii="宋体" w:hAnsi="宋体" w:cs="宋体"/>
          <w:color w:val="auto"/>
          <w:sz w:val="24"/>
          <w:szCs w:val="24"/>
          <w:highlight w:val="none"/>
        </w:rPr>
        <w:t xml:space="preserve">    </w:t>
      </w:r>
      <w:r>
        <w:rPr>
          <w:rFonts w:ascii="宋体" w:hAnsi="宋体" w:cs="宋体"/>
          <w:color w:val="auto"/>
          <w:sz w:val="24"/>
          <w:szCs w:val="24"/>
          <w:highlight w:val="none"/>
          <w:u w:val="none"/>
        </w:rPr>
        <w:t>21.4</w:t>
      </w:r>
      <w:r>
        <w:rPr>
          <w:rFonts w:hint="eastAsia" w:ascii="宋体" w:hAnsi="宋体" w:cs="宋体"/>
          <w:color w:val="auto"/>
          <w:sz w:val="24"/>
          <w:highlight w:val="none"/>
          <w:u w:val="none"/>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Pr>
          <w:rFonts w:hint="eastAsia" w:ascii="宋体" w:hAnsi="宋体" w:cs="宋体"/>
          <w:bCs/>
          <w:smallCaps/>
          <w:color w:val="auto"/>
          <w:sz w:val="24"/>
          <w:highlight w:val="none"/>
          <w:u w:val="none"/>
        </w:rPr>
        <w:t>穗建质</w:t>
      </w:r>
      <w:r>
        <w:rPr>
          <w:rFonts w:hint="eastAsia" w:ascii="宋体" w:hAnsi="宋体" w:cs="宋体"/>
          <w:color w:val="auto"/>
          <w:sz w:val="24"/>
          <w:highlight w:val="none"/>
          <w:u w:val="none"/>
        </w:rPr>
        <w:t>〔2008〕</w:t>
      </w:r>
      <w:r>
        <w:rPr>
          <w:rFonts w:hint="eastAsia" w:ascii="宋体" w:hAnsi="宋体" w:cs="宋体"/>
          <w:bCs/>
          <w:smallCaps/>
          <w:color w:val="auto"/>
          <w:sz w:val="24"/>
          <w:highlight w:val="none"/>
          <w:u w:val="none"/>
        </w:rPr>
        <w:t>937号）</w:t>
      </w:r>
      <w:r>
        <w:rPr>
          <w:rFonts w:hint="eastAsia" w:ascii="宋体" w:hAnsi="宋体" w:cs="宋体"/>
          <w:color w:val="auto"/>
          <w:sz w:val="24"/>
          <w:highlight w:val="none"/>
          <w:u w:val="non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w:t>
      </w:r>
      <w:r>
        <w:rPr>
          <w:rFonts w:hint="eastAsia" w:ascii="宋体" w:hAnsi="宋体"/>
          <w:bCs/>
          <w:snapToGrid w:val="0"/>
          <w:color w:val="auto"/>
          <w:kern w:val="0"/>
          <w:sz w:val="24"/>
          <w:highlight w:val="none"/>
          <w:u w:val="none"/>
        </w:rPr>
        <w:t>《危险性较大的分部分项工程安全管理规定》(中华人民共和国住房和城乡建设部令第</w:t>
      </w:r>
      <w:r>
        <w:rPr>
          <w:rFonts w:hint="eastAsia" w:ascii="宋体" w:hAnsi="宋体"/>
          <w:b/>
          <w:bCs w:val="0"/>
          <w:snapToGrid w:val="0"/>
          <w:color w:val="auto"/>
          <w:kern w:val="0"/>
          <w:sz w:val="24"/>
          <w:highlight w:val="none"/>
          <w:u w:val="none"/>
          <w:lang w:val="en-US" w:eastAsia="zh-CN"/>
        </w:rPr>
        <w:t>4</w:t>
      </w:r>
      <w:r>
        <w:rPr>
          <w:rFonts w:hint="eastAsia" w:ascii="宋体" w:hAnsi="宋体"/>
          <w:b/>
          <w:bCs w:val="0"/>
          <w:snapToGrid w:val="0"/>
          <w:color w:val="auto"/>
          <w:kern w:val="0"/>
          <w:sz w:val="24"/>
          <w:highlight w:val="none"/>
          <w:u w:val="none"/>
        </w:rPr>
        <w:t>7号</w:t>
      </w:r>
      <w:r>
        <w:rPr>
          <w:rFonts w:hint="eastAsia" w:ascii="宋体" w:hAnsi="宋体"/>
          <w:bCs/>
          <w:snapToGrid w:val="0"/>
          <w:color w:val="auto"/>
          <w:kern w:val="0"/>
          <w:sz w:val="24"/>
          <w:highlight w:val="none"/>
          <w:u w:val="none"/>
        </w:rPr>
        <w:t>)</w:t>
      </w:r>
      <w:r>
        <w:rPr>
          <w:rFonts w:hint="eastAsia" w:ascii="宋体" w:hAnsi="宋体"/>
          <w:bCs/>
          <w:snapToGrid w:val="0"/>
          <w:color w:val="auto"/>
          <w:kern w:val="0"/>
          <w:sz w:val="24"/>
          <w:highlight w:val="none"/>
          <w:u w:val="none"/>
          <w:lang w:eastAsia="zh-CN"/>
        </w:rPr>
        <w:t>、</w:t>
      </w:r>
      <w:r>
        <w:rPr>
          <w:rFonts w:hint="eastAsia" w:ascii="宋体" w:hAnsi="宋体" w:cs="宋体"/>
          <w:color w:val="auto"/>
          <w:sz w:val="24"/>
          <w:highlight w:val="none"/>
          <w:u w:val="none"/>
        </w:rPr>
        <w:t>《关于进一步落实我区市政建设项目施工围蔽提升工作的通知》（穗埔建[2019]123号）及</w:t>
      </w:r>
      <w:r>
        <w:rPr>
          <w:rFonts w:hint="eastAsia" w:ascii="宋体" w:hAnsi="宋体" w:cs="宋体"/>
          <w:color w:val="auto"/>
          <w:sz w:val="24"/>
          <w:szCs w:val="24"/>
          <w:highlight w:val="none"/>
          <w:u w:val="none"/>
        </w:rPr>
        <w:t>《黄埔区住房和城乡建设局</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广州开发区建设和交通局关于进一步规范全区建设工程施工围蔽标准的通知》（穗埔建﹝</w:t>
      </w:r>
      <w:r>
        <w:rPr>
          <w:rFonts w:ascii="宋体" w:hAnsi="宋体" w:cs="宋体"/>
          <w:color w:val="auto"/>
          <w:sz w:val="24"/>
          <w:szCs w:val="24"/>
          <w:highlight w:val="none"/>
          <w:u w:val="none"/>
        </w:rPr>
        <w:t>2020﹞183号）实施。</w:t>
      </w:r>
      <w:r>
        <w:rPr>
          <w:rFonts w:ascii="宋体" w:hAnsi="宋体" w:cs="宋体"/>
          <w:color w:val="auto"/>
          <w:sz w:val="24"/>
          <w:highlight w:val="none"/>
          <w:u w:val="none"/>
        </w:rPr>
        <w:t>以上文件要求不一致的，以后发布文件为准，若相关部门发布有关施工围蔽新文件规定的，按新规定执行。</w:t>
      </w:r>
      <w:r>
        <w:rPr>
          <w:rFonts w:hint="eastAsia" w:ascii="宋体" w:hAnsi="宋体" w:cs="宋体"/>
          <w:color w:val="auto"/>
          <w:sz w:val="24"/>
          <w:highlight w:val="none"/>
          <w:u w:val="non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17F99E7C">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21.5</w:t>
      </w:r>
      <w:r>
        <w:rPr>
          <w:rFonts w:hint="eastAsia" w:ascii="宋体" w:hAnsi="宋体" w:cs="宋体"/>
          <w:color w:val="auto"/>
          <w:sz w:val="24"/>
          <w:szCs w:val="24"/>
          <w:highlight w:val="none"/>
          <w:u w:val="single"/>
        </w:rPr>
        <w:t>承包人应按规定对工程施工人员进行安全教育和管理</w:t>
      </w:r>
      <w:r>
        <w:rPr>
          <w:rFonts w:hint="eastAsia" w:ascii="宋体" w:hAnsi="宋体" w:cs="宋体"/>
          <w:color w:val="auto"/>
          <w:sz w:val="24"/>
          <w:szCs w:val="24"/>
          <w:highlight w:val="none"/>
        </w:rPr>
        <w:t>。</w:t>
      </w:r>
    </w:p>
    <w:p w14:paraId="07574182">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21.6</w:t>
      </w:r>
      <w:r>
        <w:rPr>
          <w:rFonts w:hint="eastAsia" w:ascii="宋体" w:hAnsi="宋体" w:cs="宋体"/>
          <w:color w:val="auto"/>
          <w:sz w:val="24"/>
          <w:szCs w:val="24"/>
          <w:highlight w:val="none"/>
          <w:u w:val="single"/>
        </w:rPr>
        <w:t>承包人应书面记录专项安全施工组织设计方案审查、安全检查、安全技术交底、安全隐患整改、安全教育等重要安全管理活动</w:t>
      </w:r>
      <w:r>
        <w:rPr>
          <w:rFonts w:hint="eastAsia" w:ascii="宋体" w:hAnsi="宋体" w:cs="宋体"/>
          <w:color w:val="auto"/>
          <w:sz w:val="24"/>
          <w:szCs w:val="24"/>
          <w:highlight w:val="none"/>
        </w:rPr>
        <w:t>。</w:t>
      </w:r>
    </w:p>
    <w:p w14:paraId="0B19ABC6">
      <w:pPr>
        <w:spacing w:line="440" w:lineRule="exact"/>
        <w:ind w:firstLine="360" w:firstLineChars="150"/>
        <w:rPr>
          <w:rFonts w:ascii="宋体" w:hAnsi="宋体" w:cs="宋体"/>
          <w:color w:val="auto"/>
          <w:sz w:val="24"/>
          <w:szCs w:val="24"/>
          <w:highlight w:val="none"/>
          <w:u w:val="single"/>
        </w:rPr>
      </w:pPr>
      <w:r>
        <w:rPr>
          <w:rFonts w:ascii="宋体" w:hAnsi="宋体" w:cs="宋体"/>
          <w:color w:val="auto"/>
          <w:sz w:val="24"/>
          <w:szCs w:val="24"/>
          <w:highlight w:val="none"/>
          <w:u w:val="single"/>
        </w:rPr>
        <w:t>21.7承包人用于本项目的非标起重机械设备须严格执行</w:t>
      </w:r>
      <w:r>
        <w:rPr>
          <w:rFonts w:hint="eastAsia" w:ascii="宋体" w:hAnsi="宋体" w:cs="宋体"/>
          <w:color w:val="auto"/>
          <w:sz w:val="24"/>
          <w:szCs w:val="24"/>
          <w:highlight w:val="none"/>
          <w:u w:val="single"/>
        </w:rPr>
        <w:t>《关于印发</w:t>
      </w:r>
      <w:r>
        <w:rPr>
          <w:rFonts w:ascii="宋体" w:hAnsi="宋体" w:cs="宋体"/>
          <w:color w:val="auto"/>
          <w:sz w:val="24"/>
          <w:szCs w:val="24"/>
          <w:highlight w:val="none"/>
          <w:u w:val="single"/>
        </w:rPr>
        <w:t>&lt;</w:t>
      </w:r>
      <w:r>
        <w:rPr>
          <w:rFonts w:hint="eastAsia" w:ascii="宋体" w:hAnsi="宋体" w:cs="宋体"/>
          <w:color w:val="auto"/>
          <w:sz w:val="24"/>
          <w:szCs w:val="24"/>
          <w:highlight w:val="none"/>
          <w:u w:val="single"/>
        </w:rPr>
        <w:t>广州市非标建筑起重机械管理办法</w:t>
      </w:r>
      <w:r>
        <w:rPr>
          <w:rFonts w:ascii="宋体" w:hAnsi="宋体" w:cs="宋体"/>
          <w:color w:val="auto"/>
          <w:sz w:val="24"/>
          <w:szCs w:val="24"/>
          <w:highlight w:val="none"/>
          <w:u w:val="single"/>
        </w:rPr>
        <w:t>&gt;</w:t>
      </w:r>
      <w:r>
        <w:rPr>
          <w:rFonts w:hint="eastAsia" w:ascii="宋体" w:hAnsi="宋体" w:cs="宋体"/>
          <w:color w:val="auto"/>
          <w:sz w:val="24"/>
          <w:szCs w:val="24"/>
          <w:highlight w:val="none"/>
          <w:u w:val="single"/>
        </w:rPr>
        <w:t>的通知》</w:t>
      </w:r>
      <w:r>
        <w:rPr>
          <w:rFonts w:ascii="宋体" w:hAnsi="宋体" w:cs="宋体"/>
          <w:color w:val="auto"/>
          <w:sz w:val="24"/>
          <w:szCs w:val="24"/>
          <w:highlight w:val="none"/>
          <w:u w:val="single"/>
        </w:rPr>
        <w:t>(穗建质[2010]999号)</w:t>
      </w:r>
      <w:r>
        <w:rPr>
          <w:rFonts w:hint="eastAsia" w:ascii="宋体" w:hAnsi="宋体" w:cs="宋体"/>
          <w:color w:val="auto"/>
          <w:sz w:val="24"/>
          <w:szCs w:val="24"/>
          <w:highlight w:val="none"/>
          <w:u w:val="single"/>
        </w:rPr>
        <w:t>的相关规定，非标起重机械设备是指没有国家或行业制造标准的各类起重机械设备，如非标架桥设备、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竖井提升设备、非标龙门吊、贝雷架式或扒杆式起重装置等。</w:t>
      </w:r>
    </w:p>
    <w:p w14:paraId="76B5DFA6">
      <w:pPr>
        <w:spacing w:line="440" w:lineRule="exact"/>
        <w:ind w:firstLine="360" w:firstLineChars="150"/>
        <w:rPr>
          <w:rFonts w:ascii="宋体" w:hAnsi="宋体" w:cs="宋体"/>
          <w:color w:val="auto"/>
          <w:sz w:val="24"/>
          <w:szCs w:val="24"/>
          <w:highlight w:val="none"/>
          <w:u w:val="single"/>
        </w:rPr>
      </w:pPr>
      <w:r>
        <w:rPr>
          <w:rFonts w:ascii="宋体" w:hAnsi="宋体" w:cs="宋体"/>
          <w:color w:val="auto"/>
          <w:sz w:val="24"/>
          <w:szCs w:val="24"/>
          <w:highlight w:val="none"/>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穗建筑[2003]84号</w:t>
      </w:r>
      <w:r>
        <w:rPr>
          <w:rFonts w:hint="eastAsia" w:ascii="宋体" w:hAnsi="宋体" w:cs="宋体"/>
          <w:color w:val="auto"/>
          <w:sz w:val="24"/>
          <w:szCs w:val="24"/>
          <w:highlight w:val="none"/>
          <w:u w:val="single"/>
        </w:rPr>
        <w:t>】等相关规定。</w:t>
      </w:r>
    </w:p>
    <w:p w14:paraId="3C6D7308">
      <w:pPr>
        <w:spacing w:line="440" w:lineRule="exact"/>
        <w:ind w:firstLine="360" w:firstLineChars="150"/>
        <w:rPr>
          <w:rFonts w:ascii="宋体" w:hAnsi="宋体" w:cs="宋体"/>
          <w:color w:val="auto"/>
          <w:sz w:val="24"/>
          <w:szCs w:val="24"/>
          <w:highlight w:val="none"/>
          <w:u w:val="single"/>
        </w:rPr>
      </w:pPr>
      <w:r>
        <w:rPr>
          <w:rFonts w:ascii="宋体" w:hAnsi="宋体" w:cs="宋体"/>
          <w:color w:val="auto"/>
          <w:sz w:val="24"/>
          <w:szCs w:val="24"/>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14:paraId="40046254">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w:t>
      </w:r>
      <w:r>
        <w:rPr>
          <w:rFonts w:hint="eastAsia" w:ascii="宋体" w:hAnsi="宋体" w:cs="宋体"/>
          <w:color w:val="auto"/>
          <w:sz w:val="24"/>
          <w:szCs w:val="24"/>
          <w:highlight w:val="none"/>
        </w:rPr>
        <w:t>款（</w:t>
      </w:r>
      <w:r>
        <w:rPr>
          <w:rFonts w:ascii="宋体" w:hAnsi="宋体" w:cs="宋体"/>
          <w:color w:val="auto"/>
          <w:sz w:val="24"/>
          <w:szCs w:val="24"/>
          <w:highlight w:val="none"/>
        </w:rPr>
        <w:t>2）项承担违约责任。</w:t>
      </w:r>
    </w:p>
    <w:p w14:paraId="58A43680">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14:paraId="375417ED">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21.12承包人必须考虑安全、环保等因素在局部施工范围进行施工，现场围蔽不符合国家有关安全措施及技术要求的，不得开展施工作业，由此造成的工期延长，由承包人自己负责，当作延误工期处理。</w:t>
      </w:r>
    </w:p>
    <w:p w14:paraId="16E3EB53">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45EF506F">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14:paraId="639B6F48">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22、事故处理</w:t>
      </w:r>
    </w:p>
    <w:p w14:paraId="09C17528">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22.3</w:t>
      </w:r>
      <w:r>
        <w:rPr>
          <w:rFonts w:hint="eastAsia" w:ascii="宋体" w:hAnsi="宋体" w:cs="宋体"/>
          <w:color w:val="auto"/>
          <w:sz w:val="24"/>
          <w:szCs w:val="24"/>
          <w:highlight w:val="none"/>
        </w:rPr>
        <w:t>如发生安全事故，除按法定程序办理有关事宜外，还必须按以下程序进行处理：</w:t>
      </w:r>
    </w:p>
    <w:p w14:paraId="2AF17F5F">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22.3.1</w:t>
      </w:r>
      <w:r>
        <w:rPr>
          <w:rFonts w:hint="eastAsia" w:ascii="宋体" w:hAnsi="宋体" w:cs="宋体"/>
          <w:color w:val="auto"/>
          <w:sz w:val="24"/>
          <w:szCs w:val="24"/>
          <w:highlight w:val="none"/>
          <w:u w:val="single"/>
        </w:rPr>
        <w:t>报告安全事故：安全事故发生后，承包人应在</w:t>
      </w:r>
      <w:r>
        <w:rPr>
          <w:rFonts w:ascii="宋体" w:hAnsi="宋体" w:cs="宋体"/>
          <w:color w:val="auto"/>
          <w:sz w:val="24"/>
          <w:szCs w:val="24"/>
          <w:highlight w:val="none"/>
          <w:u w:val="single"/>
        </w:rPr>
        <w:t>1小时内用最快的信息传递手段，将发生事故的时间、地点、伤亡人数、事故原因等情况，报工程师和发包人</w:t>
      </w:r>
      <w:r>
        <w:rPr>
          <w:rFonts w:hint="eastAsia" w:ascii="宋体" w:hAnsi="宋体" w:cs="宋体"/>
          <w:color w:val="auto"/>
          <w:sz w:val="24"/>
          <w:szCs w:val="24"/>
          <w:highlight w:val="none"/>
        </w:rPr>
        <w:t>。</w:t>
      </w:r>
    </w:p>
    <w:p w14:paraId="338963A0">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22.3.2</w:t>
      </w:r>
      <w:r>
        <w:rPr>
          <w:rFonts w:hint="eastAsia" w:ascii="宋体" w:hAnsi="宋体" w:cs="宋体"/>
          <w:color w:val="auto"/>
          <w:sz w:val="24"/>
          <w:szCs w:val="24"/>
          <w:highlight w:val="none"/>
          <w:u w:val="single"/>
        </w:rPr>
        <w:t>事故处理：承包人负责抢救伤员、排除险情，防止事故扩大蔓延，保护好现场，并做好标志，启动保险理赔程序</w:t>
      </w:r>
      <w:r>
        <w:rPr>
          <w:rFonts w:hint="eastAsia" w:ascii="宋体" w:hAnsi="宋体" w:cs="宋体"/>
          <w:color w:val="auto"/>
          <w:sz w:val="24"/>
          <w:szCs w:val="24"/>
          <w:highlight w:val="none"/>
        </w:rPr>
        <w:t>。</w:t>
      </w:r>
    </w:p>
    <w:p w14:paraId="29BA5215">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22.3.3</w:t>
      </w:r>
      <w:r>
        <w:rPr>
          <w:rFonts w:hint="eastAsia" w:ascii="宋体" w:hAnsi="宋体" w:cs="宋体"/>
          <w:color w:val="auto"/>
          <w:sz w:val="24"/>
          <w:szCs w:val="24"/>
          <w:highlight w:val="none"/>
          <w:u w:val="single"/>
        </w:rPr>
        <w:t>事故调查：承包人应组织内部技术安全、质量部门的人员组成调查组，开展调查，并配合做好发包人或政府有关部门组织的调查工作</w:t>
      </w:r>
      <w:r>
        <w:rPr>
          <w:rFonts w:hint="eastAsia" w:ascii="宋体" w:hAnsi="宋体" w:cs="宋体"/>
          <w:color w:val="auto"/>
          <w:sz w:val="24"/>
          <w:szCs w:val="24"/>
          <w:highlight w:val="none"/>
        </w:rPr>
        <w:t>。</w:t>
      </w:r>
    </w:p>
    <w:p w14:paraId="41CE6936">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22.3.4</w:t>
      </w:r>
      <w:r>
        <w:rPr>
          <w:rFonts w:hint="eastAsia" w:ascii="宋体" w:hAnsi="宋体" w:cs="宋体"/>
          <w:color w:val="auto"/>
          <w:sz w:val="24"/>
          <w:szCs w:val="24"/>
          <w:highlight w:val="none"/>
          <w:u w:val="single"/>
        </w:rPr>
        <w:t>调查报告：承包人应把事故发生经过、原因、性质、损失、责任、处理意见、纠正和预防措施撰写成调查报告，送工程师会审后报发包人</w:t>
      </w:r>
      <w:r>
        <w:rPr>
          <w:rFonts w:hint="eastAsia" w:ascii="宋体" w:hAnsi="宋体" w:cs="宋体"/>
          <w:color w:val="auto"/>
          <w:sz w:val="24"/>
          <w:szCs w:val="24"/>
          <w:highlight w:val="none"/>
        </w:rPr>
        <w:t>。</w:t>
      </w:r>
    </w:p>
    <w:p w14:paraId="1ADBCF55">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六、合同价款与支付</w:t>
      </w:r>
    </w:p>
    <w:p w14:paraId="65EB08CD">
      <w:pPr>
        <w:snapToGrid w:val="0"/>
        <w:spacing w:line="440" w:lineRule="exact"/>
        <w:ind w:firstLine="397"/>
        <w:rPr>
          <w:rFonts w:ascii="宋体" w:hAnsi="宋体" w:cs="宋体"/>
          <w:color w:val="auto"/>
          <w:sz w:val="24"/>
          <w:highlight w:val="none"/>
          <w:u w:val="single"/>
        </w:rPr>
      </w:pPr>
      <w:r>
        <w:rPr>
          <w:rFonts w:ascii="宋体" w:hAnsi="宋体" w:cs="宋体"/>
          <w:b/>
          <w:color w:val="auto"/>
          <w:sz w:val="24"/>
          <w:highlight w:val="none"/>
        </w:rPr>
        <w:t>23</w:t>
      </w:r>
      <w:r>
        <w:rPr>
          <w:rFonts w:hint="eastAsia" w:ascii="宋体" w:hAnsi="宋体" w:cs="宋体"/>
          <w:b/>
          <w:color w:val="auto"/>
          <w:sz w:val="24"/>
          <w:highlight w:val="none"/>
        </w:rPr>
        <w:t>、合同价款及调整</w:t>
      </w:r>
    </w:p>
    <w:p w14:paraId="3618CA15">
      <w:pPr>
        <w:snapToGrid w:val="0"/>
        <w:spacing w:line="44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t>23.2</w:t>
      </w:r>
      <w:r>
        <w:rPr>
          <w:rFonts w:hint="eastAsia" w:ascii="宋体" w:hAnsi="宋体" w:cs="宋体"/>
          <w:color w:val="auto"/>
          <w:sz w:val="24"/>
          <w:szCs w:val="24"/>
          <w:highlight w:val="none"/>
        </w:rPr>
        <w:t>本合同价款按照</w:t>
      </w:r>
      <w:r>
        <w:rPr>
          <w:rFonts w:hint="eastAsia" w:ascii="宋体" w:hAnsi="宋体" w:cs="宋体"/>
          <w:color w:val="auto"/>
          <w:sz w:val="24"/>
          <w:szCs w:val="24"/>
          <w:highlight w:val="none"/>
          <w:u w:val="single"/>
        </w:rPr>
        <w:t>协议书第五条、专用条款</w:t>
      </w:r>
      <w:r>
        <w:rPr>
          <w:rFonts w:ascii="宋体" w:hAnsi="宋体" w:cs="宋体"/>
          <w:color w:val="auto"/>
          <w:sz w:val="24"/>
          <w:szCs w:val="24"/>
          <w:highlight w:val="none"/>
          <w:u w:val="single"/>
        </w:rPr>
        <w:t>23.3款</w:t>
      </w:r>
      <w:r>
        <w:rPr>
          <w:rFonts w:hint="eastAsia" w:ascii="宋体" w:hAnsi="宋体" w:cs="宋体"/>
          <w:color w:val="auto"/>
          <w:sz w:val="24"/>
          <w:szCs w:val="24"/>
          <w:highlight w:val="none"/>
          <w:u w:val="single"/>
        </w:rPr>
        <w:t>和专用条款</w:t>
      </w:r>
      <w:r>
        <w:rPr>
          <w:rFonts w:ascii="宋体" w:hAnsi="宋体" w:cs="宋体"/>
          <w:color w:val="auto"/>
          <w:sz w:val="24"/>
          <w:szCs w:val="24"/>
          <w:highlight w:val="none"/>
          <w:u w:val="single"/>
        </w:rPr>
        <w:t>23.5款</w:t>
      </w:r>
      <w:r>
        <w:rPr>
          <w:rFonts w:ascii="宋体" w:hAnsi="宋体" w:cs="宋体"/>
          <w:color w:val="auto"/>
          <w:sz w:val="24"/>
          <w:szCs w:val="24"/>
          <w:highlight w:val="none"/>
        </w:rPr>
        <w:t>约定</w:t>
      </w:r>
      <w:r>
        <w:rPr>
          <w:rFonts w:hint="eastAsia" w:ascii="宋体" w:hAnsi="宋体" w:cs="宋体"/>
          <w:color w:val="auto"/>
          <w:sz w:val="24"/>
          <w:szCs w:val="24"/>
          <w:highlight w:val="none"/>
        </w:rPr>
        <w:t>执行，最终按结算终审部门审定价结算。</w:t>
      </w:r>
    </w:p>
    <w:p w14:paraId="23D36F23">
      <w:pPr>
        <w:snapToGrid w:val="0"/>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本合同价款采用分部分项工程量清单固定综合单价方式确定，具体办法如下：</w:t>
      </w:r>
    </w:p>
    <w:p w14:paraId="546CB3AF">
      <w:pPr>
        <w:snapToGrid w:val="0"/>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分部分项工程量清单费：</w:t>
      </w:r>
      <w:r>
        <w:rPr>
          <w:rFonts w:hint="eastAsia" w:ascii="宋体" w:hAnsi="宋体" w:cs="宋体"/>
          <w:color w:val="auto"/>
          <w:sz w:val="24"/>
          <w:szCs w:val="24"/>
          <w:highlight w:val="none"/>
          <w:u w:val="single"/>
        </w:rPr>
        <w:t>除专用条款</w:t>
      </w:r>
      <w:r>
        <w:rPr>
          <w:rFonts w:ascii="宋体" w:hAnsi="宋体" w:cs="宋体"/>
          <w:color w:val="auto"/>
          <w:sz w:val="24"/>
          <w:szCs w:val="24"/>
          <w:highlight w:val="none"/>
          <w:u w:val="single"/>
        </w:rPr>
        <w:t>23.5.1及</w:t>
      </w:r>
      <w:r>
        <w:rPr>
          <w:rFonts w:hint="eastAsia" w:ascii="宋体" w:hAnsi="宋体" w:cs="宋体"/>
          <w:color w:val="auto"/>
          <w:sz w:val="24"/>
          <w:szCs w:val="24"/>
          <w:highlight w:val="none"/>
          <w:u w:val="single"/>
        </w:rPr>
        <w:t>专用条款</w:t>
      </w:r>
      <w:r>
        <w:rPr>
          <w:rFonts w:ascii="宋体" w:hAnsi="宋体" w:cs="宋体"/>
          <w:color w:val="auto"/>
          <w:sz w:val="24"/>
          <w:szCs w:val="24"/>
          <w:highlight w:val="none"/>
          <w:u w:val="single"/>
        </w:rPr>
        <w:t>23.5.2规定情况外，分部分项工程量清单综合单价固定不变，工程量按实计量</w:t>
      </w:r>
      <w:r>
        <w:rPr>
          <w:rFonts w:hint="eastAsia" w:ascii="宋体" w:hAnsi="宋体" w:cs="宋体"/>
          <w:color w:val="auto"/>
          <w:sz w:val="24"/>
          <w:szCs w:val="24"/>
          <w:highlight w:val="none"/>
        </w:rPr>
        <w:t>。</w:t>
      </w:r>
    </w:p>
    <w:p w14:paraId="297C1EBD">
      <w:pPr>
        <w:snapToGrid w:val="0"/>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措施项目费：</w:t>
      </w:r>
      <w:r>
        <w:rPr>
          <w:rFonts w:hint="eastAsia" w:ascii="宋体" w:hAnsi="宋体" w:cs="宋体"/>
          <w:color w:val="auto"/>
          <w:sz w:val="24"/>
          <w:szCs w:val="24"/>
          <w:highlight w:val="none"/>
          <w:u w:val="single"/>
        </w:rPr>
        <w:t>措施项目费（除施工围蔽费用外）固定不变，包干使用，结算时不予调整，施工围蔽清单综合单价固定不变，工程量按实计量</w:t>
      </w:r>
      <w:r>
        <w:rPr>
          <w:rFonts w:hint="eastAsia" w:ascii="宋体" w:hAnsi="宋体" w:cs="宋体"/>
          <w:color w:val="auto"/>
          <w:sz w:val="24"/>
          <w:szCs w:val="24"/>
          <w:highlight w:val="none"/>
        </w:rPr>
        <w:t>。</w:t>
      </w:r>
    </w:p>
    <w:p w14:paraId="42AE6B7B">
      <w:pPr>
        <w:snapToGrid w:val="0"/>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其他项目部分：</w:t>
      </w:r>
    </w:p>
    <w:p w14:paraId="747FA1C3">
      <w:pPr>
        <w:snapToGrid w:val="0"/>
        <w:spacing w:line="440" w:lineRule="exact"/>
        <w:ind w:firstLine="360" w:firstLineChars="150"/>
        <w:rPr>
          <w:rFonts w:ascii="宋体" w:hAnsi="宋体" w:cs="宋体"/>
          <w:color w:val="auto"/>
          <w:sz w:val="24"/>
          <w:szCs w:val="24"/>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ascii="宋体" w:hAnsi="宋体" w:cs="宋体"/>
          <w:color w:val="auto"/>
          <w:sz w:val="24"/>
          <w:szCs w:val="24"/>
          <w:highlight w:val="none"/>
        </w:rPr>
        <w:instrText xml:space="preserve">,1)</w:instrText>
      </w:r>
      <w:r>
        <w:rPr>
          <w:rFonts w:ascii="宋体" w:hAnsi="宋体" w:cs="宋体"/>
          <w:color w:val="auto"/>
          <w:sz w:val="24"/>
          <w:szCs w:val="24"/>
          <w:highlight w:val="none"/>
        </w:rPr>
        <w:fldChar w:fldCharType="end"/>
      </w:r>
      <w:r>
        <w:rPr>
          <w:rFonts w:hint="eastAsia" w:ascii="宋体" w:hAnsi="宋体" w:cs="宋体"/>
          <w:color w:val="auto"/>
          <w:sz w:val="24"/>
          <w:szCs w:val="24"/>
          <w:highlight w:val="none"/>
          <w:u w:val="single"/>
        </w:rPr>
        <w:t>招标人部分为暂定价，按实际签订的专业承包合同或预留金使用情况进行调整和结算</w:t>
      </w:r>
      <w:r>
        <w:rPr>
          <w:rFonts w:hint="eastAsia" w:ascii="宋体" w:hAnsi="宋体" w:cs="宋体"/>
          <w:color w:val="auto"/>
          <w:sz w:val="24"/>
          <w:szCs w:val="24"/>
          <w:highlight w:val="none"/>
        </w:rPr>
        <w:t>；</w:t>
      </w:r>
    </w:p>
    <w:p w14:paraId="46B041DC">
      <w:pPr>
        <w:snapToGrid w:val="0"/>
        <w:spacing w:line="440" w:lineRule="exact"/>
        <w:ind w:firstLine="360" w:firstLineChars="150"/>
        <w:rPr>
          <w:rFonts w:ascii="宋体" w:hAnsi="宋体" w:cs="宋体"/>
          <w:color w:val="auto"/>
          <w:sz w:val="24"/>
          <w:szCs w:val="24"/>
          <w:highlight w:val="none"/>
          <w:u w:val="singl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eq \o\ac(</w:instrText>
      </w:r>
      <w:r>
        <w:rPr>
          <w:rFonts w:hint="eastAsia" w:ascii="宋体" w:hAnsi="宋体" w:cs="宋体"/>
          <w:color w:val="auto"/>
          <w:position w:val="-4"/>
          <w:sz w:val="36"/>
          <w:szCs w:val="24"/>
          <w:highlight w:val="none"/>
        </w:rPr>
        <w:instrText xml:space="preserve">○</w:instrText>
      </w:r>
      <w:r>
        <w:rPr>
          <w:rFonts w:ascii="宋体" w:hAnsi="宋体" w:cs="宋体"/>
          <w:color w:val="auto"/>
          <w:sz w:val="24"/>
          <w:szCs w:val="24"/>
          <w:highlight w:val="none"/>
        </w:rPr>
        <w:instrText xml:space="preserve">,2)</w:instrText>
      </w:r>
      <w:r>
        <w:rPr>
          <w:rFonts w:ascii="宋体" w:hAnsi="宋体" w:cs="宋体"/>
          <w:color w:val="auto"/>
          <w:sz w:val="24"/>
          <w:szCs w:val="24"/>
          <w:highlight w:val="none"/>
        </w:rPr>
        <w:fldChar w:fldCharType="end"/>
      </w:r>
      <w:r>
        <w:rPr>
          <w:rFonts w:hint="eastAsia" w:ascii="宋体" w:hAnsi="宋体" w:cs="宋体"/>
          <w:color w:val="auto"/>
          <w:sz w:val="24"/>
          <w:szCs w:val="24"/>
          <w:highlight w:val="none"/>
          <w:u w:val="single"/>
        </w:rPr>
        <w:t>投标人部分为固定价格，结算时不作调整。（若实际没有发生，在结算时扣除未发生项目的费用）</w:t>
      </w:r>
    </w:p>
    <w:p w14:paraId="300083BD">
      <w:pPr>
        <w:snapToGrid w:val="0"/>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highlight w:val="none"/>
        </w:rPr>
        <w:t>③</w:t>
      </w:r>
      <w:r>
        <w:rPr>
          <w:rFonts w:hint="eastAsia" w:ascii="宋体" w:hAnsi="宋体" w:cs="宋体"/>
          <w:color w:val="auto"/>
          <w:sz w:val="24"/>
          <w:szCs w:val="24"/>
          <w:highlight w:val="none"/>
          <w:u w:val="single"/>
        </w:rPr>
        <w:t>投标人预算包干费部分按投标人报价中的费率取费，费率结算时不作调整。</w:t>
      </w:r>
    </w:p>
    <w:p w14:paraId="7DE98142">
      <w:pPr>
        <w:snapToGrid w:val="0"/>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u w:val="single"/>
        </w:rPr>
        <w:t>税金：税金按实计取，费率固定不变</w:t>
      </w:r>
      <w:r>
        <w:rPr>
          <w:rFonts w:hint="eastAsia" w:ascii="宋体" w:hAnsi="宋体" w:cs="宋体"/>
          <w:color w:val="auto"/>
          <w:sz w:val="24"/>
          <w:szCs w:val="24"/>
          <w:highlight w:val="none"/>
        </w:rPr>
        <w:t>。</w:t>
      </w:r>
    </w:p>
    <w:p w14:paraId="45173C34">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23.3</w:t>
      </w:r>
      <w:r>
        <w:rPr>
          <w:rFonts w:hint="eastAsia" w:ascii="宋体" w:hAnsi="宋体" w:cs="宋体"/>
          <w:color w:val="auto"/>
          <w:sz w:val="24"/>
          <w:szCs w:val="24"/>
          <w:highlight w:val="none"/>
        </w:rPr>
        <w:t>双方约定合同价款的调整因素：</w:t>
      </w:r>
    </w:p>
    <w:p w14:paraId="71ABE3D5">
      <w:pPr>
        <w:numPr>
          <w:ilvl w:val="0"/>
          <w:numId w:val="6"/>
        </w:num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发包人及监理单位共同确认工程量偏差</w:t>
      </w:r>
      <w:r>
        <w:rPr>
          <w:rFonts w:hint="eastAsia" w:ascii="宋体" w:hAnsi="宋体" w:cs="宋体"/>
          <w:color w:val="auto"/>
          <w:sz w:val="24"/>
          <w:szCs w:val="24"/>
          <w:highlight w:val="none"/>
        </w:rPr>
        <w:t>；</w:t>
      </w:r>
    </w:p>
    <w:p w14:paraId="203F45A2">
      <w:pPr>
        <w:numPr>
          <w:ilvl w:val="0"/>
          <w:numId w:val="6"/>
        </w:num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发包人及监理单位共同确认工程变更、签证和新增工程</w:t>
      </w:r>
      <w:r>
        <w:rPr>
          <w:rFonts w:hint="eastAsia" w:ascii="宋体" w:hAnsi="宋体" w:cs="宋体"/>
          <w:color w:val="auto"/>
          <w:sz w:val="24"/>
          <w:szCs w:val="24"/>
          <w:highlight w:val="none"/>
        </w:rPr>
        <w:t>；</w:t>
      </w:r>
    </w:p>
    <w:p w14:paraId="5A688522">
      <w:pPr>
        <w:numPr>
          <w:ilvl w:val="0"/>
          <w:numId w:val="6"/>
        </w:num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物价变化</w:t>
      </w:r>
      <w:r>
        <w:rPr>
          <w:rFonts w:hint="eastAsia" w:ascii="宋体" w:hAnsi="宋体" w:cs="宋体"/>
          <w:color w:val="auto"/>
          <w:sz w:val="24"/>
          <w:szCs w:val="24"/>
          <w:highlight w:val="none"/>
        </w:rPr>
        <w:t>；</w:t>
      </w:r>
    </w:p>
    <w:p w14:paraId="2458274C">
      <w:pPr>
        <w:numPr>
          <w:ilvl w:val="0"/>
          <w:numId w:val="6"/>
        </w:num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费用索赔事件或发包人负责的其他情况</w:t>
      </w:r>
      <w:r>
        <w:rPr>
          <w:rFonts w:hint="eastAsia" w:ascii="宋体" w:hAnsi="宋体" w:cs="宋体"/>
          <w:color w:val="auto"/>
          <w:sz w:val="24"/>
          <w:szCs w:val="24"/>
          <w:highlight w:val="none"/>
        </w:rPr>
        <w:t>。</w:t>
      </w:r>
    </w:p>
    <w:p w14:paraId="53419ACC">
      <w:pPr>
        <w:snapToGrid w:val="0"/>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以上调整事项涉及的价款计价原则按专用条款</w:t>
      </w:r>
      <w:r>
        <w:rPr>
          <w:rFonts w:ascii="宋体" w:hAnsi="宋体" w:cs="宋体"/>
          <w:color w:val="auto"/>
          <w:sz w:val="24"/>
          <w:szCs w:val="24"/>
          <w:highlight w:val="none"/>
        </w:rPr>
        <w:t>23.5款约定执行。</w:t>
      </w:r>
    </w:p>
    <w:p w14:paraId="6EF2E6A3">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23.4</w:t>
      </w:r>
      <w:r>
        <w:rPr>
          <w:rFonts w:hint="eastAsia" w:ascii="宋体" w:hAnsi="宋体" w:cs="宋体"/>
          <w:color w:val="auto"/>
          <w:sz w:val="24"/>
          <w:szCs w:val="24"/>
          <w:highlight w:val="none"/>
        </w:rPr>
        <w:t>承包人应在专用条款</w:t>
      </w:r>
      <w:r>
        <w:rPr>
          <w:rFonts w:ascii="宋体" w:hAnsi="宋体" w:cs="宋体"/>
          <w:color w:val="auto"/>
          <w:sz w:val="24"/>
          <w:szCs w:val="24"/>
          <w:highlight w:val="none"/>
        </w:rPr>
        <w:t>23.3款情况发生后</w:t>
      </w:r>
      <w:r>
        <w:rPr>
          <w:rFonts w:ascii="宋体" w:hAnsi="宋体" w:cs="宋体"/>
          <w:color w:val="auto"/>
          <w:sz w:val="24"/>
          <w:szCs w:val="24"/>
          <w:highlight w:val="none"/>
          <w:u w:val="single"/>
        </w:rPr>
        <w:t>3天</w:t>
      </w:r>
      <w:r>
        <w:rPr>
          <w:rFonts w:ascii="宋体" w:hAnsi="宋体" w:cs="宋体"/>
          <w:color w:val="auto"/>
          <w:sz w:val="24"/>
          <w:szCs w:val="24"/>
          <w:highlight w:val="none"/>
        </w:rPr>
        <w:t>内，将调整原因、金额以书面形式通知监理单位，必须经监理单位和发包人书面批准后作为调整合同价款的依据</w:t>
      </w:r>
      <w:r>
        <w:rPr>
          <w:rFonts w:hint="eastAsia" w:ascii="宋体" w:hAnsi="宋体" w:cs="宋体"/>
          <w:color w:val="auto"/>
          <w:sz w:val="24"/>
          <w:szCs w:val="24"/>
          <w:highlight w:val="none"/>
        </w:rPr>
        <w:t>。对承包人在没有得到发包人的同意和正式盖章书面函件的前提下进行的调整，发包人不予认可，一切责任和后果由承包人承担。</w:t>
      </w:r>
    </w:p>
    <w:p w14:paraId="7E5F3388">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23.5</w:t>
      </w:r>
      <w:r>
        <w:rPr>
          <w:rFonts w:hint="eastAsia" w:ascii="宋体" w:hAnsi="宋体" w:cs="宋体"/>
          <w:color w:val="auto"/>
          <w:sz w:val="24"/>
          <w:szCs w:val="24"/>
          <w:highlight w:val="none"/>
          <w:u w:val="single"/>
        </w:rPr>
        <w:t>合同价款调整原则</w:t>
      </w:r>
    </w:p>
    <w:p w14:paraId="29FED707">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23.5.1</w:t>
      </w:r>
      <w:r>
        <w:rPr>
          <w:rFonts w:hint="eastAsia" w:ascii="宋体" w:hAnsi="宋体" w:cs="宋体"/>
          <w:color w:val="auto"/>
          <w:sz w:val="24"/>
          <w:szCs w:val="24"/>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Pr>
          <w:rFonts w:hint="eastAsia" w:ascii="宋体" w:hAnsi="宋体" w:cs="宋体"/>
          <w:color w:val="auto"/>
          <w:sz w:val="24"/>
          <w:szCs w:val="24"/>
          <w:highlight w:val="none"/>
        </w:rPr>
        <w:t>。</w:t>
      </w:r>
    </w:p>
    <w:p w14:paraId="30DBF49E">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合同工程量清单中有相同适用项目的，则采用该项目投标综合单价；合同工程量清单中相同适用项目有多个的，取最有利于发包人的相同适用项目的投标综合单价。但新增工程量超过</w:t>
      </w:r>
      <w:r>
        <w:rPr>
          <w:rFonts w:ascii="宋体" w:hAnsi="宋体" w:cs="宋体"/>
          <w:color w:val="auto"/>
          <w:sz w:val="24"/>
          <w:szCs w:val="24"/>
          <w:highlight w:val="none"/>
          <w:u w:val="single"/>
        </w:rPr>
        <w:t>15%的，比较招标控制价对应的综合单价并执行中标下浮率和投标综合单价，取两者的较小值作为超出15%的新增工程量的综合单价</w:t>
      </w:r>
      <w:r>
        <w:rPr>
          <w:rFonts w:hint="eastAsia" w:ascii="宋体" w:hAnsi="宋体" w:cs="宋体"/>
          <w:color w:val="auto"/>
          <w:sz w:val="24"/>
          <w:szCs w:val="24"/>
          <w:highlight w:val="none"/>
        </w:rPr>
        <w:t>。</w:t>
      </w:r>
    </w:p>
    <w:p w14:paraId="5A4C700F">
      <w:pPr>
        <w:snapToGrid w:val="0"/>
        <w:spacing w:line="440" w:lineRule="exact"/>
        <w:ind w:firstLine="338" w:firstLineChars="141"/>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s="宋体"/>
          <w:color w:val="auto"/>
          <w:sz w:val="24"/>
          <w:highlight w:val="none"/>
        </w:rPr>
        <w:t>且需对选用的厂商价格信息重新进行市场调研询价后方可使用。</w:t>
      </w:r>
      <w:r>
        <w:rPr>
          <w:rFonts w:hint="eastAsia" w:ascii="宋体" w:hAnsi="宋体" w:cs="宋体"/>
          <w:color w:val="auto"/>
          <w:sz w:val="24"/>
          <w:szCs w:val="24"/>
          <w:highlight w:val="none"/>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hint="eastAsia" w:ascii="宋体" w:hAnsi="宋体" w:cs="宋体"/>
          <w:color w:val="auto"/>
          <w:sz w:val="24"/>
          <w:szCs w:val="24"/>
          <w:highlight w:val="none"/>
        </w:rPr>
        <w:t>。</w:t>
      </w:r>
    </w:p>
    <w:p w14:paraId="2964742C">
      <w:pPr>
        <w:snapToGrid w:val="0"/>
        <w:spacing w:line="440" w:lineRule="exact"/>
        <w:ind w:firstLine="338" w:firstLineChars="141"/>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合同工程量清单报价中没有相同或类似适用项目的，按以下原则计价</w:t>
      </w:r>
      <w:r>
        <w:rPr>
          <w:rFonts w:hint="eastAsia" w:ascii="宋体" w:hAnsi="宋体" w:cs="宋体"/>
          <w:color w:val="auto"/>
          <w:sz w:val="24"/>
          <w:szCs w:val="24"/>
          <w:highlight w:val="none"/>
        </w:rPr>
        <w:t>：</w:t>
      </w:r>
    </w:p>
    <w:p w14:paraId="74CAAAA8">
      <w:pPr>
        <w:snapToGrid w:val="0"/>
        <w:spacing w:line="440" w:lineRule="exact"/>
        <w:ind w:firstLine="338" w:firstLineChars="141"/>
        <w:rPr>
          <w:rFonts w:ascii="宋体" w:hAnsi="宋体" w:cs="宋体"/>
          <w:color w:val="auto"/>
          <w:sz w:val="24"/>
          <w:szCs w:val="24"/>
          <w:highlight w:val="none"/>
        </w:rPr>
      </w:pPr>
      <w:r>
        <w:rPr>
          <w:rFonts w:hint="eastAsia" w:ascii="宋体" w:hAnsi="宋体" w:cs="宋体"/>
          <w:color w:val="auto"/>
          <w:sz w:val="24"/>
          <w:szCs w:val="24"/>
          <w:highlight w:val="none"/>
        </w:rPr>
        <w:t>①</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rPr>
        <w:t>由承包人依据变更工程资料，计量原则，按《广东省市政工程综合定额》（</w:t>
      </w:r>
      <w:r>
        <w:rPr>
          <w:rFonts w:ascii="宋体" w:hAnsi="宋体" w:cs="宋体"/>
          <w:color w:val="auto"/>
          <w:sz w:val="24"/>
          <w:szCs w:val="24"/>
          <w:highlight w:val="none"/>
          <w:u w:val="single"/>
        </w:rPr>
        <w:t>2018年）、《广东省房屋建筑与装饰工程综合定额》（2018年）、《广东省通用安装工程综合定额》（2018年）、《广东省园林绿化工程综合定额》（2018年）、《广东省建设工程施工机具台班费用编制规则（2018）</w:t>
      </w:r>
      <w:r>
        <w:rPr>
          <w:rFonts w:hint="eastAsia" w:ascii="宋体" w:hAnsi="宋体" w:cs="宋体"/>
          <w:color w:val="auto"/>
          <w:sz w:val="24"/>
          <w:szCs w:val="24"/>
          <w:highlight w:val="none"/>
          <w:u w:val="single"/>
        </w:rPr>
        <w:t>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s="宋体"/>
          <w:color w:val="auto"/>
          <w:sz w:val="24"/>
          <w:highlight w:val="none"/>
        </w:rPr>
        <w:t>，且需对选用的厂商价格信息重新进行市场调研询价后方可使用。</w:t>
      </w:r>
      <w:r>
        <w:rPr>
          <w:rFonts w:hint="eastAsia" w:ascii="宋体" w:hAnsi="宋体" w:cs="宋体"/>
          <w:color w:val="auto"/>
          <w:sz w:val="24"/>
          <w:szCs w:val="24"/>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s="宋体"/>
          <w:color w:val="auto"/>
          <w:sz w:val="24"/>
          <w:szCs w:val="24"/>
          <w:highlight w:val="none"/>
        </w:rPr>
        <w:t>。</w:t>
      </w:r>
    </w:p>
    <w:p w14:paraId="08B1D3E7">
      <w:pPr>
        <w:snapToGrid w:val="0"/>
        <w:spacing w:line="440" w:lineRule="exact"/>
        <w:ind w:firstLine="338" w:firstLineChars="141"/>
        <w:rPr>
          <w:rFonts w:ascii="宋体" w:hAnsi="宋体" w:cs="宋体"/>
          <w:color w:val="auto"/>
          <w:sz w:val="24"/>
          <w:szCs w:val="24"/>
          <w:highlight w:val="none"/>
        </w:rPr>
      </w:pPr>
      <w:r>
        <w:rPr>
          <w:rFonts w:hint="eastAsia" w:ascii="宋体" w:hAnsi="宋体" w:cs="宋体"/>
          <w:color w:val="auto"/>
          <w:sz w:val="24"/>
          <w:szCs w:val="24"/>
          <w:highlight w:val="none"/>
        </w:rPr>
        <w:t>②</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rPr>
        <w:t>合同工程量清单没有相同或相类似且无相关定额的项目，承包人参照《广东省市政工程综合定额》（</w:t>
      </w:r>
      <w:r>
        <w:rPr>
          <w:rFonts w:ascii="宋体" w:hAnsi="宋体" w:cs="宋体"/>
          <w:color w:val="auto"/>
          <w:sz w:val="24"/>
          <w:szCs w:val="24"/>
          <w:highlight w:val="none"/>
          <w:u w:val="single"/>
        </w:rPr>
        <w:t>2018年）、《广东省房屋建筑与装饰工程综合定额》（2018年）、《广东省通用安装工程综合定额》（2018年）、《广东省园林绿化工程综合定额》（2018年）、《广东省建设工程施工机具台班费用编制规则（2018</w:t>
      </w:r>
      <w:r>
        <w:rPr>
          <w:rFonts w:hint="eastAsia" w:ascii="宋体" w:hAnsi="宋体" w:cs="宋体"/>
          <w:color w:val="auto"/>
          <w:sz w:val="24"/>
          <w:szCs w:val="24"/>
          <w:highlight w:val="none"/>
          <w:u w:val="single"/>
        </w:rPr>
        <w:t>）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s="宋体"/>
          <w:color w:val="auto"/>
          <w:sz w:val="24"/>
          <w:highlight w:val="none"/>
        </w:rPr>
        <w:t>，且需对选用的厂商价格信息重新进行市场调研询价后方可使用。</w:t>
      </w:r>
      <w:r>
        <w:rPr>
          <w:rFonts w:hint="eastAsia" w:ascii="宋体" w:hAnsi="宋体" w:cs="宋体"/>
          <w:color w:val="auto"/>
          <w:sz w:val="24"/>
          <w:szCs w:val="24"/>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s="宋体"/>
          <w:color w:val="auto"/>
          <w:sz w:val="24"/>
          <w:szCs w:val="24"/>
          <w:highlight w:val="none"/>
        </w:rPr>
        <w:t>。</w:t>
      </w:r>
    </w:p>
    <w:p w14:paraId="2FC85712">
      <w:pPr>
        <w:pStyle w:val="35"/>
        <w:adjustRightInd w:val="0"/>
        <w:snapToGrid w:val="0"/>
        <w:spacing w:line="440" w:lineRule="exact"/>
        <w:ind w:right="11"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u w:val="single"/>
        </w:rPr>
        <w:t>按上述原则确定价格时，措施项目费用（除施工围蔽外）不计取</w:t>
      </w:r>
      <w:r>
        <w:rPr>
          <w:rFonts w:ascii="宋体" w:hAnsi="宋体" w:cs="宋体"/>
          <w:color w:val="auto"/>
          <w:sz w:val="24"/>
          <w:szCs w:val="24"/>
          <w:highlight w:val="none"/>
          <w:u w:val="single"/>
        </w:rPr>
        <w:t>,清单计价及</w:t>
      </w:r>
      <w:r>
        <w:rPr>
          <w:rFonts w:hint="eastAsia" w:ascii="宋体" w:hAnsi="宋体" w:cs="宋体"/>
          <w:color w:val="auto"/>
          <w:sz w:val="24"/>
          <w:szCs w:val="24"/>
          <w:highlight w:val="none"/>
          <w:u w:val="single"/>
        </w:rPr>
        <w:t>税金的计取，应符合《广东省住房和城乡建设厅关于营业税改征增值税后调整广东省建设工程计价依据的通知》（粤建市【</w:t>
      </w:r>
      <w:r>
        <w:rPr>
          <w:rFonts w:ascii="宋体" w:hAnsi="宋体" w:cs="宋体"/>
          <w:color w:val="auto"/>
          <w:sz w:val="24"/>
          <w:szCs w:val="24"/>
          <w:highlight w:val="none"/>
          <w:u w:val="single"/>
        </w:rPr>
        <w:t>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w:t>
      </w:r>
      <w:r>
        <w:rPr>
          <w:rFonts w:hint="eastAsia" w:ascii="宋体" w:hAnsi="宋体" w:cs="宋体"/>
          <w:color w:val="auto"/>
          <w:sz w:val="24"/>
          <w:szCs w:val="24"/>
          <w:highlight w:val="none"/>
          <w:u w:val="single"/>
        </w:rPr>
        <w:t>、《广东省住房和城乡建设厅关于印发</w:t>
      </w:r>
      <w:r>
        <w:rPr>
          <w:rFonts w:ascii="宋体" w:hAnsi="宋体" w:cs="宋体"/>
          <w:color w:val="auto"/>
          <w:sz w:val="24"/>
          <w:szCs w:val="24"/>
          <w:highlight w:val="none"/>
          <w:u w:val="single"/>
        </w:rPr>
        <w:t>&lt;</w:t>
      </w:r>
      <w:r>
        <w:rPr>
          <w:rFonts w:hint="eastAsia" w:ascii="宋体" w:hAnsi="宋体" w:cs="宋体"/>
          <w:color w:val="auto"/>
          <w:sz w:val="24"/>
          <w:szCs w:val="24"/>
          <w:highlight w:val="none"/>
          <w:u w:val="single"/>
        </w:rPr>
        <w:t>广东省建设工程计价依据（</w:t>
      </w:r>
      <w:r>
        <w:rPr>
          <w:rFonts w:ascii="宋体" w:hAnsi="宋体" w:cs="宋体"/>
          <w:color w:val="auto"/>
          <w:sz w:val="24"/>
          <w:szCs w:val="24"/>
          <w:highlight w:val="none"/>
          <w:u w:val="single"/>
        </w:rPr>
        <w:t>2018)&gt;</w:t>
      </w:r>
      <w:r>
        <w:rPr>
          <w:rFonts w:hint="eastAsia" w:ascii="宋体" w:hAnsi="宋体" w:cs="宋体"/>
          <w:color w:val="auto"/>
          <w:sz w:val="24"/>
          <w:szCs w:val="24"/>
          <w:highlight w:val="none"/>
          <w:u w:val="single"/>
        </w:rPr>
        <w:t>的通知》（穗建市〔</w:t>
      </w:r>
      <w:r>
        <w:rPr>
          <w:rFonts w:ascii="宋体" w:hAnsi="宋体" w:cs="宋体"/>
          <w:color w:val="auto"/>
          <w:sz w:val="24"/>
          <w:szCs w:val="24"/>
          <w:highlight w:val="none"/>
          <w:u w:val="single"/>
        </w:rPr>
        <w:t>2019〕6号）</w:t>
      </w:r>
      <w:r>
        <w:rPr>
          <w:rFonts w:hint="eastAsia" w:ascii="宋体" w:hAnsi="宋体" w:cs="宋体"/>
          <w:color w:val="auto"/>
          <w:sz w:val="24"/>
          <w:szCs w:val="24"/>
          <w:highlight w:val="none"/>
          <w:u w:val="single"/>
        </w:rPr>
        <w:t>等相关文件的规定。</w:t>
      </w:r>
    </w:p>
    <w:p w14:paraId="511CCE5D">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 xml:space="preserve">23.5.2 </w:t>
      </w:r>
      <w:r>
        <w:rPr>
          <w:rFonts w:hint="eastAsia" w:ascii="宋体" w:hAnsi="宋体" w:cs="宋体"/>
          <w:color w:val="auto"/>
          <w:sz w:val="24"/>
          <w:szCs w:val="24"/>
          <w:highlight w:val="none"/>
          <w:u w:val="single"/>
        </w:rPr>
        <w:t>工程量发生变化时，如项目综合单价与招标控制价对应的综合单价×（</w:t>
      </w:r>
      <w:r>
        <w:rPr>
          <w:rFonts w:ascii="宋体" w:hAnsi="宋体" w:cs="宋体"/>
          <w:color w:val="auto"/>
          <w:sz w:val="24"/>
          <w:szCs w:val="24"/>
          <w:highlight w:val="none"/>
          <w:u w:val="single"/>
        </w:rPr>
        <w:t>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cs="宋体"/>
          <w:color w:val="auto"/>
          <w:sz w:val="24"/>
          <w:szCs w:val="24"/>
          <w:highlight w:val="none"/>
        </w:rPr>
        <w:t>。</w:t>
      </w:r>
    </w:p>
    <w:p w14:paraId="77E596F6">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23.5.3</w:t>
      </w:r>
      <w:r>
        <w:rPr>
          <w:rFonts w:hint="eastAsia" w:ascii="宋体" w:hAnsi="宋体" w:cs="宋体"/>
          <w:color w:val="auto"/>
          <w:sz w:val="24"/>
          <w:szCs w:val="24"/>
          <w:highlight w:val="none"/>
          <w:u w:val="single"/>
        </w:rPr>
        <w:t>物价涨跌的价格调整</w:t>
      </w:r>
    </w:p>
    <w:p w14:paraId="0EF89794">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1）合同履行期间，出现工程造价管理机构发布的人工、材料、工程设备和施工设备、机械台班单价涨跌超过本工程招标文件规定的投标截止日期</w:t>
      </w:r>
      <w:r>
        <w:rPr>
          <w:rFonts w:hint="eastAsia" w:ascii="宋体" w:hAnsi="宋体" w:cs="宋体"/>
          <w:color w:val="auto"/>
          <w:sz w:val="24"/>
          <w:szCs w:val="24"/>
          <w:highlight w:val="none"/>
          <w:u w:val="single"/>
        </w:rPr>
        <w:t>前第</w:t>
      </w:r>
      <w:r>
        <w:rPr>
          <w:rFonts w:ascii="宋体" w:hAnsi="宋体" w:cs="宋体"/>
          <w:color w:val="auto"/>
          <w:sz w:val="24"/>
          <w:szCs w:val="24"/>
          <w:highlight w:val="none"/>
          <w:u w:val="single"/>
        </w:rPr>
        <w:t>28天</w:t>
      </w:r>
      <w:r>
        <w:rPr>
          <w:rFonts w:hint="eastAsia" w:ascii="宋体" w:hAnsi="宋体" w:cs="宋体"/>
          <w:color w:val="auto"/>
          <w:sz w:val="24"/>
          <w:szCs w:val="24"/>
          <w:highlight w:val="none"/>
          <w:u w:val="single"/>
        </w:rPr>
        <w:t>时广州市建设工程造价管理部门发布的人工、材料、工程设备和施工设备、机械台班相应单价且符合以下规定的，应调整合同价款。</w:t>
      </w:r>
    </w:p>
    <w:p w14:paraId="12A1326E">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承包人承担工料机价格涨跌幅度在</w:t>
      </w:r>
      <w:r>
        <w:rPr>
          <w:rFonts w:ascii="宋体" w:hAnsi="宋体" w:cs="宋体"/>
          <w:color w:val="auto"/>
          <w:sz w:val="24"/>
          <w:szCs w:val="24"/>
          <w:highlight w:val="none"/>
          <w:u w:val="single"/>
        </w:rPr>
        <w:t xml:space="preserve">10%以内（含10%）的风险，不予调整合同价款；工料机价格涨跌幅度超过10%时，可以调整合同价款, </w:t>
      </w:r>
      <w:r>
        <w:rPr>
          <w:rFonts w:hint="eastAsia" w:ascii="宋体" w:hAnsi="宋体" w:cs="宋体"/>
          <w:color w:val="auto"/>
          <w:sz w:val="24"/>
          <w:szCs w:val="24"/>
          <w:highlight w:val="none"/>
          <w:u w:val="single"/>
        </w:rPr>
        <w:t>调整范围为人工、机械台班、砂、碎石、石屑，及《印发</w:t>
      </w:r>
      <w:r>
        <w:rPr>
          <w:rFonts w:ascii="宋体" w:hAnsi="宋体" w:cs="宋体"/>
          <w:color w:val="auto"/>
          <w:sz w:val="24"/>
          <w:szCs w:val="24"/>
          <w:highlight w:val="none"/>
          <w:u w:val="single"/>
        </w:rPr>
        <w:t>&lt;</w:t>
      </w:r>
      <w:r>
        <w:rPr>
          <w:rFonts w:hint="eastAsia" w:ascii="宋体" w:hAnsi="宋体" w:cs="宋体"/>
          <w:color w:val="auto"/>
          <w:sz w:val="24"/>
          <w:szCs w:val="24"/>
          <w:highlight w:val="none"/>
          <w:u w:val="single"/>
        </w:rPr>
        <w:t>关于区财政投资工程人工、材料（设备）、机械价格调整的意见</w:t>
      </w:r>
      <w:r>
        <w:rPr>
          <w:rFonts w:ascii="宋体" w:hAnsi="宋体" w:cs="宋体"/>
          <w:color w:val="auto"/>
          <w:sz w:val="24"/>
          <w:szCs w:val="24"/>
          <w:highlight w:val="none"/>
          <w:u w:val="single"/>
        </w:rPr>
        <w:t>&gt;</w:t>
      </w:r>
      <w:r>
        <w:rPr>
          <w:rFonts w:hint="eastAsia" w:ascii="宋体" w:hAnsi="宋体" w:cs="宋体"/>
          <w:color w:val="auto"/>
          <w:sz w:val="24"/>
          <w:szCs w:val="24"/>
          <w:highlight w:val="none"/>
          <w:u w:val="single"/>
        </w:rPr>
        <w:t>的通知》（穗开环建〔</w:t>
      </w:r>
      <w:r>
        <w:rPr>
          <w:rFonts w:ascii="宋体" w:hAnsi="宋体" w:cs="宋体"/>
          <w:color w:val="auto"/>
          <w:sz w:val="24"/>
          <w:szCs w:val="24"/>
          <w:highlight w:val="none"/>
          <w:u w:val="single"/>
        </w:rPr>
        <w:t>2008〕59号）附件《各类工程可调价差材料（设备）清单》中对应工程类别规定的可调价材料（设备）且属《广州地区建设工程常用材料税前综合价格》（以下简称“综合价格”）包含的材料、设备；“综合价格”中没有的材料、设备均不予调整。</w:t>
      </w:r>
    </w:p>
    <w:p w14:paraId="5649D66E">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2）价款调整的方法</w:t>
      </w:r>
    </w:p>
    <w:p w14:paraId="682DB488">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①当人工、机械台班、可调价格的材料设备价格上涨幅度超过</w:t>
      </w:r>
      <w:r>
        <w:rPr>
          <w:rFonts w:ascii="宋体" w:hAnsi="宋体" w:cs="宋体"/>
          <w:color w:val="auto"/>
          <w:sz w:val="24"/>
          <w:szCs w:val="24"/>
          <w:highlight w:val="none"/>
          <w:u w:val="single"/>
        </w:rPr>
        <w:t>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14:paraId="74698D48">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价款调整以各调价工料机的数量乘以单价价差，再乘以（</w:t>
      </w:r>
      <w:r>
        <w:rPr>
          <w:rFonts w:ascii="宋体" w:hAnsi="宋体" w:cs="宋体"/>
          <w:color w:val="auto"/>
          <w:sz w:val="24"/>
          <w:szCs w:val="24"/>
          <w:highlight w:val="none"/>
          <w:u w:val="single"/>
        </w:rPr>
        <w:t>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w:t>
      </w:r>
      <w:r>
        <w:rPr>
          <w:rFonts w:hint="eastAsia" w:ascii="宋体" w:hAnsi="宋体" w:cs="宋体"/>
          <w:color w:val="auto"/>
          <w:sz w:val="24"/>
          <w:szCs w:val="24"/>
          <w:highlight w:val="none"/>
          <w:u w:val="single"/>
        </w:rPr>
        <w:t>前第</w:t>
      </w:r>
      <w:r>
        <w:rPr>
          <w:rFonts w:ascii="宋体" w:hAnsi="宋体" w:cs="宋体"/>
          <w:color w:val="auto"/>
          <w:sz w:val="24"/>
          <w:szCs w:val="24"/>
          <w:highlight w:val="none"/>
          <w:u w:val="single"/>
        </w:rPr>
        <w:t>28天</w:t>
      </w:r>
      <w:r>
        <w:rPr>
          <w:rFonts w:hint="eastAsia" w:ascii="宋体" w:hAnsi="宋体" w:cs="宋体"/>
          <w:color w:val="auto"/>
          <w:sz w:val="24"/>
          <w:szCs w:val="24"/>
          <w:highlight w:val="none"/>
          <w:u w:val="single"/>
        </w:rPr>
        <w:t>时广州市建设工程造价管理部门发布的人工、材料、工程设备和施工设备、机械台班信息价格差值计取。</w:t>
      </w:r>
    </w:p>
    <w:p w14:paraId="06E76C78">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③</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价款调整以月为单位计算，结算时一次性调整，如施工期间需调整价款的，经发包人、承包人协商一致后可签订价差补充协议，作为追加（减）合同价款和支付工程进度款的依据。</w:t>
      </w:r>
    </w:p>
    <w:p w14:paraId="735BF5DB">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④</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各调价材料、设备的信息价格按广州市建设工程造价管理部门发布的当月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“综合价格”计取，综合价格中没有的材料、设备单价，价差不予调整。</w:t>
      </w:r>
    </w:p>
    <w:p w14:paraId="69BBE418">
      <w:pPr>
        <w:snapToGrid w:val="0"/>
        <w:spacing w:line="440" w:lineRule="exact"/>
        <w:ind w:firstLine="338" w:firstLineChars="14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3）由于承包人原因导致工期延误的，所延误时段内物价上涨的风险全部由承包人承担，不予调整；如物价下跌，则仍按第（2）款约定计算及扣回相应价款。</w:t>
      </w:r>
    </w:p>
    <w:p w14:paraId="48B68319">
      <w:pPr>
        <w:snapToGrid w:val="0"/>
        <w:spacing w:line="440" w:lineRule="exact"/>
        <w:ind w:firstLine="338" w:firstLineChars="141"/>
        <w:rPr>
          <w:rFonts w:ascii="宋体" w:hAnsi="宋体" w:cs="宋体"/>
          <w:b/>
          <w:color w:val="auto"/>
          <w:sz w:val="24"/>
          <w:highlight w:val="none"/>
        </w:rPr>
      </w:pPr>
      <w:r>
        <w:rPr>
          <w:rFonts w:ascii="宋体" w:hAnsi="宋体" w:cs="宋体"/>
          <w:color w:val="auto"/>
          <w:sz w:val="24"/>
          <w:highlight w:val="none"/>
        </w:rPr>
        <w:t>24</w:t>
      </w:r>
      <w:r>
        <w:rPr>
          <w:rFonts w:hint="eastAsia" w:ascii="宋体" w:hAnsi="宋体" w:cs="宋体"/>
          <w:b/>
          <w:color w:val="auto"/>
          <w:sz w:val="24"/>
          <w:highlight w:val="none"/>
        </w:rPr>
        <w:t>、工程预付款、工人工资</w:t>
      </w:r>
    </w:p>
    <w:p w14:paraId="65AE059F">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24.1工程预付款</w:t>
      </w:r>
    </w:p>
    <w:p w14:paraId="7EFEA309">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 xml:space="preserve">24.1.1发包人向承包人预付工程款的时间和金额或占合同价款总额的比例：按广州开发区财政投资建设项目管理中心 </w:t>
      </w:r>
      <w:r>
        <w:rPr>
          <w:rFonts w:hint="eastAsia" w:ascii="宋体" w:hAnsi="宋体" w:cs="宋体"/>
          <w:color w:val="auto"/>
          <w:sz w:val="24"/>
          <w:szCs w:val="24"/>
          <w:highlight w:val="none"/>
        </w:rPr>
        <w:t>《关于加强建设工程预付款管理的通知》及相关规定核查，承包人相关情况符合要求，且合同生效及财政拨款到位后，发包人预付合同价【扣除绿色施工安全防护措施费，若工程量清单中有暂定金则扣除暂定金（含暂列金额和暂估价）部分】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%作为预付款，但最高不超过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1000</w:t>
      </w:r>
      <w:r>
        <w:rPr>
          <w:rFonts w:hint="eastAsia" w:ascii="宋体" w:hAnsi="宋体" w:cs="宋体"/>
          <w:color w:val="auto"/>
          <w:sz w:val="24"/>
          <w:szCs w:val="24"/>
          <w:highlight w:val="none"/>
        </w:rPr>
        <w:t>万元。预付款中，（预付款×工人工资比例）的部分需支付至工人工资专用账户。</w:t>
      </w:r>
    </w:p>
    <w:p w14:paraId="582DF66D">
      <w:pPr>
        <w:snapToGrid w:val="0"/>
        <w:spacing w:line="440" w:lineRule="exact"/>
        <w:ind w:firstLine="338" w:firstLineChars="141"/>
        <w:rPr>
          <w:rFonts w:ascii="宋体" w:hAnsi="宋体" w:cs="宋体"/>
          <w:color w:val="auto"/>
          <w:sz w:val="24"/>
          <w:szCs w:val="24"/>
          <w:highlight w:val="none"/>
        </w:rPr>
      </w:pPr>
      <w:r>
        <w:rPr>
          <w:rFonts w:hint="eastAsia" w:ascii="宋体" w:hAnsi="宋体" w:cs="宋体"/>
          <w:color w:val="auto"/>
          <w:sz w:val="24"/>
          <w:szCs w:val="24"/>
          <w:highlight w:val="none"/>
        </w:rPr>
        <w:t>（注：根据工程实际，执行《广州开发区财政投资建设项目管理中心建设工程招投标管理办法补充规定（</w:t>
      </w:r>
      <w:r>
        <w:rPr>
          <w:rFonts w:ascii="宋体" w:hAnsi="宋体" w:cs="宋体"/>
          <w:color w:val="auto"/>
          <w:sz w:val="24"/>
          <w:szCs w:val="24"/>
          <w:highlight w:val="none"/>
        </w:rPr>
        <w:t>2021年试行）</w:t>
      </w:r>
      <w:r>
        <w:rPr>
          <w:rFonts w:hint="eastAsia" w:ascii="宋体" w:hAnsi="宋体" w:cs="宋体"/>
          <w:color w:val="auto"/>
          <w:sz w:val="24"/>
          <w:szCs w:val="24"/>
          <w:highlight w:val="none"/>
        </w:rPr>
        <w:t>广州开发区财政投资建设项目管理中心</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建设工程招投标管理办法补充规定》）</w:t>
      </w:r>
    </w:p>
    <w:p w14:paraId="10F44808">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 xml:space="preserve"> 24.1.2承包人收取预付款后，应优先用于按有关规定缴纳工伤保险和办理建筑意外伤害险，专款专用。</w:t>
      </w:r>
    </w:p>
    <w:p w14:paraId="7AB8A717">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 xml:space="preserve"> 24.1.3扣回预付款的时间、比例：按本合同专用条款26条约定执行。</w:t>
      </w:r>
    </w:p>
    <w:p w14:paraId="1FF63C3A">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24.2工人工资</w:t>
      </w:r>
    </w:p>
    <w:p w14:paraId="4212F43A">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24.2.1</w:t>
      </w:r>
      <w:r>
        <w:rPr>
          <w:rFonts w:hint="eastAsia" w:ascii="宋体" w:hAnsi="宋体" w:cs="宋体"/>
          <w:color w:val="auto"/>
          <w:sz w:val="24"/>
          <w:szCs w:val="24"/>
          <w:highlight w:val="none"/>
        </w:rPr>
        <w:t>承包人需按有关规定与商业银行另行签订广州市建设领域工人工资支付专用账户管理协议、开设专用账户并报发包人备案</w:t>
      </w:r>
      <w:r>
        <w:rPr>
          <w:rFonts w:ascii="宋体" w:hAnsi="宋体" w:cs="宋体"/>
          <w:color w:val="auto"/>
          <w:sz w:val="24"/>
          <w:szCs w:val="24"/>
          <w:highlight w:val="none"/>
        </w:rPr>
        <w:t>,工人工资支付至专用账户</w:t>
      </w:r>
      <w:r>
        <w:rPr>
          <w:rFonts w:hint="eastAsia" w:ascii="宋体" w:hAnsi="宋体" w:cs="宋体"/>
          <w:color w:val="auto"/>
          <w:sz w:val="24"/>
          <w:szCs w:val="24"/>
          <w:highlight w:val="none"/>
        </w:rPr>
        <w:t>。</w:t>
      </w:r>
    </w:p>
    <w:p w14:paraId="26EA143A">
      <w:pPr>
        <w:snapToGrid w:val="0"/>
        <w:spacing w:line="440" w:lineRule="exact"/>
        <w:ind w:firstLine="338" w:firstLineChars="141"/>
        <w:rPr>
          <w:rFonts w:ascii="宋体" w:hAnsi="宋体" w:cs="宋体"/>
          <w:color w:val="auto"/>
          <w:sz w:val="24"/>
          <w:szCs w:val="24"/>
          <w:highlight w:val="none"/>
        </w:rPr>
      </w:pPr>
      <w:r>
        <w:rPr>
          <w:rFonts w:ascii="宋体" w:hAnsi="宋体" w:cs="宋体"/>
          <w:color w:val="auto"/>
          <w:sz w:val="24"/>
          <w:szCs w:val="24"/>
          <w:highlight w:val="none"/>
        </w:rPr>
        <w:t>24.2.2工人工资进度款与工程进度款同步支付，其中每期需支付的工程进度款×工人工资比例为该期工人工资进度款，支付至工人工资专用账户。</w:t>
      </w:r>
    </w:p>
    <w:p w14:paraId="1DF2DAB9">
      <w:pPr>
        <w:snapToGrid w:val="0"/>
        <w:spacing w:line="440" w:lineRule="exact"/>
        <w:ind w:firstLine="360" w:firstLineChars="150"/>
        <w:rPr>
          <w:rFonts w:ascii="宋体" w:hAnsi="宋体" w:cs="宋体"/>
          <w:color w:val="auto"/>
          <w:sz w:val="24"/>
          <w:highlight w:val="none"/>
        </w:rPr>
      </w:pPr>
      <w:r>
        <w:rPr>
          <w:rFonts w:ascii="宋体" w:hAnsi="宋体" w:cs="宋体"/>
          <w:color w:val="auto"/>
          <w:sz w:val="24"/>
          <w:highlight w:val="none"/>
        </w:rPr>
        <w:t>25</w:t>
      </w:r>
      <w:r>
        <w:rPr>
          <w:rFonts w:hint="eastAsia" w:ascii="宋体" w:hAnsi="宋体" w:cs="宋体"/>
          <w:b/>
          <w:color w:val="auto"/>
          <w:sz w:val="24"/>
          <w:highlight w:val="none"/>
        </w:rPr>
        <w:t>、工程量确认</w:t>
      </w:r>
    </w:p>
    <w:p w14:paraId="1DCEF211">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25.1</w:t>
      </w:r>
      <w:r>
        <w:rPr>
          <w:rFonts w:hint="eastAsia" w:ascii="宋体" w:hAnsi="宋体" w:cs="宋体"/>
          <w:color w:val="auto"/>
          <w:sz w:val="24"/>
          <w:szCs w:val="24"/>
          <w:highlight w:val="none"/>
        </w:rPr>
        <w:t>承包人向工程师提交已完工程量报告的时间：</w:t>
      </w:r>
      <w:r>
        <w:rPr>
          <w:rFonts w:hint="eastAsia" w:ascii="宋体" w:hAnsi="宋体" w:cs="宋体"/>
          <w:color w:val="auto"/>
          <w:sz w:val="24"/>
          <w:szCs w:val="24"/>
          <w:highlight w:val="none"/>
          <w:u w:val="single"/>
        </w:rPr>
        <w:t>自开工之日起每周及每月报告已完成工程状况</w:t>
      </w:r>
      <w:r>
        <w:rPr>
          <w:rFonts w:hint="eastAsia" w:ascii="宋体" w:hAnsi="宋体" w:cs="宋体"/>
          <w:color w:val="auto"/>
          <w:sz w:val="24"/>
          <w:szCs w:val="24"/>
          <w:highlight w:val="none"/>
        </w:rPr>
        <w:t>。</w:t>
      </w:r>
    </w:p>
    <w:p w14:paraId="2C53F7B3">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25.2双方一致同意不适用通用条款25.2款</w:t>
      </w:r>
      <w:r>
        <w:rPr>
          <w:rFonts w:hint="eastAsia" w:ascii="宋体" w:hAnsi="宋体" w:cs="宋体"/>
          <w:color w:val="auto"/>
          <w:sz w:val="24"/>
          <w:szCs w:val="24"/>
          <w:highlight w:val="none"/>
        </w:rPr>
        <w:t>，承包人完成工程量必须经发包人书面确认。</w:t>
      </w:r>
    </w:p>
    <w:p w14:paraId="259E92F8">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26</w:t>
      </w:r>
      <w:r>
        <w:rPr>
          <w:rFonts w:hint="eastAsia" w:ascii="宋体" w:hAnsi="宋体" w:cs="宋体"/>
          <w:color w:val="auto"/>
          <w:sz w:val="24"/>
          <w:highlight w:val="none"/>
        </w:rPr>
        <w:t>、</w:t>
      </w:r>
      <w:r>
        <w:rPr>
          <w:rFonts w:hint="eastAsia" w:ascii="宋体" w:hAnsi="宋体" w:cs="宋体"/>
          <w:b/>
          <w:color w:val="auto"/>
          <w:sz w:val="24"/>
          <w:highlight w:val="none"/>
        </w:rPr>
        <w:t>工程款（进度款）支付</w:t>
      </w:r>
    </w:p>
    <w:p w14:paraId="000433C2">
      <w:pPr>
        <w:snapToGrid w:val="0"/>
        <w:spacing w:line="440" w:lineRule="exact"/>
        <w:ind w:firstLine="480"/>
        <w:rPr>
          <w:rFonts w:ascii="宋体" w:hAnsi="宋体" w:cs="宋体"/>
          <w:color w:val="auto"/>
          <w:sz w:val="24"/>
          <w:szCs w:val="24"/>
          <w:highlight w:val="none"/>
        </w:rPr>
      </w:pPr>
      <w:r>
        <w:rPr>
          <w:rFonts w:ascii="宋体" w:hAnsi="宋体" w:cs="宋体"/>
          <w:color w:val="auto"/>
          <w:sz w:val="24"/>
          <w:szCs w:val="24"/>
          <w:highlight w:val="none"/>
        </w:rPr>
        <w:t>26.1双方约定的工程款（进度款）支付采取如下的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26.1.2</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方式进行：</w:t>
      </w:r>
    </w:p>
    <w:p w14:paraId="5CC0C1F9">
      <w:pPr>
        <w:snapToGrid w:val="0"/>
        <w:spacing w:line="440" w:lineRule="exact"/>
        <w:ind w:firstLine="480"/>
        <w:rPr>
          <w:rFonts w:ascii="宋体" w:hAnsi="宋体" w:cs="宋体"/>
          <w:color w:val="auto"/>
          <w:sz w:val="24"/>
          <w:szCs w:val="24"/>
          <w:highlight w:val="none"/>
        </w:rPr>
      </w:pPr>
      <w:r>
        <w:rPr>
          <w:rFonts w:ascii="宋体" w:hAnsi="宋体" w:cs="宋体"/>
          <w:color w:val="auto"/>
          <w:sz w:val="24"/>
          <w:szCs w:val="24"/>
          <w:highlight w:val="none"/>
        </w:rPr>
        <w:t>26.1.1</w:t>
      </w:r>
      <w:r>
        <w:rPr>
          <w:rFonts w:hint="eastAsia" w:ascii="宋体" w:hAnsi="宋体" w:cs="宋体"/>
          <w:color w:val="auto"/>
          <w:sz w:val="24"/>
          <w:szCs w:val="24"/>
          <w:highlight w:val="none"/>
        </w:rPr>
        <w:t>按累计完成工作量百分率支付工程款（进度款）方式：</w:t>
      </w:r>
    </w:p>
    <w:p w14:paraId="6525252B">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当完成工作量达到</w:t>
      </w:r>
      <w:r>
        <w:rPr>
          <w:rFonts w:ascii="宋体" w:hAnsi="宋体" w:cs="宋体"/>
          <w:color w:val="auto"/>
          <w:sz w:val="24"/>
          <w:szCs w:val="24"/>
          <w:highlight w:val="none"/>
          <w:u w:val="single"/>
        </w:rPr>
        <w:t>60%</w:t>
      </w:r>
      <w:r>
        <w:rPr>
          <w:rFonts w:hint="eastAsia" w:ascii="宋体" w:hAnsi="宋体" w:cs="宋体"/>
          <w:color w:val="auto"/>
          <w:sz w:val="24"/>
          <w:szCs w:val="24"/>
          <w:highlight w:val="none"/>
          <w:u w:val="single"/>
        </w:rPr>
        <w:t>时，支付工程进度款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累计付款(含已支付的</w:t>
      </w:r>
      <w:r>
        <w:rPr>
          <w:rFonts w:hint="eastAsia" w:ascii="宋体" w:hAnsi="宋体" w:cs="宋体"/>
          <w:color w:val="auto"/>
          <w:sz w:val="24"/>
          <w:szCs w:val="24"/>
          <w:highlight w:val="none"/>
          <w:u w:val="single"/>
        </w:rPr>
        <w:t>绿色施工安全防护措施费</w:t>
      </w:r>
      <w:r>
        <w:rPr>
          <w:rFonts w:ascii="宋体" w:hAnsi="宋体" w:cs="宋体"/>
          <w:color w:val="auto"/>
          <w:sz w:val="24"/>
          <w:szCs w:val="24"/>
          <w:highlight w:val="none"/>
          <w:u w:val="single"/>
        </w:rPr>
        <w:t>)至合同价款</w:t>
      </w:r>
      <w:r>
        <w:rPr>
          <w:rFonts w:hint="eastAsia" w:ascii="宋体" w:hAnsi="宋体" w:cs="宋体"/>
          <w:color w:val="auto"/>
          <w:sz w:val="24"/>
          <w:szCs w:val="24"/>
          <w:highlight w:val="none"/>
          <w:u w:val="single"/>
        </w:rPr>
        <w:t>若有暂定金</w:t>
      </w:r>
      <w:r>
        <w:rPr>
          <w:rFonts w:ascii="宋体" w:hAnsi="宋体" w:cs="宋体"/>
          <w:color w:val="auto"/>
          <w:sz w:val="24"/>
          <w:szCs w:val="24"/>
          <w:highlight w:val="none"/>
          <w:u w:val="single"/>
        </w:rPr>
        <w:t>(含暂列金额和暂估价)</w:t>
      </w:r>
      <w:r>
        <w:rPr>
          <w:rFonts w:hint="eastAsia" w:ascii="宋体" w:hAnsi="宋体" w:cs="宋体"/>
          <w:color w:val="auto"/>
          <w:sz w:val="24"/>
          <w:szCs w:val="24"/>
          <w:highlight w:val="none"/>
          <w:u w:val="single"/>
        </w:rPr>
        <w:t>扣除未计量部分暂定金</w:t>
      </w:r>
      <w:r>
        <w:rPr>
          <w:rFonts w:ascii="宋体" w:hAnsi="宋体" w:cs="宋体"/>
          <w:color w:val="auto"/>
          <w:sz w:val="24"/>
          <w:szCs w:val="24"/>
          <w:highlight w:val="none"/>
          <w:u w:val="single"/>
        </w:rPr>
        <w:t>(含暂列金额和暂估价)</w:t>
      </w:r>
      <w:r>
        <w:rPr>
          <w:rFonts w:hint="eastAsia" w:ascii="宋体" w:hAnsi="宋体" w:cs="宋体"/>
          <w:color w:val="auto"/>
          <w:sz w:val="24"/>
          <w:szCs w:val="24"/>
          <w:highlight w:val="none"/>
          <w:u w:val="single"/>
        </w:rPr>
        <w:t>后的</w:t>
      </w:r>
      <w:r>
        <w:rPr>
          <w:rFonts w:ascii="宋体" w:hAnsi="宋体" w:cs="宋体"/>
          <w:color w:val="auto"/>
          <w:sz w:val="24"/>
          <w:szCs w:val="24"/>
          <w:highlight w:val="none"/>
          <w:u w:val="single"/>
        </w:rPr>
        <w:t>55%</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3530FB74">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工程完工，并通过初验后支付合同价款</w:t>
      </w:r>
      <w:r>
        <w:rPr>
          <w:rFonts w:ascii="宋体" w:hAnsi="宋体" w:cs="宋体"/>
          <w:color w:val="auto"/>
          <w:sz w:val="24"/>
          <w:szCs w:val="24"/>
          <w:highlight w:val="none"/>
          <w:u w:val="single"/>
        </w:rPr>
        <w:t>30%</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累计付款(含</w:t>
      </w:r>
      <w:r>
        <w:rPr>
          <w:rFonts w:hint="eastAsia" w:ascii="宋体" w:hAnsi="宋体" w:cs="宋体"/>
          <w:color w:val="auto"/>
          <w:sz w:val="24"/>
          <w:szCs w:val="24"/>
          <w:highlight w:val="none"/>
          <w:u w:val="single"/>
        </w:rPr>
        <w:t>绿色施工安全防护措施费）</w:t>
      </w:r>
      <w:r>
        <w:rPr>
          <w:rFonts w:ascii="宋体" w:hAnsi="宋体" w:cs="宋体"/>
          <w:color w:val="auto"/>
          <w:sz w:val="24"/>
          <w:szCs w:val="24"/>
          <w:highlight w:val="none"/>
          <w:u w:val="single"/>
        </w:rPr>
        <w:t>至合同价款</w:t>
      </w:r>
      <w:r>
        <w:rPr>
          <w:rFonts w:hint="eastAsia" w:ascii="宋体" w:hAnsi="宋体" w:cs="宋体"/>
          <w:color w:val="auto"/>
          <w:sz w:val="24"/>
          <w:szCs w:val="24"/>
          <w:highlight w:val="none"/>
          <w:u w:val="single"/>
        </w:rPr>
        <w:t>若有暂定金</w:t>
      </w:r>
      <w:r>
        <w:rPr>
          <w:rFonts w:ascii="宋体" w:hAnsi="宋体" w:cs="宋体"/>
          <w:color w:val="auto"/>
          <w:sz w:val="24"/>
          <w:szCs w:val="24"/>
          <w:highlight w:val="none"/>
          <w:u w:val="single"/>
        </w:rPr>
        <w:t>(含暂列金额和暂估价)</w:t>
      </w:r>
      <w:r>
        <w:rPr>
          <w:rFonts w:hint="eastAsia" w:ascii="宋体" w:hAnsi="宋体" w:cs="宋体"/>
          <w:color w:val="auto"/>
          <w:sz w:val="24"/>
          <w:szCs w:val="24"/>
          <w:highlight w:val="none"/>
          <w:u w:val="single"/>
        </w:rPr>
        <w:t>扣除未计量部分暂定金</w:t>
      </w:r>
      <w:r>
        <w:rPr>
          <w:rFonts w:ascii="宋体" w:hAnsi="宋体" w:cs="宋体"/>
          <w:color w:val="auto"/>
          <w:sz w:val="24"/>
          <w:szCs w:val="24"/>
          <w:highlight w:val="none"/>
          <w:u w:val="single"/>
        </w:rPr>
        <w:t>(含暂列金额和暂估价)</w:t>
      </w:r>
      <w:r>
        <w:rPr>
          <w:rFonts w:hint="eastAsia" w:ascii="宋体" w:hAnsi="宋体" w:cs="宋体"/>
          <w:color w:val="auto"/>
          <w:sz w:val="24"/>
          <w:szCs w:val="24"/>
          <w:highlight w:val="none"/>
          <w:u w:val="single"/>
        </w:rPr>
        <w:t>后的</w:t>
      </w:r>
      <w:r>
        <w:rPr>
          <w:rFonts w:ascii="宋体" w:hAnsi="宋体" w:cs="宋体"/>
          <w:color w:val="auto"/>
          <w:sz w:val="24"/>
          <w:szCs w:val="24"/>
          <w:highlight w:val="none"/>
          <w:u w:val="single"/>
        </w:rPr>
        <w:t>85%</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3E6789B3">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工程通过验收并经广州开发区财政局审定施工结算后支付工程款</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含绿色施工安全防护措施费）至结算价的</w:t>
      </w:r>
      <w:r>
        <w:rPr>
          <w:rFonts w:ascii="宋体" w:hAnsi="宋体" w:cs="宋体"/>
          <w:color w:val="auto"/>
          <w:sz w:val="24"/>
          <w:szCs w:val="24"/>
          <w:highlight w:val="none"/>
          <w:u w:val="single"/>
        </w:rPr>
        <w:t>97%；工程结算价款额度的3%作为</w:t>
      </w:r>
      <w:r>
        <w:rPr>
          <w:rFonts w:hint="eastAsia" w:ascii="宋体" w:hAnsi="宋体" w:cs="宋体"/>
          <w:color w:val="auto"/>
          <w:sz w:val="24"/>
          <w:szCs w:val="24"/>
          <w:highlight w:val="none"/>
          <w:u w:val="single"/>
        </w:rPr>
        <w:t>质量</w:t>
      </w:r>
      <w:r>
        <w:rPr>
          <w:rFonts w:ascii="宋体" w:hAnsi="宋体" w:cs="宋体"/>
          <w:color w:val="auto"/>
          <w:sz w:val="24"/>
          <w:szCs w:val="24"/>
          <w:highlight w:val="none"/>
          <w:u w:val="single"/>
        </w:rPr>
        <w:t>保修金，待</w:t>
      </w:r>
      <w:r>
        <w:rPr>
          <w:rFonts w:hint="eastAsia" w:ascii="宋体" w:hAnsi="宋体" w:cs="宋体"/>
          <w:color w:val="auto"/>
          <w:sz w:val="24"/>
          <w:szCs w:val="24"/>
          <w:highlight w:val="none"/>
          <w:u w:val="single"/>
        </w:rPr>
        <w:t>缺陷责任</w:t>
      </w:r>
      <w:r>
        <w:rPr>
          <w:rFonts w:ascii="宋体" w:hAnsi="宋体" w:cs="宋体"/>
          <w:color w:val="auto"/>
          <w:sz w:val="24"/>
          <w:szCs w:val="24"/>
          <w:highlight w:val="none"/>
          <w:u w:val="single"/>
        </w:rPr>
        <w:t>期结束后结清（不计利息）</w:t>
      </w:r>
      <w:r>
        <w:rPr>
          <w:rFonts w:hint="eastAsia" w:ascii="宋体" w:hAnsi="宋体" w:cs="宋体"/>
          <w:color w:val="auto"/>
          <w:sz w:val="24"/>
          <w:szCs w:val="24"/>
          <w:highlight w:val="none"/>
        </w:rPr>
        <w:t>。</w:t>
      </w:r>
    </w:p>
    <w:p w14:paraId="5FAD2337">
      <w:pPr>
        <w:snapToGrid w:val="0"/>
        <w:spacing w:line="440" w:lineRule="exact"/>
        <w:ind w:firstLine="338" w:firstLineChars="141"/>
        <w:rPr>
          <w:rFonts w:ascii="宋体" w:hAnsi="宋体" w:cs="宋体"/>
          <w:color w:val="auto"/>
          <w:sz w:val="24"/>
          <w:szCs w:val="24"/>
          <w:highlight w:val="none"/>
        </w:rPr>
      </w:pPr>
      <w:r>
        <w:rPr>
          <w:rFonts w:hint="eastAsia" w:ascii="宋体" w:hAnsi="宋体" w:cs="宋体"/>
          <w:color w:val="auto"/>
          <w:sz w:val="24"/>
          <w:szCs w:val="24"/>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14:paraId="0373833F">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26.1.2按月度支付工程款（进度款）</w:t>
      </w:r>
      <w:r>
        <w:rPr>
          <w:rFonts w:hint="eastAsia" w:ascii="宋体" w:hAnsi="宋体" w:cs="宋体"/>
          <w:color w:val="auto"/>
          <w:sz w:val="24"/>
          <w:szCs w:val="24"/>
          <w:highlight w:val="none"/>
        </w:rPr>
        <w:t>：</w:t>
      </w:r>
    </w:p>
    <w:p w14:paraId="6711E9E4">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承包人每月上报完成工程量报表，经监理审核及发包人确认后，发包人按经审定月度完成工程量的</w:t>
      </w:r>
      <w:r>
        <w:rPr>
          <w:rFonts w:ascii="宋体" w:hAnsi="宋体" w:cs="宋体"/>
          <w:color w:val="auto"/>
          <w:sz w:val="24"/>
          <w:szCs w:val="24"/>
          <w:highlight w:val="none"/>
          <w:u w:val="single"/>
        </w:rPr>
        <w:t>85%支付工程进度款</w:t>
      </w:r>
      <w:r>
        <w:rPr>
          <w:rFonts w:hint="eastAsia" w:ascii="宋体" w:hAnsi="宋体" w:cs="宋体"/>
          <w:color w:val="auto"/>
          <w:sz w:val="24"/>
          <w:szCs w:val="24"/>
          <w:highlight w:val="none"/>
        </w:rPr>
        <w:t>。</w:t>
      </w:r>
    </w:p>
    <w:p w14:paraId="3DAC932C">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从本工程发生的第一次进度款支付起，发包人每次按审定月度完成工程量的</w:t>
      </w:r>
      <w:r>
        <w:rPr>
          <w:rFonts w:ascii="宋体" w:hAnsi="宋体" w:cs="宋体"/>
          <w:color w:val="auto"/>
          <w:sz w:val="24"/>
          <w:szCs w:val="24"/>
          <w:highlight w:val="none"/>
          <w:u w:val="singl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w:t>
      </w:r>
      <w:r>
        <w:rPr>
          <w:rFonts w:hint="eastAsia" w:ascii="宋体" w:hAnsi="宋体" w:cs="宋体"/>
          <w:color w:val="auto"/>
          <w:sz w:val="24"/>
          <w:szCs w:val="24"/>
          <w:highlight w:val="none"/>
          <w:u w:val="single"/>
        </w:rPr>
        <w:t>工程款（含绿色施工安全防护措施费）</w:t>
      </w:r>
      <w:r>
        <w:rPr>
          <w:rFonts w:hint="eastAsia" w:ascii="宋体" w:hAnsi="宋体" w:cs="宋体"/>
          <w:color w:val="auto"/>
          <w:sz w:val="24"/>
          <w:szCs w:val="24"/>
          <w:highlight w:val="none"/>
          <w:u w:val="single"/>
          <w:lang w:eastAsia="zh-CN"/>
        </w:rPr>
        <w:t>不超过</w:t>
      </w:r>
      <w:r>
        <w:rPr>
          <w:rFonts w:hint="eastAsia" w:ascii="宋体" w:hAnsi="宋体" w:cs="宋体"/>
          <w:color w:val="auto"/>
          <w:sz w:val="24"/>
          <w:szCs w:val="24"/>
          <w:highlight w:val="none"/>
          <w:u w:val="single"/>
        </w:rPr>
        <w:t>合同价若有暂定金（含暂列金额及暂估价）则扣除未计量部分暂定金后的</w:t>
      </w:r>
      <w:r>
        <w:rPr>
          <w:rFonts w:ascii="宋体" w:hAnsi="宋体" w:cs="宋体"/>
          <w:color w:val="auto"/>
          <w:sz w:val="24"/>
          <w:szCs w:val="24"/>
          <w:highlight w:val="none"/>
          <w:u w:val="single"/>
        </w:rPr>
        <w:t>85%</w:t>
      </w:r>
      <w:r>
        <w:rPr>
          <w:rFonts w:hint="eastAsia" w:ascii="宋体" w:hAnsi="宋体" w:cs="宋体"/>
          <w:color w:val="auto"/>
          <w:sz w:val="24"/>
          <w:szCs w:val="24"/>
          <w:highlight w:val="none"/>
        </w:rPr>
        <w:t>。</w:t>
      </w:r>
    </w:p>
    <w:p w14:paraId="16466177">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工程通过验收并经广州开发区财政局审定施工结算后支付工程款（含绿色施工安全防护措施费）至结算价的</w:t>
      </w:r>
      <w:r>
        <w:rPr>
          <w:rFonts w:ascii="宋体" w:hAnsi="宋体" w:cs="宋体"/>
          <w:color w:val="auto"/>
          <w:sz w:val="24"/>
          <w:szCs w:val="24"/>
          <w:highlight w:val="none"/>
          <w:u w:val="single"/>
        </w:rPr>
        <w:t>97%；工程结算价款额度的3%作为</w:t>
      </w:r>
      <w:r>
        <w:rPr>
          <w:rFonts w:hint="eastAsia" w:ascii="宋体" w:hAnsi="宋体" w:cs="宋体"/>
          <w:color w:val="auto"/>
          <w:sz w:val="24"/>
          <w:szCs w:val="24"/>
          <w:highlight w:val="none"/>
          <w:u w:val="single"/>
        </w:rPr>
        <w:t>质量</w:t>
      </w:r>
      <w:r>
        <w:rPr>
          <w:rFonts w:ascii="宋体" w:hAnsi="宋体" w:cs="宋体"/>
          <w:color w:val="auto"/>
          <w:sz w:val="24"/>
          <w:szCs w:val="24"/>
          <w:highlight w:val="none"/>
          <w:u w:val="single"/>
        </w:rPr>
        <w:t>保修金，待</w:t>
      </w:r>
      <w:r>
        <w:rPr>
          <w:rFonts w:hint="eastAsia" w:ascii="宋体" w:hAnsi="宋体" w:cs="宋体"/>
          <w:color w:val="auto"/>
          <w:sz w:val="24"/>
          <w:szCs w:val="24"/>
          <w:highlight w:val="none"/>
          <w:u w:val="single"/>
        </w:rPr>
        <w:t>缺陷责任</w:t>
      </w:r>
      <w:r>
        <w:rPr>
          <w:rFonts w:ascii="宋体" w:hAnsi="宋体" w:cs="宋体"/>
          <w:color w:val="auto"/>
          <w:sz w:val="24"/>
          <w:szCs w:val="24"/>
          <w:highlight w:val="none"/>
          <w:u w:val="single"/>
        </w:rPr>
        <w:t>期结束后结清（不计利息）</w:t>
      </w:r>
      <w:r>
        <w:rPr>
          <w:rFonts w:hint="eastAsia" w:ascii="宋体" w:hAnsi="宋体" w:cs="宋体"/>
          <w:color w:val="auto"/>
          <w:sz w:val="24"/>
          <w:szCs w:val="24"/>
          <w:highlight w:val="none"/>
        </w:rPr>
        <w:t>。</w:t>
      </w:r>
    </w:p>
    <w:p w14:paraId="7BD69E1F">
      <w:pPr>
        <w:snapToGrid w:val="0"/>
        <w:spacing w:line="440" w:lineRule="exact"/>
        <w:ind w:firstLine="338" w:firstLineChars="141"/>
        <w:rPr>
          <w:rFonts w:ascii="宋体" w:hAnsi="宋体" w:cs="宋体"/>
          <w:color w:val="auto"/>
          <w:sz w:val="24"/>
          <w:szCs w:val="24"/>
          <w:highlight w:val="none"/>
        </w:rPr>
      </w:pPr>
      <w:r>
        <w:rPr>
          <w:rFonts w:hint="eastAsia" w:ascii="宋体" w:hAnsi="宋体" w:cs="宋体"/>
          <w:color w:val="auto"/>
          <w:sz w:val="24"/>
          <w:szCs w:val="24"/>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14:paraId="71380516">
      <w:pPr>
        <w:adjustRightInd w:val="0"/>
        <w:snapToGrid w:val="0"/>
        <w:spacing w:line="440" w:lineRule="exact"/>
        <w:ind w:right="11" w:firstLine="420" w:firstLineChars="175"/>
        <w:rPr>
          <w:rFonts w:ascii="宋体" w:hAnsi="宋体" w:cs="宋体"/>
          <w:color w:val="auto"/>
          <w:sz w:val="24"/>
          <w:szCs w:val="24"/>
          <w:highlight w:val="none"/>
        </w:rPr>
      </w:pPr>
      <w:r>
        <w:rPr>
          <w:rFonts w:ascii="宋体" w:hAnsi="宋体" w:cs="宋体"/>
          <w:color w:val="auto"/>
          <w:sz w:val="24"/>
          <w:szCs w:val="24"/>
          <w:highlight w:val="none"/>
        </w:rPr>
        <w:t>26.2所有因变更、签证及价格调整等原因所调整增加的工程价款均应由承包人按广州开发区、</w:t>
      </w:r>
      <w:r>
        <w:rPr>
          <w:rFonts w:hint="eastAsia" w:ascii="宋体" w:hAnsi="宋体" w:cs="宋体"/>
          <w:color w:val="auto"/>
          <w:sz w:val="24"/>
          <w:szCs w:val="24"/>
          <w:highlight w:val="none"/>
        </w:rPr>
        <w:t>黄埔</w:t>
      </w:r>
      <w:r>
        <w:rPr>
          <w:rFonts w:ascii="宋体" w:hAnsi="宋体" w:cs="宋体"/>
          <w:color w:val="auto"/>
          <w:sz w:val="24"/>
          <w:szCs w:val="24"/>
          <w:highlight w:val="none"/>
        </w:rPr>
        <w:t>区及发包人相关规定程序，报监理初审，并经发包人审批同意后，按审定金额另行签订补充协议支付，或在工程结算中一并支付。</w:t>
      </w:r>
    </w:p>
    <w:p w14:paraId="7A9C0016">
      <w:pPr>
        <w:snapToGrid w:val="0"/>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26.4</w:t>
      </w:r>
      <w:r>
        <w:rPr>
          <w:rFonts w:hint="eastAsia" w:ascii="宋体" w:hAnsi="宋体" w:cs="宋体"/>
          <w:color w:val="auto"/>
          <w:sz w:val="24"/>
          <w:szCs w:val="24"/>
          <w:highlight w:val="none"/>
        </w:rPr>
        <w:t>工程价款的支付条件：</w:t>
      </w:r>
    </w:p>
    <w:p w14:paraId="6BB6B582">
      <w:pPr>
        <w:snapToGrid w:val="0"/>
        <w:spacing w:line="440" w:lineRule="exact"/>
        <w:ind w:firstLine="48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1）支付</w:t>
      </w:r>
      <w:r>
        <w:rPr>
          <w:rFonts w:hint="eastAsia" w:ascii="宋体" w:hAnsi="宋体" w:cs="宋体"/>
          <w:color w:val="auto"/>
          <w:sz w:val="24"/>
          <w:szCs w:val="24"/>
          <w:highlight w:val="none"/>
        </w:rPr>
        <w:t>预付</w:t>
      </w:r>
      <w:r>
        <w:rPr>
          <w:rFonts w:ascii="宋体" w:hAnsi="宋体" w:cs="宋体"/>
          <w:color w:val="auto"/>
          <w:sz w:val="24"/>
          <w:szCs w:val="24"/>
          <w:highlight w:val="none"/>
        </w:rPr>
        <w:t>款：</w:t>
      </w:r>
      <w:r>
        <w:rPr>
          <w:rFonts w:hint="eastAsia" w:ascii="宋体" w:hAnsi="宋体" w:cs="宋体"/>
          <w:color w:val="auto"/>
          <w:sz w:val="24"/>
          <w:szCs w:val="24"/>
          <w:highlight w:val="none"/>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按可开工部分的工程量占总工程量的比例做相应调整</w:t>
      </w:r>
      <w:r>
        <w:rPr>
          <w:rFonts w:hint="eastAsia" w:ascii="宋体" w:hAnsi="宋体" w:cs="宋体"/>
          <w:color w:val="auto"/>
          <w:sz w:val="24"/>
          <w:szCs w:val="24"/>
          <w:highlight w:val="none"/>
        </w:rPr>
        <w:t>。</w:t>
      </w:r>
    </w:p>
    <w:p w14:paraId="6FE2D4FA">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2）支付工程款（进度款）：</w:t>
      </w:r>
      <w:r>
        <w:rPr>
          <w:rFonts w:hint="eastAsia" w:ascii="宋体" w:hAnsi="宋体" w:cs="宋体"/>
          <w:color w:val="auto"/>
          <w:sz w:val="24"/>
          <w:szCs w:val="24"/>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cs="宋体"/>
          <w:color w:val="auto"/>
          <w:sz w:val="24"/>
          <w:szCs w:val="24"/>
          <w:highlight w:val="none"/>
        </w:rPr>
        <w:t>。</w:t>
      </w:r>
    </w:p>
    <w:p w14:paraId="00B7370E">
      <w:pPr>
        <w:pStyle w:val="31"/>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26.5</w:t>
      </w: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支付的支付条件：</w:t>
      </w:r>
    </w:p>
    <w:p w14:paraId="63A9D7D7">
      <w:pPr>
        <w:pStyle w:val="31"/>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按在工程投标最高报价中的</w:t>
      </w: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用计取，专款专用，并从本施工合同价款中提取（</w:t>
      </w: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已包含在本工程中标价即施工合同价中）。该费用根据《广州开发区财政投资建设项目管理中心建设项目绿色施工安全防护措施费支付管理实施细则（2024年修订）》（穗开建管〔2024〕47号）及“穗建筑【2008】967号”文及“穗建筑【2018】981号”规定，分阶段支付</w:t>
      </w: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w:t>
      </w:r>
    </w:p>
    <w:p w14:paraId="5ED4C208">
      <w:pPr>
        <w:spacing w:line="440" w:lineRule="exact"/>
        <w:rPr>
          <w:rFonts w:ascii="宋体" w:hAnsi="宋体" w:cs="宋体"/>
          <w:color w:val="auto"/>
          <w:sz w:val="24"/>
          <w:highlight w:val="none"/>
        </w:rPr>
      </w:pPr>
      <w:r>
        <w:rPr>
          <w:rFonts w:ascii="宋体" w:hAnsi="宋体" w:cs="宋体"/>
          <w:color w:val="auto"/>
          <w:sz w:val="24"/>
          <w:highlight w:val="none"/>
        </w:rPr>
        <w:t xml:space="preserve">    1</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工程项目开工日一个月内，由</w:t>
      </w:r>
      <w:r>
        <w:rPr>
          <w:rFonts w:hint="eastAsia" w:ascii="宋体" w:hAnsi="宋体" w:cs="宋体"/>
          <w:color w:val="auto"/>
          <w:sz w:val="24"/>
          <w:highlight w:val="none"/>
        </w:rPr>
        <w:t>承包人</w:t>
      </w:r>
      <w:r>
        <w:rPr>
          <w:rFonts w:hint="eastAsia" w:ascii="宋体" w:hAnsi="宋体" w:eastAsia="宋体" w:cs="宋体"/>
          <w:color w:val="auto"/>
          <w:sz w:val="24"/>
          <w:szCs w:val="24"/>
          <w:highlight w:val="none"/>
        </w:rPr>
        <w:t>主动向</w:t>
      </w:r>
      <w:r>
        <w:rPr>
          <w:rFonts w:hint="eastAsia" w:ascii="宋体" w:hAnsi="宋体" w:cs="宋体"/>
          <w:color w:val="auto"/>
          <w:sz w:val="24"/>
          <w:highlight w:val="none"/>
        </w:rPr>
        <w:t>发包人</w:t>
      </w:r>
      <w:r>
        <w:rPr>
          <w:rFonts w:hint="eastAsia" w:ascii="宋体" w:hAnsi="宋体" w:eastAsia="宋体" w:cs="宋体"/>
          <w:color w:val="auto"/>
          <w:sz w:val="24"/>
          <w:szCs w:val="24"/>
          <w:highlight w:val="none"/>
        </w:rPr>
        <w:t>提出申请</w:t>
      </w:r>
      <w:r>
        <w:rPr>
          <w:rFonts w:hint="eastAsia" w:ascii="宋体" w:hAnsi="宋体" w:cs="宋体"/>
          <w:color w:val="auto"/>
          <w:sz w:val="24"/>
          <w:highlight w:val="none"/>
        </w:rPr>
        <w:t>，预付绿色施工安全防护措施费的</w:t>
      </w:r>
      <w:r>
        <w:rPr>
          <w:rFonts w:ascii="宋体" w:hAnsi="宋体" w:cs="宋体"/>
          <w:color w:val="auto"/>
          <w:sz w:val="24"/>
          <w:highlight w:val="none"/>
        </w:rPr>
        <w:t>50%</w:t>
      </w:r>
      <w:r>
        <w:rPr>
          <w:rFonts w:hint="eastAsia" w:ascii="宋体" w:hAnsi="宋体" w:cs="宋体"/>
          <w:color w:val="auto"/>
          <w:sz w:val="24"/>
          <w:highlight w:val="none"/>
        </w:rPr>
        <w:t>。</w:t>
      </w:r>
    </w:p>
    <w:p w14:paraId="6D321A1A">
      <w:pPr>
        <w:spacing w:line="440" w:lineRule="exact"/>
        <w:rPr>
          <w:rFonts w:ascii="宋体" w:hAnsi="宋体" w:cs="宋体"/>
          <w:color w:val="auto"/>
          <w:sz w:val="24"/>
          <w:highlight w:val="none"/>
        </w:rPr>
      </w:pPr>
      <w:r>
        <w:rPr>
          <w:rFonts w:ascii="宋体" w:hAnsi="宋体" w:cs="宋体"/>
          <w:color w:val="auto"/>
          <w:sz w:val="24"/>
          <w:highlight w:val="none"/>
        </w:rPr>
        <w:t xml:space="preserve">    2</w:t>
      </w:r>
      <w:r>
        <w:rPr>
          <w:rFonts w:hint="eastAsia" w:ascii="宋体" w:hAnsi="宋体" w:cs="宋体"/>
          <w:color w:val="auto"/>
          <w:sz w:val="24"/>
          <w:highlight w:val="none"/>
        </w:rPr>
        <w:t>、第一次现场验收合格后可以申请绿色施工安全防护措施费的40%。申请需提供区建管中心出具的《检查记录表》，且评定等级为合格或以上。</w:t>
      </w:r>
    </w:p>
    <w:p w14:paraId="694FE670">
      <w:pPr>
        <w:spacing w:line="440" w:lineRule="exact"/>
        <w:ind w:firstLine="48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、第二次现场验收合格后可以申请绿色施工安全防护措施费的10%。申请需提供区质监站出具的《建设工程施工安全评价书》且评定等级为合格或以上。</w:t>
      </w:r>
    </w:p>
    <w:p w14:paraId="435FCD4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u w:val="single"/>
        </w:rPr>
        <w:t>如存在特殊情况的，绿色施工安全防护措施费</w:t>
      </w:r>
      <w:r>
        <w:rPr>
          <w:rFonts w:hint="eastAsia" w:ascii="宋体" w:hAnsi="宋体" w:cs="宋体"/>
          <w:color w:val="auto"/>
          <w:sz w:val="24"/>
          <w:highlight w:val="none"/>
        </w:rPr>
        <w:t>具体支付方式及条件以《广州开发区财政投资建设项目管理中心建设项目绿色施工安全防护措施费支付管理实施细则（2024年修订）》（穗开建管〔2024〕47号）为准。</w:t>
      </w:r>
    </w:p>
    <w:p w14:paraId="18DEA96B">
      <w:pPr>
        <w:pStyle w:val="36"/>
        <w:spacing w:line="440" w:lineRule="exact"/>
        <w:ind w:firstLine="480" w:firstLineChars="200"/>
        <w:outlineLvl w:val="1"/>
        <w:rPr>
          <w:rFonts w:ascii="宋体" w:hAnsi="宋体" w:cs="宋体"/>
          <w:color w:val="auto"/>
          <w:sz w:val="24"/>
          <w:szCs w:val="24"/>
          <w:highlight w:val="none"/>
        </w:rPr>
      </w:pPr>
      <w:bookmarkStart w:id="262" w:name="_Toc9719"/>
      <w:r>
        <w:rPr>
          <w:rFonts w:ascii="宋体" w:hAnsi="宋体" w:cs="宋体"/>
          <w:color w:val="auto"/>
          <w:sz w:val="24"/>
          <w:szCs w:val="24"/>
          <w:highlight w:val="none"/>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bookmarkEnd w:id="262"/>
    </w:p>
    <w:p w14:paraId="3547C44B">
      <w:pPr>
        <w:snapToGrid w:val="0"/>
        <w:spacing w:line="440" w:lineRule="exact"/>
        <w:ind w:firstLine="480" w:firstLineChars="200"/>
        <w:rPr>
          <w:rFonts w:ascii="宋体" w:hAnsi="宋体" w:cs="宋体"/>
          <w:color w:val="auto"/>
          <w:sz w:val="24"/>
          <w:szCs w:val="24"/>
          <w:highlight w:val="none"/>
        </w:rPr>
      </w:pPr>
    </w:p>
    <w:p w14:paraId="7BEC5AD5">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七、材料设备供应</w:t>
      </w:r>
    </w:p>
    <w:p w14:paraId="163BE8AD">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27</w:t>
      </w:r>
      <w:r>
        <w:rPr>
          <w:rFonts w:hint="eastAsia" w:ascii="宋体" w:hAnsi="宋体" w:cs="宋体"/>
          <w:b/>
          <w:color w:val="auto"/>
          <w:sz w:val="24"/>
          <w:highlight w:val="none"/>
        </w:rPr>
        <w:t>、发包人供应材料设备</w:t>
      </w:r>
    </w:p>
    <w:p w14:paraId="34723E24">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27.4</w:t>
      </w:r>
      <w:r>
        <w:rPr>
          <w:rFonts w:hint="eastAsia" w:ascii="宋体" w:hAnsi="宋体" w:cs="宋体"/>
          <w:color w:val="auto"/>
          <w:sz w:val="24"/>
          <w:szCs w:val="24"/>
          <w:highlight w:val="none"/>
        </w:rPr>
        <w:t>发包人供应的材料设备与一览表不符时，双方约定发包人承担责任如下：</w:t>
      </w:r>
    </w:p>
    <w:p w14:paraId="7FCB2C05">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材料设备单价与一览表不符：</w:t>
      </w:r>
      <w:r>
        <w:rPr>
          <w:rFonts w:ascii="宋体" w:hAnsi="宋体" w:cs="宋体"/>
          <w:color w:val="auto"/>
          <w:sz w:val="24"/>
          <w:highlight w:val="none"/>
          <w:u w:val="single"/>
        </w:rPr>
        <mc:AlternateContent>
          <mc:Choice Requires="wps">
            <w:drawing>
              <wp:anchor distT="0" distB="0" distL="114300" distR="114300" simplePos="0" relativeHeight="251666432"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11" name="_x0000_s103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30" o:spid="_x0000_s1026" o:spt="20" style="position:absolute;left:0pt;margin-left:280pt;margin-top:0pt;height:0pt;width:0.05pt;z-index:251666432;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85eQQ0wAAAAUBAAAPAAAA&#10;AAAAAAEAIAAAACIAAABkcnMvZG93bnJldi54bWxQSwECFAAUAAAACACHTuJA2TT1Q+EBAADqAwAA&#10;DgAAAAAAAAABACAAAAAiAQAAZHJzL2Uyb0RvYy54bWxQSwUGAAAAAAYABgBZAQAAdQUAAAAA&#10;">
                <v:fill on="f" focussize="0,0"/>
                <v:stroke color="#000000" joinstyle="round"/>
                <v:imagedata o:title=""/>
                <o:lock v:ext="edit" aspectratio="f"/>
              </v:line>
            </w:pict>
          </mc:Fallback>
        </mc:AlternateConten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26754BF">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材料设备的品种、规格、型号、质量等级与一览表不符：</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3D8D365F">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承包人可代为调剂串换的材料：</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4CE8EA4E">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到货地点与一览表不符：</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4DF607EF">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供应数量与一览表不符：</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2D8650A3">
      <w:pPr>
        <w:tabs>
          <w:tab w:val="left" w:pos="700"/>
        </w:tabs>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）到货时间与一览表不符；</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51B7DC77">
      <w:pPr>
        <w:tabs>
          <w:tab w:val="left" w:pos="700"/>
        </w:tabs>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27.6</w:t>
      </w:r>
      <w:r>
        <w:rPr>
          <w:rFonts w:hint="eastAsia" w:ascii="宋体" w:hAnsi="宋体" w:cs="宋体"/>
          <w:color w:val="auto"/>
          <w:sz w:val="24"/>
          <w:szCs w:val="24"/>
          <w:highlight w:val="none"/>
        </w:rPr>
        <w:t>发包人供应材料设备的结算方法：</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697C7A6D">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28</w:t>
      </w:r>
      <w:r>
        <w:rPr>
          <w:rFonts w:hint="eastAsia" w:ascii="宋体" w:hAnsi="宋体" w:cs="宋体"/>
          <w:b/>
          <w:color w:val="auto"/>
          <w:sz w:val="24"/>
          <w:highlight w:val="none"/>
        </w:rPr>
        <w:t>、承包人采购材料设备</w:t>
      </w:r>
    </w:p>
    <w:p w14:paraId="786A8281">
      <w:pPr>
        <w:spacing w:line="440" w:lineRule="exact"/>
        <w:rPr>
          <w:rFonts w:ascii="宋体" w:hAnsi="宋体" w:cs="宋体"/>
          <w:color w:val="auto"/>
          <w:sz w:val="24"/>
          <w:szCs w:val="24"/>
          <w:highlight w:val="none"/>
          <w:u w:val="single"/>
        </w:rPr>
      </w:pPr>
      <w:r>
        <w:rPr>
          <w:rFonts w:ascii="宋体" w:hAnsi="宋体" w:cs="宋体"/>
          <w:color w:val="auto"/>
          <w:sz w:val="24"/>
          <w:szCs w:val="24"/>
          <w:highlight w:val="none"/>
        </w:rPr>
        <w:t>28.1</w:t>
      </w:r>
      <w:r>
        <w:rPr>
          <w:rFonts w:hint="eastAsia" w:ascii="宋体" w:hAnsi="宋体" w:cs="宋体"/>
          <w:color w:val="auto"/>
          <w:sz w:val="24"/>
          <w:szCs w:val="24"/>
          <w:highlight w:val="none"/>
        </w:rPr>
        <w:t>承包人采购材料设备的约定：</w:t>
      </w:r>
      <w:r>
        <w:rPr>
          <w:rFonts w:hint="eastAsia" w:ascii="宋体" w:hAnsi="宋体" w:cs="宋体"/>
          <w:color w:val="auto"/>
          <w:sz w:val="24"/>
          <w:szCs w:val="24"/>
          <w:highlight w:val="none"/>
          <w:u w:val="single"/>
        </w:rPr>
        <w:t>由承包人负责采购材料设备的，按招标文件规定和本合同专用条款第</w:t>
      </w:r>
      <w:r>
        <w:rPr>
          <w:rFonts w:ascii="宋体" w:hAnsi="宋体" w:cs="宋体"/>
          <w:color w:val="auto"/>
          <w:sz w:val="24"/>
          <w:szCs w:val="24"/>
          <w:highlight w:val="none"/>
          <w:u w:val="single"/>
        </w:rPr>
        <w:t>47.28</w:t>
      </w:r>
      <w:r>
        <w:rPr>
          <w:rFonts w:hint="eastAsia" w:ascii="宋体" w:hAnsi="宋体" w:cs="宋体"/>
          <w:color w:val="auto"/>
          <w:sz w:val="24"/>
          <w:szCs w:val="24"/>
          <w:highlight w:val="none"/>
          <w:u w:val="single"/>
        </w:rPr>
        <w:t>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ascii="宋体" w:hAnsi="宋体" w:cs="宋体"/>
          <w:color w:val="auto"/>
          <w:sz w:val="24"/>
          <w:szCs w:val="24"/>
          <w:highlight w:val="none"/>
          <w:u w:val="single"/>
        </w:rPr>
        <w:t>24小时通知工程师清点。</w:t>
      </w:r>
    </w:p>
    <w:p w14:paraId="3F25F02C">
      <w:pPr>
        <w:spacing w:line="440" w:lineRule="exact"/>
        <w:rPr>
          <w:rFonts w:ascii="宋体" w:hAnsi="宋体" w:cs="宋体"/>
          <w:color w:val="auto"/>
          <w:sz w:val="24"/>
          <w:szCs w:val="24"/>
          <w:highlight w:val="none"/>
          <w:u w:val="single"/>
        </w:rPr>
      </w:pPr>
      <w:r>
        <w:rPr>
          <w:rFonts w:ascii="宋体" w:hAnsi="宋体" w:cs="宋体"/>
          <w:color w:val="auto"/>
          <w:sz w:val="24"/>
          <w:szCs w:val="24"/>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14:paraId="046F8561">
      <w:pPr>
        <w:spacing w:line="440" w:lineRule="exact"/>
        <w:rPr>
          <w:rFonts w:ascii="宋体" w:hAnsi="宋体" w:cs="宋体"/>
          <w:color w:val="auto"/>
          <w:sz w:val="24"/>
          <w:szCs w:val="24"/>
          <w:highlight w:val="none"/>
          <w:u w:val="single"/>
        </w:rPr>
      </w:pPr>
      <w:r>
        <w:rPr>
          <w:rFonts w:ascii="宋体" w:hAnsi="宋体" w:cs="宋体"/>
          <w:color w:val="auto"/>
          <w:sz w:val="24"/>
          <w:szCs w:val="24"/>
          <w:highlight w:val="none"/>
          <w:u w:val="single"/>
        </w:rPr>
        <w:t>28.3所有材料、设备报价必须报监理、业主同意后方可使用。</w:t>
      </w:r>
    </w:p>
    <w:p w14:paraId="29713D3D">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八、工程变更</w:t>
      </w:r>
    </w:p>
    <w:p w14:paraId="2D81786C">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29、工程设计变更</w:t>
      </w:r>
    </w:p>
    <w:p w14:paraId="2D6332F9">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29.4</w:t>
      </w:r>
      <w:r>
        <w:rPr>
          <w:rFonts w:hint="eastAsia" w:ascii="宋体" w:hAnsi="宋体" w:cs="宋体"/>
          <w:color w:val="auto"/>
          <w:sz w:val="24"/>
          <w:szCs w:val="24"/>
          <w:highlight w:val="none"/>
          <w:u w:val="single"/>
        </w:rPr>
        <w:t>开工前，发包人组织承包人、监理单位、设计单位对施工图纸进行会审。同时，如实施工程变更，承包人应以书面形式通知发包人和监理工程师，经监理工程师审查并报发包人同意后，由发包人与设计单位商定修改或变更设计方案进行实施</w:t>
      </w:r>
      <w:r>
        <w:rPr>
          <w:rFonts w:hint="eastAsia" w:ascii="宋体" w:hAnsi="宋体" w:cs="宋体"/>
          <w:color w:val="auto"/>
          <w:sz w:val="24"/>
          <w:szCs w:val="24"/>
          <w:highlight w:val="none"/>
        </w:rPr>
        <w:t>。</w:t>
      </w:r>
    </w:p>
    <w:p w14:paraId="3F8A1A32">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29.5</w:t>
      </w:r>
      <w:r>
        <w:rPr>
          <w:rFonts w:hint="eastAsia" w:ascii="宋体" w:hAnsi="宋体" w:cs="宋体"/>
          <w:color w:val="auto"/>
          <w:sz w:val="24"/>
          <w:szCs w:val="24"/>
          <w:highlight w:val="none"/>
          <w:u w:val="single"/>
        </w:rPr>
        <w:t>变更应由监理工程师发出变更指令，没有监理工程师的指令，承包人不得进行上述变更</w:t>
      </w:r>
      <w:r>
        <w:rPr>
          <w:rFonts w:hint="eastAsia" w:ascii="宋体" w:hAnsi="宋体" w:cs="宋体"/>
          <w:color w:val="auto"/>
          <w:sz w:val="24"/>
          <w:szCs w:val="24"/>
          <w:highlight w:val="none"/>
        </w:rPr>
        <w:t>。</w:t>
      </w:r>
    </w:p>
    <w:p w14:paraId="42FC9A52">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29.6</w:t>
      </w:r>
      <w:r>
        <w:rPr>
          <w:rFonts w:hint="eastAsia" w:ascii="宋体" w:hAnsi="宋体" w:cs="宋体"/>
          <w:color w:val="auto"/>
          <w:sz w:val="24"/>
          <w:szCs w:val="24"/>
          <w:highlight w:val="none"/>
          <w:u w:val="single"/>
        </w:rPr>
        <w:t>按施工图纸实施使得工程量少于施工合同工程量清单中已确定或有规定的数量的，则该项工程量减少不需要任何指令</w:t>
      </w:r>
      <w:r>
        <w:rPr>
          <w:rFonts w:hint="eastAsia" w:ascii="宋体" w:hAnsi="宋体" w:cs="宋体"/>
          <w:color w:val="auto"/>
          <w:sz w:val="24"/>
          <w:szCs w:val="24"/>
          <w:highlight w:val="none"/>
        </w:rPr>
        <w:t>。</w:t>
      </w:r>
    </w:p>
    <w:p w14:paraId="4B043B25">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29.7</w:t>
      </w:r>
      <w:r>
        <w:rPr>
          <w:rFonts w:hint="eastAsia" w:ascii="宋体" w:hAnsi="宋体" w:cs="宋体"/>
          <w:color w:val="auto"/>
          <w:sz w:val="24"/>
          <w:szCs w:val="24"/>
          <w:highlight w:val="none"/>
          <w:u w:val="single"/>
        </w:rPr>
        <w:t>所有涉及工期和工程量的变更均应获得发包人书面批准才能生效</w:t>
      </w:r>
      <w:r>
        <w:rPr>
          <w:rFonts w:hint="eastAsia" w:ascii="宋体" w:hAnsi="宋体" w:cs="宋体"/>
          <w:color w:val="auto"/>
          <w:sz w:val="24"/>
          <w:szCs w:val="24"/>
          <w:highlight w:val="none"/>
        </w:rPr>
        <w:t>。</w:t>
      </w:r>
    </w:p>
    <w:p w14:paraId="3A0F2130">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29.8</w:t>
      </w:r>
      <w:r>
        <w:rPr>
          <w:rFonts w:hint="eastAsia" w:ascii="宋体" w:hAnsi="宋体" w:cs="宋体"/>
          <w:color w:val="auto"/>
          <w:sz w:val="24"/>
          <w:szCs w:val="24"/>
          <w:highlight w:val="none"/>
          <w:u w:val="single"/>
        </w:rPr>
        <w:t>当发包人提出变更通知，承包人认为产生了增加费用，承包人应在发包人提出通知要求后</w:t>
      </w:r>
      <w:r>
        <w:rPr>
          <w:rFonts w:ascii="宋体" w:hAnsi="宋体" w:cs="宋体"/>
          <w:color w:val="auto"/>
          <w:sz w:val="24"/>
          <w:szCs w:val="24"/>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宋体" w:hAnsi="宋体" w:cs="宋体"/>
          <w:color w:val="auto"/>
          <w:sz w:val="24"/>
          <w:szCs w:val="24"/>
          <w:highlight w:val="none"/>
        </w:rPr>
        <w:t>。</w:t>
      </w:r>
    </w:p>
    <w:p w14:paraId="40AC8737">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29.9</w:t>
      </w:r>
      <w:r>
        <w:rPr>
          <w:rFonts w:hint="eastAsia" w:ascii="宋体" w:hAnsi="宋体" w:cs="宋体"/>
          <w:color w:val="auto"/>
          <w:sz w:val="24"/>
          <w:szCs w:val="24"/>
          <w:highlight w:val="none"/>
          <w:u w:val="single"/>
        </w:rPr>
        <w:t>工程变更申报程序按广州开发区、黄埔区以及建设业主的有关规定执行</w:t>
      </w:r>
      <w:r>
        <w:rPr>
          <w:rFonts w:hint="eastAsia" w:ascii="宋体" w:hAnsi="宋体" w:cs="宋体"/>
          <w:color w:val="auto"/>
          <w:sz w:val="24"/>
          <w:szCs w:val="24"/>
          <w:highlight w:val="none"/>
        </w:rPr>
        <w:t>。</w:t>
      </w:r>
    </w:p>
    <w:p w14:paraId="2B5C99BD">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29.10</w:t>
      </w:r>
      <w:r>
        <w:rPr>
          <w:rFonts w:ascii="宋体" w:hAnsi="宋体" w:cs="宋体"/>
          <w:color w:val="auto"/>
          <w:sz w:val="24"/>
          <w:szCs w:val="24"/>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宋体" w:hAnsi="宋体" w:cs="宋体"/>
          <w:color w:val="auto"/>
          <w:sz w:val="24"/>
          <w:szCs w:val="24"/>
          <w:highlight w:val="none"/>
        </w:rPr>
        <w:t>。</w:t>
      </w:r>
    </w:p>
    <w:p w14:paraId="21352D75">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30、其它变更</w:t>
      </w:r>
    </w:p>
    <w:p w14:paraId="3B4A0220">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30.1工程现场签证：</w:t>
      </w:r>
      <w:r>
        <w:rPr>
          <w:rFonts w:hint="eastAsia" w:ascii="宋体" w:hAnsi="宋体" w:cs="宋体"/>
          <w:color w:val="auto"/>
          <w:sz w:val="24"/>
          <w:szCs w:val="24"/>
          <w:highlight w:val="none"/>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Pr>
          <w:rFonts w:hint="eastAsia" w:ascii="宋体" w:hAnsi="宋体" w:cs="宋体"/>
          <w:color w:val="auto"/>
          <w:sz w:val="24"/>
          <w:szCs w:val="24"/>
          <w:highlight w:val="none"/>
        </w:rPr>
        <w:t>。</w:t>
      </w:r>
    </w:p>
    <w:p w14:paraId="46D8AAF0">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承包人需对施工图纸进行会审，如需对工程量清单错漏进行确认，承包人需在前四分之一工期阶段内且最长不得超过中标通知书发出之日起</w:t>
      </w:r>
      <w:r>
        <w:rPr>
          <w:rFonts w:ascii="宋体" w:hAnsi="宋体" w:cs="宋体"/>
          <w:color w:val="auto"/>
          <w:sz w:val="24"/>
          <w:szCs w:val="24"/>
          <w:highlight w:val="none"/>
          <w:u w:val="single"/>
        </w:rPr>
        <w:t>6个月内向发包人提出，</w:t>
      </w:r>
      <w:r>
        <w:rPr>
          <w:rFonts w:hint="eastAsia" w:ascii="宋体" w:hAnsi="宋体" w:cs="宋体"/>
          <w:color w:val="auto"/>
          <w:sz w:val="24"/>
          <w:szCs w:val="24"/>
          <w:highlight w:val="none"/>
          <w:u w:val="single"/>
        </w:rPr>
        <w:t>并按</w:t>
      </w:r>
      <w:r>
        <w:rPr>
          <w:rFonts w:hint="eastAsia" w:ascii="宋体" w:hAnsi="宋体" w:cs="宋体"/>
          <w:color w:val="auto"/>
          <w:sz w:val="24"/>
          <w:highlight w:val="none"/>
          <w:u w:val="single"/>
        </w:rPr>
        <w:t>《广州开发区财政投资建设项目管理中心工程量清单错漏申报管理办法（2024年）》（穗开建管〔2024〕54号）</w:t>
      </w:r>
      <w:r>
        <w:rPr>
          <w:rFonts w:hint="eastAsia" w:ascii="宋体" w:hAnsi="宋体" w:cs="宋体"/>
          <w:color w:val="auto"/>
          <w:sz w:val="24"/>
          <w:szCs w:val="24"/>
          <w:highlight w:val="none"/>
          <w:u w:val="single"/>
        </w:rPr>
        <w:t>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14:paraId="325AC560">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30.2签证的计价：</w:t>
      </w:r>
      <w:r>
        <w:rPr>
          <w:rFonts w:hint="eastAsia" w:ascii="宋体" w:hAnsi="宋体" w:cs="宋体"/>
          <w:color w:val="auto"/>
          <w:sz w:val="24"/>
          <w:szCs w:val="24"/>
          <w:highlight w:val="none"/>
          <w:u w:val="single"/>
        </w:rPr>
        <w:t>按招标文件及合同中关于工程变更的计价有关规定执行</w:t>
      </w:r>
      <w:r>
        <w:rPr>
          <w:rFonts w:hint="eastAsia" w:ascii="宋体" w:hAnsi="宋体" w:cs="宋体"/>
          <w:color w:val="auto"/>
          <w:sz w:val="24"/>
          <w:szCs w:val="24"/>
          <w:highlight w:val="none"/>
        </w:rPr>
        <w:t>。</w:t>
      </w:r>
    </w:p>
    <w:p w14:paraId="4780684C">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30.3签证实施前所需的施工方案：</w:t>
      </w:r>
      <w:r>
        <w:rPr>
          <w:rFonts w:hint="eastAsia" w:ascii="宋体" w:hAnsi="宋体" w:cs="宋体"/>
          <w:color w:val="auto"/>
          <w:sz w:val="24"/>
          <w:szCs w:val="24"/>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cs="宋体"/>
          <w:color w:val="auto"/>
          <w:sz w:val="24"/>
          <w:szCs w:val="24"/>
          <w:highlight w:val="none"/>
        </w:rPr>
        <w:t>。</w:t>
      </w:r>
    </w:p>
    <w:p w14:paraId="449534F4">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30.4</w:t>
      </w:r>
      <w:r>
        <w:rPr>
          <w:rFonts w:hint="eastAsia" w:ascii="宋体" w:hAnsi="宋体" w:cs="宋体"/>
          <w:color w:val="auto"/>
          <w:sz w:val="24"/>
          <w:szCs w:val="24"/>
          <w:highlight w:val="none"/>
          <w:u w:val="single"/>
        </w:rPr>
        <w:t>工程现场签证申报程序按广州开发区、黄埔区以及建设业主的有关规定执行</w:t>
      </w:r>
      <w:r>
        <w:rPr>
          <w:rFonts w:hint="eastAsia" w:ascii="宋体" w:hAnsi="宋体" w:cs="宋体"/>
          <w:color w:val="auto"/>
          <w:sz w:val="24"/>
          <w:szCs w:val="24"/>
          <w:highlight w:val="none"/>
        </w:rPr>
        <w:t>。</w:t>
      </w:r>
    </w:p>
    <w:p w14:paraId="011D4A68">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31、确定变更价款</w:t>
      </w:r>
    </w:p>
    <w:p w14:paraId="5F27B219">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31.1</w:t>
      </w:r>
      <w:r>
        <w:rPr>
          <w:rFonts w:ascii="宋体" w:hAnsi="宋体" w:cs="宋体"/>
          <w:color w:val="auto"/>
          <w:sz w:val="24"/>
          <w:szCs w:val="24"/>
          <w:highlight w:val="none"/>
          <w:u w:val="single"/>
        </w:rPr>
        <w:t>承包人在工程变更确定后14天内，提出变更工程价款的报告，经工程师确认后调整合同价款。</w:t>
      </w:r>
      <w:r>
        <w:rPr>
          <w:rFonts w:hint="eastAsia" w:ascii="宋体" w:hAnsi="宋体" w:cs="宋体"/>
          <w:color w:val="auto"/>
          <w:sz w:val="24"/>
          <w:szCs w:val="24"/>
          <w:highlight w:val="none"/>
          <w:u w:val="single"/>
        </w:rPr>
        <w:t>变更合同价款确定原则按本合同相关约定执行</w:t>
      </w:r>
      <w:r>
        <w:rPr>
          <w:rFonts w:hint="eastAsia" w:ascii="宋体" w:hAnsi="宋体" w:cs="宋体"/>
          <w:color w:val="auto"/>
          <w:sz w:val="24"/>
          <w:szCs w:val="24"/>
          <w:highlight w:val="none"/>
        </w:rPr>
        <w:t>。</w:t>
      </w:r>
    </w:p>
    <w:p w14:paraId="7A6C0049">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31.3</w:t>
      </w:r>
      <w:r>
        <w:rPr>
          <w:rFonts w:ascii="宋体" w:hAnsi="宋体" w:cs="宋体"/>
          <w:color w:val="auto"/>
          <w:sz w:val="24"/>
          <w:szCs w:val="24"/>
          <w:highlight w:val="none"/>
          <w:u w:val="single"/>
        </w:rPr>
        <w:t>所有变更工程价款的报告必须按规定程序报发包人审核确认</w:t>
      </w:r>
      <w:r>
        <w:rPr>
          <w:rFonts w:ascii="宋体" w:hAnsi="宋体" w:cs="宋体"/>
          <w:color w:val="auto"/>
          <w:sz w:val="24"/>
          <w:szCs w:val="24"/>
          <w:highlight w:val="none"/>
        </w:rPr>
        <w:t>。</w:t>
      </w:r>
    </w:p>
    <w:p w14:paraId="083865FB">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31.5</w:t>
      </w:r>
      <w:r>
        <w:rPr>
          <w:rFonts w:ascii="宋体" w:hAnsi="宋体" w:cs="宋体"/>
          <w:color w:val="auto"/>
          <w:sz w:val="24"/>
          <w:szCs w:val="24"/>
          <w:highlight w:val="none"/>
          <w:u w:val="single"/>
        </w:rPr>
        <w:t>工程变更价款的支付按本合同相关约定支付</w:t>
      </w:r>
      <w:r>
        <w:rPr>
          <w:rFonts w:ascii="宋体" w:hAnsi="宋体" w:cs="宋体"/>
          <w:color w:val="auto"/>
          <w:sz w:val="24"/>
          <w:szCs w:val="24"/>
          <w:highlight w:val="none"/>
        </w:rPr>
        <w:t>。</w:t>
      </w:r>
    </w:p>
    <w:p w14:paraId="7A7A2AFE">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31.7</w:t>
      </w:r>
      <w:r>
        <w:rPr>
          <w:rFonts w:hint="eastAsia" w:ascii="宋体" w:hAnsi="宋体" w:cs="宋体"/>
          <w:color w:val="auto"/>
          <w:sz w:val="24"/>
          <w:szCs w:val="24"/>
          <w:highlight w:val="none"/>
          <w:u w:val="single"/>
        </w:rPr>
        <w:t>发生上述规定的变更后，承包人在收到发包人变更通知的</w:t>
      </w:r>
      <w:r>
        <w:rPr>
          <w:rFonts w:ascii="宋体" w:hAnsi="宋体" w:cs="宋体"/>
          <w:color w:val="auto"/>
          <w:sz w:val="24"/>
          <w:szCs w:val="24"/>
          <w:highlight w:val="none"/>
          <w:u w:val="single"/>
        </w:rPr>
        <w:t>7天内按合同文件规定的计价方式内容编出变更工程建议送交监理单位</w:t>
      </w:r>
      <w:r>
        <w:rPr>
          <w:rFonts w:hint="eastAsia" w:ascii="宋体" w:hAnsi="宋体" w:cs="宋体"/>
          <w:color w:val="auto"/>
          <w:sz w:val="24"/>
          <w:szCs w:val="24"/>
          <w:highlight w:val="none"/>
        </w:rPr>
        <w:t>。</w:t>
      </w:r>
    </w:p>
    <w:p w14:paraId="6C2D6CA8">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31.8</w:t>
      </w:r>
      <w:r>
        <w:rPr>
          <w:rFonts w:hint="eastAsia" w:ascii="宋体" w:hAnsi="宋体" w:cs="宋体"/>
          <w:color w:val="auto"/>
          <w:sz w:val="24"/>
          <w:szCs w:val="24"/>
          <w:highlight w:val="none"/>
          <w:u w:val="single"/>
        </w:rPr>
        <w:t>在工程变更价款计算时，承包人应按招标文件相关规定编制变更工程的预算，提供变更依据及详细的计算资料，报监理单位和发包人批准</w:t>
      </w:r>
      <w:r>
        <w:rPr>
          <w:rFonts w:hint="eastAsia" w:ascii="宋体" w:hAnsi="宋体" w:cs="宋体"/>
          <w:color w:val="auto"/>
          <w:sz w:val="24"/>
          <w:szCs w:val="24"/>
          <w:highlight w:val="none"/>
        </w:rPr>
        <w:t>。</w:t>
      </w:r>
    </w:p>
    <w:p w14:paraId="3419CB32">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31.9</w:t>
      </w:r>
      <w:r>
        <w:rPr>
          <w:rFonts w:hint="eastAsia" w:ascii="宋体" w:hAnsi="宋体" w:cs="宋体"/>
          <w:color w:val="auto"/>
          <w:sz w:val="24"/>
          <w:szCs w:val="24"/>
          <w:highlight w:val="none"/>
          <w:u w:val="single"/>
        </w:rPr>
        <w:t>工程变更、签证申报程序按广州开发区、黄埔区以及建设业主的有关规定执行</w:t>
      </w:r>
      <w:r>
        <w:rPr>
          <w:rFonts w:hint="eastAsia" w:ascii="宋体" w:hAnsi="宋体" w:cs="宋体"/>
          <w:color w:val="auto"/>
          <w:sz w:val="24"/>
          <w:szCs w:val="24"/>
          <w:highlight w:val="none"/>
        </w:rPr>
        <w:t>。</w:t>
      </w:r>
    </w:p>
    <w:p w14:paraId="667784DB">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九、竣工验收与结算</w:t>
      </w:r>
    </w:p>
    <w:p w14:paraId="09D20055">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32</w:t>
      </w:r>
      <w:r>
        <w:rPr>
          <w:rFonts w:hint="eastAsia" w:ascii="宋体" w:hAnsi="宋体" w:cs="宋体"/>
          <w:b/>
          <w:color w:val="auto"/>
          <w:sz w:val="24"/>
          <w:highlight w:val="none"/>
        </w:rPr>
        <w:t>、竣工验收</w:t>
      </w:r>
    </w:p>
    <w:p w14:paraId="2B06918E">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32.1</w:t>
      </w:r>
      <w:r>
        <w:rPr>
          <w:rFonts w:hint="eastAsia" w:ascii="宋体" w:hAnsi="宋体" w:cs="宋体"/>
          <w:color w:val="auto"/>
          <w:sz w:val="24"/>
          <w:szCs w:val="24"/>
          <w:highlight w:val="none"/>
        </w:rPr>
        <w:t>承包人提供竣工图纸的约定：</w:t>
      </w:r>
      <w:r>
        <w:rPr>
          <w:rFonts w:hint="eastAsia" w:ascii="宋体" w:hAnsi="宋体" w:cs="宋体"/>
          <w:color w:val="auto"/>
          <w:sz w:val="24"/>
          <w:szCs w:val="24"/>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Pr>
          <w:rFonts w:hint="eastAsia" w:ascii="宋体" w:hAnsi="宋体" w:cs="宋体"/>
          <w:color w:val="auto"/>
          <w:sz w:val="24"/>
          <w:szCs w:val="24"/>
          <w:highlight w:val="none"/>
        </w:rPr>
        <w:t>。</w:t>
      </w:r>
    </w:p>
    <w:p w14:paraId="3E99AE09">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32.6</w:t>
      </w:r>
      <w:r>
        <w:rPr>
          <w:rFonts w:hint="eastAsia" w:ascii="宋体" w:hAnsi="宋体" w:cs="宋体"/>
          <w:color w:val="auto"/>
          <w:sz w:val="24"/>
          <w:szCs w:val="24"/>
          <w:highlight w:val="none"/>
        </w:rPr>
        <w:t>中间交工工程的范围和竣工时间：</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329EB6F9">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33、竣工结算</w:t>
      </w:r>
    </w:p>
    <w:p w14:paraId="1CF5D6C3">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承发包双方一致同意不适用</w:t>
      </w:r>
      <w:r>
        <w:rPr>
          <w:rFonts w:hint="eastAsia" w:ascii="宋体" w:hAnsi="宋体" w:cs="宋体"/>
          <w:color w:val="auto"/>
          <w:sz w:val="24"/>
          <w:szCs w:val="24"/>
          <w:highlight w:val="none"/>
          <w:u w:val="single"/>
        </w:rPr>
        <w:t>通用条款</w:t>
      </w:r>
      <w:r>
        <w:rPr>
          <w:rFonts w:ascii="宋体" w:hAnsi="宋体" w:cs="宋体"/>
          <w:color w:val="auto"/>
          <w:sz w:val="24"/>
          <w:szCs w:val="24"/>
          <w:highlight w:val="none"/>
          <w:u w:val="single"/>
        </w:rPr>
        <w:t>33.2款、33.3款、33.4款</w:t>
      </w:r>
      <w:r>
        <w:rPr>
          <w:rFonts w:hint="eastAsia" w:ascii="宋体" w:hAnsi="宋体" w:cs="宋体"/>
          <w:color w:val="auto"/>
          <w:sz w:val="24"/>
          <w:szCs w:val="24"/>
          <w:highlight w:val="none"/>
        </w:rPr>
        <w:t>。</w:t>
      </w:r>
    </w:p>
    <w:p w14:paraId="6A18B3FD">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竣工结算办法：</w:t>
      </w:r>
      <w:r>
        <w:rPr>
          <w:rFonts w:hint="eastAsia" w:ascii="宋体" w:hAnsi="宋体" w:cs="宋体"/>
          <w:color w:val="auto"/>
          <w:sz w:val="24"/>
          <w:szCs w:val="24"/>
          <w:highlight w:val="none"/>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cs="宋体"/>
          <w:color w:val="auto"/>
          <w:sz w:val="24"/>
          <w:szCs w:val="24"/>
          <w:highlight w:val="none"/>
        </w:rPr>
        <w:t>。</w:t>
      </w:r>
    </w:p>
    <w:p w14:paraId="1C8682E4">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竣工结算提交时间：</w:t>
      </w:r>
      <w:r>
        <w:rPr>
          <w:rFonts w:hint="eastAsia" w:ascii="宋体" w:hAnsi="宋体" w:cs="宋体"/>
          <w:color w:val="auto"/>
          <w:sz w:val="24"/>
          <w:szCs w:val="24"/>
          <w:highlight w:val="none"/>
          <w:u w:val="single"/>
        </w:rPr>
        <w:t>承包人须按</w:t>
      </w:r>
      <w:r>
        <w:rPr>
          <w:rFonts w:hint="eastAsia" w:ascii="宋体" w:hAnsi="宋体" w:cs="宋体"/>
          <w:color w:val="auto"/>
          <w:sz w:val="24"/>
          <w:highlight w:val="none"/>
          <w:u w:val="single"/>
        </w:rPr>
        <w:t>《广州开发区财政投资建设项目管理中心施工类合同结算编审指引（2024年修订稿）》（穗开建管【2024】65号）</w:t>
      </w:r>
      <w:r>
        <w:rPr>
          <w:rFonts w:hint="eastAsia" w:ascii="宋体" w:hAnsi="宋体" w:cs="宋体"/>
          <w:color w:val="auto"/>
          <w:sz w:val="24"/>
          <w:szCs w:val="24"/>
          <w:highlight w:val="none"/>
          <w:u w:val="single"/>
        </w:rPr>
        <w:t>及区有关规定编制及办理建设项目工程结算</w:t>
      </w:r>
      <w:r>
        <w:rPr>
          <w:rFonts w:hint="eastAsia" w:ascii="宋体" w:hAnsi="宋体" w:cs="宋体"/>
          <w:color w:val="auto"/>
          <w:sz w:val="24"/>
          <w:szCs w:val="24"/>
          <w:highlight w:val="none"/>
        </w:rPr>
        <w:t>。</w:t>
      </w:r>
    </w:p>
    <w:p w14:paraId="1E85C6DF">
      <w:pPr>
        <w:pStyle w:val="37"/>
        <w:spacing w:line="440" w:lineRule="exact"/>
        <w:ind w:firstLine="48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承包人未按前款规定的期限和内容编制及办理建设项目工程结算（非承包人原因无法办理工程结算的情况除外），经发包人或代建单位或监理人书面通知之日起</w:t>
      </w:r>
      <w:r>
        <w:rPr>
          <w:rFonts w:ascii="宋体" w:hAnsi="宋体" w:cs="宋体"/>
          <w:color w:val="auto"/>
          <w:sz w:val="24"/>
          <w:szCs w:val="24"/>
          <w:highlight w:val="none"/>
          <w:u w:val="single"/>
        </w:rPr>
        <w:t>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14:paraId="4493BFE6">
      <w:pPr>
        <w:pStyle w:val="37"/>
        <w:spacing w:line="440" w:lineRule="exact"/>
        <w:ind w:firstLine="240" w:firstLineChars="100"/>
        <w:rPr>
          <w:rFonts w:hint="default"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（4）承包人应实事求是报审项目投资，编制项目竣工结算报告，如提交的施工合同结算，经财政评审后核减率超过10%的，超出部分产生的中介评审费用由承包人负担，在结算审核中予以扣除。</w:t>
      </w:r>
    </w:p>
    <w:p w14:paraId="602AAB29">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十、违约、索赔和争议</w:t>
      </w:r>
    </w:p>
    <w:p w14:paraId="5AE699B8">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35</w:t>
      </w:r>
      <w:r>
        <w:rPr>
          <w:rFonts w:hint="eastAsia" w:ascii="宋体" w:hAnsi="宋体" w:cs="宋体"/>
          <w:b/>
          <w:color w:val="auto"/>
          <w:sz w:val="24"/>
          <w:highlight w:val="none"/>
        </w:rPr>
        <w:t>、违约</w:t>
      </w:r>
    </w:p>
    <w:p w14:paraId="0842ED5C">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35.1</w:t>
      </w:r>
      <w:r>
        <w:rPr>
          <w:rFonts w:hint="eastAsia" w:ascii="宋体" w:hAnsi="宋体" w:cs="宋体"/>
          <w:color w:val="auto"/>
          <w:sz w:val="24"/>
          <w:szCs w:val="24"/>
          <w:highlight w:val="none"/>
        </w:rPr>
        <w:t>本合同中关于发包人违约的具体责任如下：</w:t>
      </w:r>
    </w:p>
    <w:p w14:paraId="543A3585">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本合同通用条款第</w:t>
      </w:r>
      <w:r>
        <w:rPr>
          <w:rFonts w:ascii="宋体" w:hAnsi="宋体" w:cs="宋体"/>
          <w:color w:val="auto"/>
          <w:sz w:val="24"/>
          <w:szCs w:val="24"/>
          <w:highlight w:val="none"/>
        </w:rPr>
        <w:t>35.1条约定发包人违约应承担的责任：</w:t>
      </w:r>
      <w:r>
        <w:rPr>
          <w:rFonts w:hint="eastAsia" w:ascii="宋体" w:hAnsi="宋体" w:cs="宋体"/>
          <w:color w:val="auto"/>
          <w:sz w:val="24"/>
          <w:szCs w:val="24"/>
          <w:highlight w:val="none"/>
          <w:u w:val="single"/>
        </w:rPr>
        <w:t>顺延工期，但不作费用赔偿</w:t>
      </w:r>
      <w:r>
        <w:rPr>
          <w:rFonts w:hint="eastAsia" w:ascii="宋体" w:hAnsi="宋体" w:cs="宋体"/>
          <w:color w:val="auto"/>
          <w:sz w:val="24"/>
          <w:szCs w:val="24"/>
          <w:highlight w:val="none"/>
        </w:rPr>
        <w:t>。</w:t>
      </w:r>
    </w:p>
    <w:p w14:paraId="6B3F4497">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rPr>
        <w:t>双方约定的发包人其他违约责任：</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170B606B">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w:t>
      </w:r>
      <w:r>
        <w:rPr>
          <w:rFonts w:hint="eastAsia" w:ascii="宋体" w:hAnsi="宋体" w:cs="宋体"/>
          <w:color w:val="auto"/>
          <w:sz w:val="24"/>
          <w:szCs w:val="24"/>
          <w:highlight w:val="none"/>
        </w:rPr>
        <w:t>本合同中关于承包人违约的具体责任如下：</w:t>
      </w:r>
    </w:p>
    <w:p w14:paraId="444AE6CA">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35.2.1工期延误的违约责任</w:t>
      </w:r>
      <w:r>
        <w:rPr>
          <w:rFonts w:hint="eastAsia" w:ascii="宋体" w:hAnsi="宋体" w:cs="宋体"/>
          <w:color w:val="auto"/>
          <w:sz w:val="24"/>
          <w:szCs w:val="24"/>
          <w:highlight w:val="none"/>
        </w:rPr>
        <w:t>：</w:t>
      </w:r>
    </w:p>
    <w:p w14:paraId="41124AEA">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承包人未按发包人或监理单位开工令要求时间开工的，每迟延开工</w:t>
      </w:r>
      <w:r>
        <w:rPr>
          <w:rFonts w:ascii="宋体" w:hAnsi="宋体" w:cs="宋体"/>
          <w:color w:val="auto"/>
          <w:sz w:val="24"/>
          <w:szCs w:val="24"/>
          <w:highlight w:val="none"/>
          <w:u w:val="single"/>
        </w:rPr>
        <w:t>1</w:t>
      </w:r>
      <w:r>
        <w:rPr>
          <w:rFonts w:hint="eastAsia" w:ascii="宋体" w:hAnsi="宋体" w:cs="宋体"/>
          <w:color w:val="auto"/>
          <w:sz w:val="24"/>
          <w:szCs w:val="24"/>
          <w:highlight w:val="none"/>
          <w:u w:val="single"/>
        </w:rPr>
        <w:t>天，应向发包人支付违约金</w:t>
      </w:r>
      <w:r>
        <w:rPr>
          <w:rFonts w:ascii="宋体" w:hAnsi="宋体" w:cs="宋体"/>
          <w:color w:val="auto"/>
          <w:sz w:val="24"/>
          <w:szCs w:val="24"/>
          <w:highlight w:val="none"/>
          <w:u w:val="single"/>
        </w:rPr>
        <w:t>5000元；迟延开工超过20</w:t>
      </w:r>
      <w:r>
        <w:rPr>
          <w:rFonts w:hint="eastAsia" w:ascii="宋体" w:hAnsi="宋体" w:cs="宋体"/>
          <w:color w:val="auto"/>
          <w:sz w:val="24"/>
          <w:szCs w:val="24"/>
          <w:highlight w:val="none"/>
          <w:u w:val="single"/>
        </w:rPr>
        <w:t>天的，发包人有权根据实际情况单方面解除合同</w:t>
      </w:r>
      <w:r>
        <w:rPr>
          <w:rFonts w:hint="eastAsia" w:ascii="宋体" w:hAnsi="宋体" w:cs="宋体"/>
          <w:color w:val="auto"/>
          <w:sz w:val="24"/>
          <w:szCs w:val="24"/>
          <w:highlight w:val="none"/>
        </w:rPr>
        <w:t>。</w:t>
      </w:r>
    </w:p>
    <w:p w14:paraId="05A8F915">
      <w:pPr>
        <w:spacing w:line="440" w:lineRule="exact"/>
        <w:ind w:firstLine="56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因承包人的原因造成工期延误，其中属节点工期延误，从延误的第一天起，每天支付违约金</w:t>
      </w:r>
      <w:r>
        <w:rPr>
          <w:rFonts w:ascii="宋体" w:hAnsi="宋体" w:cs="宋体"/>
          <w:color w:val="auto"/>
          <w:sz w:val="24"/>
          <w:szCs w:val="24"/>
          <w:highlight w:val="none"/>
          <w:u w:val="single"/>
        </w:rPr>
        <w:t>5000</w:t>
      </w:r>
      <w:r>
        <w:rPr>
          <w:rFonts w:hint="eastAsia" w:ascii="宋体" w:hAnsi="宋体" w:cs="宋体"/>
          <w:color w:val="auto"/>
          <w:sz w:val="24"/>
          <w:szCs w:val="24"/>
          <w:highlight w:val="none"/>
          <w:u w:val="single"/>
        </w:rPr>
        <w:t>元，如在下一个节点赶回工期，可免除上述违约金。属总工期延误，从总工期延误的第一天起，每天支付违约金</w:t>
      </w:r>
      <w:r>
        <w:rPr>
          <w:rFonts w:ascii="宋体" w:hAnsi="宋体" w:cs="宋体"/>
          <w:color w:val="auto"/>
          <w:sz w:val="24"/>
          <w:szCs w:val="24"/>
          <w:highlight w:val="none"/>
          <w:u w:val="single"/>
        </w:rPr>
        <w:t>20000元</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延误工期超过</w:t>
      </w:r>
      <w:r>
        <w:rPr>
          <w:rFonts w:ascii="宋体" w:hAnsi="宋体" w:cs="宋体"/>
          <w:color w:val="auto"/>
          <w:sz w:val="24"/>
          <w:szCs w:val="24"/>
          <w:highlight w:val="none"/>
          <w:u w:val="single"/>
        </w:rPr>
        <w:t>20天的，发包人可视情况终止合同。</w:t>
      </w:r>
    </w:p>
    <w:p w14:paraId="77C8BDD8">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承包人必须按期完成主要工序的施工任务，若属承包人原因逾期达</w:t>
      </w:r>
      <w:r>
        <w:rPr>
          <w:rFonts w:ascii="宋体" w:hAnsi="宋体" w:cs="宋体"/>
          <w:color w:val="auto"/>
          <w:sz w:val="24"/>
          <w:szCs w:val="24"/>
          <w:highlight w:val="none"/>
          <w:u w:val="single"/>
        </w:rPr>
        <w:t>10天未完成主要节点的施工任务时，</w:t>
      </w:r>
      <w:r>
        <w:rPr>
          <w:rFonts w:hint="eastAsia" w:ascii="宋体" w:hAnsi="宋体" w:cs="宋体"/>
          <w:color w:val="auto"/>
          <w:sz w:val="24"/>
          <w:szCs w:val="24"/>
          <w:highlight w:val="none"/>
          <w:u w:val="single"/>
        </w:rPr>
        <w:t>除按第（</w:t>
      </w:r>
      <w:r>
        <w:rPr>
          <w:rFonts w:ascii="宋体" w:hAnsi="宋体" w:cs="宋体"/>
          <w:color w:val="auto"/>
          <w:sz w:val="24"/>
          <w:szCs w:val="24"/>
          <w:highlight w:val="none"/>
          <w:u w:val="single"/>
        </w:rPr>
        <w:t>2）项约定承担违约责任外，</w:t>
      </w:r>
      <w:r>
        <w:rPr>
          <w:rFonts w:hint="eastAsia" w:ascii="宋体" w:hAnsi="宋体" w:cs="宋体"/>
          <w:color w:val="auto"/>
          <w:sz w:val="24"/>
          <w:szCs w:val="24"/>
          <w:highlight w:val="none"/>
          <w:u w:val="single"/>
        </w:rPr>
        <w:t>发包人可要求撤换项目负责人，承包人应予以执行，并在总工期不调整的前提下自行消化节点工期的延误。逾期</w:t>
      </w:r>
      <w:r>
        <w:rPr>
          <w:rFonts w:ascii="宋体" w:hAnsi="宋体" w:cs="宋体"/>
          <w:color w:val="auto"/>
          <w:sz w:val="24"/>
          <w:szCs w:val="24"/>
          <w:highlight w:val="none"/>
          <w:u w:val="single"/>
        </w:rPr>
        <w:t>20天未完成主要节点的施工任务时，属承包人进度严重违约行为，发包人可</w:t>
      </w:r>
      <w:r>
        <w:rPr>
          <w:rFonts w:hint="eastAsia" w:ascii="宋体" w:hAnsi="宋体" w:cs="宋体"/>
          <w:color w:val="auto"/>
          <w:sz w:val="24"/>
          <w:szCs w:val="24"/>
          <w:highlight w:val="none"/>
          <w:u w:val="single"/>
        </w:rPr>
        <w:t>单方面终止合同，将承包人作不良纪录报区建设行政主管部门备案。并由承包人承担相应的进度严重违约责任</w:t>
      </w:r>
      <w:r>
        <w:rPr>
          <w:rFonts w:hint="eastAsia" w:ascii="宋体" w:hAnsi="宋体" w:cs="宋体"/>
          <w:color w:val="auto"/>
          <w:sz w:val="24"/>
          <w:szCs w:val="24"/>
          <w:highlight w:val="none"/>
        </w:rPr>
        <w:t>。</w:t>
      </w:r>
    </w:p>
    <w:p w14:paraId="60C81C69">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承包人承担的进度严重违约责任为：如果承包人出现进度严重违约事件，则须无条件接受发包人终止合同，并在接到终止合同通知书之日起</w:t>
      </w:r>
      <w:r>
        <w:rPr>
          <w:rFonts w:ascii="宋体" w:hAnsi="宋体" w:cs="宋体"/>
          <w:color w:val="auto"/>
          <w:sz w:val="24"/>
          <w:szCs w:val="24"/>
          <w:highlight w:val="none"/>
          <w:u w:val="single"/>
        </w:rPr>
        <w:t>5个</w:t>
      </w:r>
      <w:r>
        <w:rPr>
          <w:rFonts w:hint="eastAsia" w:ascii="宋体" w:hAnsi="宋体" w:cs="宋体"/>
          <w:color w:val="auto"/>
          <w:sz w:val="24"/>
          <w:szCs w:val="24"/>
          <w:highlight w:val="none"/>
          <w:u w:val="single"/>
        </w:rPr>
        <w:t>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ascii="宋体" w:hAnsi="宋体" w:cs="宋体"/>
          <w:color w:val="auto"/>
          <w:sz w:val="24"/>
          <w:szCs w:val="24"/>
          <w:highlight w:val="none"/>
        </w:rPr>
        <w:t>。</w:t>
      </w:r>
    </w:p>
    <w:p w14:paraId="5B278195">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ascii="宋体" w:hAnsi="宋体" w:cs="宋体"/>
          <w:color w:val="auto"/>
          <w:sz w:val="24"/>
          <w:szCs w:val="24"/>
          <w:highlight w:val="none"/>
          <w:u w:val="single"/>
        </w:rPr>
        <w:t>5000元违约金</w:t>
      </w:r>
      <w:r>
        <w:rPr>
          <w:rFonts w:hint="eastAsia" w:ascii="宋体" w:hAnsi="宋体" w:cs="宋体"/>
          <w:color w:val="auto"/>
          <w:sz w:val="24"/>
          <w:szCs w:val="24"/>
          <w:highlight w:val="none"/>
        </w:rPr>
        <w:t>。</w:t>
      </w:r>
    </w:p>
    <w:p w14:paraId="5DA16BC2">
      <w:pPr>
        <w:snapToGrid w:val="0"/>
        <w:spacing w:line="440" w:lineRule="exact"/>
        <w:ind w:firstLine="397"/>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ascii="宋体" w:hAnsi="宋体" w:cs="宋体"/>
          <w:snapToGrid w:val="0"/>
          <w:color w:val="auto"/>
          <w:kern w:val="0"/>
          <w:sz w:val="24"/>
          <w:szCs w:val="24"/>
          <w:highlight w:val="none"/>
        </w:rPr>
        <w:t>6</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u w:val="single"/>
        </w:rPr>
        <w:t>承包人违反合同专用条款的约定和发包人的规定，逾期完成竣工档案的整理、移交、送审备案工作的，每逾期</w:t>
      </w:r>
      <w:r>
        <w:rPr>
          <w:rFonts w:ascii="宋体" w:hAnsi="宋体" w:cs="宋体"/>
          <w:snapToGrid w:val="0"/>
          <w:color w:val="auto"/>
          <w:kern w:val="0"/>
          <w:sz w:val="24"/>
          <w:szCs w:val="24"/>
          <w:highlight w:val="none"/>
          <w:u w:val="single"/>
        </w:rPr>
        <w:t>1天，承包人支付违约金5000元</w:t>
      </w:r>
      <w:r>
        <w:rPr>
          <w:rFonts w:hint="eastAsia" w:ascii="宋体" w:hAnsi="宋体" w:cs="宋体"/>
          <w:snapToGrid w:val="0"/>
          <w:color w:val="auto"/>
          <w:kern w:val="0"/>
          <w:sz w:val="24"/>
          <w:szCs w:val="24"/>
          <w:highlight w:val="none"/>
        </w:rPr>
        <w:t>。</w:t>
      </w:r>
    </w:p>
    <w:p w14:paraId="00ACC2A8">
      <w:pPr>
        <w:adjustRightInd w:val="0"/>
        <w:snapToGrid w:val="0"/>
        <w:spacing w:line="440" w:lineRule="exact"/>
        <w:ind w:firstLine="480" w:firstLineChars="200"/>
        <w:rPr>
          <w:rFonts w:ascii="宋体" w:hAnsi="宋体" w:cs="宋体"/>
          <w:color w:val="auto"/>
          <w:sz w:val="24"/>
          <w:highlight w:val="none"/>
          <w:u w:val="none"/>
        </w:rPr>
      </w:pPr>
      <w:r>
        <w:rPr>
          <w:rFonts w:ascii="宋体" w:hAnsi="宋体" w:cs="宋体"/>
          <w:color w:val="auto"/>
          <w:sz w:val="24"/>
          <w:highlight w:val="none"/>
        </w:rPr>
        <w:t>35.2.2</w:t>
      </w:r>
      <w:r>
        <w:rPr>
          <w:rFonts w:hint="eastAsia" w:ascii="宋体" w:hAnsi="宋体" w:cs="宋体"/>
          <w:color w:val="auto"/>
          <w:sz w:val="24"/>
          <w:highlight w:val="none"/>
          <w:u w:val="none"/>
        </w:rPr>
        <w:t>安全、文明施工要求及违约处理</w:t>
      </w:r>
    </w:p>
    <w:p w14:paraId="53180A51">
      <w:pPr>
        <w:snapToGrid w:val="0"/>
        <w:spacing w:line="440" w:lineRule="exact"/>
        <w:ind w:firstLine="397"/>
        <w:rPr>
          <w:rFonts w:hint="eastAsia" w:ascii="微软雅黑" w:hAnsi="微软雅黑" w:eastAsia="微软雅黑" w:cs="微软雅黑"/>
          <w:b/>
          <w:bCs/>
          <w:i w:val="0"/>
          <w:iCs w:val="0"/>
          <w:caps w:val="0"/>
          <w:color w:val="auto"/>
          <w:spacing w:val="0"/>
          <w:sz w:val="21"/>
          <w:szCs w:val="21"/>
          <w:highlight w:val="none"/>
          <w:shd w:val="clear" w:color="auto" w:fill="DDEEEE"/>
          <w:lang w:val="en-US" w:eastAsia="zh-CN"/>
        </w:rPr>
      </w:pPr>
      <w:r>
        <w:rPr>
          <w:rFonts w:hint="eastAsia" w:ascii="宋体" w:hAnsi="宋体" w:eastAsia="宋体" w:cs="宋体"/>
          <w:color w:val="auto"/>
          <w:sz w:val="24"/>
          <w:szCs w:val="24"/>
          <w:highlight w:val="none"/>
          <w:u w:val="none"/>
          <w:lang w:val="en-US" w:eastAsia="zh-CN"/>
        </w:rPr>
        <w:t>（1）承包人必须按本合同的约定编制施工组织设计（施工方案、</w:t>
      </w:r>
      <w:r>
        <w:rPr>
          <w:rFonts w:hint="eastAsia" w:ascii="宋体" w:hAnsi="宋体" w:eastAsia="宋体" w:cs="宋体"/>
          <w:b/>
          <w:bCs/>
          <w:color w:val="auto"/>
          <w:sz w:val="24"/>
          <w:szCs w:val="24"/>
          <w:highlight w:val="none"/>
          <w:u w:val="single"/>
          <w:lang w:val="en-US" w:eastAsia="zh-CN"/>
        </w:rPr>
        <w:t>危险性较大工程专项施工方案</w:t>
      </w:r>
      <w:r>
        <w:rPr>
          <w:rFonts w:hint="eastAsia" w:ascii="宋体" w:hAnsi="宋体" w:eastAsia="宋体" w:cs="宋体"/>
          <w:color w:val="auto"/>
          <w:sz w:val="24"/>
          <w:szCs w:val="24"/>
          <w:highlight w:val="none"/>
          <w:u w:val="none"/>
          <w:lang w:val="en-US" w:eastAsia="zh-CN"/>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Pr>
          <w:rFonts w:hint="eastAsia" w:ascii="宋体" w:hAnsi="宋体" w:eastAsia="宋体" w:cs="宋体"/>
          <w:b/>
          <w:bCs/>
          <w:color w:val="auto"/>
          <w:sz w:val="24"/>
          <w:szCs w:val="24"/>
          <w:highlight w:val="none"/>
          <w:u w:val="single"/>
          <w:lang w:val="en-US" w:eastAsia="zh-CN"/>
        </w:rPr>
        <w:t>危险性较大工程专项施工方案</w:t>
      </w:r>
      <w:r>
        <w:rPr>
          <w:rFonts w:hint="eastAsia" w:ascii="宋体" w:hAnsi="宋体" w:eastAsia="宋体" w:cs="宋体"/>
          <w:color w:val="auto"/>
          <w:sz w:val="24"/>
          <w:szCs w:val="24"/>
          <w:highlight w:val="none"/>
          <w:u w:val="none"/>
          <w:lang w:val="en-US" w:eastAsia="zh-CN"/>
        </w:rPr>
        <w:t>、包括安全文明施工措施）或不按照施工组织设计（施工方案，</w:t>
      </w:r>
      <w:r>
        <w:rPr>
          <w:rFonts w:hint="eastAsia" w:ascii="宋体" w:hAnsi="宋体" w:eastAsia="宋体" w:cs="宋体"/>
          <w:b/>
          <w:bCs/>
          <w:color w:val="auto"/>
          <w:sz w:val="24"/>
          <w:szCs w:val="24"/>
          <w:highlight w:val="none"/>
          <w:u w:val="single"/>
          <w:lang w:val="en-US" w:eastAsia="zh-CN"/>
        </w:rPr>
        <w:t>危险性较大工程专项施工方案</w:t>
      </w:r>
      <w:r>
        <w:rPr>
          <w:rFonts w:hint="eastAsia" w:ascii="宋体" w:hAnsi="宋体" w:eastAsia="宋体" w:cs="宋体"/>
          <w:color w:val="auto"/>
          <w:sz w:val="24"/>
          <w:szCs w:val="24"/>
          <w:highlight w:val="none"/>
          <w:u w:val="none"/>
          <w:lang w:val="en-US" w:eastAsia="zh-CN"/>
        </w:rPr>
        <w:t>、包括安全文明施工措施）施工，则发包人将扣减更改部分的造价（该造价按广东省相关综合定额和取费标准计算，不下浮）；同时，每擅自更改一次，承包人需支付10000元人民币违约金给发包人。</w:t>
      </w:r>
    </w:p>
    <w:p w14:paraId="36762C9F">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Pr>
          <w:rFonts w:ascii="宋体" w:hAnsi="宋体" w:cs="宋体"/>
          <w:color w:val="auto"/>
          <w:sz w:val="24"/>
          <w:szCs w:val="24"/>
          <w:highlight w:val="none"/>
          <w:u w:val="single"/>
        </w:rPr>
        <w:t>10000元违约金</w:t>
      </w:r>
      <w:r>
        <w:rPr>
          <w:rFonts w:hint="eastAsia" w:ascii="宋体" w:hAnsi="宋体" w:cs="宋体"/>
          <w:color w:val="auto"/>
          <w:sz w:val="24"/>
          <w:szCs w:val="24"/>
          <w:highlight w:val="none"/>
          <w:u w:val="single"/>
        </w:rPr>
        <w:t>，如发包人因此被相关部门处罚的，罚金由承包人承担</w:t>
      </w:r>
      <w:r>
        <w:rPr>
          <w:rFonts w:hint="eastAsia" w:ascii="宋体" w:hAnsi="宋体" w:cs="宋体"/>
          <w:color w:val="auto"/>
          <w:sz w:val="24"/>
          <w:szCs w:val="24"/>
          <w:highlight w:val="none"/>
        </w:rPr>
        <w:t>。</w:t>
      </w:r>
    </w:p>
    <w:p w14:paraId="1B4D2702">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u w:val="single"/>
        </w:rPr>
        <w:t>如果承包人未按招投标文件及本合同要求做好安全、文明施工相关措施，经监理工程师或发包人检查发现的，每发现一次，承包人支付</w:t>
      </w:r>
      <w:r>
        <w:rPr>
          <w:rFonts w:ascii="宋体" w:hAnsi="宋体" w:cs="宋体"/>
          <w:color w:val="auto"/>
          <w:sz w:val="24"/>
          <w:szCs w:val="24"/>
          <w:highlight w:val="none"/>
          <w:u w:val="single"/>
        </w:rPr>
        <w:t>5000元违约金，并按发包人或监理单位要求限期整改，未在限期内完成整改的，每延期一天，承包人支付10000元违约金</w:t>
      </w:r>
      <w:r>
        <w:rPr>
          <w:rFonts w:hint="eastAsia" w:ascii="宋体" w:hAnsi="宋体" w:cs="宋体"/>
          <w:color w:val="auto"/>
          <w:sz w:val="24"/>
          <w:szCs w:val="24"/>
          <w:highlight w:val="none"/>
        </w:rPr>
        <w:t>。</w:t>
      </w:r>
    </w:p>
    <w:p w14:paraId="76F37CE5">
      <w:pPr>
        <w:snapToGrid w:val="0"/>
        <w:spacing w:line="440" w:lineRule="exact"/>
        <w:ind w:firstLine="397"/>
        <w:rPr>
          <w:rFonts w:ascii="宋体" w:hAnsi="宋体" w:cs="宋体"/>
          <w:snapToGrid w:val="0"/>
          <w:color w:val="auto"/>
          <w:kern w:val="0"/>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u w:val="single"/>
        </w:rPr>
        <w:t>在施工过程中发生安全事故的，除按照国家、省、市规定进行处理外。若导致人员伤亡的，承包人按下列办法支付违约金：如发生死亡事故，死亡</w:t>
      </w:r>
      <w:r>
        <w:rPr>
          <w:rFonts w:ascii="宋体" w:hAnsi="宋体" w:cs="宋体"/>
          <w:color w:val="auto"/>
          <w:sz w:val="24"/>
          <w:szCs w:val="24"/>
          <w:highlight w:val="none"/>
          <w:u w:val="single"/>
        </w:rPr>
        <w:t>1人，</w:t>
      </w:r>
      <w:r>
        <w:rPr>
          <w:rFonts w:hint="eastAsia" w:ascii="宋体" w:hAnsi="宋体" w:cs="宋体"/>
          <w:color w:val="auto"/>
          <w:sz w:val="24"/>
          <w:szCs w:val="24"/>
          <w:highlight w:val="none"/>
          <w:u w:val="single"/>
        </w:rPr>
        <w:t>支付</w:t>
      </w:r>
      <w:r>
        <w:rPr>
          <w:rFonts w:ascii="宋体" w:hAnsi="宋体" w:cs="宋体"/>
          <w:color w:val="auto"/>
          <w:sz w:val="24"/>
          <w:szCs w:val="24"/>
          <w:highlight w:val="none"/>
          <w:u w:val="single"/>
        </w:rPr>
        <w:t>20万元；死亡2人，</w:t>
      </w:r>
      <w:r>
        <w:rPr>
          <w:rFonts w:hint="eastAsia" w:ascii="宋体" w:hAnsi="宋体" w:cs="宋体"/>
          <w:color w:val="auto"/>
          <w:sz w:val="24"/>
          <w:szCs w:val="24"/>
          <w:highlight w:val="none"/>
          <w:u w:val="single"/>
        </w:rPr>
        <w:t>支付</w:t>
      </w:r>
      <w:r>
        <w:rPr>
          <w:rFonts w:ascii="宋体" w:hAnsi="宋体" w:cs="宋体"/>
          <w:color w:val="auto"/>
          <w:sz w:val="24"/>
          <w:szCs w:val="24"/>
          <w:highlight w:val="none"/>
          <w:u w:val="single"/>
        </w:rPr>
        <w:t>40万元；死亡3人或以上，</w:t>
      </w:r>
      <w:r>
        <w:rPr>
          <w:rFonts w:hint="eastAsia" w:ascii="宋体" w:hAnsi="宋体" w:cs="宋体"/>
          <w:color w:val="auto"/>
          <w:sz w:val="24"/>
          <w:szCs w:val="24"/>
          <w:highlight w:val="none"/>
          <w:u w:val="single"/>
        </w:rPr>
        <w:t>支付</w:t>
      </w:r>
      <w:r>
        <w:rPr>
          <w:rFonts w:ascii="宋体" w:hAnsi="宋体" w:cs="宋体"/>
          <w:color w:val="auto"/>
          <w:sz w:val="24"/>
          <w:szCs w:val="24"/>
          <w:highlight w:val="none"/>
          <w:u w:val="single"/>
        </w:rPr>
        <w:t>80万元。如发生重伤事故，重伤1人，</w:t>
      </w:r>
      <w:r>
        <w:rPr>
          <w:rFonts w:hint="eastAsia" w:ascii="宋体" w:hAnsi="宋体" w:cs="宋体"/>
          <w:color w:val="auto"/>
          <w:sz w:val="24"/>
          <w:szCs w:val="24"/>
          <w:highlight w:val="none"/>
          <w:u w:val="single"/>
        </w:rPr>
        <w:t>支付</w:t>
      </w:r>
      <w:r>
        <w:rPr>
          <w:rFonts w:ascii="宋体" w:hAnsi="宋体" w:cs="宋体"/>
          <w:color w:val="auto"/>
          <w:sz w:val="24"/>
          <w:szCs w:val="24"/>
          <w:highlight w:val="none"/>
          <w:u w:val="single"/>
        </w:rPr>
        <w:t>10万元；重伤2人，</w:t>
      </w:r>
      <w:r>
        <w:rPr>
          <w:rFonts w:hint="eastAsia" w:ascii="宋体" w:hAnsi="宋体" w:cs="宋体"/>
          <w:color w:val="auto"/>
          <w:sz w:val="24"/>
          <w:szCs w:val="24"/>
          <w:highlight w:val="none"/>
          <w:u w:val="single"/>
        </w:rPr>
        <w:t>支付</w:t>
      </w:r>
      <w:r>
        <w:rPr>
          <w:rFonts w:ascii="宋体" w:hAnsi="宋体" w:cs="宋体"/>
          <w:color w:val="auto"/>
          <w:sz w:val="24"/>
          <w:szCs w:val="24"/>
          <w:highlight w:val="none"/>
          <w:u w:val="single"/>
        </w:rPr>
        <w:t>20万元；重伤3人或以上，</w:t>
      </w:r>
      <w:r>
        <w:rPr>
          <w:rFonts w:hint="eastAsia" w:ascii="宋体" w:hAnsi="宋体" w:cs="宋体"/>
          <w:color w:val="auto"/>
          <w:sz w:val="24"/>
          <w:szCs w:val="24"/>
          <w:highlight w:val="none"/>
          <w:u w:val="single"/>
        </w:rPr>
        <w:t>支付</w:t>
      </w:r>
      <w:r>
        <w:rPr>
          <w:rFonts w:ascii="宋体" w:hAnsi="宋体" w:cs="宋体"/>
          <w:color w:val="auto"/>
          <w:sz w:val="24"/>
          <w:szCs w:val="24"/>
          <w:highlight w:val="none"/>
          <w:u w:val="single"/>
        </w:rPr>
        <w:t>40万元。因承包人原因发生一般安全事故，未造成人员伤亡</w:t>
      </w:r>
      <w:r>
        <w:rPr>
          <w:rFonts w:hint="eastAsia" w:ascii="宋体" w:hAnsi="宋体" w:cs="宋体"/>
          <w:color w:val="auto"/>
          <w:sz w:val="24"/>
          <w:szCs w:val="24"/>
          <w:highlight w:val="none"/>
          <w:u w:val="single"/>
        </w:rPr>
        <w:t>或造成人员轻伤及轻微财产损失的，每发生一次，承包人支付违约金</w:t>
      </w:r>
      <w:r>
        <w:rPr>
          <w:rFonts w:ascii="宋体" w:hAnsi="宋体" w:cs="宋体"/>
          <w:color w:val="auto"/>
          <w:sz w:val="24"/>
          <w:szCs w:val="24"/>
          <w:highlight w:val="none"/>
          <w:u w:val="single"/>
        </w:rPr>
        <w:t>5000元</w:t>
      </w:r>
      <w:r>
        <w:rPr>
          <w:rFonts w:hint="eastAsia" w:ascii="宋体" w:hAnsi="宋体" w:cs="宋体"/>
          <w:color w:val="auto"/>
          <w:sz w:val="24"/>
          <w:szCs w:val="24"/>
          <w:highlight w:val="none"/>
        </w:rPr>
        <w:t>。</w:t>
      </w:r>
    </w:p>
    <w:p w14:paraId="51402017">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在本工程余泥渣土清运施工和建筑垃圾排放运输时，承包人必须严格执行《广州市建筑废弃物管理条例（</w:t>
      </w:r>
      <w:r>
        <w:rPr>
          <w:rFonts w:ascii="宋体" w:hAnsi="宋体" w:cs="宋体"/>
          <w:color w:val="auto"/>
          <w:sz w:val="24"/>
          <w:szCs w:val="24"/>
          <w:highlight w:val="none"/>
          <w:u w:val="single"/>
        </w:rPr>
        <w:t>2015年修正本）》</w:t>
      </w:r>
      <w:r>
        <w:rPr>
          <w:rFonts w:hint="eastAsia" w:ascii="宋体" w:hAnsi="宋体" w:cs="宋体"/>
          <w:color w:val="auto"/>
          <w:sz w:val="24"/>
          <w:szCs w:val="24"/>
          <w:highlight w:val="none"/>
          <w:u w:val="single"/>
        </w:rPr>
        <w:t>、《广州市市容环境卫生管理规定》、《广州市建设工程现场文明施工管理办法》《关于加强施工现场余泥渣土排放管理工作的通知》（穗建筑【</w:t>
      </w:r>
      <w:r>
        <w:rPr>
          <w:rFonts w:ascii="宋体" w:hAnsi="宋体" w:cs="宋体"/>
          <w:color w:val="auto"/>
          <w:sz w:val="24"/>
          <w:szCs w:val="24"/>
          <w:highlight w:val="none"/>
          <w:u w:val="single"/>
        </w:rPr>
        <w:t>2008】60号）等广州市、</w:t>
      </w:r>
      <w:r>
        <w:rPr>
          <w:rFonts w:hint="eastAsia" w:ascii="宋体" w:hAnsi="宋体" w:cs="宋体"/>
          <w:color w:val="auto"/>
          <w:sz w:val="24"/>
          <w:szCs w:val="24"/>
          <w:highlight w:val="none"/>
          <w:u w:val="single"/>
        </w:rPr>
        <w:t>黄埔</w:t>
      </w:r>
      <w:r>
        <w:rPr>
          <w:rFonts w:ascii="宋体" w:hAnsi="宋体" w:cs="宋体"/>
          <w:color w:val="auto"/>
          <w:sz w:val="24"/>
          <w:szCs w:val="24"/>
          <w:highlight w:val="none"/>
          <w:u w:val="single"/>
        </w:rPr>
        <w:t>区相关管理规定的标准和要求，保证落实“</w:t>
      </w:r>
      <w:r>
        <w:rPr>
          <w:rFonts w:hint="eastAsia" w:ascii="宋体" w:hAnsi="宋体" w:cs="宋体"/>
          <w:color w:val="auto"/>
          <w:sz w:val="24"/>
          <w:szCs w:val="24"/>
          <w:highlight w:val="none"/>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Pr>
          <w:rFonts w:ascii="宋体" w:hAnsi="宋体" w:cs="宋体"/>
          <w:color w:val="auto"/>
          <w:sz w:val="24"/>
          <w:szCs w:val="24"/>
          <w:highlight w:val="none"/>
          <w:u w:val="single"/>
        </w:rPr>
        <w:t>5000元违约金。同时，发包人将根据承包人</w:t>
      </w:r>
      <w:r>
        <w:rPr>
          <w:rFonts w:hint="eastAsia" w:ascii="宋体" w:hAnsi="宋体" w:cs="宋体"/>
          <w:color w:val="auto"/>
          <w:sz w:val="24"/>
          <w:szCs w:val="24"/>
          <w:highlight w:val="none"/>
          <w:u w:val="single"/>
        </w:rPr>
        <w:t>违反余泥渣土运输管理有关规定而造成的不良后果的严重程度，上报区建设行政主管部门进行处理</w:t>
      </w:r>
      <w:r>
        <w:rPr>
          <w:rFonts w:hint="eastAsia" w:ascii="宋体" w:hAnsi="宋体" w:cs="宋体"/>
          <w:color w:val="auto"/>
          <w:sz w:val="24"/>
          <w:szCs w:val="24"/>
          <w:highlight w:val="none"/>
        </w:rPr>
        <w:t>。</w:t>
      </w:r>
    </w:p>
    <w:p w14:paraId="283E52C6">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35.2.3工程质量方面的违约责任</w:t>
      </w:r>
      <w:r>
        <w:rPr>
          <w:rFonts w:hint="eastAsia" w:ascii="宋体" w:hAnsi="宋体" w:cs="宋体"/>
          <w:color w:val="auto"/>
          <w:sz w:val="24"/>
          <w:szCs w:val="24"/>
          <w:highlight w:val="none"/>
        </w:rPr>
        <w:t>：</w:t>
      </w:r>
    </w:p>
    <w:p w14:paraId="5B07F4C4">
      <w:pPr>
        <w:numPr>
          <w:ilvl w:val="0"/>
          <w:numId w:val="7"/>
        </w:numPr>
        <w:snapToGrid w:val="0"/>
        <w:spacing w:line="440" w:lineRule="exact"/>
        <w:ind w:firstLine="397"/>
        <w:rPr>
          <w:rFonts w:hint="eastAsia" w:ascii="宋体" w:hAnsi="宋体" w:cs="宋体"/>
          <w:color w:val="auto"/>
          <w:sz w:val="24"/>
          <w:szCs w:val="24"/>
          <w:highlight w:val="none"/>
        </w:rPr>
      </w:pPr>
      <w:r>
        <w:rPr>
          <w:rFonts w:ascii="宋体" w:hAnsi="宋体" w:cs="宋体"/>
          <w:color w:val="auto"/>
          <w:sz w:val="24"/>
          <w:szCs w:val="24"/>
          <w:highlight w:val="none"/>
          <w:u w:val="single"/>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hint="eastAsia" w:ascii="宋体" w:hAnsi="宋体" w:cs="宋体"/>
          <w:color w:val="auto"/>
          <w:sz w:val="24"/>
          <w:szCs w:val="24"/>
          <w:highlight w:val="none"/>
        </w:rPr>
        <w:t>。</w:t>
      </w:r>
    </w:p>
    <w:p w14:paraId="3764CF51">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ascii="宋体" w:hAnsi="宋体" w:cs="宋体"/>
          <w:color w:val="auto"/>
          <w:sz w:val="24"/>
          <w:szCs w:val="24"/>
          <w:highlight w:val="none"/>
          <w:u w:val="single"/>
        </w:rPr>
        <w:t>）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14:paraId="24C3279E">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w:t>
      </w:r>
      <w:r>
        <w:rPr>
          <w:rFonts w:ascii="宋体" w:hAnsi="宋体" w:cs="宋体"/>
          <w:color w:val="auto"/>
          <w:sz w:val="24"/>
          <w:szCs w:val="24"/>
          <w:highlight w:val="none"/>
          <w:u w:val="single"/>
        </w:rPr>
        <w:t>）对施工质量问题存在争议，应请国家认可的第三方机构出具检测报告，检测费用由责任方承担。</w:t>
      </w:r>
    </w:p>
    <w:p w14:paraId="50EBF86F">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35.2.4关于第三方质量安全评估的违约责任：</w:t>
      </w:r>
    </w:p>
    <w:p w14:paraId="5A571D4B">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承包人应严格遵守中心制定的建设工程第三方质量安全评估服务相关管理办法，配合完成第三方质量安全评估工作。根据每次评估结果，经评估确定为一般违约情况的，承包人每次应支付</w:t>
      </w:r>
      <w:r>
        <w:rPr>
          <w:rFonts w:ascii="宋体" w:hAnsi="宋体" w:cs="宋体"/>
          <w:color w:val="auto"/>
          <w:sz w:val="24"/>
          <w:szCs w:val="24"/>
          <w:highlight w:val="none"/>
          <w:u w:val="single"/>
        </w:rPr>
        <w:t>10000元违约金给发包人；经评估确定为严重违约情况的，承包人每次应支付50000元违约金给发包人。</w:t>
      </w:r>
    </w:p>
    <w:p w14:paraId="13AA4542">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35.2.5关于农民工工资支付的违约责任</w:t>
      </w:r>
      <w:r>
        <w:rPr>
          <w:rFonts w:hint="eastAsia" w:ascii="宋体" w:hAnsi="宋体" w:cs="宋体"/>
          <w:color w:val="auto"/>
          <w:sz w:val="24"/>
          <w:szCs w:val="24"/>
          <w:highlight w:val="none"/>
        </w:rPr>
        <w:t>：</w:t>
      </w:r>
    </w:p>
    <w:p w14:paraId="49A664F4">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承包人拖欠农民工工资（含代发的分包单位工人工资），被农民工投诉属实的，承包人必须在</w:t>
      </w:r>
      <w:r>
        <w:rPr>
          <w:rFonts w:ascii="宋体" w:hAnsi="宋体" w:cs="宋体"/>
          <w:color w:val="auto"/>
          <w:sz w:val="24"/>
          <w:szCs w:val="24"/>
          <w:highlight w:val="none"/>
          <w:u w:val="single"/>
        </w:rPr>
        <w:t>3天内发放拖欠的款项。若继续拖延被投诉2次及以上，经查实，承包人除应立即支付拖欠款项外，还应支付10000</w:t>
      </w:r>
      <w:r>
        <w:rPr>
          <w:rFonts w:hint="eastAsia" w:ascii="宋体" w:hAnsi="宋体" w:cs="宋体"/>
          <w:color w:val="auto"/>
          <w:sz w:val="24"/>
          <w:szCs w:val="24"/>
          <w:highlight w:val="none"/>
          <w:u w:val="single"/>
        </w:rPr>
        <w:t>违约金给发包人。因承包人拖欠农民工工资，导致农民工采取停工、集聚围阻发包人办公地点甚至政府办公部门等过激行动的，承包人应支付</w:t>
      </w:r>
      <w:r>
        <w:rPr>
          <w:rFonts w:ascii="宋体" w:hAnsi="宋体" w:cs="宋体"/>
          <w:color w:val="auto"/>
          <w:sz w:val="24"/>
          <w:szCs w:val="24"/>
          <w:highlight w:val="none"/>
          <w:u w:val="single"/>
        </w:rPr>
        <w:t>50000</w:t>
      </w:r>
      <w:r>
        <w:rPr>
          <w:rFonts w:hint="eastAsia" w:ascii="宋体" w:hAnsi="宋体" w:cs="宋体"/>
          <w:color w:val="auto"/>
          <w:sz w:val="24"/>
          <w:szCs w:val="24"/>
          <w:highlight w:val="none"/>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hint="eastAsia" w:ascii="宋体" w:hAnsi="宋体" w:cs="宋体"/>
          <w:color w:val="auto"/>
          <w:sz w:val="24"/>
          <w:szCs w:val="24"/>
          <w:highlight w:val="none"/>
        </w:rPr>
        <w:t>。</w:t>
      </w:r>
    </w:p>
    <w:p w14:paraId="255C5D26">
      <w:pPr>
        <w:pStyle w:val="35"/>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35.2.6</w:t>
      </w:r>
      <w:r>
        <w:rPr>
          <w:rFonts w:hint="eastAsia" w:ascii="宋体" w:hAnsi="宋体" w:cs="宋体"/>
          <w:color w:val="auto"/>
          <w:sz w:val="24"/>
          <w:szCs w:val="24"/>
          <w:highlight w:val="none"/>
        </w:rPr>
        <w:t>项目管理机构人员、机械设备、劳动力到位方面的违约责任：</w:t>
      </w:r>
    </w:p>
    <w:p w14:paraId="7781E1E6">
      <w:pPr>
        <w:pStyle w:val="35"/>
        <w:numPr>
          <w:ilvl w:val="0"/>
          <w:numId w:val="8"/>
        </w:num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cs="宋体"/>
          <w:color w:val="auto"/>
          <w:sz w:val="24"/>
          <w:szCs w:val="24"/>
          <w:highlight w:val="none"/>
          <w:u w:val="single"/>
        </w:rPr>
        <w:t>50000元违约金给发包人，擅自更换主要施工管理人员的，每更换一人次，承包人需支付30000元违约金给发包人</w:t>
      </w:r>
      <w:r>
        <w:rPr>
          <w:rFonts w:hint="eastAsia" w:ascii="宋体" w:hAnsi="宋体" w:cs="宋体"/>
          <w:color w:val="auto"/>
          <w:sz w:val="24"/>
          <w:szCs w:val="24"/>
          <w:highlight w:val="none"/>
        </w:rPr>
        <w:t>。但征得</w:t>
      </w:r>
      <w:r>
        <w:rPr>
          <w:rFonts w:hint="eastAsia" w:ascii="宋体" w:hAnsi="宋体" w:cs="宋体"/>
          <w:color w:val="auto"/>
          <w:sz w:val="24"/>
          <w:szCs w:val="24"/>
          <w:highlight w:val="none"/>
          <w:u w:val="single"/>
        </w:rPr>
        <w:t>发包人书面同意更换或因发包人按本协议要求更换仍需支付违约金，具体为：更换项目负责人或项目技术负责人的，承包人每更换一人次，需支付</w:t>
      </w:r>
      <w:r>
        <w:rPr>
          <w:rFonts w:ascii="宋体" w:hAnsi="宋体" w:cs="宋体"/>
          <w:color w:val="auto"/>
          <w:sz w:val="24"/>
          <w:szCs w:val="24"/>
          <w:highlight w:val="none"/>
          <w:u w:val="single"/>
        </w:rPr>
        <w:t>30000元违约金给发包人，更换主要施工管理人员的，每更换一人次，承包人需支付10000元违约金给发包人</w:t>
      </w:r>
    </w:p>
    <w:p w14:paraId="7B8CCFF9">
      <w:pPr>
        <w:pStyle w:val="35"/>
        <w:snapToGrid w:val="0"/>
        <w:spacing w:line="440" w:lineRule="exact"/>
        <w:rPr>
          <w:rFonts w:ascii="宋体" w:hAnsi="宋体" w:cs="宋体"/>
          <w:color w:val="auto"/>
          <w:sz w:val="24"/>
          <w:szCs w:val="24"/>
          <w:highlight w:val="none"/>
          <w:u w:val="single"/>
        </w:rPr>
      </w:pPr>
      <w:r>
        <w:rPr>
          <w:rFonts w:ascii="宋体" w:hAnsi="宋体" w:cs="宋体"/>
          <w:color w:val="auto"/>
          <w:sz w:val="24"/>
          <w:szCs w:val="24"/>
          <w:highlight w:val="none"/>
        </w:rPr>
        <w:t xml:space="preserve">    （2</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如果承包人未按投标文件中的《拟投入本工程施工的主要机械设备配备表》投入机械设备，经监理工程师或发包人代表检查发现的，将书面告知限期整改，未在限期内完成整改的，每延期一天，承包人需支付</w:t>
      </w:r>
      <w:r>
        <w:rPr>
          <w:rFonts w:ascii="宋体" w:hAnsi="宋体" w:cs="宋体"/>
          <w:color w:val="auto"/>
          <w:sz w:val="24"/>
          <w:szCs w:val="24"/>
          <w:highlight w:val="none"/>
          <w:u w:val="single"/>
        </w:rPr>
        <w:t>10000元违约金给发包人。且承包人应按照本合同相关约定投入相应比例的新能源工程车，否则发包人有权要求其限期整改，逾期不整改的，每缺少提供一台，承包人支付违约金20000元/台。</w:t>
      </w:r>
    </w:p>
    <w:p w14:paraId="57ED6D81">
      <w:pPr>
        <w:pStyle w:val="35"/>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如果承包人未投标文件中的人力投入计划投入人力，经监理工程师和发包人代表检查发现的，每发现一次，承包人支付</w:t>
      </w:r>
      <w:r>
        <w:rPr>
          <w:rFonts w:ascii="宋体" w:hAnsi="宋体" w:cs="宋体"/>
          <w:color w:val="auto"/>
          <w:sz w:val="24"/>
          <w:szCs w:val="24"/>
          <w:highlight w:val="none"/>
          <w:u w:val="single"/>
        </w:rPr>
        <w:t>10000元违约金给发包人</w:t>
      </w:r>
      <w:r>
        <w:rPr>
          <w:rFonts w:hint="eastAsia" w:ascii="宋体" w:hAnsi="宋体" w:cs="宋体"/>
          <w:color w:val="auto"/>
          <w:sz w:val="24"/>
          <w:szCs w:val="24"/>
          <w:highlight w:val="none"/>
        </w:rPr>
        <w:t>。</w:t>
      </w:r>
    </w:p>
    <w:p w14:paraId="680D66D6">
      <w:pPr>
        <w:pStyle w:val="35"/>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cs="宋体"/>
          <w:color w:val="auto"/>
          <w:sz w:val="24"/>
          <w:szCs w:val="24"/>
          <w:highlight w:val="none"/>
          <w:u w:val="single"/>
        </w:rPr>
        <w:t>10天，没有按发包人的意见撤换现场负责人；或者按发包人的意见撤换现场负责人后，仍然无法有效控制工程进度，</w:t>
      </w:r>
      <w:r>
        <w:rPr>
          <w:rFonts w:hint="eastAsia" w:ascii="宋体" w:hAnsi="宋体" w:cs="宋体"/>
          <w:color w:val="auto"/>
          <w:sz w:val="24"/>
          <w:szCs w:val="24"/>
          <w:highlight w:val="none"/>
          <w:u w:val="single"/>
        </w:rPr>
        <w:t>承包人除需按本条第（</w:t>
      </w:r>
      <w:r>
        <w:rPr>
          <w:rFonts w:ascii="宋体" w:hAnsi="宋体" w:cs="宋体"/>
          <w:color w:val="auto"/>
          <w:sz w:val="24"/>
          <w:szCs w:val="24"/>
          <w:highlight w:val="none"/>
          <w:u w:val="single"/>
        </w:rPr>
        <w:t>1）项支付违约金外，发包人将发出书面警告，警告发出后15</w:t>
      </w:r>
      <w:r>
        <w:rPr>
          <w:rFonts w:hint="eastAsia" w:ascii="宋体" w:hAnsi="宋体" w:cs="宋体"/>
          <w:color w:val="auto"/>
          <w:sz w:val="24"/>
          <w:szCs w:val="24"/>
          <w:highlight w:val="none"/>
          <w:u w:val="single"/>
        </w:rPr>
        <w:t>天内，主要工序的工期延误仍然超过</w:t>
      </w:r>
      <w:r>
        <w:rPr>
          <w:rFonts w:ascii="宋体" w:hAnsi="宋体" w:cs="宋体"/>
          <w:color w:val="auto"/>
          <w:sz w:val="24"/>
          <w:szCs w:val="24"/>
          <w:highlight w:val="none"/>
          <w:u w:val="single"/>
        </w:rPr>
        <w:t>10天，发包人将作为不良纪录报区建</w:t>
      </w:r>
      <w:r>
        <w:rPr>
          <w:rFonts w:hint="eastAsia" w:ascii="宋体" w:hAnsi="宋体" w:cs="宋体"/>
          <w:color w:val="auto"/>
          <w:sz w:val="24"/>
          <w:szCs w:val="24"/>
          <w:highlight w:val="none"/>
          <w:u w:val="single"/>
        </w:rPr>
        <w:t>设行政主管部门备案。对此，承包人不得有异议</w:t>
      </w:r>
      <w:r>
        <w:rPr>
          <w:rFonts w:hint="eastAsia" w:ascii="宋体" w:hAnsi="宋体" w:cs="宋体"/>
          <w:color w:val="auto"/>
          <w:sz w:val="24"/>
          <w:szCs w:val="24"/>
          <w:highlight w:val="none"/>
        </w:rPr>
        <w:t>。</w:t>
      </w:r>
    </w:p>
    <w:p w14:paraId="6A89FD36">
      <w:pPr>
        <w:pStyle w:val="35"/>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承包人的项目负责人、技术负责人、安全负责人、质量负责人、防火负责人等必须常驻施工现场，且须无条件参加每周的工地例会以及发包人书面通知的其它会议，如有缺席，则每人每缺席一次，承包人需支付</w:t>
      </w:r>
      <w:r>
        <w:rPr>
          <w:rFonts w:ascii="宋体" w:hAnsi="宋体" w:cs="宋体"/>
          <w:color w:val="auto"/>
          <w:sz w:val="24"/>
          <w:szCs w:val="24"/>
          <w:highlight w:val="none"/>
          <w:u w:val="single"/>
        </w:rPr>
        <w:t>5000元人民币违约金</w:t>
      </w:r>
      <w:r>
        <w:rPr>
          <w:rFonts w:hint="eastAsia" w:ascii="宋体" w:hAnsi="宋体" w:cs="宋体"/>
          <w:color w:val="auto"/>
          <w:sz w:val="24"/>
          <w:szCs w:val="24"/>
          <w:highlight w:val="none"/>
        </w:rPr>
        <w:t>。</w:t>
      </w:r>
    </w:p>
    <w:p w14:paraId="34FBB489">
      <w:pPr>
        <w:snapToGrid w:val="0"/>
        <w:spacing w:line="440" w:lineRule="exact"/>
        <w:rPr>
          <w:rFonts w:ascii="宋体" w:hAnsi="宋体" w:cs="宋体"/>
          <w:color w:val="auto"/>
          <w:sz w:val="24"/>
          <w:szCs w:val="24"/>
          <w:highlight w:val="none"/>
        </w:rPr>
      </w:pPr>
      <w:r>
        <w:rPr>
          <w:rFonts w:ascii="宋体" w:hAnsi="宋体" w:cs="宋体"/>
          <w:color w:val="auto"/>
          <w:sz w:val="24"/>
          <w:szCs w:val="24"/>
          <w:highlight w:val="none"/>
        </w:rPr>
        <w:t xml:space="preserve">    35.2.7工程转包违约责任</w:t>
      </w:r>
      <w:r>
        <w:rPr>
          <w:rFonts w:hint="eastAsia" w:ascii="宋体" w:hAnsi="宋体" w:cs="宋体"/>
          <w:color w:val="auto"/>
          <w:sz w:val="24"/>
          <w:szCs w:val="24"/>
          <w:highlight w:val="none"/>
        </w:rPr>
        <w:t>：</w:t>
      </w:r>
    </w:p>
    <w:p w14:paraId="47253014">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hint="eastAsia" w:ascii="宋体" w:hAnsi="宋体" w:cs="宋体"/>
          <w:color w:val="auto"/>
          <w:sz w:val="24"/>
          <w:szCs w:val="24"/>
          <w:highlight w:val="none"/>
        </w:rPr>
        <w:t>。</w:t>
      </w:r>
    </w:p>
    <w:p w14:paraId="7A3BA128">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承包人在本工程中有转包、转让、出借资质证书或者以其他方式允许他人以本企业的名义承揽工程的，发包人将解除合同，承包人按合同价的</w:t>
      </w:r>
      <w:r>
        <w:rPr>
          <w:rFonts w:ascii="宋体" w:hAnsi="宋体" w:cs="宋体"/>
          <w:color w:val="auto"/>
          <w:sz w:val="24"/>
          <w:szCs w:val="24"/>
          <w:highlight w:val="none"/>
          <w:u w:val="single"/>
        </w:rPr>
        <w:t>10%承担违约金。因此导致发包人损失超出违约金的部分，承包人应负责赔偿。</w:t>
      </w:r>
    </w:p>
    <w:p w14:paraId="695384EF">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35.2.8解除合同的违约责任</w:t>
      </w:r>
      <w:r>
        <w:rPr>
          <w:rFonts w:hint="eastAsia" w:ascii="宋体" w:hAnsi="宋体" w:cs="宋体"/>
          <w:color w:val="auto"/>
          <w:sz w:val="24"/>
          <w:szCs w:val="24"/>
          <w:highlight w:val="none"/>
        </w:rPr>
        <w:t>：</w:t>
      </w:r>
    </w:p>
    <w:p w14:paraId="0E1B03DF">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35.2.8.1因承包人严重违约</w:t>
      </w:r>
      <w:r>
        <w:rPr>
          <w:rFonts w:hint="eastAsia" w:ascii="宋体" w:hAnsi="宋体" w:cs="宋体"/>
          <w:color w:val="auto"/>
          <w:sz w:val="24"/>
          <w:szCs w:val="24"/>
          <w:highlight w:val="none"/>
          <w:u w:val="single"/>
        </w:rPr>
        <w:t>导致发包人单方面解除合同或承包人违约擅自解除合同的，承包人应向发包人支付本合同价款</w:t>
      </w:r>
      <w:r>
        <w:rPr>
          <w:rFonts w:ascii="宋体" w:hAnsi="宋体" w:cs="宋体"/>
          <w:color w:val="auto"/>
          <w:sz w:val="24"/>
          <w:szCs w:val="24"/>
          <w:highlight w:val="none"/>
          <w:u w:val="single"/>
        </w:rPr>
        <w:t>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30DADE58">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35.2.8.2不适用通用条款44.6条的约定。</w:t>
      </w:r>
    </w:p>
    <w:p w14:paraId="621F3F0B">
      <w:pPr>
        <w:tabs>
          <w:tab w:val="left" w:pos="8280"/>
        </w:tabs>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35.2.9</w:t>
      </w:r>
      <w:r>
        <w:rPr>
          <w:rFonts w:hint="eastAsia" w:ascii="宋体" w:hAnsi="宋体" w:cs="宋体"/>
          <w:color w:val="auto"/>
          <w:sz w:val="24"/>
          <w:szCs w:val="24"/>
          <w:highlight w:val="none"/>
        </w:rPr>
        <w:t>办理结算的违约责任：</w:t>
      </w:r>
    </w:p>
    <w:p w14:paraId="3A66A6F7">
      <w:pPr>
        <w:tabs>
          <w:tab w:val="left" w:pos="8280"/>
        </w:tabs>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承包人不执行</w:t>
      </w:r>
      <w:r>
        <w:rPr>
          <w:rFonts w:hint="eastAsia" w:ascii="宋体" w:hAnsi="宋体" w:cs="宋体"/>
          <w:color w:val="auto"/>
          <w:sz w:val="24"/>
          <w:highlight w:val="none"/>
          <w:u w:val="single"/>
        </w:rPr>
        <w:t>《广州开发区财政投资建设项目管理中心施工类合同结算编审指引（2024年修订稿）》（穗开建管【2024】65号）</w:t>
      </w:r>
      <w:r>
        <w:rPr>
          <w:rFonts w:hint="eastAsia" w:ascii="宋体" w:hAnsi="宋体" w:cs="宋体"/>
          <w:color w:val="auto"/>
          <w:sz w:val="24"/>
          <w:szCs w:val="24"/>
          <w:highlight w:val="none"/>
          <w:u w:val="single"/>
        </w:rPr>
        <w:t>有关规定的，须按该指引有关规定承担违约责任</w:t>
      </w:r>
      <w:r>
        <w:rPr>
          <w:rFonts w:hint="eastAsia" w:ascii="宋体" w:hAnsi="宋体" w:cs="宋体"/>
          <w:color w:val="auto"/>
          <w:sz w:val="24"/>
          <w:szCs w:val="24"/>
          <w:highlight w:val="none"/>
        </w:rPr>
        <w:t>。</w:t>
      </w:r>
    </w:p>
    <w:p w14:paraId="2CDD0835">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35.2.10</w:t>
      </w:r>
      <w:r>
        <w:rPr>
          <w:rFonts w:hint="eastAsia" w:ascii="宋体" w:hAnsi="宋体" w:cs="宋体"/>
          <w:color w:val="auto"/>
          <w:sz w:val="24"/>
          <w:szCs w:val="24"/>
          <w:highlight w:val="none"/>
          <w:u w:val="single"/>
        </w:rPr>
        <w:t>除上述违约责任外，因承包人履行本合同不符合约定或相关规定，发包人可根据实际情况，给予承包人通报批评及作不良记录等处罚措施；情节严重的，可报请上级行政主管部门给予相应处罚</w:t>
      </w:r>
      <w:r>
        <w:rPr>
          <w:rFonts w:hint="eastAsia" w:ascii="宋体" w:hAnsi="宋体" w:cs="宋体"/>
          <w:color w:val="auto"/>
          <w:sz w:val="24"/>
          <w:szCs w:val="24"/>
          <w:highlight w:val="none"/>
        </w:rPr>
        <w:t>。</w:t>
      </w:r>
    </w:p>
    <w:p w14:paraId="5487E400">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35.2.11</w:t>
      </w:r>
      <w:r>
        <w:rPr>
          <w:rFonts w:hint="eastAsia" w:ascii="宋体" w:hAnsi="宋体" w:cs="宋体"/>
          <w:color w:val="auto"/>
          <w:sz w:val="24"/>
          <w:szCs w:val="24"/>
          <w:highlight w:val="none"/>
          <w:u w:val="single"/>
        </w:rPr>
        <w:t>承包人违约责任的认定方式、送达程序及违约金的处理</w:t>
      </w:r>
    </w:p>
    <w:p w14:paraId="04C72332">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1）认定方式：以发包人发出的通知、通报、会议纪要等书面文件确定的内容为准。</w:t>
      </w:r>
    </w:p>
    <w:p w14:paraId="52BE59B2">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2）送达程序：发包人以下列方式之一将书面违约处理决定送达承包人：</w:t>
      </w:r>
    </w:p>
    <w:p w14:paraId="2414A7DF">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1）承包人现场管理机构工作人员签收。</w:t>
      </w:r>
    </w:p>
    <w:p w14:paraId="22DEC4AF">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2）承包人其他工作人员签收。</w:t>
      </w:r>
    </w:p>
    <w:p w14:paraId="199B62D9">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u w:val="single"/>
        </w:rPr>
        <w:t>3）发包人邮寄送达。</w:t>
      </w:r>
    </w:p>
    <w:p w14:paraId="4E2AE6B3">
      <w:pPr>
        <w:snapToGrid w:val="0"/>
        <w:spacing w:line="440" w:lineRule="exact"/>
        <w:ind w:firstLine="397"/>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0E1F79E7">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37</w:t>
      </w:r>
      <w:r>
        <w:rPr>
          <w:rFonts w:hint="eastAsia" w:ascii="宋体" w:hAnsi="宋体" w:cs="宋体"/>
          <w:b/>
          <w:color w:val="auto"/>
          <w:sz w:val="24"/>
          <w:highlight w:val="none"/>
        </w:rPr>
        <w:t>、争议</w:t>
      </w:r>
    </w:p>
    <w:p w14:paraId="1EF3BAE3">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37.1</w:t>
      </w:r>
      <w:r>
        <w:rPr>
          <w:rFonts w:hint="eastAsia" w:ascii="宋体" w:hAnsi="宋体" w:cs="宋体"/>
          <w:color w:val="auto"/>
          <w:sz w:val="24"/>
          <w:szCs w:val="24"/>
          <w:highlight w:val="none"/>
        </w:rPr>
        <w:t>双方约定，在履行合同过程中产生争议时：</w:t>
      </w:r>
    </w:p>
    <w:p w14:paraId="5E0BBCFA">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）由双方协商解决；</w:t>
      </w:r>
    </w:p>
    <w:p w14:paraId="079C82E7">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）协商不成的，向</w:t>
      </w:r>
      <w:r>
        <w:rPr>
          <w:rFonts w:hint="eastAsia" w:ascii="宋体" w:hAnsi="宋体" w:cs="宋体"/>
          <w:color w:val="auto"/>
          <w:sz w:val="24"/>
          <w:szCs w:val="24"/>
          <w:highlight w:val="none"/>
          <w:u w:val="single"/>
        </w:rPr>
        <w:t>工程所在地</w:t>
      </w:r>
      <w:r>
        <w:rPr>
          <w:rFonts w:hint="eastAsia" w:ascii="宋体" w:hAnsi="宋体" w:cs="宋体"/>
          <w:color w:val="auto"/>
          <w:sz w:val="24"/>
          <w:szCs w:val="24"/>
          <w:highlight w:val="none"/>
        </w:rPr>
        <w:t>人民法院提起诉讼。</w:t>
      </w:r>
    </w:p>
    <w:p w14:paraId="66576B7A">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十一、其他</w:t>
      </w:r>
    </w:p>
    <w:p w14:paraId="27DEB88F">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38</w:t>
      </w:r>
      <w:r>
        <w:rPr>
          <w:rFonts w:hint="eastAsia" w:ascii="宋体" w:hAnsi="宋体" w:cs="宋体"/>
          <w:b/>
          <w:color w:val="auto"/>
          <w:sz w:val="24"/>
          <w:highlight w:val="none"/>
        </w:rPr>
        <w:t>、工程分包</w:t>
      </w:r>
    </w:p>
    <w:p w14:paraId="2B723BC2">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38.1（1）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 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14:paraId="36438ACD">
      <w:pPr>
        <w:numPr>
          <w:ilvl w:val="-1"/>
          <w:numId w:val="0"/>
        </w:numPr>
        <w:snapToGrid w:val="0"/>
        <w:spacing w:line="440" w:lineRule="exact"/>
        <w:ind w:left="0" w:firstLine="420" w:firstLineChars="200"/>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承包人向一家或者多家小微施工企业分包的合同份额为合同总金额   %（其中：向 XXXX公司分包工程本合同金额占比为   %、向 XXXX公司分包工程本合同金额占比为   %...）（按《中小企业声明函》执行）。经查实，该分包企业若不具备承接分包工作任务相应资质的，承包人需另行分包给具备承接分包工作任务资质的小微企业，分包给小微企业的总分包合同（含专业工程分包和劳务分包）金额占比不得低于《中小企业声明函》执行,且发包人予以承包人中标价的千分之五的处罚，并限制其一定期限内参与招标人后续项目投标。（本条适用于承包人为大中型企业，且其投标出具《中小企业声明函》，并享受中小企业扶持政策，否则签订合同做删除）承包人需建立分包管理台账，定期报监理、发包人审核和检查。</w:t>
      </w:r>
    </w:p>
    <w:p w14:paraId="0B900DC5">
      <w:pPr>
        <w:snapToGrid w:val="0"/>
        <w:spacing w:line="440" w:lineRule="exact"/>
        <w:ind w:firstLine="397"/>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14:paraId="26DEC84D">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39</w:t>
      </w:r>
      <w:r>
        <w:rPr>
          <w:rFonts w:hint="eastAsia" w:ascii="宋体" w:hAnsi="宋体" w:cs="宋体"/>
          <w:b/>
          <w:color w:val="auto"/>
          <w:sz w:val="24"/>
          <w:highlight w:val="none"/>
        </w:rPr>
        <w:t>、不可抗力</w:t>
      </w:r>
    </w:p>
    <w:p w14:paraId="0BE5EF88">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39.1</w:t>
      </w:r>
      <w:r>
        <w:rPr>
          <w:rFonts w:hint="eastAsia" w:ascii="宋体" w:hAnsi="宋体" w:cs="宋体"/>
          <w:color w:val="auto"/>
          <w:sz w:val="24"/>
          <w:szCs w:val="24"/>
          <w:highlight w:val="none"/>
        </w:rPr>
        <w:t>双方关于不可抗力的约定：按本合同通用条款执行，自然灾害的范围及其认定方式，按下述约定执行：</w:t>
      </w:r>
    </w:p>
    <w:p w14:paraId="2AFF1001">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u w:val="single"/>
        </w:rPr>
        <w:t>异常天气：仅指</w:t>
      </w:r>
      <w:r>
        <w:rPr>
          <w:rFonts w:ascii="宋体" w:hAnsi="宋体" w:cs="宋体"/>
          <w:color w:val="auto"/>
          <w:sz w:val="24"/>
          <w:szCs w:val="24"/>
          <w:highlight w:val="none"/>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cs="宋体"/>
          <w:color w:val="auto"/>
          <w:sz w:val="24"/>
          <w:szCs w:val="24"/>
          <w:highlight w:val="none"/>
        </w:rPr>
        <w:t>。</w:t>
      </w:r>
    </w:p>
    <w:p w14:paraId="32C97739">
      <w:pPr>
        <w:snapToGrid w:val="0"/>
        <w:spacing w:line="44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u w:val="single"/>
        </w:rPr>
        <w:t>里氏</w:t>
      </w:r>
      <w:r>
        <w:rPr>
          <w:rFonts w:ascii="宋体" w:hAnsi="宋体" w:cs="宋体"/>
          <w:color w:val="auto"/>
          <w:sz w:val="24"/>
          <w:szCs w:val="24"/>
          <w:highlight w:val="none"/>
          <w:u w:val="single"/>
        </w:rPr>
        <w:t>5级（含本数）以上地震</w:t>
      </w:r>
      <w:r>
        <w:rPr>
          <w:rFonts w:hint="eastAsia" w:ascii="宋体" w:hAnsi="宋体" w:cs="宋体"/>
          <w:color w:val="auto"/>
          <w:sz w:val="24"/>
          <w:szCs w:val="24"/>
          <w:highlight w:val="none"/>
        </w:rPr>
        <w:t>。</w:t>
      </w:r>
    </w:p>
    <w:p w14:paraId="7DB4D97E">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39.3双方关于不可抗力事件导致的</w:t>
      </w:r>
      <w:r>
        <w:rPr>
          <w:rFonts w:hint="eastAsia" w:ascii="宋体" w:hAnsi="宋体" w:cs="宋体"/>
          <w:color w:val="auto"/>
          <w:sz w:val="24"/>
          <w:szCs w:val="24"/>
          <w:highlight w:val="none"/>
        </w:rPr>
        <w:t>费用承担</w:t>
      </w:r>
      <w:r>
        <w:rPr>
          <w:rFonts w:hint="eastAsia" w:ascii="宋体" w:hAnsi="宋体" w:cs="宋体"/>
          <w:color w:val="auto"/>
          <w:sz w:val="24"/>
          <w:szCs w:val="24"/>
          <w:highlight w:val="none"/>
          <w:u w:val="single"/>
        </w:rPr>
        <w:t>按本专用条款</w:t>
      </w:r>
      <w:r>
        <w:rPr>
          <w:rFonts w:ascii="宋体" w:hAnsi="宋体" w:cs="宋体"/>
          <w:color w:val="auto"/>
          <w:sz w:val="24"/>
          <w:szCs w:val="24"/>
          <w:highlight w:val="none"/>
          <w:u w:val="single"/>
        </w:rPr>
        <w:t>12.3款约定</w:t>
      </w:r>
      <w:r>
        <w:rPr>
          <w:rFonts w:ascii="宋体" w:hAnsi="宋体" w:cs="宋体"/>
          <w:color w:val="auto"/>
          <w:sz w:val="24"/>
          <w:szCs w:val="24"/>
          <w:highlight w:val="none"/>
        </w:rPr>
        <w:t>执行</w:t>
      </w:r>
      <w:r>
        <w:rPr>
          <w:rFonts w:hint="eastAsia" w:ascii="宋体" w:hAnsi="宋体" w:cs="宋体"/>
          <w:color w:val="auto"/>
          <w:sz w:val="24"/>
          <w:szCs w:val="24"/>
          <w:highlight w:val="none"/>
        </w:rPr>
        <w:t>。</w:t>
      </w:r>
    </w:p>
    <w:p w14:paraId="5A220909">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40</w:t>
      </w:r>
      <w:r>
        <w:rPr>
          <w:rFonts w:hint="eastAsia" w:ascii="宋体" w:hAnsi="宋体" w:cs="宋体"/>
          <w:b/>
          <w:color w:val="auto"/>
          <w:sz w:val="24"/>
          <w:highlight w:val="none"/>
        </w:rPr>
        <w:t>、保险</w:t>
      </w:r>
    </w:p>
    <w:p w14:paraId="58049AB3">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40.2承包人对其运至施工场地内用于工程的材料和待安装设备办理保险并支付保险费</w:t>
      </w:r>
      <w:r>
        <w:rPr>
          <w:rFonts w:hint="eastAsia" w:ascii="宋体" w:hAnsi="宋体" w:cs="宋体"/>
          <w:color w:val="auto"/>
          <w:sz w:val="24"/>
          <w:szCs w:val="24"/>
          <w:highlight w:val="none"/>
        </w:rPr>
        <w:t>用。</w:t>
      </w:r>
    </w:p>
    <w:p w14:paraId="7F6FA71E">
      <w:pPr>
        <w:snapToGrid w:val="0"/>
        <w:spacing w:line="440" w:lineRule="exact"/>
        <w:ind w:firstLine="397"/>
        <w:rPr>
          <w:rFonts w:ascii="宋体" w:hAnsi="宋体" w:cs="宋体"/>
          <w:color w:val="auto"/>
          <w:sz w:val="24"/>
          <w:szCs w:val="24"/>
          <w:highlight w:val="none"/>
        </w:rPr>
      </w:pPr>
      <w:r>
        <w:rPr>
          <w:rFonts w:ascii="宋体" w:hAnsi="宋体" w:cs="宋体"/>
          <w:color w:val="auto"/>
          <w:sz w:val="24"/>
          <w:szCs w:val="24"/>
          <w:highlight w:val="none"/>
        </w:rPr>
        <w:t>40.6</w:t>
      </w:r>
      <w:r>
        <w:rPr>
          <w:rFonts w:hint="eastAsia" w:ascii="宋体" w:hAnsi="宋体" w:cs="宋体"/>
          <w:color w:val="auto"/>
          <w:sz w:val="24"/>
          <w:szCs w:val="24"/>
          <w:highlight w:val="none"/>
        </w:rPr>
        <w:t>本工程双方约定投保内容如下：</w:t>
      </w:r>
    </w:p>
    <w:p w14:paraId="6BFA1455">
      <w:pPr>
        <w:snapToGrid w:val="0"/>
        <w:spacing w:line="440" w:lineRule="exact"/>
        <w:ind w:left="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发包人投保内容：</w:t>
      </w:r>
      <w:r>
        <w:rPr>
          <w:rFonts w:hint="eastAsia" w:ascii="宋体" w:hAnsi="宋体" w:cs="宋体"/>
          <w:color w:val="auto"/>
          <w:sz w:val="24"/>
          <w:szCs w:val="24"/>
          <w:highlight w:val="none"/>
          <w:u w:val="single"/>
        </w:rPr>
        <w:t>按广州市建设项目劳动保险相关规定投保</w:t>
      </w:r>
      <w:r>
        <w:rPr>
          <w:rFonts w:hint="eastAsia" w:ascii="宋体" w:hAnsi="宋体" w:cs="宋体"/>
          <w:color w:val="auto"/>
          <w:sz w:val="24"/>
          <w:szCs w:val="24"/>
          <w:highlight w:val="none"/>
        </w:rPr>
        <w:t>。</w:t>
      </w:r>
    </w:p>
    <w:p w14:paraId="734055A4">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发包人委托承包人办理的保险事项：</w:t>
      </w:r>
      <w:r>
        <w:rPr>
          <w:rFonts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5449635D">
      <w:pPr>
        <w:snapToGrid w:val="0"/>
        <w:spacing w:line="440" w:lineRule="exact"/>
        <w:ind w:left="397"/>
        <w:rPr>
          <w:rFonts w:ascii="宋体" w:hAnsi="宋体" w:cs="宋体"/>
          <w:color w:val="auto"/>
          <w:sz w:val="24"/>
          <w:szCs w:val="24"/>
          <w:highlight w:val="none"/>
          <w:u w:val="singl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承包人投保内容：</w:t>
      </w:r>
      <w:r>
        <w:rPr>
          <w:rFonts w:hint="eastAsia" w:ascii="宋体" w:hAnsi="宋体" w:cs="宋体"/>
          <w:color w:val="auto"/>
          <w:sz w:val="24"/>
          <w:szCs w:val="24"/>
          <w:highlight w:val="none"/>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r>
        <w:rPr>
          <w:rFonts w:hint="eastAsia" w:ascii="宋体" w:hAnsi="宋体" w:cs="宋体"/>
          <w:color w:val="auto"/>
          <w:sz w:val="24"/>
          <w:szCs w:val="24"/>
          <w:highlight w:val="none"/>
        </w:rPr>
        <w:t>。</w:t>
      </w:r>
    </w:p>
    <w:p w14:paraId="1B244FFF">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41</w:t>
      </w:r>
      <w:r>
        <w:rPr>
          <w:rFonts w:hint="eastAsia" w:ascii="宋体" w:hAnsi="宋体" w:cs="宋体"/>
          <w:b/>
          <w:color w:val="auto"/>
          <w:sz w:val="24"/>
          <w:highlight w:val="none"/>
        </w:rPr>
        <w:t>、担保</w:t>
      </w:r>
    </w:p>
    <w:p w14:paraId="7CA9983D">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41.1 </w:t>
      </w:r>
      <w:r>
        <w:rPr>
          <w:rFonts w:hint="eastAsia" w:ascii="宋体" w:hAnsi="宋体" w:cs="宋体"/>
          <w:color w:val="auto"/>
          <w:sz w:val="24"/>
          <w:highlight w:val="none"/>
        </w:rPr>
        <w:t>本工程双方约定担保事项如下：</w:t>
      </w:r>
    </w:p>
    <w:p w14:paraId="0B1ADA5B">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1）发包人向承包人提供支付担保，担保方式为：支付担保保函。</w:t>
      </w:r>
    </w:p>
    <w:p w14:paraId="7C1B48F7">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2）承包人按如下方式向发包人提供履约担保：</w:t>
      </w:r>
    </w:p>
    <w:p w14:paraId="39A50048">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①</w:t>
      </w:r>
      <w:r>
        <w:rPr>
          <w:rFonts w:ascii="宋体" w:hAnsi="宋体" w:cs="宋体"/>
          <w:color w:val="auto"/>
          <w:sz w:val="24"/>
          <w:highlight w:val="none"/>
        </w:rPr>
        <w:t xml:space="preserve"> </w:t>
      </w:r>
      <w:r>
        <w:rPr>
          <w:rFonts w:hint="eastAsia" w:ascii="宋体" w:hAnsi="宋体" w:cs="宋体"/>
          <w:color w:val="auto"/>
          <w:sz w:val="24"/>
          <w:highlight w:val="none"/>
        </w:rPr>
        <w:t>履约担保：承包人向发包人提交担保金额为中标价</w:t>
      </w:r>
      <w:r>
        <w:rPr>
          <w:rFonts w:ascii="宋体" w:hAnsi="宋体" w:cs="宋体"/>
          <w:color w:val="auto"/>
          <w:sz w:val="24"/>
          <w:highlight w:val="none"/>
        </w:rPr>
        <w:t xml:space="preserve">10%的履约担保，担保形式执行《关于规范招投标领域工程建设保证金收取有关工作的通知》（粤发改法规函〔2022〕1178 </w:t>
      </w:r>
      <w:r>
        <w:rPr>
          <w:rFonts w:hint="eastAsia" w:ascii="宋体" w:hAnsi="宋体" w:cs="宋体"/>
          <w:color w:val="auto"/>
          <w:sz w:val="24"/>
          <w:highlight w:val="none"/>
        </w:rPr>
        <w:t>号）规定。担保到期但工程尚未验收的，承包人应自觉办理担保延期手续，确保担保期限不出现空缺，否则，发包人不予支付工程款。</w:t>
      </w:r>
    </w:p>
    <w:p w14:paraId="30E92A6A">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首次办理履约担保，如合同工期低于</w:t>
      </w:r>
      <w:r>
        <w:rPr>
          <w:rFonts w:ascii="宋体" w:hAnsi="宋体" w:cs="宋体"/>
          <w:color w:val="auto"/>
          <w:sz w:val="24"/>
          <w:highlight w:val="none"/>
        </w:rPr>
        <w:t xml:space="preserve">1 </w:t>
      </w:r>
      <w:r>
        <w:rPr>
          <w:rFonts w:hint="eastAsia" w:ascii="宋体" w:hAnsi="宋体" w:cs="宋体"/>
          <w:color w:val="auto"/>
          <w:sz w:val="24"/>
          <w:highlight w:val="none"/>
        </w:rPr>
        <w:t>年的，担保期限可按合同工期，如合同工期高于</w:t>
      </w:r>
      <w:r>
        <w:rPr>
          <w:rFonts w:ascii="宋体" w:hAnsi="宋体" w:cs="宋体"/>
          <w:color w:val="auto"/>
          <w:sz w:val="24"/>
          <w:highlight w:val="none"/>
        </w:rPr>
        <w:t xml:space="preserve">1年的，担保期限不低于1 </w:t>
      </w:r>
      <w:r>
        <w:rPr>
          <w:rFonts w:hint="eastAsia" w:ascii="宋体" w:hAnsi="宋体" w:cs="宋体"/>
          <w:color w:val="auto"/>
          <w:sz w:val="24"/>
          <w:highlight w:val="none"/>
        </w:rPr>
        <w:t>年。</w:t>
      </w:r>
    </w:p>
    <w:p w14:paraId="6AAB8888">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履约担保办理延期手续时，若项目的完成工程量不足一半，担保金额按中标价的</w:t>
      </w:r>
      <w:r>
        <w:rPr>
          <w:rFonts w:ascii="宋体" w:hAnsi="宋体" w:cs="宋体"/>
          <w:color w:val="auto"/>
          <w:sz w:val="24"/>
          <w:highlight w:val="none"/>
        </w:rPr>
        <w:t>10%；若项目的完成工程量超过一半，担保金额可按中标价的5%；其他特殊情况需调整的，需报发包人审议同意。</w:t>
      </w:r>
    </w:p>
    <w:p w14:paraId="01C9EB55">
      <w:pPr>
        <w:snapToGrid w:val="0"/>
        <w:spacing w:line="44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lang w:val="en-US" w:eastAsia="zh-CN"/>
        </w:rPr>
        <w:t>履约担保</w:t>
      </w:r>
      <w:r>
        <w:rPr>
          <w:rFonts w:hint="eastAsia" w:ascii="宋体" w:hAnsi="宋体" w:cs="宋体"/>
          <w:color w:val="auto"/>
          <w:sz w:val="24"/>
          <w:szCs w:val="24"/>
          <w:highlight w:val="none"/>
          <w:u w:val="single"/>
        </w:rPr>
        <w:t>的管理和格式按《广州开发区财政投资建设项目管理中心建设工程履约担保管理细则（2025修订版）》执行。</w:t>
      </w:r>
    </w:p>
    <w:p w14:paraId="75F01E72">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②</w:t>
      </w:r>
      <w:r>
        <w:rPr>
          <w:rFonts w:ascii="宋体" w:hAnsi="宋体" w:cs="宋体"/>
          <w:color w:val="auto"/>
          <w:sz w:val="24"/>
          <w:highlight w:val="none"/>
        </w:rPr>
        <w:t xml:space="preserve"> </w:t>
      </w:r>
      <w:r>
        <w:rPr>
          <w:rFonts w:hint="eastAsia" w:ascii="宋体" w:hAnsi="宋体" w:cs="宋体"/>
          <w:color w:val="auto"/>
          <w:sz w:val="24"/>
          <w:highlight w:val="none"/>
        </w:rPr>
        <w:t>履约担保的返还方式：在工程</w:t>
      </w:r>
      <w:r>
        <w:rPr>
          <w:rFonts w:hint="eastAsia" w:ascii="宋体" w:hAnsi="宋体" w:cs="宋体"/>
          <w:color w:val="auto"/>
          <w:sz w:val="24"/>
          <w:highlight w:val="none"/>
          <w:lang w:val="en-US" w:eastAsia="zh-CN"/>
        </w:rPr>
        <w:t>竣工</w:t>
      </w:r>
      <w:r>
        <w:rPr>
          <w:rFonts w:hint="eastAsia" w:ascii="宋体" w:hAnsi="宋体" w:cs="宋体"/>
          <w:color w:val="auto"/>
          <w:sz w:val="24"/>
          <w:highlight w:val="none"/>
        </w:rPr>
        <w:t>验收合格后返还承包人。</w:t>
      </w:r>
    </w:p>
    <w:p w14:paraId="12A15DDF">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7B728B77">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46</w:t>
      </w:r>
      <w:r>
        <w:rPr>
          <w:rFonts w:hint="eastAsia" w:ascii="宋体" w:hAnsi="宋体" w:cs="宋体"/>
          <w:b/>
          <w:color w:val="auto"/>
          <w:sz w:val="24"/>
          <w:highlight w:val="none"/>
        </w:rPr>
        <w:t>、合同份数</w:t>
      </w:r>
    </w:p>
    <w:p w14:paraId="399ED81F">
      <w:pPr>
        <w:snapToGrid w:val="0"/>
        <w:spacing w:line="440" w:lineRule="exact"/>
        <w:ind w:firstLine="397"/>
        <w:rPr>
          <w:rFonts w:ascii="宋体" w:hAnsi="宋体" w:cs="宋体"/>
          <w:color w:val="auto"/>
          <w:sz w:val="24"/>
          <w:szCs w:val="24"/>
          <w:highlight w:val="none"/>
          <w:u w:val="single"/>
        </w:rPr>
      </w:pPr>
      <w:r>
        <w:rPr>
          <w:rFonts w:ascii="宋体" w:hAnsi="宋体" w:cs="宋体"/>
          <w:color w:val="auto"/>
          <w:sz w:val="24"/>
          <w:szCs w:val="24"/>
          <w:highlight w:val="none"/>
        </w:rPr>
        <w:t>46.1</w:t>
      </w:r>
      <w:r>
        <w:rPr>
          <w:rFonts w:hint="eastAsia" w:ascii="宋体" w:hAnsi="宋体" w:cs="宋体"/>
          <w:color w:val="auto"/>
          <w:sz w:val="24"/>
          <w:szCs w:val="24"/>
          <w:highlight w:val="none"/>
        </w:rPr>
        <w:t>双方约定合同正副本份数：</w:t>
      </w:r>
      <w:r>
        <w:rPr>
          <w:rFonts w:hint="eastAsia" w:ascii="宋体" w:hAnsi="宋体" w:cs="宋体"/>
          <w:color w:val="auto"/>
          <w:sz w:val="24"/>
          <w:szCs w:val="24"/>
          <w:highlight w:val="none"/>
          <w:u w:val="single"/>
        </w:rPr>
        <w:t>共拾份，正本一式贰份，发包人承包人各执壹份；副本捌份，发包人肆份，承包人叁份，监理人壹份</w:t>
      </w:r>
      <w:r>
        <w:rPr>
          <w:rFonts w:hint="eastAsia" w:ascii="宋体" w:hAnsi="宋体" w:cs="宋体"/>
          <w:color w:val="auto"/>
          <w:sz w:val="24"/>
          <w:szCs w:val="24"/>
          <w:highlight w:val="none"/>
        </w:rPr>
        <w:t>。</w:t>
      </w:r>
    </w:p>
    <w:p w14:paraId="2F3FBD10">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47</w:t>
      </w:r>
      <w:r>
        <w:rPr>
          <w:rFonts w:hint="eastAsia" w:ascii="宋体" w:hAnsi="宋体" w:cs="宋体"/>
          <w:b/>
          <w:color w:val="auto"/>
          <w:sz w:val="24"/>
          <w:highlight w:val="none"/>
        </w:rPr>
        <w:t>、补充条款</w:t>
      </w:r>
    </w:p>
    <w:p w14:paraId="7B7D755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安全、文明、科学、规范的施工要求</w:t>
      </w:r>
      <w:r>
        <w:rPr>
          <w:rFonts w:hint="eastAsia" w:ascii="宋体" w:hAnsi="宋体" w:eastAsia="宋体" w:cs="宋体"/>
          <w:color w:val="auto"/>
          <w:sz w:val="24"/>
          <w:szCs w:val="24"/>
          <w:highlight w:val="none"/>
        </w:rPr>
        <w:t>）</w:t>
      </w:r>
    </w:p>
    <w:p w14:paraId="7DD16172">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w:t>
      </w:r>
      <w:r>
        <w:rPr>
          <w:rFonts w:hint="eastAsia" w:ascii="宋体" w:hAnsi="宋体" w:cs="宋体"/>
          <w:color w:val="auto"/>
          <w:sz w:val="24"/>
          <w:szCs w:val="24"/>
          <w:highlight w:val="none"/>
          <w:u w:val="single"/>
        </w:rPr>
        <w:t>承包人在开工前，必须按照广州市、开发区有关要求办理好相应的施工手续方可开工</w:t>
      </w:r>
      <w:r>
        <w:rPr>
          <w:rFonts w:hint="eastAsia" w:ascii="宋体" w:hAnsi="宋体" w:cs="宋体"/>
          <w:color w:val="auto"/>
          <w:sz w:val="24"/>
          <w:szCs w:val="24"/>
          <w:highlight w:val="none"/>
        </w:rPr>
        <w:t>。</w:t>
      </w:r>
    </w:p>
    <w:p w14:paraId="355370C9">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47.2</w:t>
      </w:r>
      <w:r>
        <w:rPr>
          <w:rFonts w:hint="eastAsia" w:ascii="宋体" w:hAnsi="宋体" w:cs="宋体"/>
          <w:color w:val="auto"/>
          <w:sz w:val="24"/>
          <w:szCs w:val="24"/>
          <w:highlight w:val="none"/>
          <w:u w:val="single"/>
        </w:rPr>
        <w:t>施工范围的具体位置及可交付承包人施工安排的用地范围，由承包人根据现场勘察情况报发包人同意确定，建筑轴线控制基点由承包人联系规划局提供</w:t>
      </w:r>
      <w:r>
        <w:rPr>
          <w:rFonts w:hint="eastAsia" w:ascii="宋体" w:hAnsi="宋体" w:cs="宋体"/>
          <w:color w:val="auto"/>
          <w:sz w:val="24"/>
          <w:szCs w:val="24"/>
          <w:highlight w:val="none"/>
        </w:rPr>
        <w:t>。</w:t>
      </w:r>
    </w:p>
    <w:p w14:paraId="7479349A">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w:t>
      </w:r>
      <w:r>
        <w:rPr>
          <w:rFonts w:hint="eastAsia" w:ascii="宋体" w:hAnsi="宋体" w:cs="宋体"/>
          <w:color w:val="auto"/>
          <w:sz w:val="24"/>
          <w:szCs w:val="24"/>
          <w:highlight w:val="none"/>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hAnsi="宋体" w:cs="宋体"/>
          <w:color w:val="auto"/>
          <w:sz w:val="24"/>
          <w:szCs w:val="24"/>
          <w:highlight w:val="none"/>
        </w:rPr>
        <w:t>。</w:t>
      </w:r>
    </w:p>
    <w:p w14:paraId="0D5030D4">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47.4</w:t>
      </w:r>
      <w:r>
        <w:rPr>
          <w:rFonts w:hint="eastAsia" w:ascii="宋体" w:hAnsi="宋体" w:cs="宋体"/>
          <w:color w:val="auto"/>
          <w:sz w:val="24"/>
          <w:szCs w:val="24"/>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cs="宋体"/>
          <w:color w:val="auto"/>
          <w:sz w:val="24"/>
          <w:szCs w:val="24"/>
          <w:highlight w:val="none"/>
        </w:rPr>
        <w:t>。</w:t>
      </w:r>
    </w:p>
    <w:p w14:paraId="4096466A">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47.5</w:t>
      </w:r>
      <w:r>
        <w:rPr>
          <w:rFonts w:hint="eastAsia" w:ascii="宋体" w:hAnsi="宋体" w:cs="宋体"/>
          <w:color w:val="auto"/>
          <w:sz w:val="24"/>
          <w:szCs w:val="24"/>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cs="宋体"/>
          <w:color w:val="auto"/>
          <w:sz w:val="24"/>
          <w:szCs w:val="24"/>
          <w:highlight w:val="none"/>
        </w:rPr>
        <w:t>。</w:t>
      </w:r>
    </w:p>
    <w:p w14:paraId="7EDC4ACD">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47.6</w:t>
      </w:r>
      <w:r>
        <w:rPr>
          <w:rFonts w:hint="eastAsia" w:ascii="宋体" w:hAnsi="宋体" w:cs="宋体"/>
          <w:color w:val="auto"/>
          <w:sz w:val="24"/>
          <w:szCs w:val="24"/>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cs="宋体"/>
          <w:color w:val="auto"/>
          <w:sz w:val="24"/>
          <w:szCs w:val="24"/>
          <w:highlight w:val="none"/>
        </w:rPr>
        <w:t>。</w:t>
      </w:r>
    </w:p>
    <w:p w14:paraId="7BC61EF2">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47.7</w:t>
      </w:r>
      <w:r>
        <w:rPr>
          <w:rFonts w:hint="eastAsia" w:ascii="宋体" w:hAnsi="宋体" w:cs="宋体"/>
          <w:color w:val="auto"/>
          <w:sz w:val="24"/>
          <w:szCs w:val="24"/>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hint="eastAsia" w:ascii="宋体" w:hAnsi="宋体" w:cs="宋体"/>
          <w:color w:val="auto"/>
          <w:sz w:val="24"/>
          <w:szCs w:val="24"/>
          <w:highlight w:val="none"/>
        </w:rPr>
        <w:t>。</w:t>
      </w:r>
    </w:p>
    <w:p w14:paraId="548A7413">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47.8</w:t>
      </w:r>
      <w:r>
        <w:rPr>
          <w:rFonts w:hint="eastAsia" w:ascii="宋体" w:hAnsi="宋体" w:cs="宋体"/>
          <w:color w:val="auto"/>
          <w:sz w:val="24"/>
          <w:szCs w:val="24"/>
          <w:highlight w:val="none"/>
          <w:u w:val="single"/>
        </w:rPr>
        <w:t>若遇阻碍施工需拆迁的旧建（构）筑物、地下孤石等障碍物，由承包人负责清障，所需清障费用经监理、发包人现场签证调整</w:t>
      </w:r>
      <w:r>
        <w:rPr>
          <w:rFonts w:hint="eastAsia" w:ascii="宋体" w:hAnsi="宋体" w:cs="宋体"/>
          <w:color w:val="auto"/>
          <w:sz w:val="24"/>
          <w:szCs w:val="24"/>
          <w:highlight w:val="none"/>
        </w:rPr>
        <w:t>。</w:t>
      </w:r>
    </w:p>
    <w:p w14:paraId="5552EA04">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47.9</w:t>
      </w:r>
      <w:r>
        <w:rPr>
          <w:rFonts w:hint="eastAsia" w:ascii="宋体" w:hAnsi="宋体" w:cs="宋体"/>
          <w:color w:val="auto"/>
          <w:sz w:val="24"/>
          <w:szCs w:val="24"/>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hint="eastAsia" w:ascii="宋体" w:hAnsi="宋体" w:cs="宋体"/>
          <w:color w:val="auto"/>
          <w:sz w:val="24"/>
          <w:szCs w:val="24"/>
          <w:highlight w:val="none"/>
        </w:rPr>
        <w:t>。</w:t>
      </w:r>
    </w:p>
    <w:p w14:paraId="2A6F0FB0">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47.10</w:t>
      </w:r>
      <w:r>
        <w:rPr>
          <w:rFonts w:hint="eastAsia" w:ascii="宋体" w:hAnsi="宋体" w:cs="宋体"/>
          <w:color w:val="auto"/>
          <w:sz w:val="24"/>
          <w:szCs w:val="24"/>
          <w:highlight w:val="none"/>
          <w:u w:val="single"/>
        </w:rPr>
        <w:t>双方根据国家有关规定，结合具体工程约定质量缺陷责任期如下</w:t>
      </w:r>
      <w:r>
        <w:rPr>
          <w:rFonts w:hint="eastAsia" w:ascii="宋体" w:hAnsi="宋体" w:cs="宋体"/>
          <w:color w:val="auto"/>
          <w:sz w:val="24"/>
          <w:szCs w:val="24"/>
          <w:highlight w:val="none"/>
        </w:rPr>
        <w:t>：</w:t>
      </w:r>
    </w:p>
    <w:p w14:paraId="454C0957">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1、</w:t>
      </w:r>
      <w:r>
        <w:rPr>
          <w:rFonts w:hint="eastAsia" w:ascii="宋体" w:hAnsi="宋体" w:cs="宋体"/>
          <w:color w:val="auto"/>
          <w:sz w:val="24"/>
          <w:szCs w:val="24"/>
          <w:highlight w:val="none"/>
          <w:u w:val="single"/>
        </w:rPr>
        <w:t>基础设施工程、房屋建筑的地基基础工程和主体结构工程为</w:t>
      </w:r>
      <w:r>
        <w:rPr>
          <w:rFonts w:ascii="宋体" w:hAnsi="宋体" w:cs="宋体"/>
          <w:color w:val="auto"/>
          <w:sz w:val="24"/>
          <w:szCs w:val="24"/>
          <w:highlight w:val="none"/>
          <w:u w:val="single"/>
        </w:rPr>
        <w:t>2年</w:t>
      </w:r>
      <w:r>
        <w:rPr>
          <w:rFonts w:hint="eastAsia" w:ascii="宋体" w:hAnsi="宋体" w:cs="宋体"/>
          <w:color w:val="auto"/>
          <w:sz w:val="24"/>
          <w:szCs w:val="24"/>
          <w:highlight w:val="none"/>
        </w:rPr>
        <w:t>；</w:t>
      </w:r>
    </w:p>
    <w:p w14:paraId="384195A7">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2、</w:t>
      </w:r>
      <w:r>
        <w:rPr>
          <w:rFonts w:hint="eastAsia" w:ascii="宋体" w:hAnsi="宋体" w:cs="宋体"/>
          <w:color w:val="auto"/>
          <w:sz w:val="24"/>
          <w:szCs w:val="24"/>
          <w:highlight w:val="none"/>
          <w:u w:val="single"/>
        </w:rPr>
        <w:t>屋面防水工程为</w:t>
      </w:r>
      <w:r>
        <w:rPr>
          <w:rFonts w:ascii="宋体" w:hAnsi="宋体" w:cs="宋体"/>
          <w:color w:val="auto"/>
          <w:sz w:val="24"/>
          <w:szCs w:val="24"/>
          <w:highlight w:val="none"/>
          <w:u w:val="single"/>
        </w:rPr>
        <w:t xml:space="preserve"> 2 </w:t>
      </w:r>
      <w:r>
        <w:rPr>
          <w:rFonts w:hint="eastAsia" w:ascii="宋体" w:hAnsi="宋体" w:cs="宋体"/>
          <w:color w:val="auto"/>
          <w:sz w:val="24"/>
          <w:szCs w:val="24"/>
          <w:highlight w:val="none"/>
          <w:u w:val="single"/>
        </w:rPr>
        <w:t>年，室外装饰工程为</w:t>
      </w:r>
      <w:r>
        <w:rPr>
          <w:rFonts w:ascii="宋体" w:hAnsi="宋体" w:cs="宋体"/>
          <w:color w:val="auto"/>
          <w:sz w:val="24"/>
          <w:szCs w:val="24"/>
          <w:highlight w:val="none"/>
          <w:u w:val="single"/>
        </w:rPr>
        <w:t xml:space="preserve"> 2 年</w:t>
      </w:r>
      <w:r>
        <w:rPr>
          <w:rFonts w:hint="eastAsia" w:ascii="宋体" w:hAnsi="宋体" w:cs="宋体"/>
          <w:color w:val="auto"/>
          <w:sz w:val="24"/>
          <w:szCs w:val="24"/>
          <w:highlight w:val="none"/>
        </w:rPr>
        <w:t>；</w:t>
      </w:r>
    </w:p>
    <w:p w14:paraId="21B48AA2">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u w:val="single"/>
        </w:rPr>
        <w:t>电力管线、上下水管线安装工程为</w:t>
      </w:r>
      <w:r>
        <w:rPr>
          <w:rFonts w:ascii="宋体" w:hAnsi="宋体" w:cs="宋体"/>
          <w:color w:val="auto"/>
          <w:sz w:val="24"/>
          <w:szCs w:val="24"/>
          <w:highlight w:val="none"/>
          <w:u w:val="single"/>
        </w:rPr>
        <w:t xml:space="preserve"> 2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w:t>
      </w:r>
    </w:p>
    <w:p w14:paraId="2DA84DB1">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w:t>
      </w:r>
      <w:r>
        <w:rPr>
          <w:rFonts w:hint="eastAsia" w:ascii="宋体" w:hAnsi="宋体" w:cs="宋体"/>
          <w:color w:val="auto"/>
          <w:sz w:val="24"/>
          <w:szCs w:val="24"/>
          <w:highlight w:val="none"/>
          <w:u w:val="single"/>
        </w:rPr>
        <w:t>供热及供冷为</w:t>
      </w:r>
      <w:r>
        <w:rPr>
          <w:rFonts w:ascii="宋体" w:hAnsi="宋体" w:cs="宋体"/>
          <w:color w:val="auto"/>
          <w:sz w:val="24"/>
          <w:szCs w:val="24"/>
          <w:highlight w:val="none"/>
          <w:u w:val="single"/>
        </w:rPr>
        <w:t xml:space="preserve"> 2 </w:t>
      </w:r>
      <w:r>
        <w:rPr>
          <w:rFonts w:hint="eastAsia" w:ascii="宋体" w:hAnsi="宋体" w:cs="宋体"/>
          <w:color w:val="auto"/>
          <w:sz w:val="24"/>
          <w:szCs w:val="24"/>
          <w:highlight w:val="none"/>
          <w:u w:val="single"/>
        </w:rPr>
        <w:t>个采暖期及供冷期</w:t>
      </w:r>
      <w:r>
        <w:rPr>
          <w:rFonts w:hint="eastAsia" w:ascii="宋体" w:hAnsi="宋体" w:cs="宋体"/>
          <w:color w:val="auto"/>
          <w:sz w:val="24"/>
          <w:szCs w:val="24"/>
          <w:highlight w:val="none"/>
        </w:rPr>
        <w:t>；</w:t>
      </w:r>
    </w:p>
    <w:p w14:paraId="3D340D27">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5、</w:t>
      </w:r>
      <w:r>
        <w:rPr>
          <w:rFonts w:hint="eastAsia" w:ascii="宋体" w:hAnsi="宋体" w:cs="宋体"/>
          <w:color w:val="auto"/>
          <w:sz w:val="24"/>
          <w:szCs w:val="24"/>
          <w:highlight w:val="none"/>
          <w:u w:val="single"/>
        </w:rPr>
        <w:t>室外的上下水和小区道路等市政公用工程为</w:t>
      </w:r>
      <w:r>
        <w:rPr>
          <w:rFonts w:ascii="宋体" w:hAnsi="宋体" w:cs="宋体"/>
          <w:color w:val="auto"/>
          <w:sz w:val="24"/>
          <w:szCs w:val="24"/>
          <w:highlight w:val="none"/>
          <w:u w:val="single"/>
        </w:rPr>
        <w:t xml:space="preserve"> 2 年</w:t>
      </w:r>
      <w:r>
        <w:rPr>
          <w:rFonts w:hint="eastAsia" w:ascii="宋体" w:hAnsi="宋体" w:cs="宋体"/>
          <w:color w:val="auto"/>
          <w:sz w:val="24"/>
          <w:szCs w:val="24"/>
          <w:highlight w:val="none"/>
        </w:rPr>
        <w:t>；</w:t>
      </w:r>
    </w:p>
    <w:p w14:paraId="04A535DB">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6、</w:t>
      </w:r>
      <w:r>
        <w:rPr>
          <w:rFonts w:hint="eastAsia" w:ascii="宋体" w:hAnsi="宋体" w:cs="宋体"/>
          <w:color w:val="auto"/>
          <w:sz w:val="24"/>
          <w:szCs w:val="24"/>
          <w:highlight w:val="none"/>
          <w:u w:val="single"/>
        </w:rPr>
        <w:t>市政道路排水工程为</w:t>
      </w:r>
      <w:r>
        <w:rPr>
          <w:rFonts w:ascii="宋体" w:hAnsi="宋体" w:cs="宋体"/>
          <w:color w:val="auto"/>
          <w:sz w:val="24"/>
          <w:szCs w:val="24"/>
          <w:highlight w:val="none"/>
          <w:u w:val="single"/>
        </w:rPr>
        <w:t xml:space="preserve"> 2 年，市政供水工程为 2 年</w:t>
      </w:r>
      <w:r>
        <w:rPr>
          <w:rFonts w:hint="eastAsia" w:ascii="宋体" w:hAnsi="宋体" w:cs="宋体"/>
          <w:color w:val="auto"/>
          <w:sz w:val="24"/>
          <w:szCs w:val="24"/>
          <w:highlight w:val="none"/>
        </w:rPr>
        <w:t>；</w:t>
      </w:r>
    </w:p>
    <w:p w14:paraId="04AF6C8A">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7、</w:t>
      </w:r>
      <w:r>
        <w:rPr>
          <w:rFonts w:hint="eastAsia" w:ascii="宋体" w:hAnsi="宋体" w:cs="宋体"/>
          <w:color w:val="auto"/>
          <w:sz w:val="24"/>
          <w:szCs w:val="24"/>
          <w:highlight w:val="none"/>
          <w:u w:val="single"/>
        </w:rPr>
        <w:t>市政供电工程为</w:t>
      </w:r>
      <w:r>
        <w:rPr>
          <w:rFonts w:ascii="宋体" w:hAnsi="宋体" w:cs="宋体"/>
          <w:color w:val="auto"/>
          <w:sz w:val="24"/>
          <w:szCs w:val="24"/>
          <w:highlight w:val="none"/>
          <w:u w:val="single"/>
        </w:rPr>
        <w:t xml:space="preserve"> 2 年，市政道路照明工程 2 年，市政交通设施工程为 2 年</w:t>
      </w:r>
      <w:r>
        <w:rPr>
          <w:rFonts w:hint="eastAsia" w:ascii="宋体" w:hAnsi="宋体" w:cs="宋体"/>
          <w:color w:val="auto"/>
          <w:sz w:val="24"/>
          <w:szCs w:val="24"/>
          <w:highlight w:val="none"/>
        </w:rPr>
        <w:t>。</w:t>
      </w:r>
    </w:p>
    <w:p w14:paraId="230A11B3">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8、</w:t>
      </w:r>
      <w:r>
        <w:rPr>
          <w:rFonts w:hint="eastAsia" w:ascii="宋体" w:hAnsi="宋体" w:cs="宋体"/>
          <w:color w:val="auto"/>
          <w:sz w:val="24"/>
          <w:szCs w:val="24"/>
          <w:highlight w:val="none"/>
          <w:u w:val="single"/>
        </w:rPr>
        <w:t>园林建筑工程为</w:t>
      </w:r>
      <w:r>
        <w:rPr>
          <w:rFonts w:ascii="宋体" w:hAnsi="宋体" w:cs="宋体"/>
          <w:color w:val="auto"/>
          <w:sz w:val="24"/>
          <w:szCs w:val="24"/>
          <w:highlight w:val="none"/>
          <w:u w:val="single"/>
        </w:rPr>
        <w:t>1年，喷淋工程为2年，胸径15cm</w:t>
      </w:r>
      <w:r>
        <w:rPr>
          <w:rFonts w:hint="eastAsia" w:ascii="宋体" w:hAnsi="宋体" w:cs="宋体"/>
          <w:color w:val="auto"/>
          <w:sz w:val="24"/>
          <w:szCs w:val="24"/>
          <w:highlight w:val="none"/>
          <w:u w:val="single"/>
        </w:rPr>
        <w:t>以内（含</w:t>
      </w:r>
      <w:r>
        <w:rPr>
          <w:rFonts w:ascii="宋体" w:hAnsi="宋体" w:cs="宋体"/>
          <w:color w:val="auto"/>
          <w:sz w:val="24"/>
          <w:szCs w:val="24"/>
          <w:highlight w:val="none"/>
          <w:u w:val="single"/>
        </w:rPr>
        <w:t>15cm</w:t>
      </w:r>
      <w:r>
        <w:rPr>
          <w:rFonts w:hint="eastAsia" w:ascii="宋体" w:hAnsi="宋体" w:cs="宋体"/>
          <w:color w:val="auto"/>
          <w:sz w:val="24"/>
          <w:szCs w:val="24"/>
          <w:highlight w:val="none"/>
          <w:u w:val="single"/>
        </w:rPr>
        <w:t>）的苗木养护期为</w:t>
      </w:r>
      <w:r>
        <w:rPr>
          <w:rFonts w:ascii="宋体" w:hAnsi="宋体" w:cs="宋体"/>
          <w:color w:val="auto"/>
          <w:sz w:val="24"/>
          <w:szCs w:val="24"/>
          <w:highlight w:val="none"/>
          <w:u w:val="single"/>
        </w:rPr>
        <w:t>3个月，胸径15cm</w:t>
      </w:r>
      <w:r>
        <w:rPr>
          <w:rFonts w:hint="eastAsia" w:ascii="宋体" w:hAnsi="宋体" w:cs="宋体"/>
          <w:color w:val="auto"/>
          <w:sz w:val="24"/>
          <w:szCs w:val="24"/>
          <w:highlight w:val="none"/>
          <w:u w:val="single"/>
        </w:rPr>
        <w:t>以上的苗木养护期为</w:t>
      </w:r>
      <w:r>
        <w:rPr>
          <w:rFonts w:ascii="宋体" w:hAnsi="宋体" w:cs="宋体"/>
          <w:color w:val="auto"/>
          <w:sz w:val="24"/>
          <w:szCs w:val="24"/>
          <w:highlight w:val="none"/>
          <w:u w:val="single"/>
        </w:rPr>
        <w:t>1年</w:t>
      </w:r>
      <w:r>
        <w:rPr>
          <w:rFonts w:hint="eastAsia" w:ascii="宋体" w:hAnsi="宋体" w:cs="宋体"/>
          <w:color w:val="auto"/>
          <w:sz w:val="24"/>
          <w:szCs w:val="24"/>
          <w:highlight w:val="none"/>
        </w:rPr>
        <w:t>。</w:t>
      </w:r>
    </w:p>
    <w:p w14:paraId="19B5060A">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9、</w:t>
      </w:r>
      <w:r>
        <w:rPr>
          <w:rFonts w:hint="eastAsia" w:ascii="宋体" w:hAnsi="宋体" w:cs="宋体"/>
          <w:color w:val="auto"/>
          <w:sz w:val="24"/>
          <w:szCs w:val="24"/>
          <w:highlight w:val="none"/>
          <w:u w:val="single"/>
        </w:rPr>
        <w:t>除上述专业工程外其它工程的质量缺陷责任期按相关规定或经双方另行协商确定</w:t>
      </w:r>
      <w:r>
        <w:rPr>
          <w:rFonts w:hint="eastAsia" w:ascii="宋体" w:hAnsi="宋体" w:cs="宋体"/>
          <w:color w:val="auto"/>
          <w:sz w:val="24"/>
          <w:szCs w:val="24"/>
          <w:highlight w:val="none"/>
        </w:rPr>
        <w:t>。</w:t>
      </w:r>
    </w:p>
    <w:p w14:paraId="43208445">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cs="宋体"/>
          <w:color w:val="auto"/>
          <w:sz w:val="24"/>
          <w:szCs w:val="24"/>
          <w:highlight w:val="none"/>
        </w:rPr>
        <w:t>。</w:t>
      </w:r>
    </w:p>
    <w:p w14:paraId="2403D91F">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47.11</w:t>
      </w:r>
      <w:r>
        <w:rPr>
          <w:rFonts w:hint="eastAsia" w:ascii="宋体" w:hAnsi="宋体" w:cs="宋体"/>
          <w:color w:val="auto"/>
          <w:sz w:val="24"/>
          <w:szCs w:val="24"/>
          <w:highlight w:val="none"/>
          <w:u w:val="single"/>
        </w:rPr>
        <w:t>本工程的保修期按本合同《工程质量保修责任书》规定的保修期限实行。在保修期内因施工质量而造成返修，其费用由承包人负责。工程质量按市政工程现行验评标准组织验收认定</w:t>
      </w:r>
      <w:r>
        <w:rPr>
          <w:rFonts w:hint="eastAsia" w:ascii="宋体" w:hAnsi="宋体" w:cs="宋体"/>
          <w:color w:val="auto"/>
          <w:sz w:val="24"/>
          <w:szCs w:val="24"/>
          <w:highlight w:val="none"/>
        </w:rPr>
        <w:t>。</w:t>
      </w:r>
    </w:p>
    <w:p w14:paraId="7E446F12">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47.12施工现场生活区应设置信息公示栏，每月10日前将上月作业工人考勤和工资结算和支付信息在信息公示栏进行公示，公示期不少于5天。</w:t>
      </w:r>
    </w:p>
    <w:p w14:paraId="6765A236">
      <w:pPr>
        <w:spacing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农民工佣工要求</w:t>
      </w:r>
      <w:r>
        <w:rPr>
          <w:rFonts w:hint="eastAsia" w:ascii="宋体" w:hAnsi="宋体" w:eastAsia="宋体" w:cs="宋体"/>
          <w:color w:val="auto"/>
          <w:sz w:val="24"/>
          <w:szCs w:val="24"/>
          <w:highlight w:val="none"/>
        </w:rPr>
        <w:t>）</w:t>
      </w:r>
    </w:p>
    <w:p w14:paraId="16A3079E">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47.13</w:t>
      </w:r>
      <w:r>
        <w:rPr>
          <w:rFonts w:hint="eastAsia" w:ascii="宋体" w:hAnsi="宋体" w:cs="宋体"/>
          <w:color w:val="auto"/>
          <w:sz w:val="24"/>
          <w:szCs w:val="24"/>
          <w:highlight w:val="none"/>
          <w:u w:val="single"/>
        </w:rPr>
        <w:t>承包人必须按照穗开规『</w:t>
      </w:r>
      <w:r>
        <w:rPr>
          <w:rFonts w:ascii="宋体" w:hAnsi="宋体" w:cs="宋体"/>
          <w:color w:val="auto"/>
          <w:sz w:val="24"/>
          <w:szCs w:val="24"/>
          <w:highlight w:val="none"/>
          <w:u w:val="single"/>
        </w:rPr>
        <w:t>2004』58号文的有关要求及规定优先使用广州开发区的农民工</w:t>
      </w:r>
      <w:r>
        <w:rPr>
          <w:rFonts w:hint="eastAsia" w:ascii="宋体" w:hAnsi="宋体" w:cs="宋体"/>
          <w:color w:val="auto"/>
          <w:sz w:val="24"/>
          <w:szCs w:val="24"/>
          <w:highlight w:val="none"/>
        </w:rPr>
        <w:t>。</w:t>
      </w:r>
    </w:p>
    <w:p w14:paraId="3666E0A3">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47.14</w:t>
      </w:r>
      <w:r>
        <w:rPr>
          <w:rFonts w:hint="eastAsia" w:ascii="宋体" w:hAnsi="宋体" w:cs="宋体"/>
          <w:color w:val="auto"/>
          <w:sz w:val="24"/>
          <w:szCs w:val="24"/>
          <w:highlight w:val="none"/>
          <w:u w:val="single"/>
        </w:rPr>
        <w:t>承包人必须严格执行穗开纪</w:t>
      </w:r>
      <w:r>
        <w:rPr>
          <w:rFonts w:ascii="宋体" w:hAnsi="宋体" w:cs="宋体"/>
          <w:color w:val="auto"/>
          <w:sz w:val="24"/>
          <w:szCs w:val="24"/>
          <w:highlight w:val="none"/>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hint="eastAsia" w:ascii="宋体" w:hAnsi="宋体" w:cs="宋体"/>
          <w:color w:val="auto"/>
          <w:sz w:val="24"/>
          <w:szCs w:val="24"/>
          <w:highlight w:val="none"/>
        </w:rPr>
        <w:t>。</w:t>
      </w:r>
    </w:p>
    <w:p w14:paraId="11877AB0">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47.15</w:t>
      </w:r>
      <w:r>
        <w:rPr>
          <w:rFonts w:hint="eastAsia" w:ascii="宋体" w:hAnsi="宋体" w:cs="宋体"/>
          <w:color w:val="auto"/>
          <w:sz w:val="24"/>
          <w:szCs w:val="24"/>
          <w:highlight w:val="none"/>
          <w:u w:val="single"/>
        </w:rPr>
        <w:t>承包人应按照《广州市住房和城乡建设委员会关于印发</w:t>
      </w:r>
      <w:r>
        <w:rPr>
          <w:rFonts w:ascii="宋体" w:hAnsi="宋体" w:cs="宋体"/>
          <w:color w:val="auto"/>
          <w:sz w:val="24"/>
          <w:szCs w:val="24"/>
          <w:highlight w:val="none"/>
          <w:u w:val="single"/>
        </w:rPr>
        <w:t>&lt;</w:t>
      </w:r>
      <w:r>
        <w:rPr>
          <w:rFonts w:hint="eastAsia" w:ascii="宋体" w:hAnsi="宋体" w:cs="宋体"/>
          <w:color w:val="auto"/>
          <w:sz w:val="24"/>
          <w:szCs w:val="24"/>
          <w:highlight w:val="none"/>
          <w:u w:val="single"/>
        </w:rPr>
        <w:t>广州市建筑施工实名制管理办法</w:t>
      </w:r>
      <w:r>
        <w:rPr>
          <w:rFonts w:ascii="宋体" w:hAnsi="宋体" w:cs="宋体"/>
          <w:color w:val="auto"/>
          <w:sz w:val="24"/>
          <w:szCs w:val="24"/>
          <w:highlight w:val="none"/>
          <w:u w:val="single"/>
        </w:rPr>
        <w:t>&gt;</w:t>
      </w:r>
      <w:r>
        <w:rPr>
          <w:rFonts w:hint="eastAsia" w:ascii="宋体" w:hAnsi="宋体" w:cs="宋体"/>
          <w:color w:val="auto"/>
          <w:sz w:val="24"/>
          <w:szCs w:val="24"/>
          <w:highlight w:val="none"/>
          <w:u w:val="single"/>
        </w:rPr>
        <w:t>的通知》（穗建规字</w:t>
      </w:r>
      <w:r>
        <w:rPr>
          <w:rFonts w:ascii="宋体" w:hAnsi="宋体" w:cs="宋体"/>
          <w:color w:val="auto"/>
          <w:sz w:val="24"/>
          <w:szCs w:val="24"/>
          <w:highlight w:val="none"/>
          <w:u w:val="single"/>
        </w:rPr>
        <w:t>[2017]4号）、《关于印发广州市建设领域工人工资支付分帐管理实施细则的通知》（穗建规字[2020]37号）、《广州市根治拖欠农民工工资工作领导小组办公室关于广州市建设领域工程项目全面实施农民工工资总包代发制度的通知》及广州市黄埔区、开发区对应出台的相关文件规定办理建筑工地实名制管理和工人工资支付分帐管理事宜；防止出现拖欠工人工资情况。承包人违法转包、分包工程的或其他承包人原因导致相应工程出现拖欠工人工资情况的，承包人对拖欠工人工资承担清偿责任，对此引起的纠纷负全责，造成</w:t>
      </w:r>
      <w:r>
        <w:rPr>
          <w:rFonts w:hint="eastAsia" w:ascii="宋体" w:hAnsi="宋体" w:cs="宋体"/>
          <w:color w:val="auto"/>
          <w:sz w:val="24"/>
          <w:szCs w:val="24"/>
          <w:highlight w:val="none"/>
          <w:u w:val="single"/>
        </w:rPr>
        <w:t>发包人损失（包括但不限于发包人因此而支付的赔偿款、律师费、诉讼费、保全费、公证费、鉴定费等）的，承包人须承担全部责任。</w:t>
      </w:r>
    </w:p>
    <w:p w14:paraId="56FDE8DD">
      <w:pPr>
        <w:spacing w:line="440" w:lineRule="exact"/>
        <w:ind w:firstLine="480" w:firstLineChars="200"/>
        <w:rPr>
          <w:rFonts w:ascii="宋体" w:hAnsi="宋体" w:cs="宋体"/>
          <w:b/>
          <w:color w:val="auto"/>
          <w:sz w:val="24"/>
          <w:szCs w:val="24"/>
          <w:highlight w:val="none"/>
        </w:rPr>
      </w:pPr>
      <w:r>
        <w:rPr>
          <w:rFonts w:ascii="宋体" w:hAnsi="宋体" w:cs="宋体"/>
          <w:color w:val="auto"/>
          <w:sz w:val="24"/>
          <w:szCs w:val="24"/>
          <w:highlight w:val="none"/>
        </w:rPr>
        <w:t>47.16</w:t>
      </w:r>
      <w:r>
        <w:rPr>
          <w:rFonts w:hint="eastAsia" w:ascii="宋体" w:hAnsi="宋体" w:cs="宋体"/>
          <w:color w:val="auto"/>
          <w:sz w:val="24"/>
          <w:szCs w:val="24"/>
          <w:highlight w:val="none"/>
          <w:u w:val="single"/>
        </w:rPr>
        <w:t>若承包人在本工程内发生无故拖欠农民工工资现象，将被作不良记录，上报区建设行政主管部门</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若承包人转包或者违法分包造成拖欠工人工资的，除上报区建设行政主管部门外，还将提请省建设行业主管部门禁止在广东省行政区域范围内承包工程。</w:t>
      </w:r>
    </w:p>
    <w:p w14:paraId="0770EF66">
      <w:pPr>
        <w:snapToGrid w:val="0"/>
        <w:spacing w:line="440" w:lineRule="exact"/>
        <w:ind w:firstLine="480"/>
        <w:rPr>
          <w:rFonts w:ascii="宋体" w:hAnsi="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项目管理机构人员、机械设备、劳动力到位方面的要求</w:t>
      </w:r>
      <w:r>
        <w:rPr>
          <w:rFonts w:hint="eastAsia" w:ascii="宋体" w:hAnsi="宋体" w:eastAsia="宋体" w:cs="宋体"/>
          <w:color w:val="auto"/>
          <w:sz w:val="24"/>
          <w:szCs w:val="24"/>
          <w:highlight w:val="none"/>
        </w:rPr>
        <w:t>）</w:t>
      </w:r>
    </w:p>
    <w:p w14:paraId="1F9FF9B5">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47.17</w:t>
      </w:r>
      <w:r>
        <w:rPr>
          <w:rFonts w:hint="eastAsia" w:ascii="宋体" w:hAnsi="宋体" w:cs="宋体"/>
          <w:color w:val="auto"/>
          <w:sz w:val="24"/>
          <w:szCs w:val="24"/>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cs="宋体"/>
          <w:color w:val="auto"/>
          <w:sz w:val="24"/>
          <w:szCs w:val="24"/>
          <w:highlight w:val="none"/>
        </w:rPr>
        <w:t>。</w:t>
      </w:r>
    </w:p>
    <w:p w14:paraId="150B90E2">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47.18</w:t>
      </w:r>
      <w:r>
        <w:rPr>
          <w:rFonts w:hint="eastAsia" w:ascii="宋体" w:hAnsi="宋体" w:cs="宋体"/>
          <w:color w:val="auto"/>
          <w:sz w:val="24"/>
          <w:szCs w:val="24"/>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cs="宋体"/>
          <w:color w:val="auto"/>
          <w:sz w:val="24"/>
          <w:szCs w:val="24"/>
          <w:highlight w:val="none"/>
        </w:rPr>
        <w:t>。</w:t>
      </w:r>
    </w:p>
    <w:p w14:paraId="79FB8A75">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47.19</w:t>
      </w:r>
      <w:r>
        <w:rPr>
          <w:rFonts w:hint="eastAsia" w:ascii="宋体" w:hAnsi="宋体" w:cs="宋体"/>
          <w:color w:val="auto"/>
          <w:sz w:val="24"/>
          <w:szCs w:val="24"/>
          <w:highlight w:val="none"/>
          <w:u w:val="single"/>
        </w:rPr>
        <w:t>现场施工时，施工员（技术员）不在施工现场不得施工，否则发包人可随时要求停工，工期延误由承包人负责</w:t>
      </w:r>
      <w:r>
        <w:rPr>
          <w:rFonts w:hint="eastAsia" w:ascii="宋体" w:hAnsi="宋体" w:cs="宋体"/>
          <w:color w:val="auto"/>
          <w:sz w:val="24"/>
          <w:szCs w:val="24"/>
          <w:highlight w:val="none"/>
        </w:rPr>
        <w:t>。</w:t>
      </w:r>
    </w:p>
    <w:p w14:paraId="4C30F47A">
      <w:pPr>
        <w:snapToGrid w:val="0"/>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47.20</w:t>
      </w:r>
      <w:r>
        <w:rPr>
          <w:rFonts w:hint="eastAsia" w:ascii="宋体" w:hAnsi="宋体" w:cs="宋体"/>
          <w:color w:val="auto"/>
          <w:sz w:val="24"/>
          <w:szCs w:val="24"/>
          <w:highlight w:val="none"/>
          <w:u w:val="single"/>
        </w:rPr>
        <w:t>承包人派往现场的管理人员若因不负责任、或玩忽职守、或严重失职等给发包人造成经济损失，承包人承担相应的经济责任和连带法律责任</w:t>
      </w:r>
      <w:r>
        <w:rPr>
          <w:rFonts w:hint="eastAsia" w:ascii="宋体" w:hAnsi="宋体" w:cs="宋体"/>
          <w:color w:val="auto"/>
          <w:sz w:val="24"/>
          <w:szCs w:val="24"/>
          <w:highlight w:val="none"/>
        </w:rPr>
        <w:t>。</w:t>
      </w:r>
    </w:p>
    <w:p w14:paraId="575EE9AB">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投标报价及造价承包和变更结算方式的要求</w:t>
      </w:r>
      <w:r>
        <w:rPr>
          <w:rFonts w:hint="eastAsia" w:ascii="宋体" w:hAnsi="宋体" w:eastAsia="宋体" w:cs="宋体"/>
          <w:color w:val="auto"/>
          <w:sz w:val="24"/>
          <w:szCs w:val="24"/>
          <w:highlight w:val="none"/>
        </w:rPr>
        <w:t>）</w:t>
      </w:r>
    </w:p>
    <w:p w14:paraId="263A80FB">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47.21</w:t>
      </w:r>
      <w:r>
        <w:rPr>
          <w:rFonts w:hint="eastAsia" w:ascii="宋体" w:hAnsi="宋体" w:cs="宋体"/>
          <w:color w:val="auto"/>
          <w:sz w:val="24"/>
          <w:szCs w:val="24"/>
          <w:highlight w:val="none"/>
          <w:u w:val="single"/>
        </w:rPr>
        <w:t>工程量清单报价中有关问题的说明：</w:t>
      </w:r>
    </w:p>
    <w:p w14:paraId="1B0C9B67">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①</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rPr>
        <w:t>投标时</w:t>
      </w:r>
      <w:r>
        <w:rPr>
          <w:rFonts w:ascii="宋体" w:hAnsi="宋体" w:cs="宋体"/>
          <w:color w:val="auto"/>
          <w:sz w:val="24"/>
          <w:szCs w:val="24"/>
          <w:highlight w:val="none"/>
          <w:u w:val="single"/>
        </w:rPr>
        <w:t>,土方</w:t>
      </w:r>
      <w:r>
        <w:rPr>
          <w:rFonts w:hint="eastAsia" w:ascii="宋体" w:hAnsi="宋体" w:cs="宋体"/>
          <w:color w:val="auto"/>
          <w:sz w:val="24"/>
          <w:szCs w:val="24"/>
          <w:highlight w:val="none"/>
          <w:u w:val="single"/>
        </w:rPr>
        <w:t>的弃运距离暂按</w:t>
      </w:r>
      <w:r>
        <w:rPr>
          <w:rFonts w:ascii="宋体" w:hAnsi="宋体" w:cs="宋体"/>
          <w:color w:val="auto"/>
          <w:sz w:val="24"/>
          <w:szCs w:val="24"/>
          <w:highlight w:val="none"/>
          <w:u w:val="single"/>
        </w:rPr>
        <w:t>15km</w:t>
      </w:r>
      <w:r>
        <w:rPr>
          <w:rFonts w:hint="eastAsia" w:ascii="宋体" w:hAnsi="宋体" w:cs="宋体"/>
          <w:color w:val="auto"/>
          <w:sz w:val="24"/>
          <w:szCs w:val="24"/>
          <w:highlight w:val="none"/>
          <w:u w:val="single"/>
        </w:rPr>
        <w:t>内考虑，超过</w:t>
      </w:r>
      <w:r>
        <w:rPr>
          <w:rFonts w:ascii="宋体" w:hAnsi="宋体" w:cs="宋体"/>
          <w:color w:val="auto"/>
          <w:sz w:val="24"/>
          <w:szCs w:val="24"/>
          <w:highlight w:val="none"/>
          <w:u w:val="single"/>
        </w:rPr>
        <w:t>15km</w:t>
      </w:r>
      <w:r>
        <w:rPr>
          <w:rFonts w:hint="eastAsia" w:ascii="宋体" w:hAnsi="宋体" w:cs="宋体"/>
          <w:color w:val="auto"/>
          <w:sz w:val="24"/>
          <w:szCs w:val="24"/>
          <w:highlight w:val="none"/>
          <w:u w:val="single"/>
        </w:rPr>
        <w:t>按</w:t>
      </w:r>
      <w:r>
        <w:rPr>
          <w:rFonts w:ascii="宋体" w:hAnsi="宋体" w:cs="宋体"/>
          <w:color w:val="auto"/>
          <w:sz w:val="24"/>
          <w:szCs w:val="24"/>
          <w:highlight w:val="none"/>
          <w:u w:val="single"/>
        </w:rPr>
        <w:t>15km</w:t>
      </w:r>
      <w:r>
        <w:rPr>
          <w:rFonts w:hint="eastAsia" w:ascii="宋体" w:hAnsi="宋体" w:cs="宋体"/>
          <w:color w:val="auto"/>
          <w:sz w:val="24"/>
          <w:szCs w:val="24"/>
          <w:highlight w:val="none"/>
          <w:u w:val="single"/>
        </w:rPr>
        <w:t>计算，结算时按招标人确认的实际运距计算</w:t>
      </w:r>
      <w:r>
        <w:rPr>
          <w:rFonts w:ascii="宋体" w:hAnsi="宋体" w:cs="宋体"/>
          <w:color w:val="auto"/>
          <w:sz w:val="24"/>
          <w:szCs w:val="24"/>
          <w:highlight w:val="none"/>
          <w:u w:val="single"/>
        </w:rPr>
        <w:t>,实际运距超过15公里</w:t>
      </w:r>
      <w:r>
        <w:rPr>
          <w:rFonts w:hint="eastAsia" w:ascii="宋体" w:hAnsi="宋体" w:cs="宋体"/>
          <w:color w:val="auto"/>
          <w:sz w:val="24"/>
          <w:szCs w:val="24"/>
          <w:highlight w:val="none"/>
          <w:u w:val="single"/>
        </w:rPr>
        <w:t>时按</w:t>
      </w:r>
      <w:r>
        <w:rPr>
          <w:rFonts w:ascii="宋体" w:hAnsi="宋体" w:cs="宋体"/>
          <w:color w:val="auto"/>
          <w:sz w:val="24"/>
          <w:szCs w:val="24"/>
          <w:highlight w:val="none"/>
          <w:u w:val="single"/>
        </w:rPr>
        <w:t>15公里</w:t>
      </w:r>
      <w:r>
        <w:rPr>
          <w:rFonts w:hint="eastAsia" w:ascii="宋体" w:hAnsi="宋体" w:cs="宋体"/>
          <w:color w:val="auto"/>
          <w:sz w:val="24"/>
          <w:szCs w:val="24"/>
          <w:highlight w:val="none"/>
          <w:u w:val="single"/>
        </w:rPr>
        <w:t>包干。</w:t>
      </w:r>
    </w:p>
    <w:p w14:paraId="0CC90408">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highlight w:val="none"/>
          <w:u w:val="none"/>
        </w:rPr>
        <w:t>②</w:t>
      </w:r>
      <w:r>
        <w:rPr>
          <w:rFonts w:ascii="宋体" w:hAnsi="宋体" w:cs="宋体"/>
          <w:color w:val="auto"/>
          <w:sz w:val="24"/>
          <w:szCs w:val="24"/>
          <w:highlight w:val="none"/>
          <w:u w:val="single"/>
        </w:rPr>
        <w:t>工程量清单中措施项目清单费计价表中的绿色施工安全防护措施费执行</w:t>
      </w:r>
      <w:r>
        <w:rPr>
          <w:rFonts w:hint="eastAsia" w:ascii="宋体" w:hAnsi="宋体" w:cs="宋体"/>
          <w:color w:val="auto"/>
          <w:sz w:val="24"/>
          <w:szCs w:val="24"/>
          <w:highlight w:val="none"/>
          <w:u w:val="single"/>
        </w:rPr>
        <w:t>《广东省住房和城乡建设厅关于印发</w:t>
      </w:r>
      <w:r>
        <w:rPr>
          <w:rFonts w:ascii="宋体" w:hAnsi="宋体" w:cs="宋体"/>
          <w:color w:val="auto"/>
          <w:sz w:val="24"/>
          <w:szCs w:val="24"/>
          <w:highlight w:val="none"/>
          <w:u w:val="single"/>
        </w:rPr>
        <w:t>&lt;</w:t>
      </w:r>
      <w:r>
        <w:rPr>
          <w:rFonts w:hint="eastAsia" w:ascii="宋体" w:hAnsi="宋体" w:cs="宋体"/>
          <w:color w:val="auto"/>
          <w:sz w:val="24"/>
          <w:szCs w:val="24"/>
          <w:highlight w:val="none"/>
          <w:u w:val="single"/>
        </w:rPr>
        <w:t>广东省建设工程计价依据（</w:t>
      </w:r>
      <w:r>
        <w:rPr>
          <w:rFonts w:ascii="宋体" w:hAnsi="宋体" w:cs="宋体"/>
          <w:color w:val="auto"/>
          <w:sz w:val="24"/>
          <w:szCs w:val="24"/>
          <w:highlight w:val="none"/>
          <w:u w:val="single"/>
        </w:rPr>
        <w:t>2018)&gt;</w:t>
      </w:r>
      <w:r>
        <w:rPr>
          <w:rFonts w:hint="eastAsia" w:ascii="宋体" w:hAnsi="宋体" w:cs="宋体"/>
          <w:color w:val="auto"/>
          <w:sz w:val="24"/>
          <w:szCs w:val="24"/>
          <w:highlight w:val="none"/>
          <w:u w:val="single"/>
        </w:rPr>
        <w:t>的通知》（穗建市〔</w:t>
      </w:r>
      <w:r>
        <w:rPr>
          <w:rFonts w:ascii="宋体" w:hAnsi="宋体" w:cs="宋体"/>
          <w:color w:val="auto"/>
          <w:sz w:val="24"/>
          <w:szCs w:val="24"/>
          <w:highlight w:val="none"/>
          <w:u w:val="single"/>
        </w:rPr>
        <w:t>2019〕6号）文，</w:t>
      </w:r>
      <w:r>
        <w:rPr>
          <w:rFonts w:hint="eastAsia" w:ascii="宋体" w:hAnsi="宋体" w:cs="宋体"/>
          <w:color w:val="auto"/>
          <w:sz w:val="24"/>
          <w:szCs w:val="24"/>
          <w:highlight w:val="none"/>
          <w:u w:val="single"/>
        </w:rPr>
        <w:t>绿色施工安全防护措施费</w:t>
      </w:r>
      <w:r>
        <w:rPr>
          <w:rFonts w:ascii="宋体" w:hAnsi="宋体" w:cs="宋体"/>
          <w:color w:val="auto"/>
          <w:sz w:val="24"/>
          <w:szCs w:val="24"/>
          <w:highlight w:val="none"/>
          <w:u w:val="single"/>
        </w:rPr>
        <w:t>按</w:t>
      </w:r>
      <w:r>
        <w:rPr>
          <w:rFonts w:hint="eastAsia" w:ascii="宋体" w:hAnsi="宋体" w:cs="宋体"/>
          <w:color w:val="auto"/>
          <w:sz w:val="24"/>
          <w:szCs w:val="24"/>
          <w:highlight w:val="none"/>
          <w:u w:val="single"/>
        </w:rPr>
        <w:t>发包人公布的本工程招标控制价中的绿色施工安全防护措施费计取，作为非竞争费用，在投标报价中单列，不参与投标竞价，该费用从工程施工中标价中提取，专款专用</w:t>
      </w:r>
      <w:r>
        <w:rPr>
          <w:rFonts w:hint="eastAsia" w:ascii="宋体" w:hAnsi="宋体" w:cs="宋体"/>
          <w:color w:val="auto"/>
          <w:sz w:val="24"/>
          <w:szCs w:val="24"/>
          <w:highlight w:val="none"/>
        </w:rPr>
        <w:t>。</w:t>
      </w:r>
    </w:p>
    <w:p w14:paraId="2E95C1BA">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47.22</w:t>
      </w:r>
      <w:r>
        <w:rPr>
          <w:rFonts w:hint="eastAsia" w:ascii="宋体" w:hAnsi="宋体" w:cs="宋体"/>
          <w:color w:val="auto"/>
          <w:sz w:val="24"/>
          <w:szCs w:val="24"/>
          <w:highlight w:val="none"/>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施工围蔽费用除外），且承包人不得以任何理由要求发包人另行增加该部分费用（承包人要充分考虑最不利因素影响而采用的施工方案所需的费用）</w:t>
      </w:r>
      <w:r>
        <w:rPr>
          <w:rFonts w:hint="eastAsia" w:ascii="宋体" w:hAnsi="宋体" w:cs="宋体"/>
          <w:color w:val="auto"/>
          <w:sz w:val="24"/>
          <w:szCs w:val="24"/>
          <w:highlight w:val="none"/>
        </w:rPr>
        <w:t>。</w:t>
      </w:r>
    </w:p>
    <w:p w14:paraId="6C300E12">
      <w:pPr>
        <w:pBdr>
          <w:top w:val="single" w:color="auto" w:sz="4" w:space="1"/>
          <w:bottom w:val="single" w:color="auto" w:sz="6" w:space="1"/>
        </w:pBd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47.23</w:t>
      </w:r>
      <w:r>
        <w:rPr>
          <w:rFonts w:hint="eastAsia" w:ascii="宋体" w:hAnsi="宋体" w:cs="宋体"/>
          <w:color w:val="auto"/>
          <w:sz w:val="24"/>
          <w:szCs w:val="24"/>
          <w:highlight w:val="none"/>
          <w:u w:val="single"/>
        </w:rPr>
        <w:t>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14:paraId="3E6E0F34">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47.24</w:t>
      </w:r>
      <w:r>
        <w:rPr>
          <w:rFonts w:hint="eastAsia" w:ascii="宋体" w:hAnsi="宋体" w:cs="宋体"/>
          <w:color w:val="auto"/>
          <w:sz w:val="24"/>
          <w:szCs w:val="24"/>
          <w:highlight w:val="none"/>
          <w:u w:val="single"/>
        </w:rPr>
        <w:t>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14:paraId="65C5EA35">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47.25</w:t>
      </w:r>
      <w:r>
        <w:rPr>
          <w:rFonts w:hint="eastAsia" w:ascii="宋体" w:hAnsi="宋体" w:cs="宋体"/>
          <w:color w:val="auto"/>
          <w:sz w:val="24"/>
          <w:szCs w:val="24"/>
          <w:highlight w:val="none"/>
          <w:u w:val="single"/>
        </w:rPr>
        <w:t>承包人应使用绿色生产达标企业生产的混凝土，若不遵守承诺，自愿按不履行合同约定处理。</w:t>
      </w:r>
    </w:p>
    <w:p w14:paraId="700A0DF7">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47.26</w:t>
      </w:r>
      <w:r>
        <w:rPr>
          <w:rFonts w:hint="eastAsia" w:ascii="宋体" w:hAnsi="宋体" w:cs="宋体"/>
          <w:color w:val="auto"/>
          <w:sz w:val="24"/>
          <w:szCs w:val="24"/>
          <w:highlight w:val="none"/>
          <w:u w:val="single"/>
        </w:rPr>
        <w:t>承包人人应按有关规定协助发包人完成公共排水设施竣工图纸备案工作。</w:t>
      </w:r>
    </w:p>
    <w:p w14:paraId="14D7148E">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47.27</w:t>
      </w:r>
      <w:r>
        <w:rPr>
          <w:rFonts w:hint="eastAsia" w:ascii="宋体" w:hAnsi="宋体" w:cs="宋体"/>
          <w:color w:val="auto"/>
          <w:sz w:val="24"/>
          <w:szCs w:val="24"/>
          <w:highlight w:val="none"/>
          <w:u w:val="single"/>
        </w:rPr>
        <w:t>在整个合同执行期间发包人如发现有不合理投标报价的，发包人有权按有关规定和合同约定进行调整，并将书面通知承包人，并以此作为结算依据</w:t>
      </w:r>
      <w:r>
        <w:rPr>
          <w:rFonts w:hint="eastAsia" w:ascii="宋体" w:hAnsi="宋体" w:cs="宋体"/>
          <w:color w:val="auto"/>
          <w:sz w:val="24"/>
          <w:szCs w:val="24"/>
          <w:highlight w:val="none"/>
        </w:rPr>
        <w:t>。</w:t>
      </w:r>
    </w:p>
    <w:p w14:paraId="28BA7731">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47.28</w:t>
      </w:r>
      <w:r>
        <w:rPr>
          <w:rFonts w:hint="eastAsia" w:ascii="宋体" w:hAnsi="宋体" w:cs="宋体"/>
          <w:color w:val="auto"/>
          <w:sz w:val="24"/>
          <w:highlight w:val="none"/>
          <w:u w:val="single"/>
        </w:rPr>
        <w:t>本工程采用的主要材料推荐选用招标文件附件《参考品牌》的品牌、厂家或选用相当于该档次和质量（或以上）的产品（如无《参考品牌》，删除此句）。所有材料品牌选择均须报发包人、监理工程师确认，且经检验合格后方能使用。</w:t>
      </w:r>
    </w:p>
    <w:p w14:paraId="1CF641CD">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47.29</w:t>
      </w:r>
      <w:r>
        <w:rPr>
          <w:rFonts w:hint="eastAsia" w:ascii="宋体" w:hAnsi="宋体" w:cs="宋体"/>
          <w:color w:val="auto"/>
          <w:sz w:val="24"/>
          <w:szCs w:val="24"/>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ascii="宋体" w:hAnsi="宋体" w:cs="宋体"/>
          <w:color w:val="auto"/>
          <w:sz w:val="24"/>
          <w:szCs w:val="24"/>
          <w:highlight w:val="none"/>
        </w:rPr>
        <w:t>。</w:t>
      </w:r>
    </w:p>
    <w:p w14:paraId="5A9FF4AA">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47.30</w:t>
      </w:r>
      <w:r>
        <w:rPr>
          <w:rFonts w:hint="eastAsia" w:ascii="宋体" w:hAnsi="宋体" w:cs="宋体"/>
          <w:color w:val="auto"/>
          <w:sz w:val="24"/>
          <w:szCs w:val="24"/>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cs="宋体"/>
          <w:color w:val="auto"/>
          <w:sz w:val="24"/>
          <w:szCs w:val="24"/>
          <w:highlight w:val="none"/>
        </w:rPr>
        <w:t>。</w:t>
      </w:r>
    </w:p>
    <w:p w14:paraId="16AC4D7D">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47.31</w:t>
      </w:r>
      <w:r>
        <w:rPr>
          <w:rFonts w:hint="eastAsia" w:ascii="宋体" w:hAnsi="宋体" w:cs="宋体"/>
          <w:color w:val="auto"/>
          <w:sz w:val="24"/>
          <w:szCs w:val="24"/>
          <w:highlight w:val="none"/>
          <w:u w:val="single"/>
        </w:rPr>
        <w:t>承包人须按照发包人与监理人签订的委托监理合同接受监理人的全过程监理</w:t>
      </w:r>
      <w:r>
        <w:rPr>
          <w:rFonts w:hint="eastAsia" w:ascii="宋体" w:hAnsi="宋体" w:cs="宋体"/>
          <w:color w:val="auto"/>
          <w:sz w:val="24"/>
          <w:szCs w:val="24"/>
          <w:highlight w:val="none"/>
        </w:rPr>
        <w:t>。</w:t>
      </w:r>
    </w:p>
    <w:p w14:paraId="61AA1845">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47.32</w:t>
      </w:r>
      <w:r>
        <w:rPr>
          <w:rFonts w:hint="eastAsia" w:ascii="宋体" w:hAnsi="宋体" w:cs="宋体"/>
          <w:color w:val="auto"/>
          <w:sz w:val="24"/>
          <w:szCs w:val="24"/>
          <w:highlight w:val="none"/>
          <w:u w:val="single"/>
        </w:rPr>
        <w:t>如广州开发区、黄埔区对工程竣工验收及备案有相关规定，则本合同执行该规定</w:t>
      </w:r>
      <w:r>
        <w:rPr>
          <w:rFonts w:hint="eastAsia" w:ascii="宋体" w:hAnsi="宋体" w:cs="宋体"/>
          <w:color w:val="auto"/>
          <w:sz w:val="24"/>
          <w:szCs w:val="24"/>
          <w:highlight w:val="none"/>
        </w:rPr>
        <w:t>。</w:t>
      </w:r>
    </w:p>
    <w:p w14:paraId="303F5AC5">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47.33</w:t>
      </w:r>
      <w:r>
        <w:rPr>
          <w:rFonts w:hint="eastAsia" w:ascii="宋体" w:hAnsi="宋体" w:cs="宋体"/>
          <w:color w:val="auto"/>
          <w:sz w:val="24"/>
          <w:szCs w:val="24"/>
          <w:highlight w:val="none"/>
          <w:u w:val="single"/>
        </w:rPr>
        <w:t>如果审计机关依法对本工程实施审计，发包人、承包人及监理单位应积极配合</w:t>
      </w:r>
      <w:r>
        <w:rPr>
          <w:rFonts w:hint="eastAsia" w:ascii="宋体" w:hAnsi="宋体" w:cs="宋体"/>
          <w:color w:val="auto"/>
          <w:sz w:val="24"/>
          <w:szCs w:val="24"/>
          <w:highlight w:val="none"/>
        </w:rPr>
        <w:t>。</w:t>
      </w:r>
    </w:p>
    <w:p w14:paraId="28F9FC87">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47.34</w:t>
      </w:r>
      <w:r>
        <w:rPr>
          <w:rFonts w:hint="eastAsia" w:ascii="宋体" w:hAnsi="宋体" w:cs="宋体"/>
          <w:color w:val="auto"/>
          <w:sz w:val="24"/>
          <w:szCs w:val="24"/>
          <w:highlight w:val="none"/>
          <w:u w:val="single"/>
        </w:rPr>
        <w:t>本合同在实施过程中所发生的文件来往，双方不得拒绝签收。如果发生类似事件，发文一方可以监理工程师签收为准，视为送达</w:t>
      </w:r>
      <w:r>
        <w:rPr>
          <w:rFonts w:hint="eastAsia" w:ascii="宋体" w:hAnsi="宋体" w:cs="宋体"/>
          <w:color w:val="auto"/>
          <w:sz w:val="24"/>
          <w:szCs w:val="24"/>
          <w:highlight w:val="none"/>
        </w:rPr>
        <w:t>。</w:t>
      </w:r>
    </w:p>
    <w:p w14:paraId="121B84D9">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47.35</w:t>
      </w:r>
      <w:r>
        <w:rPr>
          <w:rFonts w:hint="eastAsia" w:ascii="宋体" w:hAnsi="宋体" w:cs="宋体"/>
          <w:color w:val="auto"/>
          <w:sz w:val="24"/>
          <w:szCs w:val="24"/>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cs="宋体"/>
          <w:color w:val="auto"/>
          <w:sz w:val="24"/>
          <w:szCs w:val="24"/>
          <w:highlight w:val="none"/>
        </w:rPr>
        <w:t>。</w:t>
      </w:r>
    </w:p>
    <w:p w14:paraId="28EF2CC4">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47.36</w:t>
      </w:r>
      <w:r>
        <w:rPr>
          <w:rFonts w:hint="eastAsia" w:ascii="宋体" w:hAnsi="宋体" w:cs="宋体"/>
          <w:color w:val="auto"/>
          <w:sz w:val="24"/>
          <w:szCs w:val="24"/>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hint="eastAsia" w:ascii="宋体" w:hAnsi="宋体" w:cs="宋体"/>
          <w:color w:val="auto"/>
          <w:sz w:val="24"/>
          <w:szCs w:val="24"/>
          <w:highlight w:val="none"/>
        </w:rPr>
        <w:t>。</w:t>
      </w:r>
    </w:p>
    <w:p w14:paraId="3CD1E7F0">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47.37</w:t>
      </w:r>
      <w:r>
        <w:rPr>
          <w:rFonts w:hint="eastAsia" w:ascii="宋体" w:hAnsi="宋体" w:cs="宋体"/>
          <w:color w:val="auto"/>
          <w:sz w:val="24"/>
          <w:szCs w:val="24"/>
          <w:highlight w:val="none"/>
          <w:u w:val="single"/>
        </w:rPr>
        <w:t>承包人施工过程中不得侵犯他人的专利权或者其他合法权益，否则由承包人承担相关责任，并保证不因该侵权行为影响工程建设</w:t>
      </w:r>
      <w:r>
        <w:rPr>
          <w:rFonts w:hint="eastAsia" w:ascii="宋体" w:hAnsi="宋体" w:cs="宋体"/>
          <w:color w:val="auto"/>
          <w:sz w:val="24"/>
          <w:szCs w:val="24"/>
          <w:highlight w:val="none"/>
        </w:rPr>
        <w:t>。</w:t>
      </w:r>
    </w:p>
    <w:p w14:paraId="3EFB2C76">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47.38</w:t>
      </w:r>
      <w:r>
        <w:rPr>
          <w:rFonts w:hint="eastAsia" w:ascii="宋体" w:hAnsi="宋体" w:cs="宋体"/>
          <w:color w:val="auto"/>
          <w:sz w:val="24"/>
          <w:szCs w:val="24"/>
          <w:highlight w:val="none"/>
          <w:u w:val="single"/>
        </w:rPr>
        <w:t>承包人与发包人签订合同时所提供的开户银行名称及帐号不得擅自变更，如需变更必须征得发包人的书面同意，否则发包人有权停止工程款的拨付，所造成的一切后果由承包人承担</w:t>
      </w:r>
      <w:r>
        <w:rPr>
          <w:rFonts w:hint="eastAsia" w:ascii="宋体" w:hAnsi="宋体" w:cs="宋体"/>
          <w:color w:val="auto"/>
          <w:sz w:val="24"/>
          <w:szCs w:val="24"/>
          <w:highlight w:val="none"/>
        </w:rPr>
        <w:t>。</w:t>
      </w:r>
    </w:p>
    <w:p w14:paraId="2611D8C5">
      <w:pPr>
        <w:spacing w:line="44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47.39</w:t>
      </w:r>
      <w:r>
        <w:rPr>
          <w:rFonts w:hint="eastAsia" w:ascii="宋体" w:hAnsi="宋体" w:cs="宋体"/>
          <w:color w:val="auto"/>
          <w:sz w:val="24"/>
          <w:szCs w:val="24"/>
          <w:highlight w:val="none"/>
          <w:u w:val="single"/>
        </w:rPr>
        <w:t>如发包人为本工程的代建单位，则本工程建设业主同时享有本合同项下属发包人的权利，并且合同中约定需发包人审批的事项，必须经建设业主审批同意后方可实施</w:t>
      </w:r>
      <w:r>
        <w:rPr>
          <w:rFonts w:hint="eastAsia" w:ascii="宋体" w:hAnsi="宋体" w:cs="宋体"/>
          <w:color w:val="auto"/>
          <w:sz w:val="24"/>
          <w:szCs w:val="24"/>
          <w:highlight w:val="none"/>
        </w:rPr>
        <w:t>。</w:t>
      </w:r>
    </w:p>
    <w:p w14:paraId="2E7116C8">
      <w:pPr>
        <w:spacing w:line="440" w:lineRule="exact"/>
        <w:ind w:firstLine="480" w:firstLineChars="200"/>
        <w:rPr>
          <w:rFonts w:ascii="宋体" w:hAnsi="宋体" w:cs="宋体"/>
          <w:i/>
          <w:color w:val="auto"/>
          <w:sz w:val="24"/>
          <w:szCs w:val="24"/>
          <w:highlight w:val="none"/>
        </w:rPr>
      </w:pPr>
      <w:r>
        <w:rPr>
          <w:rFonts w:ascii="宋体" w:hAnsi="宋体" w:cs="宋体"/>
          <w:color w:val="auto"/>
          <w:sz w:val="24"/>
          <w:szCs w:val="24"/>
          <w:highlight w:val="none"/>
        </w:rPr>
        <w:t>47.40</w:t>
      </w:r>
      <w:r>
        <w:rPr>
          <w:rFonts w:hint="eastAsia" w:ascii="宋体" w:hAnsi="宋体" w:cs="宋体"/>
          <w:color w:val="auto"/>
          <w:sz w:val="24"/>
          <w:szCs w:val="24"/>
          <w:highlight w:val="none"/>
          <w:u w:val="single"/>
        </w:rPr>
        <w:t>《广州开发区财政投资建设项目管理中心</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绿化景观工程计量管理办法》将作为合同附件，各相关单位须遵照执行</w:t>
      </w:r>
      <w:r>
        <w:rPr>
          <w:rFonts w:hint="eastAsia" w:ascii="宋体" w:hAnsi="宋体" w:cs="宋体"/>
          <w:color w:val="auto"/>
          <w:sz w:val="24"/>
          <w:szCs w:val="24"/>
          <w:highlight w:val="none"/>
        </w:rPr>
        <w:t>。</w:t>
      </w:r>
      <w:r>
        <w:rPr>
          <w:rFonts w:ascii="宋体" w:hAnsi="宋体" w:cs="宋体"/>
          <w:i/>
          <w:color w:val="auto"/>
          <w:sz w:val="24"/>
          <w:szCs w:val="24"/>
          <w:highlight w:val="none"/>
        </w:rPr>
        <w:t>(</w:t>
      </w:r>
      <w:r>
        <w:rPr>
          <w:rFonts w:hint="eastAsia" w:ascii="宋体" w:hAnsi="宋体" w:cs="宋体"/>
          <w:i/>
          <w:color w:val="auto"/>
          <w:sz w:val="24"/>
          <w:szCs w:val="24"/>
          <w:highlight w:val="none"/>
        </w:rPr>
        <w:t>注：该条款适用于绿化施工工程</w:t>
      </w:r>
      <w:r>
        <w:rPr>
          <w:rFonts w:ascii="宋体" w:hAnsi="宋体" w:cs="宋体"/>
          <w:i/>
          <w:color w:val="auto"/>
          <w:sz w:val="24"/>
          <w:szCs w:val="24"/>
          <w:highlight w:val="none"/>
        </w:rPr>
        <w:t>)</w:t>
      </w:r>
    </w:p>
    <w:p w14:paraId="0F101D32">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47.41</w:t>
      </w:r>
      <w:r>
        <w:rPr>
          <w:rFonts w:hint="eastAsia" w:ascii="宋体" w:hAnsi="宋体" w:cs="宋体"/>
          <w:color w:val="auto"/>
          <w:sz w:val="24"/>
          <w:szCs w:val="24"/>
          <w:highlight w:val="none"/>
          <w:u w:val="single"/>
        </w:rPr>
        <w:t>工程获得国家、省级、市级所发奖项的，可给予通报表彰，但不给予任何物质奖励</w:t>
      </w:r>
      <w:r>
        <w:rPr>
          <w:rFonts w:hint="eastAsia" w:ascii="宋体" w:hAnsi="宋体" w:cs="宋体"/>
          <w:color w:val="auto"/>
          <w:sz w:val="24"/>
          <w:szCs w:val="24"/>
          <w:highlight w:val="none"/>
        </w:rPr>
        <w:t>。</w:t>
      </w:r>
    </w:p>
    <w:p w14:paraId="60DAA4B6">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rPr>
        <w:t>47.42</w:t>
      </w:r>
      <w:r>
        <w:rPr>
          <w:rFonts w:hint="eastAsia" w:ascii="宋体" w:hAnsi="宋体" w:cs="宋体"/>
          <w:color w:val="auto"/>
          <w:sz w:val="24"/>
          <w:szCs w:val="24"/>
          <w:highlight w:val="none"/>
          <w:u w:val="singl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14:paraId="4ED764F8">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47.43</w:t>
      </w:r>
      <w:r>
        <w:rPr>
          <w:rFonts w:hint="eastAsia" w:ascii="宋体" w:hAnsi="宋体" w:cs="宋体"/>
          <w:color w:val="auto"/>
          <w:sz w:val="24"/>
          <w:szCs w:val="24"/>
          <w:highlight w:val="none"/>
          <w:u w:val="single"/>
        </w:rPr>
        <w:t>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14:paraId="2ACBF2B6">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47.44</w:t>
      </w:r>
      <w:r>
        <w:rPr>
          <w:rFonts w:hint="eastAsia" w:ascii="宋体" w:hAnsi="宋体" w:cs="宋体"/>
          <w:color w:val="auto"/>
          <w:sz w:val="24"/>
          <w:szCs w:val="24"/>
          <w:highlight w:val="none"/>
          <w:u w:val="single"/>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14:paraId="0475A018">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47.45</w:t>
      </w:r>
      <w:r>
        <w:rPr>
          <w:rFonts w:hint="eastAsia" w:ascii="宋体" w:hAnsi="宋体" w:cs="宋体"/>
          <w:color w:val="auto"/>
          <w:sz w:val="24"/>
          <w:szCs w:val="24"/>
          <w:highlight w:val="none"/>
          <w:u w:val="single"/>
        </w:rPr>
        <w:t>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14:paraId="79FD2BF4">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w:t>
      </w:r>
      <w:r>
        <w:rPr>
          <w:rFonts w:hint="eastAsia" w:ascii="宋体" w:hAnsi="宋体" w:cs="宋体"/>
          <w:color w:val="auto"/>
          <w:sz w:val="24"/>
          <w:highlight w:val="none"/>
        </w:rPr>
        <w:t>6</w:t>
      </w:r>
      <w:r>
        <w:rPr>
          <w:rFonts w:ascii="宋体" w:hAnsi="宋体" w:cs="宋体"/>
          <w:color w:val="auto"/>
          <w:sz w:val="24"/>
          <w:highlight w:val="none"/>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14:paraId="1C3CB2E7">
      <w:pPr>
        <w:spacing w:line="440" w:lineRule="exact"/>
        <w:ind w:firstLine="480" w:firstLineChars="200"/>
        <w:rPr>
          <w:rFonts w:ascii="宋体" w:hAnsi="宋体" w:cs="宋体"/>
          <w:color w:val="auto"/>
          <w:sz w:val="24"/>
          <w:highlight w:val="none"/>
          <w:u w:val="single"/>
        </w:rPr>
      </w:pPr>
      <w:r>
        <w:rPr>
          <w:rFonts w:ascii="宋体" w:hAnsi="宋体" w:cs="宋体"/>
          <w:color w:val="auto"/>
          <w:sz w:val="24"/>
          <w:szCs w:val="24"/>
          <w:highlight w:val="none"/>
          <w:u w:val="single"/>
        </w:rPr>
        <w:t>47.47</w:t>
      </w:r>
      <w:r>
        <w:rPr>
          <w:rFonts w:hint="eastAsia" w:ascii="宋体" w:hAnsi="宋体" w:cs="宋体"/>
          <w:color w:val="auto"/>
          <w:sz w:val="24"/>
          <w:highlight w:val="none"/>
          <w:u w:val="single"/>
        </w:rPr>
        <w:t xml:space="preserve">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14:paraId="441D40EF">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highlight w:val="none"/>
          <w:u w:val="single"/>
        </w:rPr>
        <w:t xml:space="preserve">47.48 </w:t>
      </w:r>
      <w:r>
        <w:rPr>
          <w:rFonts w:hint="eastAsia" w:ascii="宋体" w:hAnsi="宋体" w:cs="宋体"/>
          <w:color w:val="auto"/>
          <w:sz w:val="24"/>
          <w:highlight w:val="none"/>
          <w:u w:val="single"/>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14:paraId="0074FCC6">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47.49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14:paraId="4291037D">
      <w:pPr>
        <w:spacing w:line="440" w:lineRule="exact"/>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 xml:space="preserve">47.50 </w:t>
      </w:r>
      <w:r>
        <w:rPr>
          <w:rFonts w:hint="eastAsia" w:ascii="宋体" w:hAnsi="宋体" w:cs="宋体"/>
          <w:color w:val="auto"/>
          <w:sz w:val="24"/>
          <w:szCs w:val="24"/>
          <w:highlight w:val="none"/>
          <w:u w:val="single"/>
        </w:rPr>
        <w:t>未尽事宜，经双方友好协商解决。</w:t>
      </w:r>
    </w:p>
    <w:p w14:paraId="50293AED">
      <w:pPr>
        <w:spacing w:line="440" w:lineRule="exact"/>
        <w:ind w:firstLine="420" w:firstLineChars="200"/>
        <w:rPr>
          <w:rFonts w:ascii="宋体" w:hAnsi="宋体"/>
          <w:color w:val="auto"/>
          <w:sz w:val="21"/>
          <w:szCs w:val="21"/>
          <w:highlight w:val="none"/>
          <w:u w:val="single"/>
        </w:rPr>
      </w:pPr>
    </w:p>
    <w:p w14:paraId="0F1F5364">
      <w:pPr>
        <w:spacing w:line="440" w:lineRule="exact"/>
        <w:ind w:firstLine="420" w:firstLineChars="200"/>
        <w:rPr>
          <w:rFonts w:ascii="宋体" w:hAnsi="宋体"/>
          <w:color w:val="auto"/>
          <w:sz w:val="21"/>
          <w:szCs w:val="21"/>
          <w:highlight w:val="none"/>
          <w:u w:val="single"/>
        </w:rPr>
      </w:pPr>
    </w:p>
    <w:p w14:paraId="1EC6C906">
      <w:pPr>
        <w:spacing w:line="440" w:lineRule="exact"/>
        <w:ind w:firstLine="420" w:firstLineChars="200"/>
        <w:rPr>
          <w:rFonts w:ascii="宋体" w:hAnsi="宋体"/>
          <w:color w:val="auto"/>
          <w:sz w:val="21"/>
          <w:szCs w:val="21"/>
          <w:highlight w:val="none"/>
          <w:u w:val="single"/>
        </w:rPr>
      </w:pPr>
    </w:p>
    <w:p w14:paraId="3F93F129">
      <w:pPr>
        <w:spacing w:line="440" w:lineRule="exact"/>
        <w:ind w:firstLine="420" w:firstLineChars="200"/>
        <w:rPr>
          <w:rFonts w:ascii="宋体" w:hAnsi="宋体"/>
          <w:color w:val="auto"/>
          <w:sz w:val="21"/>
          <w:szCs w:val="21"/>
          <w:highlight w:val="none"/>
          <w:u w:val="single"/>
        </w:rPr>
      </w:pPr>
    </w:p>
    <w:p w14:paraId="143ECF70">
      <w:pPr>
        <w:spacing w:line="440" w:lineRule="exact"/>
        <w:ind w:firstLine="420" w:firstLineChars="200"/>
        <w:rPr>
          <w:rFonts w:ascii="宋体" w:hAnsi="宋体"/>
          <w:color w:val="auto"/>
          <w:sz w:val="21"/>
          <w:szCs w:val="21"/>
          <w:highlight w:val="none"/>
          <w:u w:val="single"/>
        </w:rPr>
      </w:pPr>
    </w:p>
    <w:p w14:paraId="2AE0EC99">
      <w:pPr>
        <w:spacing w:line="440" w:lineRule="exact"/>
        <w:ind w:firstLine="420" w:firstLineChars="200"/>
        <w:rPr>
          <w:rFonts w:ascii="宋体" w:hAnsi="宋体"/>
          <w:color w:val="auto"/>
          <w:sz w:val="21"/>
          <w:szCs w:val="21"/>
          <w:highlight w:val="none"/>
          <w:u w:val="single"/>
        </w:rPr>
      </w:pPr>
    </w:p>
    <w:p w14:paraId="186B283F">
      <w:pPr>
        <w:spacing w:line="440" w:lineRule="exact"/>
        <w:ind w:firstLine="420" w:firstLineChars="200"/>
        <w:rPr>
          <w:rFonts w:ascii="宋体" w:hAnsi="宋体"/>
          <w:color w:val="auto"/>
          <w:sz w:val="21"/>
          <w:szCs w:val="21"/>
          <w:highlight w:val="none"/>
          <w:u w:val="single"/>
        </w:rPr>
      </w:pPr>
    </w:p>
    <w:p w14:paraId="5D8FCAA1">
      <w:pPr>
        <w:spacing w:line="440" w:lineRule="exact"/>
        <w:rPr>
          <w:rFonts w:ascii="宋体" w:hAnsi="宋体"/>
          <w:color w:val="auto"/>
          <w:sz w:val="21"/>
          <w:szCs w:val="21"/>
          <w:highlight w:val="none"/>
          <w:u w:val="single"/>
        </w:rPr>
      </w:pPr>
    </w:p>
    <w:p w14:paraId="0154DF1D">
      <w:pPr>
        <w:numPr>
          <w:ilvl w:val="0"/>
          <w:numId w:val="9"/>
        </w:numPr>
        <w:jc w:val="center"/>
        <w:rPr>
          <w:rFonts w:ascii="宋体" w:hAnsi="宋体" w:cs="宋体"/>
          <w:b/>
          <w:bCs/>
          <w:color w:val="auto"/>
          <w:sz w:val="28"/>
          <w:szCs w:val="28"/>
          <w:highlight w:val="none"/>
        </w:rPr>
      </w:pPr>
      <w:r>
        <w:rPr>
          <w:rFonts w:ascii="宋体" w:hAnsi="宋体" w:cs="宋体"/>
          <w:b/>
          <w:color w:val="auto"/>
          <w:sz w:val="28"/>
          <w:szCs w:val="28"/>
          <w:highlight w:val="none"/>
        </w:rPr>
        <w:t xml:space="preserve"> </w:t>
      </w:r>
      <w:r>
        <w:rPr>
          <w:rFonts w:hint="eastAsia" w:ascii="宋体" w:hAnsi="宋体" w:cs="宋体"/>
          <w:b/>
          <w:bCs/>
          <w:color w:val="auto"/>
          <w:sz w:val="28"/>
          <w:szCs w:val="28"/>
          <w:highlight w:val="none"/>
        </w:rPr>
        <w:t>绿化种植专篇</w:t>
      </w:r>
    </w:p>
    <w:p w14:paraId="4B59229A">
      <w:pPr>
        <w:spacing w:line="440" w:lineRule="exact"/>
        <w:rPr>
          <w:rFonts w:ascii="宋体" w:hAnsi="宋体" w:cs="宋体"/>
          <w:color w:val="auto"/>
          <w:sz w:val="24"/>
          <w:highlight w:val="none"/>
        </w:rPr>
      </w:pPr>
      <w:r>
        <w:rPr>
          <w:rFonts w:hint="eastAsia" w:ascii="宋体" w:hAnsi="宋体" w:cs="宋体"/>
          <w:color w:val="auto"/>
          <w:sz w:val="24"/>
          <w:highlight w:val="none"/>
        </w:rPr>
        <w:t>（本专篇适用于绿化建设项目、房建及道路配套绿化项目。）</w:t>
      </w:r>
    </w:p>
    <w:p w14:paraId="5771C9B3">
      <w:pPr>
        <w:spacing w:line="440" w:lineRule="exact"/>
        <w:rPr>
          <w:rFonts w:ascii="宋体" w:hAnsi="宋体" w:cs="宋体"/>
          <w:color w:val="auto"/>
          <w:sz w:val="24"/>
          <w:szCs w:val="24"/>
          <w:highlight w:val="none"/>
        </w:rPr>
      </w:pPr>
    </w:p>
    <w:p w14:paraId="3252EBE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发包人（甲方）：</w:t>
      </w:r>
      <w:r>
        <w:rPr>
          <w:rFonts w:hint="eastAsia" w:ascii="宋体" w:hAnsi="宋体" w:cs="宋体"/>
          <w:color w:val="auto"/>
          <w:sz w:val="24"/>
          <w:szCs w:val="24"/>
          <w:highlight w:val="none"/>
          <w:u w:val="single"/>
        </w:rPr>
        <w:t>广州开发区财政投资建设项目管理中心</w:t>
      </w:r>
    </w:p>
    <w:p w14:paraId="0E5E8FB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承包人（乙方）：</w:t>
      </w:r>
      <w:r>
        <w:rPr>
          <w:rFonts w:ascii="宋体" w:hAnsi="宋体" w:cs="宋体"/>
          <w:color w:val="auto"/>
          <w:sz w:val="24"/>
          <w:szCs w:val="24"/>
          <w:highlight w:val="none"/>
          <w:u w:val="single"/>
        </w:rPr>
        <w:t xml:space="preserve">                    </w:t>
      </w:r>
    </w:p>
    <w:p w14:paraId="75E0EE09">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为提高绿化苗木选取和种植苗木质量，加强科学绿化建设和管理，提升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项目绿化种植和养护管理标准，制订本项目绿化种植专篇。</w:t>
      </w:r>
    </w:p>
    <w:p w14:paraId="65526084">
      <w:pPr>
        <w:spacing w:line="440" w:lineRule="exact"/>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一、绿化种植、养护内容及范围</w:t>
      </w:r>
    </w:p>
    <w:p w14:paraId="56F8235F">
      <w:pPr>
        <w:spacing w:line="44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1、本项目绿化工程</w:t>
      </w:r>
      <w:r>
        <w:rPr>
          <w:rFonts w:hint="eastAsia" w:ascii="宋体" w:hAnsi="宋体" w:cs="宋体"/>
          <w:color w:val="auto"/>
          <w:kern w:val="0"/>
          <w:sz w:val="24"/>
          <w:szCs w:val="24"/>
          <w:highlight w:val="none"/>
        </w:rPr>
        <w:t>范围：</w:t>
      </w:r>
      <w:r>
        <w:rPr>
          <w:rFonts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本项目施工合同约定的承包范围内的全部绿化工程内容</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1694CF0E">
      <w:pPr>
        <w:pStyle w:val="9"/>
        <w:spacing w:line="440" w:lineRule="exact"/>
        <w:rPr>
          <w:rFonts w:ascii="宋体" w:hAnsi="宋体" w:cs="宋体"/>
          <w:color w:val="auto"/>
          <w:sz w:val="24"/>
          <w:szCs w:val="24"/>
          <w:highlight w:val="none"/>
        </w:rPr>
      </w:pPr>
      <w:r>
        <w:rPr>
          <w:rFonts w:ascii="宋体" w:hAnsi="宋体" w:cs="宋体"/>
          <w:color w:val="auto"/>
          <w:kern w:val="0"/>
          <w:sz w:val="24"/>
          <w:szCs w:val="24"/>
          <w:highlight w:val="none"/>
        </w:rPr>
        <w:t xml:space="preserve">    2、</w:t>
      </w:r>
      <w:r>
        <w:rPr>
          <w:rFonts w:hint="eastAsia" w:ascii="宋体" w:hAnsi="宋体" w:eastAsia="宋体" w:cs="宋体"/>
          <w:color w:val="auto"/>
          <w:kern w:val="0"/>
          <w:sz w:val="24"/>
          <w:highlight w:val="none"/>
        </w:rPr>
        <w:t>本项目苗木供应清单，详见招标工程量清单。</w:t>
      </w:r>
    </w:p>
    <w:p w14:paraId="66023719">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二、质量要求</w:t>
      </w:r>
    </w:p>
    <w:p w14:paraId="7648D80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要求符合国家、省、市园林绿化规程、检评标准、相关要求及行业标准，包括但不限于以下：</w:t>
      </w:r>
      <w:r>
        <w:rPr>
          <w:rFonts w:ascii="宋体" w:hAnsi="宋体" w:cs="宋体"/>
          <w:color w:val="auto"/>
          <w:sz w:val="24"/>
          <w:szCs w:val="24"/>
          <w:highlight w:val="none"/>
        </w:rPr>
        <w:t xml:space="preserve"> </w:t>
      </w:r>
    </w:p>
    <w:p w14:paraId="577432DD">
      <w:pPr>
        <w:spacing w:line="440" w:lineRule="exact"/>
        <w:ind w:firstLine="482" w:firstLineChars="200"/>
        <w:rPr>
          <w:rFonts w:ascii="宋体" w:hAnsi="宋体" w:cs="宋体"/>
          <w:b/>
          <w:bCs/>
          <w:color w:val="auto"/>
          <w:sz w:val="24"/>
          <w:szCs w:val="24"/>
          <w:highlight w:val="none"/>
        </w:rPr>
      </w:pPr>
      <w:r>
        <w:rPr>
          <w:rFonts w:ascii="宋体" w:hAnsi="宋体" w:cs="宋体"/>
          <w:b/>
          <w:bCs/>
          <w:color w:val="auto"/>
          <w:sz w:val="24"/>
          <w:szCs w:val="24"/>
          <w:highlight w:val="none"/>
        </w:rPr>
        <w:t xml:space="preserve">1、 </w:t>
      </w:r>
      <w:r>
        <w:rPr>
          <w:rFonts w:hint="eastAsia" w:ascii="宋体" w:hAnsi="宋体" w:cs="宋体"/>
          <w:b/>
          <w:bCs/>
          <w:color w:val="auto"/>
          <w:sz w:val="24"/>
          <w:szCs w:val="24"/>
          <w:highlight w:val="none"/>
        </w:rPr>
        <w:t>相关法律法规与政策文件</w:t>
      </w:r>
    </w:p>
    <w:p w14:paraId="3DE3F40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《城市绿化条例》（</w:t>
      </w:r>
      <w:r>
        <w:rPr>
          <w:rFonts w:ascii="宋体" w:hAnsi="宋体" w:cs="宋体"/>
          <w:color w:val="auto"/>
          <w:sz w:val="24"/>
          <w:szCs w:val="24"/>
          <w:highlight w:val="none"/>
        </w:rPr>
        <w:t xml:space="preserve">2017 </w:t>
      </w:r>
      <w:r>
        <w:rPr>
          <w:rFonts w:hint="eastAsia" w:ascii="宋体" w:hAnsi="宋体" w:cs="宋体"/>
          <w:color w:val="auto"/>
          <w:sz w:val="24"/>
          <w:szCs w:val="24"/>
          <w:highlight w:val="none"/>
        </w:rPr>
        <w:t>年修订）；</w:t>
      </w:r>
    </w:p>
    <w:p w14:paraId="57E0F2AA">
      <w:pPr>
        <w:pStyle w:val="16"/>
        <w:spacing w:line="44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《广东省城市绿化条例》（</w:t>
      </w:r>
      <w:r>
        <w:rPr>
          <w:rFonts w:ascii="宋体" w:hAnsi="宋体" w:cs="宋体"/>
          <w:color w:val="auto"/>
          <w:sz w:val="24"/>
          <w:szCs w:val="24"/>
          <w:highlight w:val="none"/>
        </w:rPr>
        <w:t xml:space="preserve">2022 </w:t>
      </w:r>
      <w:r>
        <w:rPr>
          <w:rFonts w:hint="eastAsia" w:ascii="宋体" w:hAnsi="宋体" w:cs="宋体"/>
          <w:color w:val="auto"/>
          <w:sz w:val="24"/>
          <w:szCs w:val="24"/>
          <w:highlight w:val="none"/>
        </w:rPr>
        <w:t>年修订）</w:t>
      </w:r>
    </w:p>
    <w:p w14:paraId="4419266A">
      <w:pPr>
        <w:pStyle w:val="16"/>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《广州市绿化条例》（</w:t>
      </w:r>
      <w:r>
        <w:rPr>
          <w:rFonts w:ascii="宋体" w:hAnsi="宋体" w:cs="宋体"/>
          <w:color w:val="auto"/>
          <w:sz w:val="24"/>
          <w:szCs w:val="24"/>
          <w:highlight w:val="none"/>
        </w:rPr>
        <w:t xml:space="preserve">2022 </w:t>
      </w:r>
      <w:r>
        <w:rPr>
          <w:rFonts w:hint="eastAsia" w:ascii="宋体" w:hAnsi="宋体" w:cs="宋体"/>
          <w:color w:val="auto"/>
          <w:sz w:val="24"/>
          <w:szCs w:val="24"/>
          <w:highlight w:val="none"/>
        </w:rPr>
        <w:t>年修订）</w:t>
      </w:r>
    </w:p>
    <w:p w14:paraId="4BC768BA">
      <w:pPr>
        <w:pStyle w:val="16"/>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《国务院办公厅关于科学绿化的指导意见》（国办发〔</w:t>
      </w:r>
      <w:r>
        <w:rPr>
          <w:rFonts w:ascii="宋体" w:hAnsi="宋体" w:cs="宋体"/>
          <w:color w:val="auto"/>
          <w:sz w:val="24"/>
          <w:szCs w:val="24"/>
          <w:highlight w:val="none"/>
        </w:rPr>
        <w:t xml:space="preserve">2021〕19 </w:t>
      </w:r>
      <w:r>
        <w:rPr>
          <w:rFonts w:hint="eastAsia" w:ascii="宋体" w:hAnsi="宋体" w:cs="宋体"/>
          <w:color w:val="auto"/>
          <w:sz w:val="24"/>
          <w:szCs w:val="24"/>
          <w:highlight w:val="none"/>
        </w:rPr>
        <w:t>号）</w:t>
      </w:r>
    </w:p>
    <w:p w14:paraId="5E107943">
      <w:pPr>
        <w:pStyle w:val="16"/>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）《中共广东省委关于深入推进绿美广东生态建设的决定》（</w:t>
      </w:r>
      <w:r>
        <w:rPr>
          <w:rFonts w:ascii="宋体" w:hAnsi="宋体" w:cs="宋体"/>
          <w:color w:val="auto"/>
          <w:sz w:val="24"/>
          <w:szCs w:val="24"/>
          <w:highlight w:val="none"/>
        </w:rPr>
        <w:t xml:space="preserve">2022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12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8 </w:t>
      </w:r>
      <w:r>
        <w:rPr>
          <w:rFonts w:hint="eastAsia" w:ascii="宋体" w:hAnsi="宋体" w:cs="宋体"/>
          <w:color w:val="auto"/>
          <w:sz w:val="24"/>
          <w:szCs w:val="24"/>
          <w:highlight w:val="none"/>
        </w:rPr>
        <w:t>日中国共产党广东省第十三届委员会第二次全体会议通过）</w:t>
      </w:r>
    </w:p>
    <w:p w14:paraId="20CA8955">
      <w:pPr>
        <w:pStyle w:val="16"/>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）《广东省人民政府办公厅关于科学绿化的实施意见》（粤府办〔</w:t>
      </w:r>
      <w:r>
        <w:rPr>
          <w:rFonts w:ascii="宋体" w:hAnsi="宋体" w:cs="宋体"/>
          <w:color w:val="auto"/>
          <w:sz w:val="24"/>
          <w:szCs w:val="24"/>
          <w:highlight w:val="none"/>
        </w:rPr>
        <w:t xml:space="preserve">2021〕48 </w:t>
      </w:r>
      <w:r>
        <w:rPr>
          <w:rFonts w:hint="eastAsia" w:ascii="宋体" w:hAnsi="宋体" w:cs="宋体"/>
          <w:color w:val="auto"/>
          <w:sz w:val="24"/>
          <w:szCs w:val="24"/>
          <w:highlight w:val="none"/>
        </w:rPr>
        <w:t>号）</w:t>
      </w:r>
    </w:p>
    <w:p w14:paraId="773B871C">
      <w:pPr>
        <w:pStyle w:val="16"/>
        <w:spacing w:line="440" w:lineRule="exact"/>
        <w:ind w:firstLine="280" w:firstLineChars="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）中共广州市委办公厅</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广州市人民政府办公厅印发《广州市关于科学绿化的实施意见》的通知（穗办〔</w:t>
      </w:r>
      <w:r>
        <w:rPr>
          <w:rFonts w:ascii="宋体" w:hAnsi="宋体" w:cs="宋体"/>
          <w:color w:val="auto"/>
          <w:sz w:val="24"/>
          <w:szCs w:val="24"/>
          <w:highlight w:val="none"/>
        </w:rPr>
        <w:t>2021〕11号</w:t>
      </w:r>
      <w:r>
        <w:rPr>
          <w:rFonts w:hint="eastAsia" w:ascii="宋体" w:hAnsi="宋体" w:cs="宋体"/>
          <w:color w:val="auto"/>
          <w:sz w:val="24"/>
          <w:szCs w:val="24"/>
          <w:highlight w:val="none"/>
        </w:rPr>
        <w:t>）</w:t>
      </w:r>
    </w:p>
    <w:p w14:paraId="0EC1EEF5">
      <w:pPr>
        <w:pStyle w:val="16"/>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8</w:t>
      </w:r>
      <w:r>
        <w:rPr>
          <w:rFonts w:hint="eastAsia" w:ascii="宋体" w:hAnsi="宋体" w:cs="宋体"/>
          <w:color w:val="auto"/>
          <w:sz w:val="24"/>
          <w:szCs w:val="24"/>
          <w:highlight w:val="none"/>
        </w:rPr>
        <w:t>）《广州市林业和园林局关于印发广州市树木修剪技术指引（试行）的通知》（穗林业园林通〔</w:t>
      </w:r>
      <w:r>
        <w:rPr>
          <w:rFonts w:ascii="宋体" w:hAnsi="宋体" w:cs="宋体"/>
          <w:color w:val="auto"/>
          <w:sz w:val="24"/>
          <w:szCs w:val="24"/>
          <w:highlight w:val="none"/>
        </w:rPr>
        <w:t xml:space="preserve">2021〕153 </w:t>
      </w:r>
      <w:r>
        <w:rPr>
          <w:rFonts w:hint="eastAsia" w:ascii="宋体" w:hAnsi="宋体" w:cs="宋体"/>
          <w:color w:val="auto"/>
          <w:sz w:val="24"/>
          <w:szCs w:val="24"/>
          <w:highlight w:val="none"/>
        </w:rPr>
        <w:t>号）</w:t>
      </w:r>
    </w:p>
    <w:p w14:paraId="1F0E7573">
      <w:pPr>
        <w:pStyle w:val="16"/>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9</w:t>
      </w:r>
      <w:r>
        <w:rPr>
          <w:rFonts w:hint="eastAsia" w:ascii="宋体" w:hAnsi="宋体" w:cs="宋体"/>
          <w:color w:val="auto"/>
          <w:sz w:val="24"/>
          <w:szCs w:val="24"/>
          <w:highlight w:val="none"/>
        </w:rPr>
        <w:t>）《广州市林业和园林局关于规范提升全市树木支撑的通知》（穗林业园林通〔</w:t>
      </w:r>
      <w:r>
        <w:rPr>
          <w:rFonts w:ascii="宋体" w:hAnsi="宋体" w:cs="宋体"/>
          <w:color w:val="auto"/>
          <w:sz w:val="24"/>
          <w:szCs w:val="24"/>
          <w:highlight w:val="none"/>
        </w:rPr>
        <w:t xml:space="preserve">2019〕100 </w:t>
      </w:r>
      <w:r>
        <w:rPr>
          <w:rFonts w:hint="eastAsia" w:ascii="宋体" w:hAnsi="宋体" w:cs="宋体"/>
          <w:color w:val="auto"/>
          <w:sz w:val="24"/>
          <w:szCs w:val="24"/>
          <w:highlight w:val="none"/>
        </w:rPr>
        <w:t>号）</w:t>
      </w:r>
    </w:p>
    <w:p w14:paraId="6D52AA65">
      <w:pPr>
        <w:pStyle w:val="16"/>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10）</w:t>
      </w:r>
      <w:r>
        <w:rPr>
          <w:rFonts w:hint="eastAsia" w:ascii="宋体" w:hAnsi="宋体" w:cs="宋体"/>
          <w:color w:val="auto"/>
          <w:sz w:val="24"/>
          <w:szCs w:val="24"/>
          <w:highlight w:val="none"/>
        </w:rPr>
        <w:t>黄埔区住房和城乡建设局 广州开发区建设和交通局关于印发《黄埔区绿化苗木选用及种植技术指引（</w:t>
      </w:r>
      <w:r>
        <w:rPr>
          <w:rFonts w:ascii="宋体" w:hAnsi="宋体" w:cs="宋体"/>
          <w:color w:val="auto"/>
          <w:sz w:val="24"/>
          <w:szCs w:val="24"/>
          <w:highlight w:val="none"/>
        </w:rPr>
        <w:t>1.0版）</w:t>
      </w:r>
      <w:r>
        <w:rPr>
          <w:rFonts w:hint="eastAsia" w:ascii="宋体" w:hAnsi="宋体" w:cs="宋体"/>
          <w:color w:val="auto"/>
          <w:sz w:val="24"/>
          <w:szCs w:val="24"/>
          <w:highlight w:val="none"/>
        </w:rPr>
        <w:t>》《黄埔区园林绿化养护技术指引（</w:t>
      </w:r>
      <w:r>
        <w:rPr>
          <w:rFonts w:ascii="宋体" w:hAnsi="宋体" w:cs="宋体"/>
          <w:color w:val="auto"/>
          <w:sz w:val="24"/>
          <w:szCs w:val="24"/>
          <w:highlight w:val="none"/>
        </w:rPr>
        <w:t>1.0版）</w:t>
      </w:r>
      <w:r>
        <w:rPr>
          <w:rFonts w:hint="eastAsia" w:ascii="宋体" w:hAnsi="宋体" w:cs="宋体"/>
          <w:color w:val="auto"/>
          <w:sz w:val="24"/>
          <w:szCs w:val="24"/>
          <w:highlight w:val="none"/>
        </w:rPr>
        <w:t>》的通知（穗埔建〔</w:t>
      </w:r>
      <w:r>
        <w:rPr>
          <w:rFonts w:ascii="宋体" w:hAnsi="宋体" w:cs="宋体"/>
          <w:color w:val="auto"/>
          <w:sz w:val="24"/>
          <w:szCs w:val="24"/>
          <w:highlight w:val="none"/>
        </w:rPr>
        <w:t>2023</w:t>
      </w:r>
      <w:r>
        <w:rPr>
          <w:rFonts w:hint="eastAsia" w:ascii="宋体" w:hAnsi="宋体" w:cs="宋体"/>
          <w:color w:val="auto"/>
          <w:sz w:val="24"/>
          <w:szCs w:val="24"/>
          <w:highlight w:val="none"/>
        </w:rPr>
        <w:t>〕</w:t>
      </w:r>
      <w:r>
        <w:rPr>
          <w:rFonts w:ascii="宋体" w:hAnsi="宋体" w:cs="宋体"/>
          <w:color w:val="auto"/>
          <w:sz w:val="24"/>
          <w:szCs w:val="24"/>
          <w:highlight w:val="none"/>
        </w:rPr>
        <w:t>93 号</w:t>
      </w:r>
      <w:r>
        <w:rPr>
          <w:rFonts w:hint="eastAsia" w:ascii="宋体" w:hAnsi="宋体" w:cs="宋体"/>
          <w:color w:val="auto"/>
          <w:sz w:val="24"/>
          <w:szCs w:val="24"/>
          <w:highlight w:val="none"/>
        </w:rPr>
        <w:t>）</w:t>
      </w:r>
    </w:p>
    <w:p w14:paraId="130EA98E">
      <w:pPr>
        <w:pStyle w:val="16"/>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 xml:space="preserve">11） </w:t>
      </w:r>
      <w:r>
        <w:rPr>
          <w:rFonts w:hint="eastAsia" w:ascii="宋体" w:hAnsi="宋体" w:cs="宋体"/>
          <w:color w:val="auto"/>
          <w:sz w:val="24"/>
          <w:szCs w:val="24"/>
          <w:highlight w:val="none"/>
        </w:rPr>
        <w:t>《黄埔区住房和城乡建设局</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广州开发区建设和交通局关于加强科学绿化工作的提醒函》（穗埔建函</w:t>
      </w:r>
      <w:r>
        <w:rPr>
          <w:rFonts w:ascii="宋体" w:hAnsi="宋体" w:cs="宋体"/>
          <w:color w:val="auto"/>
          <w:sz w:val="24"/>
          <w:szCs w:val="24"/>
          <w:highlight w:val="none"/>
        </w:rPr>
        <w:t>[2023]2767号）</w:t>
      </w:r>
    </w:p>
    <w:p w14:paraId="4E5FE1A4">
      <w:pPr>
        <w:spacing w:line="440" w:lineRule="exact"/>
        <w:jc w:val="left"/>
        <w:rPr>
          <w:rFonts w:ascii="宋体" w:hAnsi="宋体" w:cs="宋体"/>
          <w:b/>
          <w:bCs/>
          <w:color w:val="auto"/>
          <w:sz w:val="24"/>
          <w:szCs w:val="24"/>
          <w:highlight w:val="none"/>
        </w:rPr>
      </w:pPr>
      <w:r>
        <w:rPr>
          <w:rFonts w:ascii="宋体" w:hAnsi="宋体" w:cs="宋体"/>
          <w:b/>
          <w:bCs/>
          <w:color w:val="auto"/>
          <w:sz w:val="24"/>
          <w:szCs w:val="24"/>
          <w:highlight w:val="none"/>
        </w:rPr>
        <w:t>2、 相关标准规范</w:t>
      </w:r>
    </w:p>
    <w:p w14:paraId="776E869A">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1）《园林绿化工程项目规范》（GB55014-2021）；</w:t>
      </w:r>
    </w:p>
    <w:p w14:paraId="171441D2">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2）《城市园林绿化评价标准》GBT 50563-2010；</w:t>
      </w:r>
    </w:p>
    <w:p w14:paraId="37065513">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3）《城市绿地草坪建植与管理技术规程》GBT 19535.2-2004；</w:t>
      </w:r>
    </w:p>
    <w:p w14:paraId="1E6E3BF4">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4）《城市园林绿化评价标准》[附条文说明]GB/T 50563-2010</w:t>
      </w:r>
    </w:p>
    <w:p w14:paraId="52F37E65">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5）《地表水环境质量标准》GB 3838-2002</w:t>
      </w:r>
    </w:p>
    <w:p w14:paraId="332FB42B">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 xml:space="preserve">6）《园林树木安全性评价技术规范》DB4401/T17—2019 </w:t>
      </w:r>
      <w:r>
        <w:rPr>
          <w:rFonts w:hint="eastAsia" w:ascii="宋体" w:hAnsi="宋体" w:cs="宋体"/>
          <w:color w:val="auto"/>
          <w:sz w:val="24"/>
          <w:szCs w:val="24"/>
          <w:highlight w:val="none"/>
        </w:rPr>
        <w:t>；</w:t>
      </w:r>
    </w:p>
    <w:p w14:paraId="034D5764">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 xml:space="preserve">7）《广东城市绿化工程施工和验收规范》DBBT581-2009 </w:t>
      </w:r>
      <w:r>
        <w:rPr>
          <w:rFonts w:hint="eastAsia" w:ascii="宋体" w:hAnsi="宋体" w:cs="宋体"/>
          <w:color w:val="auto"/>
          <w:sz w:val="24"/>
          <w:szCs w:val="24"/>
          <w:highlight w:val="none"/>
        </w:rPr>
        <w:t>；</w:t>
      </w:r>
    </w:p>
    <w:p w14:paraId="1ABBB59C">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8）《城市园林绿化工程施工及验收规范》DB11/T 212-2017；</w:t>
      </w:r>
    </w:p>
    <w:p w14:paraId="0D124D72">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9）《城市园林绿化用苗-木本苗木分级》DB440300/T 28—2006。</w:t>
      </w:r>
    </w:p>
    <w:p w14:paraId="22E26AE8">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10）《城市绿化和园林绿地用植物材料-木本苗》CJT 24-1999；</w:t>
      </w:r>
    </w:p>
    <w:p w14:paraId="757EF986">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 xml:space="preserve">11）《城市绿化和园林绿地用植物材料- </w:t>
      </w:r>
      <w:r>
        <w:rPr>
          <w:rFonts w:hint="eastAsia" w:ascii="宋体" w:hAnsi="宋体" w:cs="宋体"/>
          <w:color w:val="auto"/>
          <w:sz w:val="24"/>
          <w:szCs w:val="24"/>
          <w:highlight w:val="none"/>
        </w:rPr>
        <w:t>球根花卉种球》</w:t>
      </w:r>
      <w:r>
        <w:rPr>
          <w:rFonts w:ascii="宋体" w:hAnsi="宋体" w:cs="宋体"/>
          <w:color w:val="auto"/>
          <w:sz w:val="24"/>
          <w:szCs w:val="24"/>
          <w:highlight w:val="none"/>
        </w:rPr>
        <w:t>CJT</w:t>
      </w:r>
    </w:p>
    <w:p w14:paraId="6FDD4B77">
      <w:pPr>
        <w:spacing w:line="440" w:lineRule="exact"/>
        <w:jc w:val="left"/>
        <w:rPr>
          <w:rFonts w:ascii="宋体" w:hAnsi="宋体" w:cs="宋体"/>
          <w:color w:val="auto"/>
          <w:sz w:val="24"/>
          <w:szCs w:val="24"/>
          <w:highlight w:val="none"/>
        </w:rPr>
      </w:pPr>
      <w:r>
        <w:rPr>
          <w:rFonts w:ascii="宋体" w:hAnsi="宋体" w:cs="宋体"/>
          <w:color w:val="auto"/>
          <w:sz w:val="24"/>
          <w:szCs w:val="24"/>
          <w:highlight w:val="none"/>
        </w:rPr>
        <w:t xml:space="preserve">135-2001 </w:t>
      </w:r>
      <w:r>
        <w:rPr>
          <w:rFonts w:hint="eastAsia" w:ascii="宋体" w:hAnsi="宋体" w:cs="宋体"/>
          <w:color w:val="auto"/>
          <w:sz w:val="24"/>
          <w:szCs w:val="24"/>
          <w:highlight w:val="none"/>
        </w:rPr>
        <w:t>；</w:t>
      </w:r>
    </w:p>
    <w:p w14:paraId="78457D34">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12）《绿化种植土壤》CJ/T340-2016；</w:t>
      </w:r>
    </w:p>
    <w:p w14:paraId="5EF0D822">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13）《园林植物筛选通用技术要求》CJT 512-2017；</w:t>
      </w:r>
    </w:p>
    <w:p w14:paraId="3C796EC2">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14）《城市主要绿化竹种苗木等级》LYT 2345-2014；</w:t>
      </w:r>
    </w:p>
    <w:p w14:paraId="5EC11EE6">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15）《绿化全冠苗木栽植技术规程》LYT 2632-2016；</w:t>
      </w:r>
    </w:p>
    <w:p w14:paraId="433E9FAF">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16）《森林植物检疫技术规程》</w:t>
      </w:r>
    </w:p>
    <w:p w14:paraId="6829C709">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17）《广州市主要乡土和适生植物名录》</w:t>
      </w:r>
    </w:p>
    <w:p w14:paraId="59D2A770">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18</w:t>
      </w:r>
      <w:r>
        <w:rPr>
          <w:rFonts w:hint="eastAsia" w:ascii="宋体" w:hAnsi="宋体" w:cs="宋体"/>
          <w:color w:val="auto"/>
          <w:sz w:val="24"/>
          <w:szCs w:val="24"/>
          <w:highlight w:val="none"/>
        </w:rPr>
        <w:t>）《城市道路绿化规划与设计规范》</w:t>
      </w:r>
    </w:p>
    <w:p w14:paraId="27DC53EB">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三、绿化种植、养护要求</w:t>
      </w:r>
    </w:p>
    <w:p w14:paraId="2D6BF4D0">
      <w:pPr>
        <w:numPr>
          <w:ilvl w:val="0"/>
          <w:numId w:val="10"/>
        </w:numPr>
        <w:spacing w:line="440" w:lineRule="exact"/>
        <w:ind w:firstLine="549" w:firstLineChars="228"/>
        <w:rPr>
          <w:rFonts w:ascii="宋体" w:hAnsi="宋体" w:cs="宋体"/>
          <w:b/>
          <w:bCs/>
          <w:color w:val="auto"/>
          <w:sz w:val="24"/>
          <w:szCs w:val="24"/>
          <w:highlight w:val="none"/>
        </w:rPr>
      </w:pPr>
      <w:r>
        <w:rPr>
          <w:rFonts w:hint="eastAsia" w:ascii="宋体" w:hAnsi="宋体" w:cs="宋体"/>
          <w:b/>
          <w:bCs/>
          <w:color w:val="auto"/>
          <w:sz w:val="24"/>
          <w:szCs w:val="24"/>
          <w:highlight w:val="none"/>
        </w:rPr>
        <w:t>绿化苗木选用和种植过程要求</w:t>
      </w:r>
      <w:r>
        <w:rPr>
          <w:rFonts w:ascii="宋体" w:hAnsi="宋体" w:cs="宋体"/>
          <w:b/>
          <w:bCs/>
          <w:color w:val="auto"/>
          <w:sz w:val="24"/>
          <w:szCs w:val="24"/>
          <w:highlight w:val="none"/>
        </w:rPr>
        <w:t xml:space="preserve"> </w:t>
      </w:r>
    </w:p>
    <w:p w14:paraId="07A0FCC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承包人应严格按照本项目《苗木供应清单》要求选用苗木，执行《黄埔区绿化苗木选用及种植技术指引（</w:t>
      </w:r>
      <w:r>
        <w:rPr>
          <w:rFonts w:ascii="宋体" w:hAnsi="宋体" w:cs="宋体"/>
          <w:color w:val="auto"/>
          <w:sz w:val="24"/>
          <w:szCs w:val="24"/>
          <w:highlight w:val="none"/>
        </w:rPr>
        <w:t>1.0版）》，</w:t>
      </w:r>
      <w:r>
        <w:rPr>
          <w:rFonts w:hint="eastAsia" w:ascii="宋体" w:hAnsi="宋体" w:cs="宋体"/>
          <w:color w:val="auto"/>
          <w:sz w:val="24"/>
          <w:szCs w:val="24"/>
          <w:highlight w:val="none"/>
        </w:rPr>
        <w:t>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14:paraId="34D146B9">
      <w:pPr>
        <w:spacing w:line="440" w:lineRule="exact"/>
        <w:ind w:firstLine="482" w:firstLineChars="200"/>
        <w:rPr>
          <w:rFonts w:ascii="宋体" w:hAnsi="宋体" w:cs="宋体"/>
          <w:b/>
          <w:bCs/>
          <w:color w:val="auto"/>
          <w:sz w:val="24"/>
          <w:szCs w:val="24"/>
          <w:highlight w:val="none"/>
        </w:rPr>
      </w:pPr>
      <w:r>
        <w:rPr>
          <w:rFonts w:ascii="宋体" w:hAnsi="宋体" w:cs="宋体"/>
          <w:b/>
          <w:bCs/>
          <w:color w:val="auto"/>
          <w:sz w:val="24"/>
          <w:szCs w:val="24"/>
          <w:highlight w:val="none"/>
        </w:rPr>
        <w:t>2、绿化养护技术及时间要求</w:t>
      </w:r>
    </w:p>
    <w:p w14:paraId="4A72EC84">
      <w:pPr>
        <w:pStyle w:val="2"/>
        <w:spacing w:line="440" w:lineRule="exact"/>
        <w:ind w:left="0" w:leftChars="0" w:firstLine="560" w:firstLineChars="0"/>
        <w:rPr>
          <w:rFonts w:hint="default" w:ascii="宋体" w:hAnsi="宋体" w:cs="宋体"/>
          <w:color w:val="auto"/>
          <w:sz w:val="24"/>
          <w:szCs w:val="24"/>
          <w:highlight w:val="none"/>
        </w:rPr>
      </w:pPr>
      <w:r>
        <w:rPr>
          <w:rFonts w:ascii="宋体" w:hAnsi="宋体" w:cs="宋体"/>
          <w:color w:val="auto"/>
          <w:sz w:val="24"/>
          <w:szCs w:val="24"/>
          <w:highlight w:val="none"/>
        </w:rPr>
        <w:t>承包人应认真学习并执行《黄埔区园林绿化养护技术指引（</w:t>
      </w:r>
      <w:r>
        <w:rPr>
          <w:rFonts w:hint="default" w:ascii="宋体" w:hAnsi="宋体" w:cs="宋体"/>
          <w:color w:val="auto"/>
          <w:sz w:val="24"/>
          <w:szCs w:val="24"/>
          <w:highlight w:val="none"/>
        </w:rPr>
        <w:t>1.0版）》的具体要求，规范项目中</w:t>
      </w:r>
      <w:r>
        <w:rPr>
          <w:rFonts w:ascii="宋体" w:hAnsi="宋体" w:cs="宋体"/>
          <w:color w:val="auto"/>
          <w:sz w:val="24"/>
          <w:szCs w:val="24"/>
          <w:highlight w:val="none"/>
        </w:rPr>
        <w:t>绿化灌溉、施肥、修剪、病虫害综合防治、日常养护管理工作。</w:t>
      </w:r>
    </w:p>
    <w:p w14:paraId="7381BD79">
      <w:pPr>
        <w:snapToGrid w:val="0"/>
        <w:spacing w:line="440" w:lineRule="exact"/>
        <w:ind w:left="0" w:leftChars="0" w:firstLine="581" w:firstLineChars="241"/>
        <w:rPr>
          <w:rFonts w:hint="default" w:ascii="宋体" w:hAnsi="宋体" w:cs="宋体"/>
          <w:color w:val="auto"/>
          <w:sz w:val="24"/>
          <w:szCs w:val="28"/>
          <w:highlight w:val="none"/>
        </w:rPr>
      </w:pPr>
      <w:r>
        <w:rPr>
          <w:rFonts w:hint="eastAsia" w:ascii="宋体" w:hAnsi="宋体" w:cs="宋体"/>
          <w:b/>
          <w:bCs/>
          <w:color w:val="auto"/>
          <w:sz w:val="24"/>
          <w:szCs w:val="28"/>
          <w:highlight w:val="none"/>
        </w:rPr>
        <w:t>养护期：</w:t>
      </w:r>
      <w:r>
        <w:rPr>
          <w:rFonts w:hint="eastAsia" w:ascii="宋体" w:hAnsi="宋体"/>
          <w:color w:val="auto"/>
          <w:sz w:val="24"/>
          <w:highlight w:val="none"/>
        </w:rPr>
        <w:t>胸径</w:t>
      </w:r>
      <w:r>
        <w:rPr>
          <w:rFonts w:ascii="宋体" w:hAnsi="宋体"/>
          <w:color w:val="auto"/>
          <w:sz w:val="24"/>
          <w:highlight w:val="none"/>
        </w:rPr>
        <w:t>15cm</w:t>
      </w:r>
      <w:r>
        <w:rPr>
          <w:rFonts w:hint="eastAsia" w:ascii="宋体" w:hAnsi="宋体"/>
          <w:color w:val="auto"/>
          <w:sz w:val="24"/>
          <w:highlight w:val="none"/>
        </w:rPr>
        <w:t>以内（含</w:t>
      </w:r>
      <w:r>
        <w:rPr>
          <w:rFonts w:ascii="宋体" w:hAnsi="宋体"/>
          <w:color w:val="auto"/>
          <w:sz w:val="24"/>
          <w:highlight w:val="none"/>
        </w:rPr>
        <w:t>15cm</w:t>
      </w:r>
      <w:r>
        <w:rPr>
          <w:rFonts w:hint="eastAsia" w:ascii="宋体" w:hAnsi="宋体"/>
          <w:color w:val="auto"/>
          <w:sz w:val="24"/>
          <w:highlight w:val="none"/>
        </w:rPr>
        <w:t>）的苗木养护期为</w:t>
      </w:r>
      <w:r>
        <w:rPr>
          <w:rFonts w:hint="eastAsia" w:ascii="宋体" w:hAnsi="宋体" w:cs="宋体"/>
          <w:color w:val="auto"/>
          <w:sz w:val="24"/>
          <w:highlight w:val="none"/>
        </w:rPr>
        <w:t>自本项目绿化工程通过竣工验收之日起</w:t>
      </w:r>
      <w:r>
        <w:rPr>
          <w:rFonts w:ascii="宋体" w:hAnsi="宋体"/>
          <w:color w:val="auto"/>
          <w:sz w:val="24"/>
          <w:highlight w:val="none"/>
          <w:u w:val="single"/>
        </w:rPr>
        <w:t xml:space="preserve"> 3</w:t>
      </w:r>
      <w:r>
        <w:rPr>
          <w:rFonts w:hint="eastAsia" w:ascii="宋体" w:hAnsi="宋体"/>
          <w:color w:val="auto"/>
          <w:sz w:val="24"/>
          <w:highlight w:val="none"/>
          <w:u w:val="single"/>
        </w:rPr>
        <w:t xml:space="preserve"> </w:t>
      </w:r>
      <w:r>
        <w:rPr>
          <w:rFonts w:hint="eastAsia" w:ascii="宋体" w:hAnsi="宋体"/>
          <w:color w:val="auto"/>
          <w:sz w:val="24"/>
          <w:highlight w:val="none"/>
        </w:rPr>
        <w:t>个月，胸径</w:t>
      </w:r>
      <w:r>
        <w:rPr>
          <w:rFonts w:ascii="宋体" w:hAnsi="宋体"/>
          <w:color w:val="auto"/>
          <w:sz w:val="24"/>
          <w:highlight w:val="none"/>
        </w:rPr>
        <w:t>15cm</w:t>
      </w:r>
      <w:r>
        <w:rPr>
          <w:rFonts w:hint="eastAsia" w:ascii="宋体" w:hAnsi="宋体"/>
          <w:color w:val="auto"/>
          <w:sz w:val="24"/>
          <w:highlight w:val="none"/>
        </w:rPr>
        <w:t>以上的苗木养护期为</w:t>
      </w:r>
      <w:r>
        <w:rPr>
          <w:rFonts w:hint="eastAsia" w:ascii="宋体" w:hAnsi="宋体" w:cs="宋体"/>
          <w:color w:val="auto"/>
          <w:sz w:val="24"/>
          <w:highlight w:val="none"/>
        </w:rPr>
        <w:t>自本项目绿化工程通过竣工验收之日起</w:t>
      </w:r>
      <w:r>
        <w:rPr>
          <w:rFonts w:ascii="宋体" w:hAnsi="宋体"/>
          <w:color w:val="auto"/>
          <w:sz w:val="24"/>
          <w:highlight w:val="none"/>
          <w:u w:val="single"/>
        </w:rPr>
        <w:t xml:space="preserve"> 1</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02E2D453">
      <w:pPr>
        <w:spacing w:line="44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养护期内，承包人需负责项目中绿化灌溉、施肥、修剪、病虫害综合防治、日常养护管理工作，及时更换不符合清单要求的苗木，提高绿化种植成活率，确保绿化移交时符合《黄埔区绿化苗木选用及种植技术指引（</w:t>
      </w:r>
      <w:r>
        <w:rPr>
          <w:rFonts w:ascii="宋体" w:hAnsi="宋体" w:cs="宋体"/>
          <w:color w:val="auto"/>
          <w:sz w:val="24"/>
          <w:szCs w:val="24"/>
          <w:highlight w:val="none"/>
        </w:rPr>
        <w:t>1.0版）》</w:t>
      </w:r>
      <w:r>
        <w:rPr>
          <w:rFonts w:hint="eastAsia" w:ascii="宋体" w:hAnsi="宋体" w:cs="宋体"/>
          <w:color w:val="auto"/>
          <w:sz w:val="24"/>
          <w:szCs w:val="24"/>
          <w:highlight w:val="none"/>
        </w:rPr>
        <w:t>《黄埔区园林绿化养护技术指引（</w:t>
      </w:r>
      <w:r>
        <w:rPr>
          <w:rFonts w:ascii="宋体" w:hAnsi="宋体" w:cs="宋体"/>
          <w:color w:val="auto"/>
          <w:sz w:val="24"/>
          <w:szCs w:val="24"/>
          <w:highlight w:val="none"/>
        </w:rPr>
        <w:t>1.0版）》及发包人要求。</w:t>
      </w:r>
    </w:p>
    <w:p w14:paraId="24C73161">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四、责任与义务</w:t>
      </w:r>
    </w:p>
    <w:p w14:paraId="4456D881">
      <w:pPr>
        <w:spacing w:line="440" w:lineRule="exact"/>
        <w:jc w:val="left"/>
        <w:rPr>
          <w:rFonts w:ascii="宋体" w:hAnsi="宋体" w:cs="宋体"/>
          <w:color w:val="auto"/>
          <w:sz w:val="24"/>
          <w:szCs w:val="24"/>
          <w:highlight w:val="none"/>
        </w:rPr>
      </w:pPr>
      <w:r>
        <w:rPr>
          <w:rFonts w:ascii="宋体" w:hAnsi="宋体" w:cs="宋体"/>
          <w:color w:val="auto"/>
          <w:sz w:val="24"/>
          <w:szCs w:val="24"/>
          <w:highlight w:val="none"/>
        </w:rPr>
        <w:t>1、承包人应严格按照本项目《苗木供应清单》执行苗木选用、种植和养护工作。</w:t>
      </w:r>
      <w:r>
        <w:rPr>
          <w:rFonts w:hint="eastAsia" w:ascii="宋体" w:hAnsi="宋体" w:cs="宋体"/>
          <w:color w:val="auto"/>
          <w:sz w:val="24"/>
          <w:szCs w:val="24"/>
          <w:highlight w:val="none"/>
        </w:rPr>
        <w:t>如经发包人</w:t>
      </w:r>
      <w:r>
        <w:rPr>
          <w:rFonts w:hint="eastAsia" w:ascii="宋体" w:hAnsi="宋体" w:cs="宋体"/>
          <w:color w:val="auto"/>
          <w:kern w:val="0"/>
          <w:sz w:val="24"/>
          <w:szCs w:val="24"/>
          <w:highlight w:val="none"/>
        </w:rPr>
        <w:t>或本项目监理单位</w:t>
      </w:r>
      <w:r>
        <w:rPr>
          <w:rFonts w:hint="eastAsia" w:ascii="宋体" w:hAnsi="宋体" w:cs="宋体"/>
          <w:color w:val="auto"/>
          <w:sz w:val="24"/>
          <w:szCs w:val="24"/>
          <w:highlight w:val="none"/>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14:paraId="1EE6F94A">
      <w:pPr>
        <w:spacing w:line="440" w:lineRule="exact"/>
        <w:jc w:val="left"/>
        <w:rPr>
          <w:rFonts w:ascii="宋体" w:hAnsi="宋体" w:cs="宋体"/>
          <w:color w:val="auto"/>
          <w:sz w:val="24"/>
          <w:szCs w:val="24"/>
          <w:highlight w:val="none"/>
        </w:rPr>
      </w:pPr>
      <w:r>
        <w:rPr>
          <w:rFonts w:ascii="宋体" w:hAnsi="宋体" w:cs="宋体"/>
          <w:color w:val="auto"/>
          <w:sz w:val="24"/>
          <w:szCs w:val="24"/>
          <w:highlight w:val="none"/>
        </w:rPr>
        <w:t>2、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w:t>
      </w:r>
      <w:r>
        <w:rPr>
          <w:rFonts w:hint="eastAsia" w:ascii="宋体" w:hAnsi="宋体" w:cs="宋体"/>
          <w:color w:val="auto"/>
          <w:sz w:val="24"/>
          <w:szCs w:val="24"/>
          <w:highlight w:val="none"/>
        </w:rPr>
        <w:t>每逾期一天，由发包人扣减绿化工程造价的万分之一作为违约金。同时，发包人有权另行委托其他服务单位实施整改，以保证按时按质按量完成整改，所需费用从承包人工程款中全额扣除。</w:t>
      </w:r>
    </w:p>
    <w:p w14:paraId="0DD7DFEB">
      <w:pPr>
        <w:pStyle w:val="16"/>
        <w:spacing w:line="440" w:lineRule="exact"/>
        <w:ind w:firstLine="241"/>
        <w:rPr>
          <w:rFonts w:ascii="宋体" w:hAnsi="宋体" w:cs="宋体"/>
          <w:b/>
          <w:bCs/>
          <w:color w:val="auto"/>
          <w:sz w:val="24"/>
          <w:szCs w:val="24"/>
          <w:highlight w:val="none"/>
        </w:rPr>
      </w:pPr>
      <w:r>
        <w:rPr>
          <w:rFonts w:hint="eastAsia" w:ascii="宋体" w:hAnsi="宋体" w:cs="宋体"/>
          <w:b/>
          <w:bCs/>
          <w:color w:val="auto"/>
          <w:sz w:val="24"/>
          <w:szCs w:val="24"/>
          <w:highlight w:val="none"/>
        </w:rPr>
        <w:t>五、其它</w:t>
      </w:r>
    </w:p>
    <w:p w14:paraId="6F623CDF">
      <w:pPr>
        <w:pStyle w:val="16"/>
        <w:spacing w:line="440" w:lineRule="exact"/>
        <w:ind w:firstLine="240"/>
        <w:rPr>
          <w:rFonts w:ascii="宋体" w:hAnsi="宋体" w:cs="宋体"/>
          <w:color w:val="auto"/>
          <w:sz w:val="24"/>
          <w:szCs w:val="24"/>
          <w:highlight w:val="none"/>
        </w:rPr>
      </w:pPr>
      <w:r>
        <w:rPr>
          <w:rFonts w:hint="eastAsia" w:ascii="宋体" w:hAnsi="宋体" w:cs="宋体"/>
          <w:color w:val="auto"/>
          <w:sz w:val="24"/>
          <w:szCs w:val="24"/>
          <w:highlight w:val="none"/>
        </w:rPr>
        <w:t>本专篇是为规范本项目绿化工程种植、养护工作制定，未提及的内容均按施工合同专用条款的约定执行。</w:t>
      </w:r>
    </w:p>
    <w:p w14:paraId="18C3AFE5">
      <w:pPr>
        <w:numPr>
          <w:ilvl w:val="255"/>
          <w:numId w:val="0"/>
        </w:numPr>
        <w:jc w:val="both"/>
        <w:rPr>
          <w:rFonts w:ascii="宋体" w:hAnsi="宋体" w:cs="宋体"/>
          <w:b/>
          <w:bCs/>
          <w:color w:val="auto"/>
          <w:sz w:val="28"/>
          <w:szCs w:val="28"/>
          <w:highlight w:val="none"/>
        </w:rPr>
      </w:pPr>
    </w:p>
    <w:p w14:paraId="5CE3A49F">
      <w:pPr>
        <w:spacing w:line="440" w:lineRule="exact"/>
        <w:rPr>
          <w:rFonts w:hint="eastAsia" w:ascii="宋体" w:hAnsi="宋体"/>
          <w:color w:val="auto"/>
          <w:sz w:val="21"/>
          <w:szCs w:val="21"/>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color w:val="auto"/>
          <w:sz w:val="21"/>
          <w:szCs w:val="21"/>
          <w:highlight w:val="none"/>
        </w:rPr>
        <w:t xml:space="preserve">                         </w:t>
      </w:r>
    </w:p>
    <w:p w14:paraId="099E4CFF">
      <w:pPr>
        <w:spacing w:line="440" w:lineRule="exact"/>
        <w:jc w:val="center"/>
        <w:rPr>
          <w:rFonts w:ascii="宋体" w:hAnsi="宋体"/>
          <w:b/>
          <w:color w:val="auto"/>
          <w:sz w:val="28"/>
          <w:szCs w:val="28"/>
          <w:highlight w:val="none"/>
        </w:rPr>
      </w:pPr>
      <w:r>
        <w:rPr>
          <w:rFonts w:hint="eastAsia" w:ascii="宋体" w:hAnsi="宋体"/>
          <w:b/>
          <w:color w:val="auto"/>
          <w:sz w:val="28"/>
          <w:szCs w:val="28"/>
          <w:highlight w:val="none"/>
        </w:rPr>
        <w:t>第五部分</w:t>
      </w:r>
      <w:r>
        <w:rPr>
          <w:rFonts w:ascii="宋体" w:hAnsi="宋体"/>
          <w:b/>
          <w:color w:val="auto"/>
          <w:sz w:val="28"/>
          <w:szCs w:val="28"/>
          <w:highlight w:val="none"/>
        </w:rPr>
        <w:t xml:space="preserve">  </w:t>
      </w:r>
      <w:r>
        <w:rPr>
          <w:rFonts w:hint="eastAsia" w:ascii="宋体" w:hAnsi="宋体"/>
          <w:b/>
          <w:color w:val="auto"/>
          <w:sz w:val="28"/>
          <w:szCs w:val="28"/>
          <w:highlight w:val="none"/>
        </w:rPr>
        <w:t>工程质量保修责任书</w:t>
      </w:r>
    </w:p>
    <w:p w14:paraId="0E1AD8D7">
      <w:pPr>
        <w:snapToGrid w:val="0"/>
        <w:spacing w:line="440" w:lineRule="exact"/>
        <w:rPr>
          <w:rFonts w:ascii="宋体" w:hAnsi="宋体"/>
          <w:color w:val="auto"/>
          <w:sz w:val="24"/>
          <w:highlight w:val="none"/>
        </w:rPr>
      </w:pPr>
      <w:r>
        <w:rPr>
          <w:rFonts w:hint="eastAsia" w:ascii="宋体" w:hAnsi="宋体"/>
          <w:color w:val="auto"/>
          <w:sz w:val="24"/>
          <w:highlight w:val="none"/>
        </w:rPr>
        <w:t>发包人（全称）：</w:t>
      </w:r>
      <w:r>
        <w:rPr>
          <w:rFonts w:ascii="宋体" w:hAnsi="宋体"/>
          <w:color w:val="auto"/>
          <w:sz w:val="24"/>
          <w:highlight w:val="none"/>
          <w:u w:val="single"/>
        </w:rPr>
        <w:t xml:space="preserve">                             </w:t>
      </w:r>
      <w:r>
        <w:rPr>
          <w:rFonts w:hint="eastAsia" w:ascii="宋体" w:hAnsi="宋体"/>
          <w:color w:val="auto"/>
          <w:sz w:val="24"/>
          <w:highlight w:val="none"/>
        </w:rPr>
        <w:t>。</w:t>
      </w:r>
    </w:p>
    <w:p w14:paraId="3241A848">
      <w:pPr>
        <w:snapToGrid w:val="0"/>
        <w:spacing w:line="440" w:lineRule="exact"/>
        <w:rPr>
          <w:rFonts w:ascii="宋体" w:hAnsi="宋体"/>
          <w:color w:val="auto"/>
          <w:sz w:val="24"/>
          <w:highlight w:val="none"/>
        </w:rPr>
      </w:pPr>
      <w:r>
        <w:rPr>
          <w:rFonts w:hint="eastAsia" w:ascii="宋体" w:hAnsi="宋体"/>
          <w:color w:val="auto"/>
          <w:sz w:val="24"/>
          <w:highlight w:val="none"/>
        </w:rPr>
        <w:t>承包人（全称）：</w:t>
      </w:r>
      <w:r>
        <w:rPr>
          <w:rFonts w:ascii="宋体" w:hAnsi="宋体"/>
          <w:color w:val="auto"/>
          <w:sz w:val="24"/>
          <w:highlight w:val="none"/>
          <w:u w:val="single"/>
        </w:rPr>
        <w:t xml:space="preserve">                             </w:t>
      </w:r>
      <w:r>
        <w:rPr>
          <w:rFonts w:hint="eastAsia" w:ascii="宋体" w:hAnsi="宋体"/>
          <w:color w:val="auto"/>
          <w:sz w:val="24"/>
          <w:highlight w:val="none"/>
        </w:rPr>
        <w:t>。</w:t>
      </w:r>
    </w:p>
    <w:p w14:paraId="3FFC95C1">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为保证</w:t>
      </w:r>
      <w:r>
        <w:rPr>
          <w:rFonts w:ascii="宋体" w:hAnsi="宋体"/>
          <w:color w:val="auto"/>
          <w:sz w:val="24"/>
          <w:highlight w:val="none"/>
          <w:u w:val="single"/>
        </w:rPr>
        <w:t xml:space="preserve">                工程</w:t>
      </w:r>
      <w:r>
        <w:rPr>
          <w:rFonts w:hint="eastAsia" w:ascii="宋体" w:hAnsi="宋体"/>
          <w:color w:val="auto"/>
          <w:sz w:val="24"/>
          <w:highlight w:val="none"/>
        </w:rPr>
        <w:t>在合理使用期限内正常使用，发包人承包人协商一致签订工程质量保修责任书。承包人在质量保修期内按照有关管理规定及双方约定承担本工程质量保修责任。</w:t>
      </w:r>
    </w:p>
    <w:p w14:paraId="062C7CB1">
      <w:pPr>
        <w:numPr>
          <w:ilvl w:val="0"/>
          <w:numId w:val="11"/>
        </w:numPr>
        <w:tabs>
          <w:tab w:val="left" w:pos="1120"/>
        </w:tabs>
        <w:snapToGrid w:val="0"/>
        <w:spacing w:line="440" w:lineRule="exact"/>
        <w:ind w:hanging="240"/>
        <w:rPr>
          <w:rFonts w:ascii="宋体" w:hAnsi="宋体"/>
          <w:b/>
          <w:bCs/>
          <w:color w:val="auto"/>
          <w:sz w:val="24"/>
          <w:highlight w:val="none"/>
        </w:rPr>
      </w:pPr>
      <w:r>
        <w:rPr>
          <w:rFonts w:hint="eastAsia" w:ascii="宋体" w:hAnsi="宋体"/>
          <w:b/>
          <w:bCs/>
          <w:color w:val="auto"/>
          <w:sz w:val="24"/>
          <w:highlight w:val="none"/>
        </w:rPr>
        <w:t>工程质量保修范围和内容</w:t>
      </w:r>
    </w:p>
    <w:p w14:paraId="43FBB20D">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质量保修范围包括基础工程、主体路基、路面、桥涵构造物工程、给排水、防护工程以及本建设工程施工合同中所含的其它项目。具体质量保修内容双方约定如下：</w:t>
      </w:r>
    </w:p>
    <w:p w14:paraId="61054270">
      <w:pPr>
        <w:snapToGrid w:val="0"/>
        <w:spacing w:line="440" w:lineRule="exact"/>
        <w:ind w:firstLine="578" w:firstLineChars="241"/>
        <w:rPr>
          <w:rFonts w:ascii="宋体" w:hAnsi="宋体"/>
          <w:color w:val="auto"/>
          <w:sz w:val="24"/>
          <w:highlight w:val="none"/>
          <w:u w:val="single"/>
        </w:rPr>
      </w:pPr>
      <w:r>
        <w:rPr>
          <w:rFonts w:hint="eastAsia" w:ascii="宋体" w:hAnsi="宋体"/>
          <w:color w:val="auto"/>
          <w:sz w:val="24"/>
          <w:highlight w:val="none"/>
          <w:u w:val="single"/>
        </w:rPr>
        <w:t>按施工合同约定的承包范围内的全部工程内容</w:t>
      </w:r>
      <w:r>
        <w:rPr>
          <w:rFonts w:hint="eastAsia" w:ascii="宋体" w:hAnsi="宋体"/>
          <w:color w:val="auto"/>
          <w:sz w:val="24"/>
          <w:highlight w:val="none"/>
        </w:rPr>
        <w:t>。</w:t>
      </w:r>
    </w:p>
    <w:p w14:paraId="2EBFA072">
      <w:pPr>
        <w:numPr>
          <w:ilvl w:val="0"/>
          <w:numId w:val="11"/>
        </w:numPr>
        <w:tabs>
          <w:tab w:val="left" w:pos="1120"/>
        </w:tabs>
        <w:snapToGrid w:val="0"/>
        <w:spacing w:line="440" w:lineRule="exact"/>
        <w:ind w:hanging="240"/>
        <w:rPr>
          <w:rFonts w:ascii="宋体" w:hAnsi="宋体"/>
          <w:b/>
          <w:bCs/>
          <w:color w:val="auto"/>
          <w:sz w:val="24"/>
          <w:highlight w:val="none"/>
        </w:rPr>
      </w:pPr>
      <w:r>
        <w:rPr>
          <w:rFonts w:hint="eastAsia" w:ascii="宋体" w:hAnsi="宋体"/>
          <w:b/>
          <w:bCs/>
          <w:color w:val="auto"/>
          <w:sz w:val="24"/>
          <w:highlight w:val="none"/>
        </w:rPr>
        <w:t>质量保修期</w:t>
      </w:r>
    </w:p>
    <w:p w14:paraId="777BA1EA">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质量保修期从广州开发区管委会或其相关职能部门批准的提前移交之日或者正式通过竣工验收之日（以先发生日期为准）算起。</w:t>
      </w:r>
    </w:p>
    <w:p w14:paraId="7633E436">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双方根据国家有关规定，结合具体工程约定质量保修期如下：</w:t>
      </w:r>
    </w:p>
    <w:p w14:paraId="0395766B">
      <w:pPr>
        <w:snapToGrid w:val="0"/>
        <w:spacing w:line="440" w:lineRule="exact"/>
        <w:ind w:firstLine="578" w:firstLineChars="241"/>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基础设施工程、房屋建筑的地基基础和主体结构工程为设计文件规定的该工程合理使用年限；</w:t>
      </w:r>
    </w:p>
    <w:p w14:paraId="449B32E5">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2、电力管线、上下水管线安装工程为</w:t>
      </w:r>
      <w:r>
        <w:rPr>
          <w:rFonts w:ascii="宋体" w:hAnsi="宋体"/>
          <w:color w:val="auto"/>
          <w:sz w:val="24"/>
          <w:highlight w:val="none"/>
          <w:u w:val="single"/>
        </w:rPr>
        <w:t xml:space="preserve"> 2 </w:t>
      </w:r>
      <w:r>
        <w:rPr>
          <w:rFonts w:hint="eastAsia" w:ascii="宋体" w:hAnsi="宋体"/>
          <w:color w:val="auto"/>
          <w:sz w:val="24"/>
          <w:highlight w:val="none"/>
        </w:rPr>
        <w:t>年；</w:t>
      </w:r>
    </w:p>
    <w:p w14:paraId="62DC046A">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、供热及供冷为</w:t>
      </w:r>
      <w:r>
        <w:rPr>
          <w:rFonts w:ascii="宋体" w:hAnsi="宋体"/>
          <w:color w:val="auto"/>
          <w:sz w:val="24"/>
          <w:highlight w:val="none"/>
          <w:u w:val="single"/>
        </w:rPr>
        <w:t xml:space="preserve"> </w:t>
      </w:r>
      <w:r>
        <w:rPr>
          <w:rFonts w:hint="eastAsia" w:ascii="宋体" w:hAnsi="宋体"/>
          <w:color w:val="auto"/>
          <w:sz w:val="24"/>
          <w:highlight w:val="none"/>
          <w:u w:val="single"/>
        </w:rPr>
        <w:t>2</w:t>
      </w:r>
      <w:r>
        <w:rPr>
          <w:rFonts w:ascii="宋体" w:hAnsi="宋体"/>
          <w:color w:val="auto"/>
          <w:sz w:val="24"/>
          <w:highlight w:val="none"/>
          <w:u w:val="single"/>
        </w:rPr>
        <w:t xml:space="preserve"> </w:t>
      </w:r>
      <w:r>
        <w:rPr>
          <w:rFonts w:hint="eastAsia" w:ascii="宋体" w:hAnsi="宋体"/>
          <w:color w:val="auto"/>
          <w:sz w:val="24"/>
          <w:highlight w:val="none"/>
        </w:rPr>
        <w:t>个采暖期及供冷期；</w:t>
      </w:r>
    </w:p>
    <w:p w14:paraId="11082165">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、室外的上下水和小区道路等市政公用工程为</w:t>
      </w:r>
      <w:r>
        <w:rPr>
          <w:rFonts w:ascii="宋体" w:hAnsi="宋体"/>
          <w:color w:val="auto"/>
          <w:sz w:val="24"/>
          <w:highlight w:val="none"/>
          <w:u w:val="single"/>
        </w:rPr>
        <w:t xml:space="preserve">       </w:t>
      </w:r>
      <w:r>
        <w:rPr>
          <w:rFonts w:hint="eastAsia" w:ascii="宋体" w:hAnsi="宋体"/>
          <w:color w:val="auto"/>
          <w:sz w:val="24"/>
          <w:highlight w:val="none"/>
        </w:rPr>
        <w:t>年；</w:t>
      </w:r>
    </w:p>
    <w:p w14:paraId="3387C848">
      <w:pPr>
        <w:snapToGrid w:val="0"/>
        <w:spacing w:line="440" w:lineRule="exact"/>
        <w:ind w:firstLine="578" w:firstLineChars="241"/>
        <w:rPr>
          <w:rFonts w:ascii="宋体" w:hAnsi="宋体"/>
          <w:color w:val="auto"/>
          <w:sz w:val="24"/>
          <w:highlight w:val="none"/>
          <w:u w:val="single"/>
        </w:rPr>
      </w:pPr>
      <w:r>
        <w:rPr>
          <w:rFonts w:hint="eastAsia" w:ascii="宋体" w:hAnsi="宋体"/>
          <w:color w:val="auto"/>
          <w:sz w:val="24"/>
          <w:highlight w:val="none"/>
        </w:rPr>
        <w:t>5</w:t>
      </w:r>
      <w:r>
        <w:rPr>
          <w:rFonts w:ascii="宋体" w:hAnsi="宋体"/>
          <w:color w:val="auto"/>
          <w:sz w:val="24"/>
          <w:highlight w:val="none"/>
        </w:rPr>
        <w:t>、市政道</w:t>
      </w:r>
      <w:r>
        <w:rPr>
          <w:rFonts w:hint="eastAsia" w:ascii="宋体" w:hAnsi="宋体"/>
          <w:color w:val="auto"/>
          <w:sz w:val="24"/>
          <w:highlight w:val="none"/>
        </w:rPr>
        <w:t>路</w:t>
      </w:r>
      <w:r>
        <w:rPr>
          <w:rFonts w:ascii="宋体" w:hAnsi="宋体"/>
          <w:color w:val="auto"/>
          <w:sz w:val="24"/>
          <w:highlight w:val="none"/>
        </w:rPr>
        <w:t>排水工程为</w:t>
      </w:r>
      <w:r>
        <w:rPr>
          <w:rFonts w:ascii="宋体" w:hAnsi="宋体"/>
          <w:color w:val="auto"/>
          <w:sz w:val="24"/>
          <w:highlight w:val="none"/>
          <w:u w:val="single"/>
        </w:rPr>
        <w:t xml:space="preserve"> 2 </w:t>
      </w:r>
      <w:r>
        <w:rPr>
          <w:rFonts w:hint="eastAsia" w:ascii="宋体" w:hAnsi="宋体"/>
          <w:color w:val="auto"/>
          <w:sz w:val="24"/>
          <w:highlight w:val="none"/>
        </w:rPr>
        <w:t>年，市政供水工程为</w:t>
      </w:r>
      <w:r>
        <w:rPr>
          <w:rFonts w:ascii="宋体" w:hAnsi="宋体"/>
          <w:color w:val="auto"/>
          <w:sz w:val="24"/>
          <w:highlight w:val="none"/>
          <w:u w:val="single"/>
        </w:rPr>
        <w:t xml:space="preserve"> 2 </w:t>
      </w:r>
      <w:r>
        <w:rPr>
          <w:rFonts w:hint="eastAsia" w:ascii="宋体" w:hAnsi="宋体"/>
          <w:color w:val="auto"/>
          <w:sz w:val="24"/>
          <w:highlight w:val="none"/>
        </w:rPr>
        <w:t>年；</w:t>
      </w:r>
    </w:p>
    <w:p w14:paraId="67054155">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6、市政供电工程为</w:t>
      </w:r>
      <w:r>
        <w:rPr>
          <w:rFonts w:ascii="宋体" w:hAnsi="宋体"/>
          <w:color w:val="auto"/>
          <w:sz w:val="24"/>
          <w:highlight w:val="none"/>
          <w:u w:val="single"/>
        </w:rPr>
        <w:t xml:space="preserve"> 2 </w:t>
      </w:r>
      <w:r>
        <w:rPr>
          <w:rFonts w:hint="eastAsia" w:ascii="宋体" w:hAnsi="宋体"/>
          <w:color w:val="auto"/>
          <w:sz w:val="24"/>
          <w:highlight w:val="none"/>
        </w:rPr>
        <w:t>年，市政道路照明工程</w:t>
      </w:r>
      <w:r>
        <w:rPr>
          <w:rFonts w:ascii="宋体" w:hAnsi="宋体"/>
          <w:color w:val="auto"/>
          <w:sz w:val="24"/>
          <w:highlight w:val="none"/>
          <w:u w:val="single"/>
        </w:rPr>
        <w:t xml:space="preserve"> 2 </w:t>
      </w:r>
      <w:r>
        <w:rPr>
          <w:rFonts w:hint="eastAsia" w:ascii="宋体" w:hAnsi="宋体"/>
          <w:color w:val="auto"/>
          <w:sz w:val="24"/>
          <w:highlight w:val="none"/>
        </w:rPr>
        <w:t>年，市政交通设施工程为</w:t>
      </w:r>
      <w:r>
        <w:rPr>
          <w:rFonts w:ascii="宋体" w:hAnsi="宋体"/>
          <w:color w:val="auto"/>
          <w:sz w:val="24"/>
          <w:highlight w:val="none"/>
          <w:u w:val="single"/>
        </w:rPr>
        <w:t xml:space="preserve">   </w:t>
      </w:r>
      <w:r>
        <w:rPr>
          <w:rFonts w:hint="eastAsia" w:ascii="宋体" w:hAnsi="宋体"/>
          <w:color w:val="auto"/>
          <w:sz w:val="24"/>
          <w:highlight w:val="none"/>
        </w:rPr>
        <w:t>年。</w:t>
      </w:r>
    </w:p>
    <w:p w14:paraId="2694B675">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7、园林建筑工程为</w:t>
      </w:r>
      <w:r>
        <w:rPr>
          <w:rFonts w:ascii="宋体" w:hAnsi="宋体"/>
          <w:color w:val="auto"/>
          <w:sz w:val="24"/>
          <w:highlight w:val="none"/>
          <w:u w:val="single"/>
        </w:rPr>
        <w:t xml:space="preserve"> 1 </w:t>
      </w:r>
      <w:r>
        <w:rPr>
          <w:rFonts w:hint="eastAsia" w:ascii="宋体" w:hAnsi="宋体"/>
          <w:color w:val="auto"/>
          <w:sz w:val="24"/>
          <w:highlight w:val="none"/>
        </w:rPr>
        <w:t>年，喷淋工程为</w:t>
      </w:r>
      <w:r>
        <w:rPr>
          <w:rFonts w:ascii="宋体" w:hAnsi="宋体"/>
          <w:color w:val="auto"/>
          <w:sz w:val="24"/>
          <w:highlight w:val="none"/>
          <w:u w:val="single"/>
        </w:rPr>
        <w:t xml:space="preserve"> 2</w:t>
      </w:r>
      <w:r>
        <w:rPr>
          <w:rFonts w:hint="eastAsia" w:ascii="宋体" w:hAnsi="宋体"/>
          <w:color w:val="auto"/>
          <w:sz w:val="24"/>
          <w:highlight w:val="none"/>
          <w:u w:val="single"/>
        </w:rPr>
        <w:t xml:space="preserve"> </w:t>
      </w:r>
      <w:r>
        <w:rPr>
          <w:rFonts w:hint="eastAsia" w:ascii="宋体" w:hAnsi="宋体"/>
          <w:color w:val="auto"/>
          <w:sz w:val="24"/>
          <w:highlight w:val="none"/>
        </w:rPr>
        <w:t>年，胸径</w:t>
      </w:r>
      <w:r>
        <w:rPr>
          <w:rFonts w:ascii="宋体" w:hAnsi="宋体"/>
          <w:color w:val="auto"/>
          <w:sz w:val="24"/>
          <w:highlight w:val="none"/>
        </w:rPr>
        <w:t>15cm</w:t>
      </w:r>
      <w:r>
        <w:rPr>
          <w:rFonts w:hint="eastAsia" w:ascii="宋体" w:hAnsi="宋体"/>
          <w:color w:val="auto"/>
          <w:sz w:val="24"/>
          <w:highlight w:val="none"/>
        </w:rPr>
        <w:t>以内（含</w:t>
      </w:r>
      <w:r>
        <w:rPr>
          <w:rFonts w:ascii="宋体" w:hAnsi="宋体"/>
          <w:color w:val="auto"/>
          <w:sz w:val="24"/>
          <w:highlight w:val="none"/>
        </w:rPr>
        <w:t>15cm</w:t>
      </w:r>
      <w:r>
        <w:rPr>
          <w:rFonts w:hint="eastAsia" w:ascii="宋体" w:hAnsi="宋体"/>
          <w:color w:val="auto"/>
          <w:sz w:val="24"/>
          <w:highlight w:val="none"/>
        </w:rPr>
        <w:t>）的苗木养护期为</w:t>
      </w:r>
      <w:r>
        <w:rPr>
          <w:rFonts w:ascii="宋体" w:hAnsi="宋体"/>
          <w:color w:val="auto"/>
          <w:sz w:val="24"/>
          <w:highlight w:val="none"/>
          <w:u w:val="single"/>
        </w:rPr>
        <w:t xml:space="preserve"> 3</w:t>
      </w:r>
      <w:r>
        <w:rPr>
          <w:rFonts w:hint="eastAsia" w:ascii="宋体" w:hAnsi="宋体"/>
          <w:color w:val="auto"/>
          <w:sz w:val="24"/>
          <w:highlight w:val="none"/>
          <w:u w:val="single"/>
        </w:rPr>
        <w:t xml:space="preserve"> </w:t>
      </w:r>
      <w:r>
        <w:rPr>
          <w:rFonts w:hint="eastAsia" w:ascii="宋体" w:hAnsi="宋体"/>
          <w:color w:val="auto"/>
          <w:sz w:val="24"/>
          <w:highlight w:val="none"/>
        </w:rPr>
        <w:t>个月，胸径</w:t>
      </w:r>
      <w:r>
        <w:rPr>
          <w:rFonts w:ascii="宋体" w:hAnsi="宋体"/>
          <w:color w:val="auto"/>
          <w:sz w:val="24"/>
          <w:highlight w:val="none"/>
        </w:rPr>
        <w:t>15cm</w:t>
      </w:r>
      <w:r>
        <w:rPr>
          <w:rFonts w:hint="eastAsia" w:ascii="宋体" w:hAnsi="宋体"/>
          <w:color w:val="auto"/>
          <w:sz w:val="24"/>
          <w:highlight w:val="none"/>
        </w:rPr>
        <w:t>以上的苗木养护期为</w:t>
      </w:r>
      <w:r>
        <w:rPr>
          <w:rFonts w:ascii="宋体" w:hAnsi="宋体"/>
          <w:color w:val="auto"/>
          <w:sz w:val="24"/>
          <w:highlight w:val="none"/>
          <w:u w:val="single"/>
        </w:rPr>
        <w:t xml:space="preserve"> 1</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0C32032D">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8、其他约定：</w:t>
      </w:r>
      <w:r>
        <w:rPr>
          <w:rFonts w:hint="eastAsia" w:ascii="宋体" w:hAnsi="宋体"/>
          <w:color w:val="auto"/>
          <w:sz w:val="24"/>
          <w:highlight w:val="none"/>
          <w:u w:val="single"/>
        </w:rPr>
        <w:t>按相关规定执行</w:t>
      </w:r>
      <w:r>
        <w:rPr>
          <w:rFonts w:hint="eastAsia" w:ascii="宋体" w:hAnsi="宋体"/>
          <w:color w:val="auto"/>
          <w:sz w:val="24"/>
          <w:highlight w:val="none"/>
        </w:rPr>
        <w:t>。</w:t>
      </w:r>
    </w:p>
    <w:p w14:paraId="1CA089E1">
      <w:pPr>
        <w:numPr>
          <w:ilvl w:val="0"/>
          <w:numId w:val="11"/>
        </w:numPr>
        <w:tabs>
          <w:tab w:val="left" w:pos="1120"/>
        </w:tabs>
        <w:snapToGrid w:val="0"/>
        <w:spacing w:line="440" w:lineRule="exact"/>
        <w:ind w:hanging="420"/>
        <w:rPr>
          <w:rFonts w:ascii="宋体" w:hAnsi="宋体"/>
          <w:b/>
          <w:color w:val="auto"/>
          <w:sz w:val="24"/>
          <w:highlight w:val="none"/>
        </w:rPr>
      </w:pPr>
      <w:r>
        <w:rPr>
          <w:rFonts w:hint="eastAsia" w:ascii="宋体" w:hAnsi="宋体"/>
          <w:b/>
          <w:color w:val="auto"/>
          <w:sz w:val="24"/>
          <w:highlight w:val="none"/>
        </w:rPr>
        <w:t>质量保修责任</w:t>
      </w:r>
    </w:p>
    <w:p w14:paraId="3BA9A630">
      <w:pPr>
        <w:tabs>
          <w:tab w:val="left" w:pos="980"/>
        </w:tabs>
        <w:snapToGrid w:val="0"/>
        <w:spacing w:line="440" w:lineRule="exact"/>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color w:val="auto"/>
          <w:sz w:val="24"/>
          <w:highlight w:val="none"/>
        </w:rPr>
        <w:t>属于保修范围的内容项目，承包人应在接到修理通知之日后七天内派人员修理。承包人不在约定期内派人修理，发包人可委托其他人员修理，修理费用从质量保修金内扣除。</w:t>
      </w:r>
    </w:p>
    <w:p w14:paraId="33A49FEA">
      <w:pPr>
        <w:tabs>
          <w:tab w:val="left" w:pos="980"/>
        </w:tabs>
        <w:snapToGrid w:val="0"/>
        <w:spacing w:line="440" w:lineRule="exact"/>
        <w:ind w:firstLine="480" w:firstLineChars="200"/>
        <w:rPr>
          <w:rFonts w:ascii="宋体" w:hAnsi="宋体"/>
          <w:color w:val="auto"/>
          <w:sz w:val="24"/>
          <w:highlight w:val="none"/>
        </w:rPr>
      </w:pPr>
      <w:r>
        <w:rPr>
          <w:rFonts w:ascii="宋体" w:hAnsi="宋体"/>
          <w:color w:val="auto"/>
          <w:sz w:val="24"/>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14:paraId="23C2EA60">
      <w:pPr>
        <w:tabs>
          <w:tab w:val="left" w:pos="980"/>
        </w:tabs>
        <w:snapToGrid w:val="0"/>
        <w:spacing w:line="440" w:lineRule="exact"/>
        <w:ind w:firstLine="480" w:firstLineChars="200"/>
        <w:rPr>
          <w:rFonts w:ascii="宋体" w:hAnsi="宋体"/>
          <w:color w:val="auto"/>
          <w:sz w:val="24"/>
          <w:highlight w:val="none"/>
        </w:rPr>
      </w:pPr>
      <w:r>
        <w:rPr>
          <w:rFonts w:ascii="宋体" w:hAnsi="宋体"/>
          <w:color w:val="auto"/>
          <w:sz w:val="24"/>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14:paraId="2C49664F">
      <w:pPr>
        <w:numPr>
          <w:ilvl w:val="0"/>
          <w:numId w:val="11"/>
        </w:numPr>
        <w:tabs>
          <w:tab w:val="left" w:pos="1120"/>
        </w:tabs>
        <w:snapToGrid w:val="0"/>
        <w:spacing w:line="440" w:lineRule="exact"/>
        <w:ind w:hanging="420"/>
        <w:rPr>
          <w:rFonts w:ascii="宋体" w:hAnsi="宋体"/>
          <w:b/>
          <w:bCs/>
          <w:color w:val="auto"/>
          <w:sz w:val="24"/>
          <w:highlight w:val="none"/>
        </w:rPr>
      </w:pPr>
      <w:r>
        <w:rPr>
          <w:rFonts w:hint="eastAsia" w:ascii="宋体" w:hAnsi="宋体"/>
          <w:b/>
          <w:bCs/>
          <w:color w:val="auto"/>
          <w:sz w:val="24"/>
          <w:highlight w:val="none"/>
        </w:rPr>
        <w:t>质量保修金的支付</w:t>
      </w:r>
    </w:p>
    <w:p w14:paraId="01934199">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本工程约定的工程质量保修金为施工合同结算总价款的</w:t>
      </w:r>
      <w:r>
        <w:rPr>
          <w:rFonts w:hint="eastAsia" w:ascii="宋体" w:hAnsi="宋体"/>
          <w:color w:val="auto"/>
          <w:sz w:val="24"/>
          <w:highlight w:val="none"/>
          <w:u w:val="single"/>
        </w:rPr>
        <w:t>3</w:t>
      </w:r>
      <w:r>
        <w:rPr>
          <w:rFonts w:ascii="宋体" w:hAnsi="宋体"/>
          <w:color w:val="auto"/>
          <w:sz w:val="24"/>
          <w:highlight w:val="none"/>
        </w:rPr>
        <w:t>%。</w:t>
      </w:r>
    </w:p>
    <w:p w14:paraId="0E15B85F">
      <w:pPr>
        <w:snapToGrid w:val="0"/>
        <w:spacing w:line="440" w:lineRule="exact"/>
        <w:ind w:firstLine="520" w:firstLineChars="250"/>
        <w:rPr>
          <w:rFonts w:ascii="宋体" w:hAnsi="宋体"/>
          <w:color w:val="auto"/>
          <w:spacing w:val="-32"/>
          <w:sz w:val="24"/>
          <w:highlight w:val="none"/>
        </w:rPr>
      </w:pPr>
      <w:r>
        <w:rPr>
          <w:rFonts w:hint="eastAsia" w:ascii="宋体" w:hAnsi="宋体"/>
          <w:color w:val="auto"/>
          <w:spacing w:val="-16"/>
          <w:sz w:val="24"/>
          <w:highlight w:val="none"/>
        </w:rPr>
        <w:t>本工程双方约定工程质量保修金金额为</w:t>
      </w:r>
      <w:r>
        <w:rPr>
          <w:rFonts w:ascii="宋体" w:hAnsi="宋体"/>
          <w:color w:val="auto"/>
          <w:sz w:val="24"/>
          <w:highlight w:val="none"/>
          <w:u w:val="single"/>
        </w:rPr>
        <w:t xml:space="preserve">(大写)    /      </w:t>
      </w:r>
      <w:r>
        <w:rPr>
          <w:rFonts w:hint="eastAsia" w:ascii="宋体" w:hAnsi="宋体"/>
          <w:color w:val="auto"/>
          <w:spacing w:val="-32"/>
          <w:sz w:val="24"/>
          <w:highlight w:val="none"/>
        </w:rPr>
        <w:t>。</w:t>
      </w:r>
    </w:p>
    <w:p w14:paraId="347E540B">
      <w:pPr>
        <w:snapToGrid w:val="0"/>
        <w:spacing w:line="440" w:lineRule="exact"/>
        <w:ind w:firstLine="480" w:firstLineChars="200"/>
        <w:rPr>
          <w:rFonts w:ascii="宋体" w:hAnsi="宋体"/>
          <w:bCs/>
          <w:color w:val="auto"/>
          <w:sz w:val="24"/>
          <w:highlight w:val="none"/>
        </w:rPr>
      </w:pPr>
      <w:r>
        <w:rPr>
          <w:rFonts w:hint="eastAsia" w:ascii="宋体" w:hAnsi="宋体"/>
          <w:color w:val="auto"/>
          <w:sz w:val="24"/>
          <w:highlight w:val="none"/>
        </w:rPr>
        <w:t>质量保修金银行利率为</w:t>
      </w:r>
      <w:r>
        <w:rPr>
          <w:rFonts w:ascii="宋体" w:hAnsi="宋体"/>
          <w:color w:val="auto"/>
          <w:sz w:val="24"/>
          <w:highlight w:val="none"/>
          <w:u w:val="single"/>
        </w:rPr>
        <w:t xml:space="preserve">      /     </w:t>
      </w:r>
      <w:r>
        <w:rPr>
          <w:rFonts w:ascii="宋体" w:hAnsi="宋体"/>
          <w:color w:val="auto"/>
          <w:sz w:val="24"/>
          <w:highlight w:val="none"/>
        </w:rPr>
        <w:t>。</w:t>
      </w:r>
    </w:p>
    <w:p w14:paraId="3A335449">
      <w:pPr>
        <w:numPr>
          <w:ilvl w:val="0"/>
          <w:numId w:val="11"/>
        </w:numPr>
        <w:tabs>
          <w:tab w:val="left" w:pos="1120"/>
        </w:tabs>
        <w:snapToGrid w:val="0"/>
        <w:spacing w:line="440" w:lineRule="exact"/>
        <w:ind w:hanging="420"/>
        <w:rPr>
          <w:rFonts w:ascii="宋体" w:hAnsi="宋体"/>
          <w:b/>
          <w:color w:val="auto"/>
          <w:sz w:val="24"/>
          <w:highlight w:val="none"/>
        </w:rPr>
      </w:pPr>
      <w:r>
        <w:rPr>
          <w:rFonts w:hint="eastAsia" w:ascii="宋体" w:hAnsi="宋体"/>
          <w:b/>
          <w:color w:val="auto"/>
          <w:sz w:val="24"/>
          <w:highlight w:val="none"/>
        </w:rPr>
        <w:t>其他</w:t>
      </w:r>
    </w:p>
    <w:p w14:paraId="38B5FBCB">
      <w:pPr>
        <w:tabs>
          <w:tab w:val="left" w:pos="980"/>
        </w:tabs>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rPr>
        <w:t>双方约定的其他工程质量保修事项：</w:t>
      </w:r>
      <w:r>
        <w:rPr>
          <w:rFonts w:hint="eastAsia" w:ascii="宋体" w:hAnsi="宋体"/>
          <w:color w:val="auto"/>
          <w:sz w:val="24"/>
          <w:highlight w:val="none"/>
          <w:u w:val="single"/>
        </w:rPr>
        <w:t>保留经广州开发区财政局核定的结算总造价的3</w:t>
      </w:r>
      <w:r>
        <w:rPr>
          <w:rFonts w:ascii="宋体" w:hAnsi="宋体"/>
          <w:color w:val="auto"/>
          <w:sz w:val="24"/>
          <w:highlight w:val="none"/>
          <w:u w:val="single"/>
        </w:rPr>
        <w:t>%作为保修金，在</w:t>
      </w:r>
      <w:r>
        <w:rPr>
          <w:rFonts w:hint="eastAsia" w:ascii="宋体" w:hAnsi="宋体"/>
          <w:color w:val="auto"/>
          <w:sz w:val="24"/>
          <w:highlight w:val="none"/>
          <w:u w:val="single"/>
        </w:rPr>
        <w:t>质量缺陷责任</w:t>
      </w:r>
      <w:r>
        <w:rPr>
          <w:rFonts w:ascii="宋体" w:hAnsi="宋体"/>
          <w:color w:val="auto"/>
          <w:sz w:val="24"/>
          <w:highlight w:val="none"/>
          <w:u w:val="single"/>
        </w:rPr>
        <w:t>期满后结清（不计利息）。</w:t>
      </w:r>
    </w:p>
    <w:p w14:paraId="1E59A1AF">
      <w:pPr>
        <w:tabs>
          <w:tab w:val="left" w:pos="980"/>
        </w:tabs>
        <w:spacing w:line="440" w:lineRule="exact"/>
        <w:ind w:firstLine="480" w:firstLineChars="200"/>
        <w:rPr>
          <w:rFonts w:ascii="宋体" w:hAnsi="宋体"/>
          <w:color w:val="auto"/>
          <w:sz w:val="24"/>
          <w:highlight w:val="none"/>
        </w:rPr>
      </w:pPr>
      <w:r>
        <w:rPr>
          <w:rFonts w:hint="eastAsia" w:ascii="宋体" w:hAnsi="宋体"/>
          <w:color w:val="auto"/>
          <w:sz w:val="24"/>
          <w:highlight w:val="none"/>
        </w:rPr>
        <w:t>本工程质量保修责任书作为施工合同附件，由施工合同发包人与承包人双方共同签署。</w:t>
      </w:r>
    </w:p>
    <w:p w14:paraId="1ECE319B">
      <w:pPr>
        <w:pStyle w:val="33"/>
        <w:spacing w:line="440" w:lineRule="exact"/>
        <w:ind w:firstLine="0"/>
        <w:jc w:val="left"/>
        <w:rPr>
          <w:rFonts w:ascii="宋体" w:hAnsi="宋体"/>
          <w:color w:val="auto"/>
          <w:szCs w:val="24"/>
          <w:highlight w:val="none"/>
        </w:rPr>
      </w:pPr>
    </w:p>
    <w:p w14:paraId="7ABD5E73">
      <w:pPr>
        <w:pStyle w:val="33"/>
        <w:spacing w:line="440" w:lineRule="exact"/>
        <w:ind w:firstLine="0"/>
        <w:jc w:val="left"/>
        <w:rPr>
          <w:rFonts w:ascii="宋体" w:hAnsi="宋体"/>
          <w:color w:val="auto"/>
          <w:szCs w:val="24"/>
          <w:highlight w:val="none"/>
        </w:rPr>
      </w:pPr>
    </w:p>
    <w:p w14:paraId="10FD97BA">
      <w:pPr>
        <w:pStyle w:val="33"/>
        <w:spacing w:line="440" w:lineRule="exact"/>
        <w:ind w:firstLine="0"/>
        <w:jc w:val="left"/>
        <w:rPr>
          <w:rFonts w:ascii="宋体" w:hAnsi="宋体"/>
          <w:color w:val="auto"/>
          <w:szCs w:val="24"/>
          <w:highlight w:val="none"/>
        </w:rPr>
      </w:pPr>
    </w:p>
    <w:p w14:paraId="1E55D8B7">
      <w:pPr>
        <w:pStyle w:val="33"/>
        <w:spacing w:line="440" w:lineRule="exact"/>
        <w:ind w:firstLine="0"/>
        <w:jc w:val="left"/>
        <w:rPr>
          <w:rFonts w:ascii="宋体" w:hAnsi="宋体"/>
          <w:color w:val="auto"/>
          <w:szCs w:val="24"/>
          <w:highlight w:val="none"/>
        </w:rPr>
      </w:pPr>
    </w:p>
    <w:p w14:paraId="4E58F0E8">
      <w:pPr>
        <w:pStyle w:val="33"/>
        <w:spacing w:line="440" w:lineRule="exact"/>
        <w:ind w:firstLine="0"/>
        <w:jc w:val="left"/>
        <w:rPr>
          <w:rFonts w:ascii="宋体" w:hAnsi="宋体"/>
          <w:color w:val="auto"/>
          <w:szCs w:val="24"/>
          <w:highlight w:val="none"/>
        </w:rPr>
      </w:pPr>
    </w:p>
    <w:p w14:paraId="16D88FDF">
      <w:pPr>
        <w:pStyle w:val="33"/>
        <w:spacing w:line="440" w:lineRule="exact"/>
        <w:ind w:firstLine="397"/>
        <w:jc w:val="left"/>
        <w:rPr>
          <w:rFonts w:ascii="宋体" w:hAnsi="宋体"/>
          <w:color w:val="auto"/>
          <w:szCs w:val="24"/>
          <w:highlight w:val="none"/>
        </w:rPr>
      </w:pPr>
      <w:r>
        <w:rPr>
          <w:rFonts w:hint="eastAsia" w:ascii="宋体" w:hAnsi="宋体"/>
          <w:color w:val="auto"/>
          <w:szCs w:val="24"/>
          <w:highlight w:val="none"/>
        </w:rPr>
        <w:t>发包人（公章）：</w:t>
      </w:r>
      <w:r>
        <w:rPr>
          <w:rFonts w:ascii="宋体" w:hAnsi="宋体"/>
          <w:color w:val="auto"/>
          <w:szCs w:val="24"/>
          <w:highlight w:val="none"/>
        </w:rPr>
        <w:t xml:space="preserve">                       </w:t>
      </w:r>
      <w:r>
        <w:rPr>
          <w:rFonts w:hint="eastAsia" w:ascii="宋体" w:hAnsi="宋体"/>
          <w:color w:val="auto"/>
          <w:szCs w:val="24"/>
          <w:highlight w:val="none"/>
        </w:rPr>
        <w:t>承包人（公章）：</w:t>
      </w:r>
    </w:p>
    <w:p w14:paraId="37413410">
      <w:pPr>
        <w:pStyle w:val="33"/>
        <w:spacing w:line="440" w:lineRule="exact"/>
        <w:ind w:firstLine="397"/>
        <w:jc w:val="left"/>
        <w:rPr>
          <w:rFonts w:ascii="宋体" w:hAnsi="宋体"/>
          <w:color w:val="auto"/>
          <w:szCs w:val="24"/>
          <w:highlight w:val="none"/>
        </w:rPr>
      </w:pPr>
    </w:p>
    <w:p w14:paraId="6AB77843">
      <w:pPr>
        <w:pStyle w:val="33"/>
        <w:spacing w:line="440" w:lineRule="exact"/>
        <w:ind w:firstLine="397"/>
        <w:jc w:val="left"/>
        <w:rPr>
          <w:rFonts w:ascii="宋体" w:hAnsi="宋体"/>
          <w:color w:val="auto"/>
          <w:szCs w:val="24"/>
          <w:highlight w:val="none"/>
        </w:rPr>
      </w:pPr>
    </w:p>
    <w:p w14:paraId="6E9FC94B">
      <w:pPr>
        <w:pStyle w:val="33"/>
        <w:spacing w:line="440" w:lineRule="exact"/>
        <w:ind w:firstLine="397"/>
        <w:jc w:val="left"/>
        <w:rPr>
          <w:rFonts w:ascii="宋体" w:hAnsi="宋体"/>
          <w:color w:val="auto"/>
          <w:szCs w:val="24"/>
          <w:highlight w:val="none"/>
        </w:rPr>
      </w:pPr>
      <w:r>
        <w:rPr>
          <w:rFonts w:hint="eastAsia" w:ascii="宋体" w:hAnsi="宋体"/>
          <w:color w:val="auto"/>
          <w:szCs w:val="24"/>
          <w:highlight w:val="none"/>
        </w:rPr>
        <w:t>法定代表人：</w:t>
      </w:r>
      <w:r>
        <w:rPr>
          <w:rFonts w:ascii="宋体" w:hAnsi="宋体"/>
          <w:color w:val="auto"/>
          <w:szCs w:val="24"/>
          <w:highlight w:val="none"/>
        </w:rPr>
        <w:t xml:space="preserve">                          </w:t>
      </w:r>
      <w:r>
        <w:rPr>
          <w:rFonts w:hint="eastAsia" w:ascii="宋体" w:hAnsi="宋体"/>
          <w:color w:val="auto"/>
          <w:szCs w:val="24"/>
          <w:highlight w:val="none"/>
        </w:rPr>
        <w:t>法定代表人：</w:t>
      </w:r>
    </w:p>
    <w:p w14:paraId="3875189C">
      <w:pPr>
        <w:pStyle w:val="33"/>
        <w:spacing w:line="440" w:lineRule="exact"/>
        <w:ind w:firstLine="397"/>
        <w:jc w:val="left"/>
        <w:rPr>
          <w:rFonts w:ascii="宋体" w:hAnsi="宋体"/>
          <w:color w:val="auto"/>
          <w:szCs w:val="24"/>
          <w:highlight w:val="none"/>
        </w:rPr>
      </w:pPr>
    </w:p>
    <w:p w14:paraId="2413A2CD">
      <w:pPr>
        <w:pStyle w:val="33"/>
        <w:spacing w:line="440" w:lineRule="exact"/>
        <w:ind w:firstLine="397"/>
        <w:jc w:val="left"/>
        <w:rPr>
          <w:rFonts w:ascii="宋体" w:hAnsi="宋体"/>
          <w:color w:val="auto"/>
          <w:szCs w:val="24"/>
          <w:highlight w:val="none"/>
        </w:rPr>
      </w:pPr>
    </w:p>
    <w:p w14:paraId="65C3A27B">
      <w:pPr>
        <w:pStyle w:val="33"/>
        <w:spacing w:line="440" w:lineRule="exact"/>
        <w:ind w:firstLine="397"/>
        <w:jc w:val="left"/>
        <w:rPr>
          <w:rFonts w:ascii="宋体" w:hAnsi="宋体"/>
          <w:color w:val="auto"/>
          <w:szCs w:val="24"/>
          <w:highlight w:val="none"/>
        </w:rPr>
      </w:pPr>
      <w:r>
        <w:rPr>
          <w:rFonts w:hint="eastAsia" w:ascii="宋体" w:hAnsi="宋体"/>
          <w:color w:val="auto"/>
          <w:szCs w:val="24"/>
          <w:highlight w:val="none"/>
        </w:rPr>
        <w:t>委托代理人：</w:t>
      </w:r>
      <w:r>
        <w:rPr>
          <w:rFonts w:ascii="宋体" w:hAnsi="宋体"/>
          <w:color w:val="auto"/>
          <w:szCs w:val="24"/>
          <w:highlight w:val="none"/>
        </w:rPr>
        <w:t xml:space="preserve">                          </w:t>
      </w:r>
      <w:r>
        <w:rPr>
          <w:rFonts w:hint="eastAsia" w:ascii="宋体" w:hAnsi="宋体"/>
          <w:color w:val="auto"/>
          <w:szCs w:val="24"/>
          <w:highlight w:val="none"/>
        </w:rPr>
        <w:t>委托代理人：</w:t>
      </w:r>
    </w:p>
    <w:p w14:paraId="6E3D0AA4">
      <w:pPr>
        <w:pStyle w:val="33"/>
        <w:spacing w:line="440" w:lineRule="exact"/>
        <w:ind w:firstLine="397"/>
        <w:jc w:val="left"/>
        <w:rPr>
          <w:rFonts w:ascii="宋体" w:hAnsi="宋体"/>
          <w:color w:val="auto"/>
          <w:szCs w:val="24"/>
          <w:highlight w:val="none"/>
        </w:rPr>
      </w:pPr>
    </w:p>
    <w:p w14:paraId="739F760C">
      <w:pPr>
        <w:pStyle w:val="33"/>
        <w:spacing w:line="440" w:lineRule="exact"/>
        <w:ind w:firstLine="397"/>
        <w:jc w:val="left"/>
        <w:rPr>
          <w:rFonts w:ascii="宋体" w:hAnsi="宋体"/>
          <w:color w:val="auto"/>
          <w:szCs w:val="24"/>
          <w:highlight w:val="none"/>
        </w:rPr>
      </w:pPr>
    </w:p>
    <w:p w14:paraId="3236F997">
      <w:pPr>
        <w:pStyle w:val="33"/>
        <w:spacing w:line="440" w:lineRule="exact"/>
        <w:ind w:firstLine="397"/>
        <w:jc w:val="left"/>
        <w:rPr>
          <w:rFonts w:ascii="宋体" w:hAnsi="宋体"/>
          <w:color w:val="auto"/>
          <w:szCs w:val="24"/>
          <w:highlight w:val="none"/>
        </w:rPr>
      </w:pPr>
      <w:r>
        <w:rPr>
          <w:rFonts w:hint="eastAsia" w:ascii="宋体" w:hAnsi="宋体"/>
          <w:color w:val="auto"/>
          <w:szCs w:val="24"/>
          <w:highlight w:val="none"/>
        </w:rPr>
        <w:t>签订时间：</w:t>
      </w:r>
      <w:r>
        <w:rPr>
          <w:rFonts w:ascii="宋体" w:hAnsi="宋体"/>
          <w:color w:val="auto"/>
          <w:szCs w:val="24"/>
          <w:highlight w:val="none"/>
        </w:rPr>
        <w:t xml:space="preserve">   </w:t>
      </w:r>
      <w:r>
        <w:rPr>
          <w:rFonts w:hint="eastAsia" w:ascii="宋体" w:hAnsi="宋体"/>
          <w:color w:val="auto"/>
          <w:szCs w:val="24"/>
          <w:highlight w:val="none"/>
        </w:rPr>
        <w:t>年</w:t>
      </w:r>
      <w:r>
        <w:rPr>
          <w:rFonts w:ascii="宋体" w:hAnsi="宋体"/>
          <w:color w:val="auto"/>
          <w:szCs w:val="24"/>
          <w:highlight w:val="none"/>
        </w:rPr>
        <w:t xml:space="preserve">  </w:t>
      </w:r>
      <w:r>
        <w:rPr>
          <w:rFonts w:hint="eastAsia" w:ascii="宋体" w:hAnsi="宋体"/>
          <w:color w:val="auto"/>
          <w:szCs w:val="24"/>
          <w:highlight w:val="none"/>
        </w:rPr>
        <w:t>月</w:t>
      </w:r>
      <w:r>
        <w:rPr>
          <w:rFonts w:ascii="宋体" w:hAnsi="宋体"/>
          <w:color w:val="auto"/>
          <w:szCs w:val="24"/>
          <w:highlight w:val="none"/>
        </w:rPr>
        <w:t xml:space="preserve">    </w:t>
      </w:r>
      <w:r>
        <w:rPr>
          <w:rFonts w:hint="eastAsia" w:ascii="宋体" w:hAnsi="宋体"/>
          <w:color w:val="auto"/>
          <w:szCs w:val="24"/>
          <w:highlight w:val="none"/>
        </w:rPr>
        <w:t>日</w:t>
      </w:r>
    </w:p>
    <w:p w14:paraId="61CEAA92">
      <w:pPr>
        <w:pStyle w:val="33"/>
        <w:spacing w:line="440" w:lineRule="exact"/>
        <w:ind w:firstLine="397"/>
        <w:jc w:val="left"/>
        <w:rPr>
          <w:rFonts w:ascii="宋体" w:hAnsi="宋体"/>
          <w:color w:val="auto"/>
          <w:szCs w:val="24"/>
          <w:highlight w:val="none"/>
        </w:rPr>
      </w:pPr>
    </w:p>
    <w:p w14:paraId="273ABA18">
      <w:pPr>
        <w:pStyle w:val="33"/>
        <w:spacing w:line="440" w:lineRule="exact"/>
        <w:ind w:firstLine="397"/>
        <w:jc w:val="left"/>
        <w:rPr>
          <w:rFonts w:ascii="宋体" w:hAnsi="宋体"/>
          <w:color w:val="auto"/>
          <w:szCs w:val="24"/>
          <w:highlight w:val="none"/>
        </w:rPr>
      </w:pPr>
    </w:p>
    <w:p w14:paraId="22164945">
      <w:pPr>
        <w:pStyle w:val="28"/>
        <w:adjustRightInd w:val="0"/>
        <w:snapToGrid w:val="0"/>
        <w:rPr>
          <w:rFonts w:ascii="宋体" w:hAnsi="宋体"/>
          <w:b/>
          <w:bCs/>
          <w:color w:val="auto"/>
          <w:sz w:val="28"/>
          <w:szCs w:val="28"/>
          <w:highlight w:val="none"/>
        </w:rPr>
      </w:pPr>
      <w:r>
        <w:rPr>
          <w:rFonts w:ascii="宋体" w:hAnsi="宋体" w:cs="宋体"/>
          <w:b/>
          <w:bCs/>
          <w:snapToGrid w:val="0"/>
          <w:color w:val="auto"/>
          <w:kern w:val="0"/>
          <w:sz w:val="28"/>
          <w:szCs w:val="28"/>
          <w:highlight w:val="none"/>
        </w:rPr>
        <w:t xml:space="preserve"> 附件：            </w:t>
      </w:r>
      <w:r>
        <w:rPr>
          <w:rFonts w:ascii="宋体" w:hAnsi="宋体" w:cs="宋体"/>
          <w:snapToGrid w:val="0"/>
          <w:color w:val="auto"/>
          <w:kern w:val="0"/>
          <w:sz w:val="28"/>
          <w:szCs w:val="28"/>
          <w:highlight w:val="none"/>
        </w:rPr>
        <w:t xml:space="preserve">  </w:t>
      </w:r>
      <w:r>
        <w:rPr>
          <w:rFonts w:hint="eastAsia" w:ascii="宋体" w:hAnsi="宋体" w:cs="宋体"/>
          <w:b/>
          <w:bCs/>
          <w:snapToGrid w:val="0"/>
          <w:color w:val="auto"/>
          <w:kern w:val="0"/>
          <w:sz w:val="28"/>
          <w:szCs w:val="28"/>
          <w:highlight w:val="none"/>
        </w:rPr>
        <w:t>工程建设项目廉政责任书</w:t>
      </w:r>
    </w:p>
    <w:p w14:paraId="49E92467">
      <w:pPr>
        <w:pStyle w:val="39"/>
        <w:adjustRightInd w:val="0"/>
        <w:snapToGrid w:val="0"/>
        <w:spacing w:line="400" w:lineRule="exact"/>
        <w:ind w:firstLine="0"/>
        <w:rPr>
          <w:rFonts w:ascii="宋体" w:hAnsi="宋体"/>
          <w:snapToGrid w:val="0"/>
          <w:color w:val="auto"/>
          <w:kern w:val="0"/>
          <w:sz w:val="24"/>
          <w:highlight w:val="none"/>
        </w:rPr>
      </w:pPr>
    </w:p>
    <w:p w14:paraId="1CF130D1">
      <w:pPr>
        <w:pStyle w:val="28"/>
        <w:adjustRightInd w:val="0"/>
        <w:snapToGrid w:val="0"/>
        <w:spacing w:line="400" w:lineRule="exact"/>
        <w:ind w:left="495" w:hanging="495"/>
        <w:rPr>
          <w:rFonts w:ascii="宋体" w:hAnsi="宋体"/>
          <w:color w:val="auto"/>
          <w:sz w:val="24"/>
          <w:highlight w:val="none"/>
          <w:u w:val="single"/>
        </w:rPr>
      </w:pPr>
      <w:r>
        <w:rPr>
          <w:rFonts w:hint="eastAsia" w:ascii="宋体" w:hAnsi="宋体"/>
          <w:color w:val="auto"/>
          <w:sz w:val="24"/>
          <w:highlight w:val="none"/>
        </w:rPr>
        <w:t>工程项目名称：</w:t>
      </w:r>
      <w:r>
        <w:rPr>
          <w:rFonts w:hint="eastAsia" w:ascii="宋体" w:hAnsi="宋体"/>
          <w:color w:val="auto"/>
          <w:sz w:val="24"/>
          <w:highlight w:val="none"/>
          <w:u w:val="single"/>
        </w:rPr>
        <w:t xml:space="preserve">                                </w:t>
      </w:r>
    </w:p>
    <w:p w14:paraId="24B9D9F9">
      <w:pPr>
        <w:pStyle w:val="28"/>
        <w:adjustRightInd w:val="0"/>
        <w:snapToGrid w:val="0"/>
        <w:spacing w:line="400" w:lineRule="exact"/>
        <w:ind w:left="495" w:hanging="495"/>
        <w:rPr>
          <w:rFonts w:ascii="宋体" w:hAnsi="宋体"/>
          <w:color w:val="auto"/>
          <w:sz w:val="24"/>
          <w:highlight w:val="none"/>
        </w:rPr>
      </w:pPr>
      <w:r>
        <w:rPr>
          <w:rFonts w:hint="eastAsia" w:ascii="宋体" w:hAnsi="宋体"/>
          <w:color w:val="auto"/>
          <w:sz w:val="24"/>
          <w:highlight w:val="none"/>
        </w:rPr>
        <w:t>工程项目地址：</w:t>
      </w:r>
      <w:r>
        <w:rPr>
          <w:rFonts w:hint="eastAsia" w:ascii="宋体" w:hAnsi="宋体"/>
          <w:color w:val="auto"/>
          <w:sz w:val="24"/>
          <w:highlight w:val="none"/>
          <w:u w:val="single"/>
        </w:rPr>
        <w:t xml:space="preserve">                                </w:t>
      </w:r>
    </w:p>
    <w:p w14:paraId="1CD922D2">
      <w:pPr>
        <w:pStyle w:val="28"/>
        <w:adjustRightInd w:val="0"/>
        <w:snapToGrid w:val="0"/>
        <w:spacing w:line="400" w:lineRule="exact"/>
        <w:rPr>
          <w:rFonts w:ascii="宋体" w:hAnsi="宋体"/>
          <w:color w:val="auto"/>
          <w:sz w:val="24"/>
          <w:highlight w:val="none"/>
          <w:u w:val="single"/>
        </w:rPr>
      </w:pPr>
      <w:r>
        <w:rPr>
          <w:rFonts w:hint="eastAsia" w:ascii="宋体" w:hAnsi="宋体"/>
          <w:color w:val="auto"/>
          <w:sz w:val="24"/>
          <w:highlight w:val="none"/>
        </w:rPr>
        <w:t xml:space="preserve">甲方： </w:t>
      </w:r>
      <w:r>
        <w:rPr>
          <w:rFonts w:hint="eastAsia" w:ascii="宋体" w:hAnsi="宋体"/>
          <w:color w:val="auto"/>
          <w:sz w:val="24"/>
          <w:highlight w:val="none"/>
          <w:u w:val="single"/>
        </w:rPr>
        <w:t xml:space="preserve">                                       </w:t>
      </w:r>
    </w:p>
    <w:p w14:paraId="02A6F737">
      <w:pPr>
        <w:pStyle w:val="28"/>
        <w:adjustRightInd w:val="0"/>
        <w:snapToGrid w:val="0"/>
        <w:spacing w:line="400" w:lineRule="exact"/>
        <w:rPr>
          <w:rFonts w:ascii="宋体" w:hAnsi="宋体"/>
          <w:color w:val="auto"/>
          <w:sz w:val="24"/>
          <w:highlight w:val="none"/>
        </w:rPr>
      </w:pPr>
      <w:r>
        <w:rPr>
          <w:rFonts w:hint="eastAsia" w:ascii="宋体" w:hAnsi="宋体"/>
          <w:color w:val="auto"/>
          <w:sz w:val="24"/>
          <w:highlight w:val="none"/>
        </w:rPr>
        <w:t xml:space="preserve">乙方： </w:t>
      </w:r>
      <w:r>
        <w:rPr>
          <w:rFonts w:hint="eastAsia" w:ascii="宋体" w:hAnsi="宋体"/>
          <w:color w:val="auto"/>
          <w:sz w:val="24"/>
          <w:highlight w:val="none"/>
          <w:u w:val="single"/>
        </w:rPr>
        <w:t xml:space="preserve">                                       </w:t>
      </w:r>
    </w:p>
    <w:p w14:paraId="18EDBF3A">
      <w:pPr>
        <w:pStyle w:val="28"/>
        <w:adjustRightInd w:val="0"/>
        <w:snapToGrid w:val="0"/>
        <w:spacing w:line="400" w:lineRule="exact"/>
        <w:rPr>
          <w:rFonts w:ascii="宋体" w:hAnsi="宋体"/>
          <w:color w:val="auto"/>
          <w:sz w:val="24"/>
          <w:highlight w:val="none"/>
        </w:rPr>
      </w:pPr>
    </w:p>
    <w:p w14:paraId="3E81E7F5">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3C29103A">
      <w:pPr>
        <w:adjustRightInd w:val="0"/>
        <w:snapToGrid w:val="0"/>
        <w:spacing w:line="44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第一条</w:t>
      </w:r>
      <w:r>
        <w:rPr>
          <w:rFonts w:hint="eastAsia" w:ascii="宋体" w:hAnsi="宋体" w:cs="宋体"/>
          <w:snapToGrid w:val="0"/>
          <w:color w:val="auto"/>
          <w:kern w:val="0"/>
          <w:sz w:val="24"/>
          <w:highlight w:val="none"/>
        </w:rPr>
        <w:t>甲、乙双方的责任</w:t>
      </w:r>
    </w:p>
    <w:p w14:paraId="06277E4D">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（一）应严格遵守国家关于市场准入、项目招标投标、</w:t>
      </w:r>
      <w:r>
        <w:rPr>
          <w:rFonts w:hint="eastAsia" w:ascii="宋体" w:hAnsi="宋体" w:cs="宋体"/>
          <w:color w:val="auto"/>
          <w:kern w:val="0"/>
          <w:sz w:val="24"/>
          <w:highlight w:val="none"/>
        </w:rPr>
        <w:t>工程建设和市场活动</w:t>
      </w:r>
      <w:r>
        <w:rPr>
          <w:rFonts w:hint="eastAsia" w:ascii="宋体" w:hAnsi="宋体" w:cs="宋体"/>
          <w:snapToGrid w:val="0"/>
          <w:color w:val="auto"/>
          <w:kern w:val="0"/>
          <w:sz w:val="24"/>
          <w:highlight w:val="none"/>
        </w:rPr>
        <w:t>等有关法律、法规、相关政策，以及廉政建设的各项规定。</w:t>
      </w:r>
    </w:p>
    <w:p w14:paraId="73F8355D">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（二）严格执行建设工程项目承发包合同文件，自觉按合同办事。</w:t>
      </w:r>
    </w:p>
    <w:p w14:paraId="318953AD">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（三）业务活动必须坚持公开、公平、公正、诚信、透明的原则（除法律法规另有规定者外），不得为获取不正当的利益，损害国家、集体和对方利益，不得</w:t>
      </w:r>
      <w:r>
        <w:rPr>
          <w:rFonts w:hint="eastAsia" w:ascii="宋体" w:hAnsi="宋体" w:cs="宋体"/>
          <w:color w:val="auto"/>
          <w:kern w:val="0"/>
          <w:sz w:val="24"/>
          <w:highlight w:val="none"/>
        </w:rPr>
        <w:t>违反工程建设过程管理的规章制度。</w:t>
      </w:r>
    </w:p>
    <w:p w14:paraId="45CC5DE3">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（四）发现对方在业务活动中有违规、违纪、违法行为的，应及时提醒对方，情节严重的，应向其上级主管部门或纪检监察、司法等有关机关举报。</w:t>
      </w:r>
    </w:p>
    <w:p w14:paraId="05B336C7">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rPr>
        <w:t>第二条</w:t>
      </w:r>
      <w:r>
        <w:rPr>
          <w:rFonts w:hint="eastAsia" w:ascii="宋体" w:hAnsi="宋体" w:cs="宋体"/>
          <w:snapToGrid w:val="0"/>
          <w:color w:val="auto"/>
          <w:kern w:val="0"/>
          <w:sz w:val="24"/>
          <w:highlight w:val="none"/>
        </w:rPr>
        <w:t>甲方的责任</w:t>
      </w:r>
    </w:p>
    <w:p w14:paraId="65CA8F59">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甲方的领导和从事本建设工程项目的工作人员，在工程建设的事前、事中、事后应遵守以下规定：</w:t>
      </w:r>
    </w:p>
    <w:p w14:paraId="0137B3FF">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（一）不准向乙方和相关单位索要或接受回扣、礼金、有价证券、贵重物品和好处费、感谢费等。</w:t>
      </w:r>
    </w:p>
    <w:p w14:paraId="08E6A2D2">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（二）不准在乙方和相关单位报销任何应由甲方或个人支付的费用。</w:t>
      </w:r>
    </w:p>
    <w:p w14:paraId="4DCF89B8">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（三）不准要求、暗示或接受乙方和相关单位为个人装修住房、婚丧嫁娶、配偶子女的工作安排以及出国（境）、旅游等提供方便。</w:t>
      </w:r>
    </w:p>
    <w:p w14:paraId="38DB2BC6">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（四）不准参加有可能影响公正执行公务的乙方及相关单位的宴请、健身、娱乐等活动。</w:t>
      </w:r>
    </w:p>
    <w:p w14:paraId="68627880">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（五）不准向乙方介绍或为配偶、子女、亲属参与同甲方项目工程合同有关的设备、材料、工程分包、劳务等经济活动。不得以任何理由向乙方和相关单位推荐分包单位。</w:t>
      </w:r>
    </w:p>
    <w:p w14:paraId="4C81307E">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rPr>
        <w:t>第三条</w:t>
      </w:r>
      <w:r>
        <w:rPr>
          <w:rFonts w:hint="eastAsia" w:ascii="宋体" w:hAnsi="宋体" w:cs="宋体"/>
          <w:snapToGrid w:val="0"/>
          <w:color w:val="auto"/>
          <w:kern w:val="0"/>
          <w:sz w:val="24"/>
          <w:highlight w:val="none"/>
        </w:rPr>
        <w:t>乙方的责任</w:t>
      </w:r>
    </w:p>
    <w:p w14:paraId="69B86CDF">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应与甲方保持正常的业务交往，按照有关法律法规和程序开展业务工作，严格执行</w:t>
      </w:r>
      <w:r>
        <w:rPr>
          <w:rFonts w:hint="eastAsia" w:ascii="宋体" w:hAnsi="宋体" w:cs="宋体"/>
          <w:color w:val="auto"/>
          <w:kern w:val="0"/>
          <w:sz w:val="24"/>
          <w:highlight w:val="none"/>
        </w:rPr>
        <w:t>工程建设过程管理的有关方针、政策，尤其是强制性标准和规范</w:t>
      </w:r>
      <w:r>
        <w:rPr>
          <w:rFonts w:hint="eastAsia" w:ascii="宋体" w:hAnsi="宋体" w:cs="宋体"/>
          <w:snapToGrid w:val="0"/>
          <w:color w:val="auto"/>
          <w:kern w:val="0"/>
          <w:sz w:val="24"/>
          <w:highlight w:val="none"/>
        </w:rPr>
        <w:t>，并遵守以下规定：</w:t>
      </w:r>
    </w:p>
    <w:p w14:paraId="24EE5F71">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（一）不准以任何理由向甲方、相关单位及其工作人员索要、接受或赠送礼金、有价证券、贵重物品及回扣、好处费、感谢费等。</w:t>
      </w:r>
    </w:p>
    <w:p w14:paraId="60285870">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（二）不准以任何理由为甲方和相关单位报销应由对方或个人支付的费用。</w:t>
      </w:r>
    </w:p>
    <w:p w14:paraId="103A5A86">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（三）不准接受或暗示为甲方、相关单位或个人装修住房、婚丧嫁娶、配偶子女的工作安排以及出国（境）、旅游等提供方便。</w:t>
      </w:r>
    </w:p>
    <w:p w14:paraId="10D09FF0">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（四）不准以任何理由为甲方、相关单位或个人组织有可能影响公正执行公务的宴请、健身、娱乐等活动。</w:t>
      </w:r>
    </w:p>
    <w:p w14:paraId="503FC206">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rPr>
        <w:t>第四条</w:t>
      </w:r>
      <w:r>
        <w:rPr>
          <w:rFonts w:hint="eastAsia" w:ascii="宋体" w:hAnsi="宋体" w:cs="宋体"/>
          <w:snapToGrid w:val="0"/>
          <w:color w:val="auto"/>
          <w:kern w:val="0"/>
          <w:sz w:val="24"/>
          <w:highlight w:val="none"/>
        </w:rPr>
        <w:t>违约责任</w:t>
      </w:r>
    </w:p>
    <w:p w14:paraId="5113EDC4">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52C9471B">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2DCC366A">
      <w:pPr>
        <w:adjustRightInd w:val="0"/>
        <w:snapToGrid w:val="0"/>
        <w:spacing w:line="44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第五条</w:t>
      </w:r>
      <w:r>
        <w:rPr>
          <w:rFonts w:hint="eastAsia" w:ascii="宋体" w:hAnsi="宋体" w:cs="宋体"/>
          <w:snapToGrid w:val="0"/>
          <w:color w:val="auto"/>
          <w:kern w:val="0"/>
          <w:sz w:val="24"/>
          <w:highlight w:val="none"/>
        </w:rPr>
        <w:t>本廉政责任书作为合同的附件，与合同具有同等法律效力。经双方签署后立即生效。</w:t>
      </w:r>
    </w:p>
    <w:p w14:paraId="791C6E7F">
      <w:pPr>
        <w:adjustRightInd w:val="0"/>
        <w:snapToGrid w:val="0"/>
        <w:spacing w:line="44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第六条</w:t>
      </w:r>
      <w:r>
        <w:rPr>
          <w:rFonts w:hint="eastAsia" w:ascii="宋体" w:hAnsi="宋体" w:cs="宋体"/>
          <w:snapToGrid w:val="0"/>
          <w:color w:val="auto"/>
          <w:kern w:val="0"/>
          <w:sz w:val="24"/>
          <w:highlight w:val="none"/>
        </w:rPr>
        <w:t>本廉政责任书的有效期与合同的有效期相同。</w:t>
      </w:r>
    </w:p>
    <w:p w14:paraId="4AF7C1E4">
      <w:pPr>
        <w:adjustRightInd w:val="0"/>
        <w:snapToGrid w:val="0"/>
        <w:spacing w:line="440" w:lineRule="exact"/>
        <w:rPr>
          <w:rFonts w:ascii="宋体" w:hAnsi="宋体" w:cs="宋体"/>
          <w:color w:val="auto"/>
          <w:kern w:val="0"/>
          <w:sz w:val="24"/>
          <w:highlight w:val="none"/>
        </w:rPr>
      </w:pPr>
      <w:r>
        <w:rPr>
          <w:rFonts w:hint="eastAsia" w:ascii="宋体" w:hAnsi="宋体" w:cs="宋体"/>
          <w:b/>
          <w:color w:val="auto"/>
          <w:kern w:val="0"/>
          <w:sz w:val="24"/>
          <w:highlight w:val="none"/>
        </w:rPr>
        <w:t xml:space="preserve">    </w:t>
      </w:r>
      <w:r>
        <w:rPr>
          <w:rFonts w:hint="eastAsia" w:ascii="宋体" w:hAnsi="宋体" w:cs="宋体"/>
          <w:b/>
          <w:snapToGrid w:val="0"/>
          <w:color w:val="auto"/>
          <w:kern w:val="0"/>
          <w:sz w:val="24"/>
          <w:highlight w:val="none"/>
        </w:rPr>
        <w:t>第七条</w:t>
      </w:r>
      <w:r>
        <w:rPr>
          <w:rFonts w:hint="eastAsia" w:ascii="宋体" w:hAnsi="宋体" w:cs="宋体"/>
          <w:snapToGrid w:val="0"/>
          <w:color w:val="auto"/>
          <w:kern w:val="0"/>
          <w:sz w:val="24"/>
          <w:highlight w:val="none"/>
        </w:rPr>
        <w:t>本廉政责任书份数和合同份数一致</w:t>
      </w:r>
      <w:r>
        <w:rPr>
          <w:rFonts w:hint="eastAsia" w:ascii="宋体" w:hAnsi="宋体" w:cs="宋体"/>
          <w:bCs/>
          <w:color w:val="auto"/>
          <w:kern w:val="0"/>
          <w:sz w:val="24"/>
          <w:highlight w:val="none"/>
        </w:rPr>
        <w:t>。</w:t>
      </w:r>
    </w:p>
    <w:p w14:paraId="25CE36B5">
      <w:pPr>
        <w:adjustRightInd w:val="0"/>
        <w:snapToGrid w:val="0"/>
        <w:spacing w:line="380" w:lineRule="exact"/>
        <w:ind w:right="11"/>
        <w:rPr>
          <w:rFonts w:ascii="宋体" w:hAnsi="宋体" w:cs="宋体"/>
          <w:snapToGrid w:val="0"/>
          <w:color w:val="auto"/>
          <w:kern w:val="0"/>
          <w:sz w:val="24"/>
          <w:highlight w:val="none"/>
        </w:rPr>
      </w:pPr>
    </w:p>
    <w:p w14:paraId="73769556">
      <w:pPr>
        <w:pStyle w:val="28"/>
        <w:adjustRightInd w:val="0"/>
        <w:snapToGrid w:val="0"/>
        <w:spacing w:line="360" w:lineRule="auto"/>
        <w:ind w:left="1920" w:right="11" w:hanging="1920" w:hangingChars="800"/>
        <w:rPr>
          <w:rFonts w:ascii="宋体" w:hAnsi="宋体"/>
          <w:color w:val="auto"/>
          <w:sz w:val="24"/>
          <w:highlight w:val="none"/>
        </w:rPr>
      </w:pPr>
      <w:r>
        <w:rPr>
          <w:rFonts w:hint="eastAsia" w:ascii="宋体" w:hAnsi="宋体"/>
          <w:color w:val="auto"/>
          <w:sz w:val="24"/>
          <w:highlight w:val="none"/>
        </w:rPr>
        <w:t xml:space="preserve">甲方：                                 乙方： </w:t>
      </w:r>
    </w:p>
    <w:p w14:paraId="74EABCC9">
      <w:pPr>
        <w:pStyle w:val="28"/>
        <w:adjustRightInd w:val="0"/>
        <w:snapToGrid w:val="0"/>
        <w:spacing w:line="360" w:lineRule="auto"/>
        <w:ind w:left="1917" w:leftChars="513" w:right="11" w:hanging="840" w:hangingChars="350"/>
        <w:rPr>
          <w:rFonts w:ascii="宋体" w:hAnsi="宋体"/>
          <w:color w:val="auto"/>
          <w:sz w:val="24"/>
          <w:highlight w:val="none"/>
        </w:rPr>
      </w:pPr>
      <w:r>
        <w:rPr>
          <w:rFonts w:hint="eastAsia" w:ascii="宋体" w:hAnsi="宋体"/>
          <w:color w:val="auto"/>
          <w:sz w:val="24"/>
          <w:highlight w:val="none"/>
        </w:rPr>
        <w:t xml:space="preserve">                          </w:t>
      </w:r>
    </w:p>
    <w:p w14:paraId="45356E1A">
      <w:pPr>
        <w:pStyle w:val="28"/>
        <w:adjustRightInd w:val="0"/>
        <w:snapToGrid w:val="0"/>
        <w:spacing w:line="360" w:lineRule="auto"/>
        <w:ind w:right="11"/>
        <w:rPr>
          <w:rFonts w:ascii="宋体" w:hAnsi="宋体"/>
          <w:color w:val="auto"/>
          <w:sz w:val="24"/>
          <w:highlight w:val="none"/>
        </w:rPr>
      </w:pPr>
      <w:r>
        <w:rPr>
          <w:rFonts w:hint="eastAsia" w:ascii="宋体" w:hAnsi="宋体"/>
          <w:color w:val="auto"/>
          <w:sz w:val="24"/>
          <w:highlight w:val="none"/>
        </w:rPr>
        <w:t>法定代表人：                           法定代表人：</w:t>
      </w:r>
    </w:p>
    <w:p w14:paraId="38596966">
      <w:pPr>
        <w:pStyle w:val="28"/>
        <w:tabs>
          <w:tab w:val="left" w:pos="5460"/>
        </w:tabs>
        <w:adjustRightInd w:val="0"/>
        <w:snapToGrid w:val="0"/>
        <w:spacing w:line="360" w:lineRule="auto"/>
        <w:ind w:left="-2" w:leftChars="-1" w:right="11"/>
        <w:rPr>
          <w:rFonts w:ascii="宋体" w:hAnsi="宋体"/>
          <w:color w:val="auto"/>
          <w:sz w:val="24"/>
          <w:highlight w:val="none"/>
        </w:rPr>
      </w:pPr>
    </w:p>
    <w:p w14:paraId="2F2A38EA">
      <w:pPr>
        <w:pStyle w:val="28"/>
        <w:tabs>
          <w:tab w:val="left" w:pos="5460"/>
        </w:tabs>
        <w:adjustRightInd w:val="0"/>
        <w:snapToGrid w:val="0"/>
        <w:spacing w:line="360" w:lineRule="auto"/>
        <w:ind w:left="-2" w:leftChars="-1" w:right="11"/>
        <w:rPr>
          <w:rFonts w:ascii="宋体" w:hAnsi="宋体"/>
          <w:color w:val="auto"/>
          <w:sz w:val="24"/>
          <w:highlight w:val="none"/>
        </w:rPr>
      </w:pPr>
      <w:r>
        <w:rPr>
          <w:rFonts w:hint="eastAsia" w:ascii="宋体" w:hAnsi="宋体"/>
          <w:color w:val="auto"/>
          <w:sz w:val="24"/>
          <w:highlight w:val="none"/>
        </w:rPr>
        <w:t>委托代理人：                           委托代理人：</w:t>
      </w:r>
    </w:p>
    <w:p w14:paraId="4B80B3FC">
      <w:pPr>
        <w:pStyle w:val="28"/>
        <w:tabs>
          <w:tab w:val="left" w:pos="5460"/>
        </w:tabs>
        <w:adjustRightInd w:val="0"/>
        <w:snapToGrid w:val="0"/>
        <w:spacing w:line="400" w:lineRule="exact"/>
        <w:ind w:left="-2" w:leftChars="-1" w:right="11"/>
        <w:rPr>
          <w:rFonts w:ascii="宋体" w:hAnsi="宋体"/>
          <w:color w:val="auto"/>
          <w:sz w:val="24"/>
          <w:highlight w:val="none"/>
        </w:rPr>
      </w:pPr>
    </w:p>
    <w:p w14:paraId="6213E7D2">
      <w:pPr>
        <w:pStyle w:val="28"/>
        <w:tabs>
          <w:tab w:val="left" w:pos="5460"/>
        </w:tabs>
        <w:adjustRightInd w:val="0"/>
        <w:snapToGrid w:val="0"/>
        <w:spacing w:line="400" w:lineRule="exact"/>
        <w:ind w:left="-2" w:leftChars="-1" w:right="11"/>
        <w:rPr>
          <w:rFonts w:ascii="宋体" w:hAnsi="宋体"/>
          <w:color w:val="auto"/>
          <w:sz w:val="24"/>
          <w:highlight w:val="none"/>
        </w:rPr>
      </w:pPr>
      <w:r>
        <w:rPr>
          <w:rFonts w:hint="eastAsia" w:ascii="宋体" w:hAnsi="宋体"/>
          <w:color w:val="auto"/>
          <w:sz w:val="24"/>
          <w:highlight w:val="none"/>
        </w:rPr>
        <w:t>签约日期：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                      </w:t>
      </w:r>
    </w:p>
    <w:p w14:paraId="13EB1881">
      <w:pPr>
        <w:pStyle w:val="28"/>
        <w:spacing w:line="400" w:lineRule="exact"/>
        <w:rPr>
          <w:rFonts w:hint="eastAsia" w:ascii="宋体" w:hAnsi="宋体"/>
          <w:color w:val="auto"/>
          <w:sz w:val="24"/>
          <w:highlight w:val="none"/>
        </w:rPr>
      </w:pPr>
      <w:r>
        <w:rPr>
          <w:rFonts w:hint="eastAsia" w:ascii="宋体" w:hAnsi="宋体"/>
          <w:color w:val="auto"/>
          <w:sz w:val="24"/>
          <w:highlight w:val="none"/>
        </w:rPr>
        <w:t>签约地点：广东省广州市黄埔区。</w:t>
      </w:r>
    </w:p>
    <w:p w14:paraId="62843EEE">
      <w:pPr>
        <w:pStyle w:val="28"/>
        <w:spacing w:line="400" w:lineRule="exact"/>
        <w:rPr>
          <w:rFonts w:hint="eastAsia" w:ascii="宋体" w:hAnsi="宋体"/>
          <w:color w:val="auto"/>
          <w:sz w:val="24"/>
          <w:highlight w:val="none"/>
        </w:rPr>
      </w:pPr>
    </w:p>
    <w:p w14:paraId="1DCC6CA3">
      <w:pPr>
        <w:pStyle w:val="28"/>
        <w:spacing w:line="400" w:lineRule="exact"/>
        <w:rPr>
          <w:rFonts w:hint="eastAsia" w:ascii="宋体" w:hAnsi="宋体"/>
          <w:color w:val="auto"/>
          <w:sz w:val="24"/>
          <w:highlight w:val="none"/>
        </w:rPr>
      </w:pPr>
    </w:p>
    <w:p w14:paraId="72572787">
      <w:pPr>
        <w:pStyle w:val="28"/>
        <w:spacing w:line="400" w:lineRule="exact"/>
        <w:rPr>
          <w:rFonts w:hint="eastAsia" w:ascii="宋体" w:hAnsi="宋体"/>
          <w:color w:val="auto"/>
          <w:sz w:val="24"/>
          <w:highlight w:val="none"/>
        </w:rPr>
      </w:pPr>
    </w:p>
    <w:p w14:paraId="3FEE36F6">
      <w:pPr>
        <w:pStyle w:val="28"/>
        <w:spacing w:line="400" w:lineRule="exact"/>
        <w:rPr>
          <w:rFonts w:hint="eastAsia" w:ascii="宋体" w:hAnsi="宋体"/>
          <w:color w:val="auto"/>
          <w:sz w:val="24"/>
          <w:highlight w:val="none"/>
        </w:rPr>
      </w:pPr>
    </w:p>
    <w:p w14:paraId="1289D9F9">
      <w:pPr>
        <w:pStyle w:val="28"/>
        <w:spacing w:line="400" w:lineRule="exact"/>
        <w:rPr>
          <w:rFonts w:hint="eastAsia" w:ascii="宋体" w:hAnsi="宋体"/>
          <w:color w:val="auto"/>
          <w:sz w:val="24"/>
          <w:highlight w:val="none"/>
        </w:rPr>
      </w:pPr>
      <w:r>
        <w:rPr>
          <w:rFonts w:hint="eastAsia" w:ascii="宋体" w:hAnsi="宋体"/>
          <w:color w:val="auto"/>
          <w:sz w:val="24"/>
          <w:highlight w:val="none"/>
        </w:rPr>
        <w:t>附件2：标函承诺书</w:t>
      </w:r>
    </w:p>
    <w:p w14:paraId="4622E179">
      <w:pPr>
        <w:pStyle w:val="28"/>
        <w:spacing w:line="400" w:lineRule="exact"/>
        <w:rPr>
          <w:rFonts w:hint="eastAsia" w:ascii="宋体" w:hAnsi="宋体"/>
          <w:color w:val="auto"/>
          <w:sz w:val="24"/>
          <w:highlight w:val="none"/>
        </w:rPr>
      </w:pPr>
      <w:r>
        <w:rPr>
          <w:rFonts w:hint="eastAsia" w:ascii="宋体" w:hAnsi="宋体"/>
          <w:color w:val="auto"/>
          <w:sz w:val="24"/>
          <w:highlight w:val="none"/>
        </w:rPr>
        <w:t>附件3：项目负责人驻场承诺书</w:t>
      </w:r>
    </w:p>
    <w:p w14:paraId="09EA1BFE">
      <w:pPr>
        <w:pStyle w:val="28"/>
        <w:spacing w:line="400" w:lineRule="exact"/>
        <w:rPr>
          <w:rFonts w:hint="eastAsia" w:ascii="宋体" w:hAnsi="宋体"/>
          <w:color w:val="auto"/>
          <w:sz w:val="24"/>
          <w:highlight w:val="none"/>
        </w:rPr>
      </w:pPr>
      <w:r>
        <w:rPr>
          <w:rFonts w:hint="eastAsia" w:ascii="宋体" w:hAnsi="宋体"/>
          <w:color w:val="auto"/>
          <w:sz w:val="24"/>
          <w:highlight w:val="none"/>
        </w:rPr>
        <w:t>附件4：危险性较大的分部分项工程安全管理措施</w:t>
      </w:r>
    </w:p>
    <w:p w14:paraId="4BEE34CA">
      <w:pPr>
        <w:pStyle w:val="28"/>
        <w:spacing w:line="400" w:lineRule="exact"/>
        <w:rPr>
          <w:rFonts w:hint="eastAsia" w:ascii="宋体" w:hAnsi="宋体"/>
          <w:color w:val="auto"/>
          <w:sz w:val="24"/>
          <w:highlight w:val="none"/>
        </w:rPr>
      </w:pPr>
      <w:r>
        <w:rPr>
          <w:rFonts w:hint="eastAsia" w:ascii="宋体" w:hAnsi="宋体"/>
          <w:color w:val="auto"/>
          <w:sz w:val="24"/>
          <w:highlight w:val="none"/>
        </w:rPr>
        <w:t>附件5：拟投入本工程的主要技术、经济和管理人员一览表</w:t>
      </w:r>
    </w:p>
    <w:p w14:paraId="5F3082D1">
      <w:pPr>
        <w:pStyle w:val="28"/>
        <w:spacing w:line="400" w:lineRule="exact"/>
        <w:rPr>
          <w:rFonts w:hint="eastAsia" w:ascii="宋体" w:hAnsi="宋体"/>
          <w:color w:val="auto"/>
          <w:sz w:val="24"/>
          <w:highlight w:val="none"/>
        </w:rPr>
      </w:pPr>
      <w:r>
        <w:rPr>
          <w:rFonts w:hint="eastAsia" w:ascii="宋体" w:hAnsi="宋体"/>
          <w:color w:val="auto"/>
          <w:sz w:val="24"/>
          <w:highlight w:val="none"/>
        </w:rPr>
        <w:t>附件:6：拟投入本工程施工的主要机械设备配备表</w:t>
      </w:r>
    </w:p>
    <w:p w14:paraId="23DB46EF">
      <w:pPr>
        <w:pStyle w:val="28"/>
        <w:spacing w:line="400" w:lineRule="exact"/>
        <w:rPr>
          <w:rFonts w:hint="eastAsia" w:ascii="宋体" w:hAnsi="宋体"/>
          <w:color w:val="auto"/>
          <w:sz w:val="24"/>
          <w:highlight w:val="none"/>
        </w:rPr>
      </w:pPr>
      <w:r>
        <w:rPr>
          <w:rFonts w:hint="eastAsia" w:ascii="宋体" w:hAnsi="宋体"/>
          <w:color w:val="auto"/>
          <w:sz w:val="24"/>
          <w:highlight w:val="none"/>
        </w:rPr>
        <w:t>附件7：中小企业声明函（如有)</w:t>
      </w:r>
    </w:p>
    <w:p w14:paraId="4D0026FC">
      <w:pPr>
        <w:pStyle w:val="28"/>
        <w:spacing w:line="400" w:lineRule="exact"/>
        <w:rPr>
          <w:rFonts w:hAnsi="宋体" w:eastAsia="仿宋_GB2312"/>
          <w:color w:val="auto"/>
          <w:sz w:val="28"/>
          <w:szCs w:val="28"/>
          <w:highlight w:val="none"/>
        </w:rPr>
      </w:pPr>
      <w:r>
        <w:rPr>
          <w:rFonts w:hint="eastAsia" w:ascii="宋体" w:hAnsi="宋体"/>
          <w:color w:val="auto"/>
          <w:sz w:val="24"/>
          <w:highlight w:val="none"/>
        </w:rPr>
        <w:t>附件8：分包意向协议书(如有)</w:t>
      </w:r>
    </w:p>
    <w:p w14:paraId="1FBC539F">
      <w:pPr>
        <w:pStyle w:val="28"/>
        <w:spacing w:line="400" w:lineRule="exact"/>
        <w:rPr>
          <w:rFonts w:hAnsi="宋体" w:eastAsia="仿宋_GB2312"/>
          <w:color w:val="auto"/>
          <w:sz w:val="28"/>
          <w:szCs w:val="28"/>
          <w:highlight w:val="none"/>
        </w:rPr>
      </w:pPr>
    </w:p>
    <w:p w14:paraId="13460905">
      <w:pPr>
        <w:spacing w:line="360" w:lineRule="auto"/>
        <w:jc w:val="left"/>
        <w:rPr>
          <w:rFonts w:hint="eastAsia" w:ascii="宋体" w:hAnsi="宋体"/>
          <w:color w:val="auto"/>
          <w:sz w:val="28"/>
          <w:szCs w:val="28"/>
          <w:highlight w:val="none"/>
        </w:rPr>
      </w:pPr>
    </w:p>
    <w:p w14:paraId="5C567F25">
      <w:pPr>
        <w:spacing w:before="120" w:line="620" w:lineRule="exact"/>
        <w:ind w:left="27" w:leftChars="13" w:firstLine="480" w:firstLineChars="200"/>
        <w:jc w:val="left"/>
        <w:rPr>
          <w:rFonts w:hint="eastAsia"/>
          <w:color w:val="auto"/>
          <w:sz w:val="24"/>
          <w:szCs w:val="24"/>
          <w:highlight w:val="none"/>
        </w:rPr>
      </w:pPr>
    </w:p>
    <w:p w14:paraId="5B3A98ED">
      <w:pPr>
        <w:spacing w:before="120" w:line="620" w:lineRule="exact"/>
        <w:ind w:left="27" w:leftChars="13" w:firstLine="480" w:firstLineChars="200"/>
        <w:jc w:val="left"/>
        <w:rPr>
          <w:rFonts w:ascii="宋体" w:hAnsi="宋体"/>
          <w:color w:val="auto"/>
          <w:sz w:val="24"/>
          <w:highlight w:val="none"/>
        </w:rPr>
      </w:pPr>
      <w:r>
        <w:rPr>
          <w:rFonts w:ascii="宋体" w:hAnsi="宋体"/>
          <w:color w:val="auto"/>
          <w:sz w:val="24"/>
          <w:highlight w:val="none"/>
        </w:rPr>
        <w:br w:type="page"/>
      </w:r>
    </w:p>
    <w:p w14:paraId="137767C8">
      <w:pPr>
        <w:pageBreakBefore/>
        <w:spacing w:line="360" w:lineRule="auto"/>
        <w:jc w:val="center"/>
        <w:rPr>
          <w:rFonts w:ascii="黑体" w:hAnsi="黑体" w:eastAsia="黑体"/>
          <w:color w:val="auto"/>
          <w:sz w:val="32"/>
          <w:szCs w:val="27"/>
          <w:highlight w:val="none"/>
        </w:rPr>
      </w:pPr>
      <w:bookmarkStart w:id="263" w:name="_Toc259524404"/>
      <w:bookmarkStart w:id="264" w:name="_Toc221948392"/>
      <w:bookmarkStart w:id="265" w:name="_Toc222029576"/>
      <w:bookmarkStart w:id="266" w:name="_Toc222032745"/>
      <w:bookmarkStart w:id="267" w:name="_Toc229305436"/>
      <w:bookmarkStart w:id="268" w:name="_Toc222033927"/>
      <w:bookmarkStart w:id="269" w:name="_Toc222031078"/>
      <w:bookmarkStart w:id="270" w:name="_Toc221952224"/>
      <w:r>
        <w:rPr>
          <w:rFonts w:hint="eastAsia" w:ascii="黑体" w:hAnsi="黑体" w:eastAsia="黑体"/>
          <w:color w:val="auto"/>
          <w:sz w:val="32"/>
          <w:szCs w:val="27"/>
          <w:highlight w:val="none"/>
        </w:rPr>
        <w:t>第五章 工程量清单（综合单价承包）</w:t>
      </w:r>
    </w:p>
    <w:p w14:paraId="62728446">
      <w:pPr>
        <w:spacing w:line="360" w:lineRule="auto"/>
        <w:jc w:val="center"/>
        <w:outlineLvl w:val="2"/>
        <w:rPr>
          <w:rFonts w:ascii="黑体" w:hAnsi="黑体" w:eastAsia="黑体"/>
          <w:color w:val="auto"/>
          <w:sz w:val="28"/>
          <w:szCs w:val="27"/>
          <w:highlight w:val="none"/>
        </w:rPr>
      </w:pPr>
      <w:bookmarkStart w:id="271" w:name="_Toc17454891"/>
      <w:bookmarkStart w:id="272" w:name="_Toc17452684"/>
      <w:bookmarkStart w:id="273" w:name="_Toc17451643"/>
      <w:bookmarkStart w:id="274" w:name="_Toc8069"/>
      <w:bookmarkStart w:id="275" w:name="_Toc17451121"/>
      <w:bookmarkStart w:id="276" w:name="_Toc17454942"/>
      <w:bookmarkStart w:id="277" w:name="_Toc17451598"/>
      <w:bookmarkStart w:id="278" w:name="_Toc17556896"/>
      <w:bookmarkStart w:id="279" w:name="_Toc22196"/>
      <w:r>
        <w:rPr>
          <w:rFonts w:hint="eastAsia" w:ascii="黑体" w:hAnsi="黑体" w:eastAsia="黑体"/>
          <w:color w:val="auto"/>
          <w:sz w:val="28"/>
          <w:szCs w:val="27"/>
          <w:highlight w:val="none"/>
        </w:rPr>
        <w:t>一、工程量清单说明</w:t>
      </w:r>
      <w:bookmarkEnd w:id="271"/>
      <w:bookmarkEnd w:id="272"/>
      <w:bookmarkEnd w:id="273"/>
      <w:bookmarkEnd w:id="274"/>
      <w:bookmarkEnd w:id="275"/>
      <w:bookmarkEnd w:id="276"/>
      <w:bookmarkEnd w:id="277"/>
      <w:bookmarkEnd w:id="278"/>
      <w:bookmarkEnd w:id="279"/>
    </w:p>
    <w:p w14:paraId="3D83A33A">
      <w:pPr>
        <w:spacing w:line="360" w:lineRule="auto"/>
        <w:ind w:firstLine="424" w:firstLineChars="176"/>
        <w:rPr>
          <w:rFonts w:ascii="宋体" w:hAnsi="宋体"/>
          <w:b/>
          <w:bCs/>
          <w:color w:val="auto"/>
          <w:sz w:val="24"/>
          <w:szCs w:val="24"/>
          <w:highlight w:val="none"/>
          <w:u w:val="single"/>
        </w:rPr>
      </w:pPr>
      <w:bookmarkStart w:id="280" w:name="_Toc21787752"/>
      <w:r>
        <w:rPr>
          <w:rFonts w:ascii="宋体" w:hAnsi="宋体"/>
          <w:b/>
          <w:bCs/>
          <w:color w:val="auto"/>
          <w:sz w:val="24"/>
          <w:szCs w:val="24"/>
          <w:highlight w:val="none"/>
          <w:u w:val="single"/>
        </w:rPr>
        <w:t>1.</w:t>
      </w:r>
      <w:r>
        <w:rPr>
          <w:rFonts w:hint="eastAsia" w:ascii="宋体" w:hAnsi="宋体"/>
          <w:b/>
          <w:bCs/>
          <w:color w:val="auto"/>
          <w:sz w:val="24"/>
          <w:szCs w:val="24"/>
          <w:highlight w:val="none"/>
          <w:u w:val="single"/>
        </w:rPr>
        <w:t>工程量清单说明</w:t>
      </w:r>
      <w:bookmarkEnd w:id="280"/>
    </w:p>
    <w:p w14:paraId="072236C5">
      <w:pPr>
        <w:spacing w:line="360" w:lineRule="auto"/>
        <w:ind w:firstLine="422" w:firstLineChars="176"/>
        <w:rPr>
          <w:rFonts w:ascii="宋体" w:hAnsi="宋体"/>
          <w:color w:val="auto"/>
          <w:sz w:val="24"/>
          <w:szCs w:val="24"/>
          <w:highlight w:val="none"/>
          <w:u w:val="single"/>
        </w:rPr>
      </w:pPr>
      <w:r>
        <w:rPr>
          <w:rFonts w:hint="eastAsia" w:ascii="宋体" w:hAnsi="宋体"/>
          <w:color w:val="auto"/>
          <w:sz w:val="24"/>
          <w:szCs w:val="24"/>
          <w:highlight w:val="none"/>
          <w:u w:val="single"/>
        </w:rPr>
        <w:t>（说明：本说明内容仅供参考，招标人可以根据项目情况修改。）</w:t>
      </w:r>
    </w:p>
    <w:p w14:paraId="79A976C2">
      <w:pPr>
        <w:spacing w:line="360" w:lineRule="auto"/>
        <w:ind w:firstLine="422" w:firstLineChars="176"/>
        <w:rPr>
          <w:rFonts w:ascii="宋体" w:hAnsi="宋体"/>
          <w:color w:val="auto"/>
          <w:sz w:val="24"/>
          <w:szCs w:val="24"/>
          <w:highlight w:val="none"/>
          <w:u w:val="single"/>
        </w:rPr>
      </w:pPr>
      <w:r>
        <w:rPr>
          <w:rFonts w:ascii="宋体" w:hAnsi="宋体"/>
          <w:color w:val="auto"/>
          <w:sz w:val="24"/>
          <w:szCs w:val="24"/>
          <w:highlight w:val="none"/>
          <w:u w:val="single"/>
        </w:rPr>
        <w:t xml:space="preserve">1.1 </w:t>
      </w:r>
      <w:r>
        <w:rPr>
          <w:rFonts w:hint="eastAsia" w:ascii="宋体" w:hAnsi="宋体"/>
          <w:color w:val="auto"/>
          <w:sz w:val="24"/>
          <w:szCs w:val="24"/>
          <w:highlight w:val="none"/>
          <w:u w:val="single"/>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CEF2E14">
      <w:pPr>
        <w:spacing w:line="360" w:lineRule="auto"/>
        <w:ind w:firstLine="422" w:firstLineChars="176"/>
        <w:rPr>
          <w:rFonts w:ascii="宋体" w:hAnsi="宋体"/>
          <w:color w:val="auto"/>
          <w:sz w:val="24"/>
          <w:szCs w:val="24"/>
          <w:highlight w:val="none"/>
          <w:u w:val="single"/>
        </w:rPr>
      </w:pPr>
      <w:r>
        <w:rPr>
          <w:rFonts w:ascii="宋体" w:hAnsi="宋体"/>
          <w:color w:val="auto"/>
          <w:sz w:val="24"/>
          <w:szCs w:val="24"/>
          <w:highlight w:val="none"/>
          <w:u w:val="single"/>
        </w:rPr>
        <w:t xml:space="preserve">1.2 </w:t>
      </w:r>
      <w:r>
        <w:rPr>
          <w:rFonts w:hint="eastAsia" w:ascii="宋体" w:hAnsi="宋体"/>
          <w:color w:val="auto"/>
          <w:sz w:val="24"/>
          <w:szCs w:val="24"/>
          <w:highlight w:val="none"/>
          <w:u w:val="single"/>
        </w:rPr>
        <w:t>本工程量清单应与招标文件中的投标人须知、通用合同条款、专用合同条款、技术标准和要求及图纸等一起阅读和理解。</w:t>
      </w:r>
    </w:p>
    <w:p w14:paraId="5EB1E39E">
      <w:pPr>
        <w:spacing w:line="360" w:lineRule="auto"/>
        <w:ind w:firstLine="422" w:firstLineChars="176"/>
        <w:rPr>
          <w:rFonts w:ascii="宋体" w:hAnsi="宋体"/>
          <w:color w:val="auto"/>
          <w:sz w:val="24"/>
          <w:szCs w:val="24"/>
          <w:highlight w:val="none"/>
          <w:u w:val="single"/>
        </w:rPr>
      </w:pPr>
      <w:r>
        <w:rPr>
          <w:rFonts w:ascii="宋体" w:hAnsi="宋体"/>
          <w:color w:val="auto"/>
          <w:sz w:val="24"/>
          <w:szCs w:val="24"/>
          <w:highlight w:val="none"/>
          <w:u w:val="single"/>
        </w:rPr>
        <w:t xml:space="preserve">1.3 </w:t>
      </w:r>
      <w:r>
        <w:rPr>
          <w:rFonts w:hint="eastAsia" w:ascii="宋体" w:hAnsi="宋体"/>
          <w:color w:val="auto"/>
          <w:sz w:val="24"/>
          <w:szCs w:val="24"/>
          <w:highlight w:val="none"/>
          <w:u w:val="single"/>
        </w:rPr>
        <w:t>本工程量清单仅是投标报价的共同基础，实际工程计量和工程价款的支付应遵循合同条款的约定和第七章“技术标准和要求”的有关规定。</w:t>
      </w:r>
    </w:p>
    <w:p w14:paraId="6D490B22">
      <w:pPr>
        <w:spacing w:line="360" w:lineRule="auto"/>
        <w:ind w:firstLine="422" w:firstLineChars="176"/>
        <w:rPr>
          <w:rFonts w:ascii="宋体" w:hAnsi="宋体"/>
          <w:color w:val="auto"/>
          <w:sz w:val="24"/>
          <w:szCs w:val="24"/>
          <w:highlight w:val="none"/>
          <w:u w:val="single"/>
        </w:rPr>
      </w:pPr>
      <w:r>
        <w:rPr>
          <w:rFonts w:ascii="宋体" w:hAnsi="宋体"/>
          <w:color w:val="auto"/>
          <w:sz w:val="24"/>
          <w:szCs w:val="24"/>
          <w:highlight w:val="none"/>
          <w:u w:val="single"/>
        </w:rPr>
        <w:t xml:space="preserve">1.4 </w:t>
      </w:r>
      <w:r>
        <w:rPr>
          <w:rFonts w:hint="eastAsia" w:ascii="宋体" w:hAnsi="宋体"/>
          <w:color w:val="auto"/>
          <w:sz w:val="24"/>
          <w:szCs w:val="24"/>
          <w:highlight w:val="none"/>
          <w:u w:val="single"/>
        </w:rPr>
        <w:t>补充子目工程量计算规则及子目工作内容说明：</w:t>
      </w:r>
      <w:r>
        <w:rPr>
          <w:rFonts w:hint="eastAsia" w:ascii="宋体" w:hAnsi="宋体"/>
          <w:color w:val="auto"/>
          <w:sz w:val="24"/>
          <w:szCs w:val="24"/>
          <w:highlight w:val="none"/>
          <w:u w:val="single"/>
          <w:lang w:val="en-US" w:eastAsia="zh-CN"/>
        </w:rPr>
        <w:t xml:space="preserve"> / </w:t>
      </w:r>
      <w:r>
        <w:rPr>
          <w:rFonts w:hint="eastAsia" w:ascii="宋体" w:hAnsi="宋体"/>
          <w:color w:val="auto"/>
          <w:sz w:val="24"/>
          <w:szCs w:val="24"/>
          <w:highlight w:val="none"/>
          <w:u w:val="single"/>
        </w:rPr>
        <w:t>。</w:t>
      </w:r>
    </w:p>
    <w:p w14:paraId="4E459056">
      <w:pPr>
        <w:spacing w:line="360" w:lineRule="auto"/>
        <w:ind w:firstLine="424" w:firstLineChars="176"/>
        <w:rPr>
          <w:rFonts w:ascii="宋体" w:hAnsi="宋体"/>
          <w:b/>
          <w:bCs/>
          <w:color w:val="auto"/>
          <w:sz w:val="24"/>
          <w:szCs w:val="24"/>
          <w:highlight w:val="none"/>
          <w:u w:val="single"/>
        </w:rPr>
      </w:pPr>
      <w:bookmarkStart w:id="281" w:name="_Toc21787753"/>
      <w:r>
        <w:rPr>
          <w:rFonts w:ascii="宋体" w:hAnsi="宋体"/>
          <w:b/>
          <w:bCs/>
          <w:color w:val="auto"/>
          <w:sz w:val="24"/>
          <w:szCs w:val="24"/>
          <w:highlight w:val="none"/>
          <w:u w:val="single"/>
        </w:rPr>
        <w:t>2.</w:t>
      </w:r>
      <w:r>
        <w:rPr>
          <w:rFonts w:hint="eastAsia" w:ascii="宋体" w:hAnsi="宋体"/>
          <w:b/>
          <w:bCs/>
          <w:color w:val="auto"/>
          <w:sz w:val="24"/>
          <w:szCs w:val="24"/>
          <w:highlight w:val="none"/>
          <w:u w:val="single"/>
        </w:rPr>
        <w:t>投标报价说明</w:t>
      </w:r>
      <w:bookmarkEnd w:id="281"/>
    </w:p>
    <w:p w14:paraId="1554AF09">
      <w:pPr>
        <w:spacing w:line="360" w:lineRule="auto"/>
        <w:ind w:firstLine="422" w:firstLineChars="176"/>
        <w:rPr>
          <w:rFonts w:ascii="宋体" w:hAnsi="宋体"/>
          <w:color w:val="auto"/>
          <w:sz w:val="24"/>
          <w:szCs w:val="24"/>
          <w:highlight w:val="none"/>
          <w:u w:val="single"/>
        </w:rPr>
      </w:pPr>
      <w:r>
        <w:rPr>
          <w:rFonts w:ascii="宋体" w:hAnsi="宋体"/>
          <w:color w:val="auto"/>
          <w:sz w:val="24"/>
          <w:szCs w:val="24"/>
          <w:highlight w:val="none"/>
          <w:u w:val="single"/>
        </w:rPr>
        <w:t xml:space="preserve">2.1 </w:t>
      </w:r>
      <w:r>
        <w:rPr>
          <w:rFonts w:hint="eastAsia" w:ascii="宋体" w:hAnsi="宋体"/>
          <w:color w:val="auto"/>
          <w:sz w:val="24"/>
          <w:szCs w:val="24"/>
          <w:highlight w:val="none"/>
          <w:u w:val="single"/>
        </w:rPr>
        <w:t>工程量清单中的每一子目须填入单价或价格，且只允许有一个报价。</w:t>
      </w:r>
    </w:p>
    <w:p w14:paraId="11CCCC13">
      <w:pPr>
        <w:spacing w:line="360" w:lineRule="auto"/>
        <w:ind w:firstLine="422" w:firstLineChars="176"/>
        <w:rPr>
          <w:rFonts w:ascii="宋体" w:hAnsi="宋体"/>
          <w:color w:val="auto"/>
          <w:sz w:val="24"/>
          <w:szCs w:val="24"/>
          <w:highlight w:val="none"/>
          <w:u w:val="single"/>
        </w:rPr>
      </w:pPr>
      <w:r>
        <w:rPr>
          <w:rFonts w:ascii="宋体" w:hAnsi="宋体"/>
          <w:color w:val="auto"/>
          <w:sz w:val="24"/>
          <w:szCs w:val="24"/>
          <w:highlight w:val="none"/>
          <w:u w:val="single"/>
        </w:rPr>
        <w:t xml:space="preserve">2.2 </w:t>
      </w:r>
      <w:r>
        <w:rPr>
          <w:rFonts w:hint="eastAsia" w:ascii="宋体" w:hAnsi="宋体"/>
          <w:color w:val="auto"/>
          <w:sz w:val="24"/>
          <w:szCs w:val="24"/>
          <w:highlight w:val="none"/>
          <w:u w:val="single"/>
        </w:rPr>
        <w:t>工程量清单中标价的单价或金额，应包括所需的人工费、材料和施工机具使用费和企业管理费、利润以及一定范围内的风险费用等。</w:t>
      </w:r>
    </w:p>
    <w:p w14:paraId="6137D92E">
      <w:pPr>
        <w:spacing w:line="360" w:lineRule="auto"/>
        <w:ind w:firstLine="422" w:firstLineChars="176"/>
        <w:rPr>
          <w:rFonts w:ascii="宋体" w:hAnsi="宋体"/>
          <w:color w:val="auto"/>
          <w:sz w:val="24"/>
          <w:szCs w:val="24"/>
          <w:highlight w:val="none"/>
          <w:u w:val="single"/>
        </w:rPr>
      </w:pPr>
      <w:r>
        <w:rPr>
          <w:rFonts w:ascii="宋体" w:hAnsi="宋体"/>
          <w:color w:val="auto"/>
          <w:sz w:val="24"/>
          <w:szCs w:val="24"/>
          <w:highlight w:val="none"/>
          <w:u w:val="single"/>
        </w:rPr>
        <w:t xml:space="preserve">2.3 </w:t>
      </w:r>
      <w:r>
        <w:rPr>
          <w:rFonts w:hint="eastAsia" w:ascii="宋体" w:hAnsi="宋体"/>
          <w:color w:val="auto"/>
          <w:sz w:val="24"/>
          <w:szCs w:val="24"/>
          <w:highlight w:val="none"/>
          <w:u w:val="single"/>
        </w:rPr>
        <w:t>工程量清单中投标人没有填入单价或价格的子目，其费用视为已分摊在工程量清单中其他相关子目的单价或价格之中。</w:t>
      </w:r>
    </w:p>
    <w:p w14:paraId="74EBD4DE">
      <w:pPr>
        <w:spacing w:line="360" w:lineRule="auto"/>
        <w:ind w:firstLine="422" w:firstLineChars="176"/>
        <w:rPr>
          <w:rFonts w:ascii="宋体" w:hAnsi="宋体"/>
          <w:color w:val="auto"/>
          <w:sz w:val="24"/>
          <w:szCs w:val="24"/>
          <w:highlight w:val="none"/>
          <w:u w:val="single"/>
        </w:rPr>
      </w:pPr>
      <w:r>
        <w:rPr>
          <w:rFonts w:ascii="宋体" w:hAnsi="宋体"/>
          <w:color w:val="auto"/>
          <w:sz w:val="24"/>
          <w:szCs w:val="24"/>
          <w:highlight w:val="none"/>
          <w:u w:val="single"/>
        </w:rPr>
        <w:t xml:space="preserve">2.4 </w:t>
      </w:r>
      <w:r>
        <w:rPr>
          <w:rFonts w:hint="eastAsia" w:ascii="宋体" w:hAnsi="宋体"/>
          <w:color w:val="auto"/>
          <w:sz w:val="24"/>
          <w:szCs w:val="24"/>
          <w:highlight w:val="none"/>
          <w:u w:val="single"/>
        </w:rPr>
        <w:t>暂列金额的数量及拟用子目的说明：</w:t>
      </w:r>
      <w:r>
        <w:rPr>
          <w:rFonts w:hint="eastAsia"/>
          <w:color w:val="auto"/>
          <w:sz w:val="24"/>
          <w:highlight w:val="none"/>
          <w:u w:val="single"/>
          <w:lang w:eastAsia="zh-CN"/>
        </w:rPr>
        <w:t>以本项目最高投标控制价公布函为准。</w:t>
      </w:r>
    </w:p>
    <w:p w14:paraId="1AC33B4C">
      <w:pPr>
        <w:spacing w:line="360" w:lineRule="auto"/>
        <w:ind w:firstLine="422" w:firstLineChars="176"/>
        <w:rPr>
          <w:rFonts w:ascii="宋体" w:hAnsi="宋体"/>
          <w:color w:val="auto"/>
          <w:sz w:val="24"/>
          <w:szCs w:val="24"/>
          <w:highlight w:val="none"/>
          <w:u w:val="single"/>
        </w:rPr>
      </w:pPr>
      <w:r>
        <w:rPr>
          <w:rFonts w:hint="eastAsia" w:ascii="宋体" w:hAnsi="宋体"/>
          <w:color w:val="auto"/>
          <w:sz w:val="24"/>
          <w:szCs w:val="24"/>
          <w:highlight w:val="none"/>
          <w:u w:val="single"/>
        </w:rPr>
        <w:t>（说明：由招标人根据项目情况拟订，对投标报价采用的定额、取费标准等进行说明）</w:t>
      </w:r>
    </w:p>
    <w:p w14:paraId="0F6B9955">
      <w:pPr>
        <w:spacing w:line="360" w:lineRule="auto"/>
        <w:ind w:firstLine="424" w:firstLineChars="176"/>
        <w:rPr>
          <w:rFonts w:ascii="宋体" w:hAnsi="宋体"/>
          <w:b/>
          <w:bCs/>
          <w:color w:val="auto"/>
          <w:sz w:val="24"/>
          <w:szCs w:val="24"/>
          <w:highlight w:val="none"/>
          <w:u w:val="single"/>
        </w:rPr>
      </w:pPr>
      <w:r>
        <w:rPr>
          <w:rFonts w:hint="eastAsia" w:ascii="宋体" w:hAnsi="宋体"/>
          <w:b/>
          <w:bCs/>
          <w:color w:val="auto"/>
          <w:sz w:val="24"/>
          <w:szCs w:val="24"/>
          <w:highlight w:val="none"/>
          <w:u w:val="single"/>
        </w:rPr>
        <w:t>2.5 将建筑垃圾运输、处置费用列入工程造价的落实情况</w:t>
      </w:r>
      <w:r>
        <w:rPr>
          <w:rFonts w:hint="eastAsia" w:ascii="宋体" w:hAnsi="宋体"/>
          <w:b/>
          <w:bCs/>
          <w:color w:val="auto"/>
          <w:sz w:val="24"/>
          <w:szCs w:val="24"/>
          <w:highlight w:val="none"/>
          <w:u w:val="single"/>
          <w:lang w:eastAsia="zh-CN"/>
        </w:rPr>
        <w:t>。</w:t>
      </w:r>
    </w:p>
    <w:p w14:paraId="7BCEDD53">
      <w:pPr>
        <w:spacing w:line="360" w:lineRule="auto"/>
        <w:ind w:firstLine="424" w:firstLineChars="176"/>
        <w:rPr>
          <w:rFonts w:hint="default" w:ascii="宋体" w:hAnsi="宋体" w:eastAsia="宋体"/>
          <w:b/>
          <w:bCs/>
          <w:color w:val="auto"/>
          <w:sz w:val="24"/>
          <w:szCs w:val="24"/>
          <w:highlight w:val="none"/>
          <w:u w:val="single"/>
          <w:lang w:val="en-US" w:eastAsia="zh-CN"/>
        </w:rPr>
      </w:pPr>
      <w:r>
        <w:rPr>
          <w:rFonts w:hint="eastAsia" w:ascii="宋体" w:hAnsi="宋体"/>
          <w:b/>
          <w:bCs/>
          <w:color w:val="auto"/>
          <w:sz w:val="24"/>
          <w:szCs w:val="24"/>
          <w:highlight w:val="none"/>
          <w:u w:val="single"/>
          <w:lang w:val="en-US" w:eastAsia="zh-CN"/>
        </w:rPr>
        <w:t>3.其他说明：无。</w:t>
      </w:r>
    </w:p>
    <w:p w14:paraId="09CE559A">
      <w:pPr>
        <w:spacing w:line="360" w:lineRule="auto"/>
        <w:ind w:firstLine="482" w:firstLineChars="200"/>
        <w:rPr>
          <w:rFonts w:ascii="宋体" w:hAnsi="宋体"/>
          <w:i/>
          <w:color w:val="auto"/>
          <w:sz w:val="24"/>
          <w:highlight w:val="none"/>
        </w:rPr>
      </w:pPr>
      <w:r>
        <w:rPr>
          <w:rFonts w:hint="eastAsia" w:ascii="宋体" w:hAnsi="宋体"/>
          <w:b/>
          <w:bCs/>
          <w:color w:val="auto"/>
          <w:sz w:val="24"/>
          <w:szCs w:val="24"/>
          <w:highlight w:val="none"/>
          <w:u w:val="single"/>
          <w:lang w:val="en-US" w:eastAsia="zh-CN"/>
        </w:rPr>
        <w:t>4</w:t>
      </w:r>
      <w:r>
        <w:rPr>
          <w:rFonts w:ascii="宋体" w:hAnsi="宋体"/>
          <w:b/>
          <w:bCs/>
          <w:color w:val="auto"/>
          <w:sz w:val="24"/>
          <w:szCs w:val="24"/>
          <w:highlight w:val="none"/>
          <w:u w:val="single"/>
        </w:rPr>
        <w:t>.</w:t>
      </w:r>
      <w:bookmarkStart w:id="282" w:name="_Toc18283"/>
      <w:r>
        <w:rPr>
          <w:rFonts w:hint="eastAsia" w:ascii="宋体" w:hAnsi="宋体"/>
          <w:b/>
          <w:bCs/>
          <w:color w:val="auto"/>
          <w:sz w:val="24"/>
          <w:szCs w:val="24"/>
          <w:highlight w:val="none"/>
          <w:u w:val="single"/>
        </w:rPr>
        <w:t>工程量清单</w:t>
      </w:r>
      <w:bookmarkEnd w:id="282"/>
      <w:r>
        <w:rPr>
          <w:rFonts w:hint="eastAsia" w:ascii="宋体" w:hAnsi="宋体"/>
          <w:b/>
          <w:bCs/>
          <w:color w:val="auto"/>
          <w:sz w:val="24"/>
          <w:szCs w:val="24"/>
          <w:highlight w:val="none"/>
          <w:u w:val="single"/>
        </w:rPr>
        <w:t>：另册</w:t>
      </w:r>
    </w:p>
    <w:p w14:paraId="42605588">
      <w:pPr>
        <w:rPr>
          <w:color w:val="auto"/>
          <w:highlight w:val="none"/>
        </w:rPr>
      </w:pPr>
    </w:p>
    <w:p w14:paraId="343E6CB7">
      <w:pPr>
        <w:spacing w:line="360" w:lineRule="auto"/>
        <w:jc w:val="center"/>
        <w:outlineLvl w:val="1"/>
        <w:rPr>
          <w:rFonts w:hint="eastAsia" w:ascii="黑体" w:hAnsi="黑体" w:eastAsia="黑体"/>
          <w:color w:val="auto"/>
          <w:sz w:val="32"/>
          <w:szCs w:val="27"/>
          <w:highlight w:val="none"/>
        </w:rPr>
        <w:sectPr>
          <w:type w:val="continuous"/>
          <w:pgSz w:w="11906" w:h="16838"/>
          <w:pgMar w:top="1440" w:right="1797" w:bottom="1440" w:left="1797" w:header="851" w:footer="992" w:gutter="0"/>
          <w:pgNumType w:fmt="decimal"/>
          <w:cols w:space="720" w:num="1"/>
          <w:docGrid w:linePitch="312" w:charSpace="0"/>
        </w:sectPr>
      </w:pPr>
      <w:bookmarkStart w:id="283" w:name="_Toc17452688"/>
      <w:bookmarkStart w:id="284" w:name="_Toc17451125"/>
      <w:bookmarkStart w:id="285" w:name="_Toc17451602"/>
      <w:bookmarkStart w:id="286" w:name="_Toc22625"/>
      <w:bookmarkStart w:id="287" w:name="_Toc17454946"/>
      <w:bookmarkStart w:id="288" w:name="_Toc17454895"/>
      <w:bookmarkStart w:id="289" w:name="_Toc17451647"/>
      <w:bookmarkStart w:id="290" w:name="_Toc17556900"/>
    </w:p>
    <w:p w14:paraId="475A7A0A">
      <w:pPr>
        <w:numPr>
          <w:ilvl w:val="0"/>
          <w:numId w:val="12"/>
        </w:numPr>
        <w:spacing w:line="360" w:lineRule="auto"/>
        <w:jc w:val="center"/>
        <w:outlineLvl w:val="1"/>
        <w:rPr>
          <w:rFonts w:hint="eastAsia" w:ascii="黑体" w:hAnsi="黑体" w:eastAsia="黑体"/>
          <w:color w:val="auto"/>
          <w:sz w:val="32"/>
          <w:szCs w:val="27"/>
          <w:highlight w:val="none"/>
        </w:rPr>
      </w:pPr>
      <w:bookmarkStart w:id="291" w:name="_Toc9085"/>
      <w:r>
        <w:rPr>
          <w:rFonts w:hint="eastAsia" w:ascii="黑体" w:hAnsi="黑体" w:eastAsia="黑体"/>
          <w:color w:val="auto"/>
          <w:sz w:val="32"/>
          <w:szCs w:val="27"/>
          <w:highlight w:val="none"/>
        </w:rPr>
        <w:t>图纸</w:t>
      </w:r>
      <w:bookmarkEnd w:id="263"/>
      <w:r>
        <w:rPr>
          <w:rFonts w:hint="eastAsia" w:ascii="黑体" w:hAnsi="黑体" w:eastAsia="黑体"/>
          <w:color w:val="auto"/>
          <w:sz w:val="32"/>
          <w:szCs w:val="27"/>
          <w:highlight w:val="none"/>
        </w:rPr>
        <w:t>（招标图纸</w:t>
      </w:r>
      <w:bookmarkEnd w:id="264"/>
      <w:bookmarkEnd w:id="265"/>
      <w:bookmarkEnd w:id="266"/>
      <w:bookmarkEnd w:id="267"/>
      <w:bookmarkEnd w:id="268"/>
      <w:bookmarkEnd w:id="269"/>
      <w:bookmarkEnd w:id="270"/>
      <w:r>
        <w:rPr>
          <w:rFonts w:hint="eastAsia" w:ascii="黑体" w:hAnsi="黑体" w:eastAsia="黑体"/>
          <w:color w:val="auto"/>
          <w:sz w:val="32"/>
          <w:szCs w:val="27"/>
          <w:highlight w:val="none"/>
        </w:rPr>
        <w:t>）</w:t>
      </w:r>
      <w:bookmarkEnd w:id="283"/>
      <w:bookmarkEnd w:id="284"/>
      <w:bookmarkEnd w:id="285"/>
      <w:bookmarkEnd w:id="286"/>
      <w:bookmarkEnd w:id="287"/>
      <w:bookmarkEnd w:id="288"/>
      <w:bookmarkEnd w:id="289"/>
      <w:bookmarkEnd w:id="290"/>
      <w:bookmarkEnd w:id="291"/>
    </w:p>
    <w:p w14:paraId="6DCE85BC">
      <w:pPr>
        <w:spacing w:line="360" w:lineRule="auto"/>
        <w:ind w:firstLine="560"/>
        <w:jc w:val="center"/>
        <w:rPr>
          <w:rFonts w:hint="eastAsia" w:ascii="宋体" w:hAnsi="宋体" w:cs="宋体"/>
          <w:color w:val="auto"/>
          <w:sz w:val="28"/>
          <w:szCs w:val="27"/>
          <w:highlight w:val="none"/>
        </w:rPr>
      </w:pPr>
      <w:r>
        <w:rPr>
          <w:rFonts w:hint="eastAsia" w:ascii="宋体" w:hAnsi="宋体" w:cs="宋体"/>
          <w:color w:val="auto"/>
          <w:sz w:val="28"/>
          <w:szCs w:val="27"/>
          <w:highlight w:val="none"/>
        </w:rPr>
        <w:t>（另册）</w:t>
      </w:r>
    </w:p>
    <w:p w14:paraId="3287D709">
      <w:pPr>
        <w:pStyle w:val="2"/>
        <w:numPr>
          <w:ilvl w:val="0"/>
          <w:numId w:val="0"/>
        </w:numPr>
        <w:rPr>
          <w:color w:val="auto"/>
          <w:highlight w:val="none"/>
        </w:rPr>
      </w:pPr>
    </w:p>
    <w:p w14:paraId="1D378F98">
      <w:pPr>
        <w:spacing w:line="400" w:lineRule="exact"/>
        <w:rPr>
          <w:rFonts w:ascii="宋体" w:hAnsi="宋体"/>
          <w:b/>
          <w:color w:val="auto"/>
          <w:sz w:val="27"/>
          <w:szCs w:val="27"/>
          <w:highlight w:val="none"/>
        </w:rPr>
      </w:pPr>
    </w:p>
    <w:p w14:paraId="04E4AA1D">
      <w:pPr>
        <w:spacing w:line="360" w:lineRule="auto"/>
        <w:rPr>
          <w:rFonts w:ascii="宋体" w:hAnsi="宋体"/>
          <w:color w:val="auto"/>
          <w:szCs w:val="21"/>
          <w:highlight w:val="none"/>
        </w:rPr>
      </w:pPr>
    </w:p>
    <w:p w14:paraId="0DF9FCB6">
      <w:pPr>
        <w:widowControl/>
        <w:jc w:val="left"/>
        <w:rPr>
          <w:rFonts w:ascii="宋体" w:hAnsi="宋体"/>
          <w:color w:val="auto"/>
          <w:szCs w:val="21"/>
          <w:highlight w:val="none"/>
        </w:rPr>
      </w:pPr>
      <w:r>
        <w:rPr>
          <w:rFonts w:ascii="宋体" w:hAnsi="宋体"/>
          <w:color w:val="auto"/>
          <w:szCs w:val="21"/>
          <w:highlight w:val="none"/>
        </w:rPr>
        <w:br w:type="page"/>
      </w:r>
    </w:p>
    <w:p w14:paraId="31B98CE9">
      <w:pPr>
        <w:spacing w:line="360" w:lineRule="auto"/>
        <w:jc w:val="center"/>
        <w:outlineLvl w:val="1"/>
        <w:rPr>
          <w:rFonts w:ascii="黑体" w:hAnsi="黑体" w:eastAsia="黑体"/>
          <w:color w:val="auto"/>
          <w:sz w:val="32"/>
          <w:szCs w:val="27"/>
          <w:highlight w:val="none"/>
        </w:rPr>
      </w:pPr>
      <w:bookmarkStart w:id="292" w:name="_Toc259524409"/>
      <w:bookmarkStart w:id="293" w:name="_Toc17451127"/>
      <w:bookmarkStart w:id="294" w:name="_Toc17451604"/>
      <w:bookmarkStart w:id="295" w:name="_Toc17452690"/>
      <w:bookmarkStart w:id="296" w:name="_Toc17454897"/>
      <w:bookmarkStart w:id="297" w:name="_Toc17454948"/>
      <w:bookmarkStart w:id="298" w:name="_Toc17556902"/>
      <w:bookmarkStart w:id="299" w:name="_Toc17451649"/>
      <w:bookmarkStart w:id="300" w:name="_Toc18239"/>
      <w:bookmarkStart w:id="301" w:name="_Toc208"/>
      <w:r>
        <w:rPr>
          <w:rFonts w:hint="eastAsia" w:ascii="黑体" w:hAnsi="黑体" w:eastAsia="黑体"/>
          <w:color w:val="auto"/>
          <w:sz w:val="32"/>
          <w:szCs w:val="27"/>
          <w:highlight w:val="none"/>
        </w:rPr>
        <w:t>第七章 技术标准和要求</w:t>
      </w:r>
      <w:bookmarkEnd w:id="292"/>
      <w:r>
        <w:rPr>
          <w:rFonts w:hint="eastAsia" w:ascii="黑体" w:hAnsi="黑体" w:eastAsia="黑体"/>
          <w:color w:val="auto"/>
          <w:sz w:val="32"/>
          <w:szCs w:val="27"/>
          <w:highlight w:val="none"/>
        </w:rPr>
        <w:t>（合同技术条款）</w:t>
      </w:r>
      <w:bookmarkEnd w:id="293"/>
      <w:bookmarkEnd w:id="294"/>
      <w:bookmarkEnd w:id="295"/>
      <w:bookmarkEnd w:id="296"/>
      <w:bookmarkEnd w:id="297"/>
      <w:bookmarkEnd w:id="298"/>
      <w:bookmarkEnd w:id="299"/>
      <w:bookmarkEnd w:id="300"/>
      <w:bookmarkEnd w:id="301"/>
    </w:p>
    <w:p w14:paraId="6B4D3BA1">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按现行的中华人民共和国及有关部委分布的标准、规范、规程。若施工时间建设主管部门分布新的规范、标准等，则按照新的规范、标准执行。</w:t>
      </w:r>
    </w:p>
    <w:p w14:paraId="23370FFC">
      <w:pPr>
        <w:widowControl/>
        <w:jc w:val="left"/>
        <w:rPr>
          <w:rFonts w:ascii="宋体" w:hAnsi="宋体"/>
          <w:color w:val="auto"/>
          <w:sz w:val="24"/>
          <w:highlight w:val="none"/>
        </w:rPr>
      </w:pPr>
      <w:r>
        <w:rPr>
          <w:rFonts w:ascii="宋体" w:hAnsi="宋体"/>
          <w:color w:val="auto"/>
          <w:sz w:val="24"/>
          <w:highlight w:val="none"/>
        </w:rPr>
        <w:br w:type="page"/>
      </w:r>
    </w:p>
    <w:p w14:paraId="6F60E0A7">
      <w:pPr>
        <w:spacing w:line="360" w:lineRule="auto"/>
        <w:jc w:val="center"/>
        <w:outlineLvl w:val="1"/>
        <w:rPr>
          <w:rFonts w:ascii="黑体" w:hAnsi="黑体" w:eastAsia="黑体"/>
          <w:color w:val="auto"/>
          <w:sz w:val="32"/>
          <w:szCs w:val="27"/>
          <w:highlight w:val="none"/>
        </w:rPr>
      </w:pPr>
      <w:bookmarkStart w:id="302" w:name="_Toc17451128"/>
      <w:bookmarkStart w:id="303" w:name="_Toc17556903"/>
      <w:bookmarkStart w:id="304" w:name="_Toc259524411"/>
      <w:bookmarkStart w:id="305" w:name="_Toc17454898"/>
      <w:bookmarkStart w:id="306" w:name="_Toc17452691"/>
      <w:bookmarkStart w:id="307" w:name="_Toc17451605"/>
      <w:bookmarkStart w:id="308" w:name="_Toc17454949"/>
      <w:bookmarkStart w:id="309" w:name="_Toc15066"/>
      <w:bookmarkStart w:id="310" w:name="_Toc17451650"/>
      <w:bookmarkStart w:id="311" w:name="_Toc15291"/>
      <w:r>
        <w:rPr>
          <w:rFonts w:hint="eastAsia" w:ascii="黑体" w:hAnsi="黑体" w:eastAsia="黑体"/>
          <w:color w:val="auto"/>
          <w:sz w:val="32"/>
          <w:szCs w:val="27"/>
          <w:highlight w:val="none"/>
        </w:rPr>
        <w:t>第八章 投标文件格式</w:t>
      </w:r>
      <w:bookmarkEnd w:id="302"/>
      <w:bookmarkEnd w:id="303"/>
      <w:bookmarkEnd w:id="304"/>
      <w:bookmarkEnd w:id="305"/>
      <w:bookmarkEnd w:id="306"/>
      <w:bookmarkEnd w:id="307"/>
      <w:bookmarkEnd w:id="308"/>
      <w:bookmarkEnd w:id="309"/>
      <w:bookmarkEnd w:id="310"/>
      <w:bookmarkEnd w:id="311"/>
    </w:p>
    <w:p w14:paraId="007A502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14:paraId="454FF16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1.1《投标函附录》是投标文件的重要组成部分，其内容是投标人开标信息的主要来源，投标人应准确填写《投标函附录》的相关内容。</w:t>
      </w:r>
    </w:p>
    <w:p w14:paraId="55928E0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  《投标函附录》内容按以下表述填写。</w:t>
      </w:r>
    </w:p>
    <w:p w14:paraId="6A1B8C6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投标总工期：“＿日历天”或“按招标文件的要求”；</w:t>
      </w:r>
    </w:p>
    <w:p w14:paraId="63CF489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工程质量标准：“按招标文件的要求”；</w:t>
      </w:r>
    </w:p>
    <w:p w14:paraId="50DB8E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保修期限： “按《建设工程质量管理条例》规定”或“按招标文件的要求”。</w:t>
      </w:r>
    </w:p>
    <w:p w14:paraId="2884F36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1.3工程量清单报价表</w:t>
      </w:r>
      <w:r>
        <w:rPr>
          <w:color w:val="auto"/>
          <w:sz w:val="24"/>
          <w:szCs w:val="24"/>
          <w:highlight w:val="none"/>
        </w:rPr>
        <w:t>工程量清单报价表应使用符合广东省标准《建设工程政府投资项目造价数据标准（DBJ/T15-145-2018）》及后续版本的有关规定</w:t>
      </w:r>
      <w:r>
        <w:rPr>
          <w:rFonts w:hint="eastAsia" w:ascii="宋体" w:hAnsi="宋体"/>
          <w:color w:val="auto"/>
          <w:sz w:val="24"/>
          <w:szCs w:val="24"/>
          <w:highlight w:val="none"/>
        </w:rPr>
        <w:t>的</w:t>
      </w:r>
      <w:r>
        <w:rPr>
          <w:rFonts w:ascii="宋体" w:hAnsi="宋体"/>
          <w:color w:val="auto"/>
          <w:sz w:val="24"/>
          <w:szCs w:val="24"/>
          <w:highlight w:val="none"/>
        </w:rPr>
        <w:t>cos</w:t>
      </w:r>
      <w:r>
        <w:rPr>
          <w:rFonts w:hint="eastAsia" w:ascii="宋体" w:hAnsi="宋体"/>
          <w:color w:val="auto"/>
          <w:sz w:val="24"/>
          <w:szCs w:val="24"/>
          <w:highlight w:val="none"/>
        </w:rPr>
        <w:t>文件</w:t>
      </w:r>
      <w:r>
        <w:rPr>
          <w:rFonts w:hint="eastAsia"/>
          <w:color w:val="auto"/>
          <w:sz w:val="24"/>
          <w:szCs w:val="24"/>
          <w:highlight w:val="none"/>
        </w:rPr>
        <w:t>或者投标文件编制工具要求的文件格式，</w:t>
      </w:r>
      <w:r>
        <w:rPr>
          <w:rFonts w:hint="eastAsia" w:ascii="宋体" w:hAnsi="宋体"/>
          <w:color w:val="auto"/>
          <w:sz w:val="24"/>
          <w:highlight w:val="none"/>
        </w:rPr>
        <w:t>《投标函附录》使用</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14:paraId="6556855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 投标人为联合体投标时，应按以下规定填写。</w:t>
      </w:r>
    </w:p>
    <w:p w14:paraId="6BD94A5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1.4.1投标人在</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信息登记时，必须将联合体的所有成员单位的全称填写完整。</w:t>
      </w:r>
    </w:p>
    <w:p w14:paraId="367AD4A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1.4.2投标人在编制工程量清单时</w:t>
      </w:r>
      <w:r>
        <w:rPr>
          <w:rFonts w:hint="eastAsia" w:ascii="宋体" w:hAnsi="宋体"/>
          <w:color w:val="auto"/>
          <w:sz w:val="24"/>
          <w:highlight w:val="none"/>
          <w:lang w:val="en-US" w:eastAsia="zh-CN"/>
        </w:rPr>
        <w:t>允许</w:t>
      </w:r>
      <w:r>
        <w:rPr>
          <w:rFonts w:hint="eastAsia" w:ascii="宋体" w:hAnsi="宋体"/>
          <w:color w:val="auto"/>
          <w:sz w:val="24"/>
          <w:highlight w:val="none"/>
        </w:rPr>
        <w:t>只填写主体单位全称，且要求填写的全称与</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登记名称完全一致。</w:t>
      </w:r>
    </w:p>
    <w:p w14:paraId="7288D07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1.5投标文件中要求盖单位章的，均以盖电子签章为准。要求</w:t>
      </w:r>
      <w:r>
        <w:rPr>
          <w:rFonts w:hint="eastAsia"/>
          <w:color w:val="auto"/>
          <w:sz w:val="24"/>
          <w:szCs w:val="24"/>
          <w:highlight w:val="none"/>
        </w:rPr>
        <w:t>规定法定代表人或授权委托人人、项目负责人和技术负责人签字的页面必须签字。签字必须由本人在规定页面手写签名或签章后扫描上传。</w:t>
      </w:r>
    </w:p>
    <w:p w14:paraId="499EEEAD">
      <w:pPr>
        <w:widowControl/>
        <w:jc w:val="left"/>
        <w:rPr>
          <w:rFonts w:ascii="宋体" w:hAnsi="宋体"/>
          <w:color w:val="auto"/>
          <w:sz w:val="24"/>
          <w:highlight w:val="none"/>
        </w:rPr>
      </w:pPr>
      <w:r>
        <w:rPr>
          <w:rFonts w:ascii="宋体" w:hAnsi="宋体"/>
          <w:color w:val="auto"/>
          <w:sz w:val="24"/>
          <w:highlight w:val="none"/>
        </w:rPr>
        <w:br w:type="page"/>
      </w:r>
    </w:p>
    <w:p w14:paraId="60C9907F">
      <w:pPr>
        <w:spacing w:line="400" w:lineRule="exact"/>
        <w:rPr>
          <w:color w:val="auto"/>
          <w:sz w:val="35"/>
          <w:szCs w:val="35"/>
          <w:highlight w:val="none"/>
        </w:rPr>
      </w:pPr>
    </w:p>
    <w:p w14:paraId="5CCDF841">
      <w:pPr>
        <w:spacing w:line="400" w:lineRule="exact"/>
        <w:rPr>
          <w:rFonts w:eastAsia="黑体"/>
          <w:color w:val="auto"/>
          <w:sz w:val="19"/>
          <w:szCs w:val="19"/>
          <w:highlight w:val="none"/>
        </w:rPr>
      </w:pPr>
    </w:p>
    <w:p w14:paraId="2FCFB626">
      <w:pPr>
        <w:spacing w:line="400" w:lineRule="exact"/>
        <w:rPr>
          <w:rFonts w:eastAsia="黑体"/>
          <w:color w:val="auto"/>
          <w:sz w:val="19"/>
          <w:szCs w:val="19"/>
          <w:highlight w:val="none"/>
        </w:rPr>
      </w:pPr>
    </w:p>
    <w:p w14:paraId="535B1AFA">
      <w:pPr>
        <w:spacing w:line="400" w:lineRule="exact"/>
        <w:rPr>
          <w:rFonts w:hint="eastAsia" w:ascii="宋体" w:hAnsi="宋体" w:cs="宋体"/>
          <w:color w:val="auto"/>
          <w:sz w:val="19"/>
          <w:szCs w:val="19"/>
          <w:highlight w:val="none"/>
        </w:rPr>
      </w:pPr>
    </w:p>
    <w:p w14:paraId="4C0AD6BC">
      <w:pPr>
        <w:spacing w:line="400" w:lineRule="exact"/>
        <w:jc w:val="center"/>
        <w:rPr>
          <w:rFonts w:hint="eastAsia" w:ascii="宋体" w:hAnsi="宋体" w:cs="宋体"/>
          <w:color w:val="auto"/>
          <w:sz w:val="27"/>
          <w:szCs w:val="27"/>
          <w:highlight w:val="none"/>
        </w:rPr>
      </w:pPr>
      <w:bookmarkStart w:id="312" w:name="_Toc221951910"/>
      <w:r>
        <w:rPr>
          <w:rFonts w:hint="eastAsia" w:ascii="宋体" w:hAnsi="宋体" w:cs="宋体"/>
          <w:color w:val="auto"/>
          <w:sz w:val="36"/>
          <w:szCs w:val="36"/>
          <w:highlight w:val="none"/>
          <w:u w:val="single"/>
        </w:rPr>
        <w:t>（项目名称）</w:t>
      </w:r>
      <w:bookmarkEnd w:id="312"/>
    </w:p>
    <w:p w14:paraId="797E1FDF">
      <w:pPr>
        <w:spacing w:line="400" w:lineRule="exact"/>
        <w:rPr>
          <w:rFonts w:hint="eastAsia" w:ascii="宋体" w:hAnsi="宋体" w:cs="宋体"/>
          <w:color w:val="auto"/>
          <w:sz w:val="19"/>
          <w:szCs w:val="19"/>
          <w:highlight w:val="none"/>
        </w:rPr>
      </w:pPr>
    </w:p>
    <w:p w14:paraId="72819601">
      <w:pPr>
        <w:spacing w:line="400" w:lineRule="exact"/>
        <w:rPr>
          <w:rFonts w:hint="eastAsia" w:ascii="宋体" w:hAnsi="宋体" w:cs="宋体"/>
          <w:color w:val="auto"/>
          <w:sz w:val="19"/>
          <w:szCs w:val="19"/>
          <w:highlight w:val="none"/>
        </w:rPr>
      </w:pPr>
    </w:p>
    <w:p w14:paraId="3D621E36">
      <w:pPr>
        <w:spacing w:line="400" w:lineRule="exact"/>
        <w:jc w:val="center"/>
        <w:rPr>
          <w:rFonts w:hint="eastAsia" w:ascii="宋体" w:hAnsi="宋体" w:cs="宋体"/>
          <w:color w:val="auto"/>
          <w:sz w:val="42"/>
          <w:szCs w:val="42"/>
          <w:highlight w:val="none"/>
        </w:rPr>
      </w:pPr>
      <w:bookmarkStart w:id="313" w:name="_Toc221951911"/>
    </w:p>
    <w:p w14:paraId="68F72F26">
      <w:pPr>
        <w:spacing w:line="400" w:lineRule="exact"/>
        <w:jc w:val="center"/>
        <w:rPr>
          <w:rFonts w:hint="eastAsia" w:ascii="宋体" w:hAnsi="宋体" w:cs="宋体"/>
          <w:color w:val="auto"/>
          <w:sz w:val="42"/>
          <w:szCs w:val="42"/>
          <w:highlight w:val="none"/>
        </w:rPr>
      </w:pPr>
    </w:p>
    <w:p w14:paraId="3A6C7F29">
      <w:pPr>
        <w:spacing w:line="400" w:lineRule="exact"/>
        <w:jc w:val="center"/>
        <w:rPr>
          <w:rFonts w:hint="eastAsia" w:ascii="宋体" w:hAnsi="宋体" w:cs="宋体"/>
          <w:color w:val="auto"/>
          <w:sz w:val="42"/>
          <w:szCs w:val="42"/>
          <w:highlight w:val="none"/>
        </w:rPr>
      </w:pPr>
    </w:p>
    <w:p w14:paraId="20D42BF7">
      <w:pPr>
        <w:spacing w:line="400" w:lineRule="exact"/>
        <w:jc w:val="center"/>
        <w:rPr>
          <w:rFonts w:hint="eastAsia" w:ascii="宋体" w:hAnsi="宋体" w:cs="宋体"/>
          <w:color w:val="auto"/>
          <w:sz w:val="42"/>
          <w:szCs w:val="42"/>
          <w:highlight w:val="none"/>
        </w:rPr>
      </w:pPr>
    </w:p>
    <w:p w14:paraId="17289044">
      <w:pPr>
        <w:spacing w:line="400" w:lineRule="exact"/>
        <w:jc w:val="center"/>
        <w:rPr>
          <w:rFonts w:hint="eastAsia" w:ascii="宋体" w:hAnsi="宋体" w:cs="宋体"/>
          <w:color w:val="auto"/>
          <w:sz w:val="42"/>
          <w:szCs w:val="42"/>
          <w:highlight w:val="none"/>
        </w:rPr>
      </w:pPr>
    </w:p>
    <w:p w14:paraId="759585DA">
      <w:pPr>
        <w:spacing w:line="400" w:lineRule="exact"/>
        <w:jc w:val="center"/>
        <w:rPr>
          <w:rFonts w:hint="eastAsia" w:ascii="宋体" w:hAnsi="宋体" w:cs="宋体"/>
          <w:color w:val="auto"/>
          <w:sz w:val="42"/>
          <w:szCs w:val="42"/>
          <w:highlight w:val="none"/>
        </w:rPr>
      </w:pPr>
    </w:p>
    <w:p w14:paraId="4C651C55">
      <w:pPr>
        <w:spacing w:line="400" w:lineRule="exact"/>
        <w:jc w:val="center"/>
        <w:rPr>
          <w:rFonts w:hint="eastAsia" w:ascii="宋体" w:hAnsi="宋体" w:cs="宋体"/>
          <w:color w:val="auto"/>
          <w:sz w:val="42"/>
          <w:szCs w:val="42"/>
          <w:highlight w:val="none"/>
        </w:rPr>
      </w:pPr>
      <w:r>
        <w:rPr>
          <w:rFonts w:hint="eastAsia" w:ascii="宋体" w:hAnsi="宋体" w:cs="宋体"/>
          <w:b/>
          <w:bCs/>
          <w:color w:val="auto"/>
          <w:sz w:val="44"/>
          <w:szCs w:val="44"/>
          <w:highlight w:val="none"/>
        </w:rPr>
        <w:t>投标文件</w:t>
      </w:r>
      <w:bookmarkEnd w:id="313"/>
    </w:p>
    <w:p w14:paraId="03F1436A">
      <w:pPr>
        <w:spacing w:line="400" w:lineRule="exact"/>
        <w:rPr>
          <w:rFonts w:hint="eastAsia" w:ascii="宋体" w:hAnsi="宋体" w:cs="宋体"/>
          <w:color w:val="auto"/>
          <w:sz w:val="27"/>
          <w:szCs w:val="27"/>
          <w:highlight w:val="none"/>
        </w:rPr>
      </w:pPr>
    </w:p>
    <w:p w14:paraId="077D917E">
      <w:pPr>
        <w:spacing w:line="400" w:lineRule="exact"/>
        <w:rPr>
          <w:rFonts w:hint="eastAsia" w:ascii="宋体" w:hAnsi="宋体" w:cs="宋体"/>
          <w:color w:val="auto"/>
          <w:sz w:val="27"/>
          <w:szCs w:val="27"/>
          <w:highlight w:val="none"/>
        </w:rPr>
      </w:pPr>
    </w:p>
    <w:p w14:paraId="19781536">
      <w:pPr>
        <w:spacing w:line="400" w:lineRule="exact"/>
        <w:rPr>
          <w:rFonts w:hint="eastAsia" w:ascii="宋体" w:hAnsi="宋体" w:cs="宋体"/>
          <w:color w:val="auto"/>
          <w:sz w:val="27"/>
          <w:szCs w:val="27"/>
          <w:highlight w:val="none"/>
        </w:rPr>
      </w:pPr>
    </w:p>
    <w:p w14:paraId="6981B31F">
      <w:pPr>
        <w:spacing w:line="400" w:lineRule="exact"/>
        <w:rPr>
          <w:rFonts w:hint="eastAsia" w:ascii="宋体" w:hAnsi="宋体" w:cs="宋体"/>
          <w:color w:val="auto"/>
          <w:sz w:val="27"/>
          <w:szCs w:val="27"/>
          <w:highlight w:val="none"/>
        </w:rPr>
      </w:pPr>
    </w:p>
    <w:p w14:paraId="11C68389">
      <w:pPr>
        <w:spacing w:line="400" w:lineRule="exact"/>
        <w:rPr>
          <w:rFonts w:hint="eastAsia" w:ascii="宋体" w:hAnsi="宋体" w:cs="宋体"/>
          <w:color w:val="auto"/>
          <w:sz w:val="27"/>
          <w:szCs w:val="27"/>
          <w:highlight w:val="none"/>
        </w:rPr>
      </w:pPr>
    </w:p>
    <w:p w14:paraId="0085DCFE">
      <w:pPr>
        <w:spacing w:line="400" w:lineRule="exact"/>
        <w:rPr>
          <w:rFonts w:hint="eastAsia" w:ascii="宋体" w:hAnsi="宋体" w:cs="宋体"/>
          <w:color w:val="auto"/>
          <w:sz w:val="27"/>
          <w:szCs w:val="27"/>
          <w:highlight w:val="none"/>
        </w:rPr>
      </w:pPr>
    </w:p>
    <w:p w14:paraId="62194B4E">
      <w:pPr>
        <w:spacing w:line="400" w:lineRule="exact"/>
        <w:rPr>
          <w:rFonts w:hint="eastAsia" w:ascii="宋体" w:hAnsi="宋体" w:cs="宋体"/>
          <w:color w:val="auto"/>
          <w:sz w:val="27"/>
          <w:szCs w:val="27"/>
          <w:highlight w:val="none"/>
        </w:rPr>
      </w:pPr>
    </w:p>
    <w:p w14:paraId="16A50D6B">
      <w:pPr>
        <w:spacing w:line="400" w:lineRule="exact"/>
        <w:rPr>
          <w:rFonts w:hint="eastAsia" w:ascii="宋体" w:hAnsi="宋体" w:cs="宋体"/>
          <w:color w:val="auto"/>
          <w:sz w:val="27"/>
          <w:szCs w:val="27"/>
          <w:highlight w:val="none"/>
        </w:rPr>
      </w:pPr>
    </w:p>
    <w:p w14:paraId="760393F5">
      <w:pPr>
        <w:spacing w:line="400" w:lineRule="exact"/>
        <w:rPr>
          <w:rFonts w:hint="eastAsia" w:ascii="宋体" w:hAnsi="宋体" w:cs="宋体"/>
          <w:color w:val="auto"/>
          <w:sz w:val="27"/>
          <w:szCs w:val="27"/>
          <w:highlight w:val="none"/>
        </w:rPr>
      </w:pPr>
    </w:p>
    <w:p w14:paraId="47F32197">
      <w:pPr>
        <w:spacing w:line="400" w:lineRule="exact"/>
        <w:rPr>
          <w:rFonts w:hint="eastAsia" w:ascii="宋体" w:hAnsi="宋体" w:cs="宋体"/>
          <w:color w:val="auto"/>
          <w:sz w:val="27"/>
          <w:szCs w:val="27"/>
          <w:highlight w:val="none"/>
        </w:rPr>
      </w:pPr>
      <w:bookmarkStart w:id="314" w:name="_Toc221951912"/>
    </w:p>
    <w:p w14:paraId="03FD91B0">
      <w:pPr>
        <w:spacing w:line="400" w:lineRule="exact"/>
        <w:jc w:val="center"/>
        <w:rPr>
          <w:rFonts w:hint="eastAsia" w:ascii="宋体" w:hAnsi="宋体" w:cs="宋体"/>
          <w:color w:val="auto"/>
          <w:sz w:val="27"/>
          <w:szCs w:val="27"/>
          <w:highlight w:val="none"/>
        </w:rPr>
      </w:pPr>
    </w:p>
    <w:p w14:paraId="0AF55A00">
      <w:pPr>
        <w:spacing w:line="400" w:lineRule="exact"/>
        <w:jc w:val="center"/>
        <w:rPr>
          <w:rFonts w:hint="eastAsia" w:ascii="宋体" w:hAnsi="宋体" w:cs="宋体"/>
          <w:color w:val="auto"/>
          <w:sz w:val="27"/>
          <w:szCs w:val="27"/>
          <w:highlight w:val="none"/>
        </w:rPr>
      </w:pPr>
    </w:p>
    <w:p w14:paraId="3F352402">
      <w:pPr>
        <w:spacing w:line="400" w:lineRule="exact"/>
        <w:jc w:val="center"/>
        <w:rPr>
          <w:rFonts w:hint="eastAsia" w:ascii="宋体" w:hAnsi="宋体" w:cs="宋体"/>
          <w:color w:val="auto"/>
          <w:sz w:val="27"/>
          <w:szCs w:val="27"/>
          <w:highlight w:val="none"/>
        </w:rPr>
      </w:pPr>
    </w:p>
    <w:p w14:paraId="2E6B6B8B">
      <w:pPr>
        <w:spacing w:line="400" w:lineRule="exact"/>
        <w:jc w:val="center"/>
        <w:rPr>
          <w:rFonts w:hint="eastAsia" w:ascii="宋体" w:hAnsi="宋体" w:cs="宋体"/>
          <w:color w:val="auto"/>
          <w:sz w:val="27"/>
          <w:szCs w:val="27"/>
          <w:highlight w:val="none"/>
        </w:rPr>
      </w:pPr>
      <w:r>
        <w:rPr>
          <w:rFonts w:hint="eastAsia" w:ascii="宋体" w:hAnsi="宋体" w:cs="宋体"/>
          <w:color w:val="auto"/>
          <w:sz w:val="27"/>
          <w:szCs w:val="27"/>
          <w:highlight w:val="none"/>
        </w:rPr>
        <w:t>投标人：</w:t>
      </w:r>
      <w:r>
        <w:rPr>
          <w:rFonts w:hint="eastAsia" w:ascii="宋体" w:hAnsi="宋体" w:cs="宋体"/>
          <w:color w:val="auto"/>
          <w:sz w:val="27"/>
          <w:szCs w:val="27"/>
          <w:highlight w:val="none"/>
          <w:u w:val="single"/>
        </w:rPr>
        <w:t xml:space="preserve">                              </w:t>
      </w:r>
      <w:r>
        <w:rPr>
          <w:rFonts w:hint="eastAsia" w:ascii="宋体" w:hAnsi="宋体" w:cs="宋体"/>
          <w:color w:val="auto"/>
          <w:sz w:val="27"/>
          <w:szCs w:val="27"/>
          <w:highlight w:val="none"/>
        </w:rPr>
        <w:t>（盖单位章）</w:t>
      </w:r>
      <w:bookmarkEnd w:id="314"/>
    </w:p>
    <w:p w14:paraId="5B8D7667">
      <w:pPr>
        <w:spacing w:line="400" w:lineRule="exact"/>
        <w:jc w:val="center"/>
        <w:rPr>
          <w:rFonts w:hint="eastAsia" w:ascii="宋体" w:hAnsi="宋体" w:cs="宋体"/>
          <w:color w:val="auto"/>
          <w:sz w:val="27"/>
          <w:szCs w:val="27"/>
          <w:highlight w:val="none"/>
          <w:u w:val="single"/>
        </w:rPr>
      </w:pPr>
    </w:p>
    <w:p w14:paraId="6D34EF1E">
      <w:pPr>
        <w:spacing w:line="360" w:lineRule="auto"/>
        <w:jc w:val="center"/>
        <w:rPr>
          <w:rFonts w:ascii="宋体" w:hAnsi="宋体"/>
          <w:color w:val="auto"/>
          <w:sz w:val="27"/>
          <w:szCs w:val="27"/>
          <w:highlight w:val="none"/>
        </w:rPr>
      </w:pPr>
      <w:r>
        <w:rPr>
          <w:rFonts w:hint="eastAsia" w:ascii="宋体" w:hAnsi="宋体" w:cs="宋体"/>
          <w:color w:val="auto"/>
          <w:sz w:val="27"/>
          <w:szCs w:val="27"/>
          <w:highlight w:val="none"/>
          <w:u w:val="single"/>
        </w:rPr>
        <w:t xml:space="preserve">        </w:t>
      </w:r>
      <w:bookmarkStart w:id="315" w:name="_Toc221951914"/>
      <w:r>
        <w:rPr>
          <w:rFonts w:hint="eastAsia" w:ascii="宋体" w:hAnsi="宋体" w:cs="宋体"/>
          <w:color w:val="auto"/>
          <w:sz w:val="27"/>
          <w:szCs w:val="27"/>
          <w:highlight w:val="none"/>
        </w:rPr>
        <w:t>年</w:t>
      </w:r>
      <w:r>
        <w:rPr>
          <w:rFonts w:hint="eastAsia" w:ascii="宋体" w:hAnsi="宋体" w:cs="宋体"/>
          <w:color w:val="auto"/>
          <w:sz w:val="27"/>
          <w:szCs w:val="27"/>
          <w:highlight w:val="none"/>
          <w:u w:val="single"/>
        </w:rPr>
        <w:t xml:space="preserve">        </w:t>
      </w:r>
      <w:r>
        <w:rPr>
          <w:rFonts w:hint="eastAsia" w:ascii="宋体" w:hAnsi="宋体" w:cs="宋体"/>
          <w:color w:val="auto"/>
          <w:sz w:val="27"/>
          <w:szCs w:val="27"/>
          <w:highlight w:val="none"/>
        </w:rPr>
        <w:t>月</w:t>
      </w:r>
      <w:r>
        <w:rPr>
          <w:rFonts w:hint="eastAsia" w:ascii="宋体" w:hAnsi="宋体" w:cs="宋体"/>
          <w:color w:val="auto"/>
          <w:sz w:val="27"/>
          <w:szCs w:val="27"/>
          <w:highlight w:val="none"/>
          <w:u w:val="single"/>
        </w:rPr>
        <w:t xml:space="preserve">         </w:t>
      </w:r>
      <w:r>
        <w:rPr>
          <w:rFonts w:hint="eastAsia" w:ascii="宋体" w:hAnsi="宋体" w:cs="宋体"/>
          <w:color w:val="auto"/>
          <w:sz w:val="27"/>
          <w:szCs w:val="27"/>
          <w:highlight w:val="none"/>
        </w:rPr>
        <w:t>日</w:t>
      </w:r>
      <w:bookmarkEnd w:id="315"/>
    </w:p>
    <w:p w14:paraId="681FD260">
      <w:pPr>
        <w:pStyle w:val="4"/>
        <w:numPr>
          <w:ilvl w:val="0"/>
          <w:numId w:val="0"/>
        </w:numPr>
        <w:jc w:val="center"/>
        <w:rPr>
          <w:color w:val="auto"/>
          <w:highlight w:val="none"/>
        </w:rPr>
      </w:pPr>
      <w:r>
        <w:rPr>
          <w:color w:val="auto"/>
          <w:sz w:val="27"/>
          <w:szCs w:val="27"/>
          <w:highlight w:val="none"/>
        </w:rPr>
        <w:br w:type="page"/>
      </w:r>
      <w:bookmarkStart w:id="316" w:name="_Toc174784340"/>
      <w:bookmarkStart w:id="317" w:name="_Toc120997474"/>
      <w:bookmarkStart w:id="318" w:name="_Toc477711671"/>
      <w:bookmarkStart w:id="319" w:name="_Toc229305418"/>
      <w:bookmarkStart w:id="320" w:name="_Toc21787759"/>
      <w:bookmarkStart w:id="321" w:name="_Toc6990"/>
      <w:bookmarkStart w:id="322" w:name="_Toc30847"/>
      <w:r>
        <w:rPr>
          <w:color w:val="auto"/>
          <w:highlight w:val="none"/>
        </w:rPr>
        <w:t>评标要素索引表</w:t>
      </w:r>
      <w:bookmarkEnd w:id="316"/>
      <w:bookmarkEnd w:id="317"/>
      <w:bookmarkEnd w:id="318"/>
      <w:bookmarkEnd w:id="319"/>
      <w:bookmarkEnd w:id="320"/>
      <w:bookmarkEnd w:id="321"/>
      <w:bookmarkEnd w:id="322"/>
    </w:p>
    <w:tbl>
      <w:tblPr>
        <w:tblStyle w:val="1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580"/>
        <w:gridCol w:w="2120"/>
      </w:tblGrid>
      <w:tr w14:paraId="3030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5A09DCD5">
            <w:pPr>
              <w:adjustRightInd w:val="0"/>
              <w:snapToGrid w:val="0"/>
              <w:spacing w:line="400" w:lineRule="exact"/>
              <w:jc w:val="center"/>
              <w:rPr>
                <w:rFonts w:ascii="宋体" w:hAnsi="宋体"/>
                <w:b/>
                <w:color w:val="auto"/>
                <w:szCs w:val="21"/>
                <w:highlight w:val="none"/>
              </w:rPr>
            </w:pPr>
            <w:r>
              <w:rPr>
                <w:rFonts w:ascii="宋体" w:hAnsi="宋体"/>
                <w:b/>
                <w:color w:val="auto"/>
                <w:szCs w:val="21"/>
                <w:highlight w:val="none"/>
              </w:rPr>
              <w:t>序号</w:t>
            </w:r>
          </w:p>
        </w:tc>
        <w:tc>
          <w:tcPr>
            <w:tcW w:w="5580" w:type="dxa"/>
            <w:noWrap w:val="0"/>
            <w:vAlign w:val="center"/>
          </w:tcPr>
          <w:p w14:paraId="3677E68B">
            <w:pPr>
              <w:adjustRightInd w:val="0"/>
              <w:snapToGrid w:val="0"/>
              <w:spacing w:line="400" w:lineRule="exact"/>
              <w:jc w:val="center"/>
              <w:rPr>
                <w:rFonts w:ascii="宋体" w:hAnsi="宋体"/>
                <w:b/>
                <w:color w:val="auto"/>
                <w:szCs w:val="21"/>
                <w:highlight w:val="none"/>
              </w:rPr>
            </w:pPr>
            <w:r>
              <w:rPr>
                <w:rFonts w:ascii="宋体" w:hAnsi="宋体"/>
                <w:b/>
                <w:color w:val="auto"/>
                <w:szCs w:val="21"/>
                <w:highlight w:val="none"/>
              </w:rPr>
              <w:t>评审内容</w:t>
            </w:r>
          </w:p>
        </w:tc>
        <w:tc>
          <w:tcPr>
            <w:tcW w:w="2120" w:type="dxa"/>
            <w:noWrap w:val="0"/>
            <w:vAlign w:val="center"/>
          </w:tcPr>
          <w:p w14:paraId="5DB683DD">
            <w:pPr>
              <w:adjustRightInd w:val="0"/>
              <w:snapToGrid w:val="0"/>
              <w:spacing w:line="400" w:lineRule="exact"/>
              <w:jc w:val="center"/>
              <w:rPr>
                <w:rFonts w:ascii="宋体" w:hAnsi="宋体"/>
                <w:b/>
                <w:color w:val="auto"/>
                <w:szCs w:val="21"/>
                <w:highlight w:val="none"/>
              </w:rPr>
            </w:pPr>
            <w:r>
              <w:rPr>
                <w:rFonts w:ascii="宋体" w:hAnsi="宋体"/>
                <w:b/>
                <w:color w:val="auto"/>
                <w:szCs w:val="21"/>
                <w:highlight w:val="none"/>
              </w:rPr>
              <w:t>投标文件页码范围</w:t>
            </w:r>
          </w:p>
        </w:tc>
      </w:tr>
      <w:tr w14:paraId="2903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noWrap w:val="0"/>
            <w:vAlign w:val="center"/>
          </w:tcPr>
          <w:p w14:paraId="68956921">
            <w:pPr>
              <w:adjustRightInd w:val="0"/>
              <w:snapToGrid w:val="0"/>
              <w:spacing w:line="400" w:lineRule="exact"/>
              <w:jc w:val="center"/>
              <w:rPr>
                <w:rFonts w:ascii="宋体" w:hAnsi="宋体"/>
                <w:b/>
                <w:bCs/>
                <w:color w:val="auto"/>
                <w:szCs w:val="21"/>
                <w:highlight w:val="none"/>
              </w:rPr>
            </w:pPr>
          </w:p>
        </w:tc>
        <w:tc>
          <w:tcPr>
            <w:tcW w:w="5580" w:type="dxa"/>
            <w:noWrap w:val="0"/>
            <w:vAlign w:val="center"/>
          </w:tcPr>
          <w:p w14:paraId="03677461">
            <w:pPr>
              <w:adjustRightInd w:val="0"/>
              <w:snapToGrid w:val="0"/>
              <w:spacing w:line="400" w:lineRule="exact"/>
              <w:jc w:val="center"/>
              <w:rPr>
                <w:rFonts w:ascii="宋体" w:hAnsi="宋体"/>
                <w:bCs/>
                <w:color w:val="auto"/>
                <w:szCs w:val="21"/>
                <w:highlight w:val="none"/>
                <w:u w:val="single"/>
              </w:rPr>
            </w:pPr>
          </w:p>
        </w:tc>
        <w:tc>
          <w:tcPr>
            <w:tcW w:w="2120" w:type="dxa"/>
            <w:noWrap w:val="0"/>
            <w:vAlign w:val="center"/>
          </w:tcPr>
          <w:p w14:paraId="2EBE3E5D">
            <w:pPr>
              <w:adjustRightInd w:val="0"/>
              <w:snapToGrid w:val="0"/>
              <w:spacing w:line="400" w:lineRule="exact"/>
              <w:jc w:val="center"/>
              <w:rPr>
                <w:rFonts w:ascii="宋体" w:hAnsi="宋体"/>
                <w:bCs/>
                <w:color w:val="auto"/>
                <w:szCs w:val="21"/>
                <w:highlight w:val="none"/>
                <w:u w:val="single"/>
              </w:rPr>
            </w:pPr>
            <w:r>
              <w:rPr>
                <w:rFonts w:ascii="宋体" w:hAnsi="宋体"/>
                <w:bCs/>
                <w:color w:val="auto"/>
                <w:szCs w:val="21"/>
                <w:highlight w:val="none"/>
              </w:rPr>
              <w:t>P～P</w:t>
            </w:r>
          </w:p>
        </w:tc>
      </w:tr>
      <w:tr w14:paraId="16F4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noWrap w:val="0"/>
            <w:vAlign w:val="center"/>
          </w:tcPr>
          <w:p w14:paraId="1B53382D">
            <w:pPr>
              <w:adjustRightInd w:val="0"/>
              <w:snapToGrid w:val="0"/>
              <w:spacing w:line="400" w:lineRule="exact"/>
              <w:jc w:val="center"/>
              <w:rPr>
                <w:rFonts w:ascii="宋体" w:hAnsi="宋体"/>
                <w:b/>
                <w:bCs/>
                <w:color w:val="auto"/>
                <w:szCs w:val="21"/>
                <w:highlight w:val="none"/>
              </w:rPr>
            </w:pPr>
          </w:p>
        </w:tc>
        <w:tc>
          <w:tcPr>
            <w:tcW w:w="5580" w:type="dxa"/>
            <w:noWrap w:val="0"/>
            <w:vAlign w:val="center"/>
          </w:tcPr>
          <w:p w14:paraId="1A769F2A">
            <w:pPr>
              <w:adjustRightInd w:val="0"/>
              <w:snapToGrid w:val="0"/>
              <w:spacing w:line="400" w:lineRule="exact"/>
              <w:jc w:val="center"/>
              <w:rPr>
                <w:rFonts w:ascii="宋体" w:hAnsi="宋体"/>
                <w:bCs/>
                <w:color w:val="auto"/>
                <w:szCs w:val="21"/>
                <w:highlight w:val="none"/>
              </w:rPr>
            </w:pPr>
          </w:p>
        </w:tc>
        <w:tc>
          <w:tcPr>
            <w:tcW w:w="2120" w:type="dxa"/>
            <w:noWrap w:val="0"/>
            <w:vAlign w:val="center"/>
          </w:tcPr>
          <w:p w14:paraId="0035B3DB">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P～P</w:t>
            </w:r>
          </w:p>
        </w:tc>
      </w:tr>
      <w:tr w14:paraId="7B1C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828" w:type="dxa"/>
            <w:noWrap w:val="0"/>
            <w:vAlign w:val="center"/>
          </w:tcPr>
          <w:p w14:paraId="14D7CF30">
            <w:pPr>
              <w:adjustRightInd w:val="0"/>
              <w:snapToGrid w:val="0"/>
              <w:spacing w:line="400" w:lineRule="exact"/>
              <w:jc w:val="center"/>
              <w:rPr>
                <w:rFonts w:ascii="宋体" w:hAnsi="宋体"/>
                <w:b/>
                <w:bCs/>
                <w:color w:val="auto"/>
                <w:szCs w:val="21"/>
                <w:highlight w:val="none"/>
              </w:rPr>
            </w:pPr>
          </w:p>
        </w:tc>
        <w:tc>
          <w:tcPr>
            <w:tcW w:w="5580" w:type="dxa"/>
            <w:noWrap w:val="0"/>
            <w:vAlign w:val="center"/>
          </w:tcPr>
          <w:p w14:paraId="29FD5FEA">
            <w:pPr>
              <w:adjustRightInd w:val="0"/>
              <w:snapToGrid w:val="0"/>
              <w:spacing w:line="400" w:lineRule="exact"/>
              <w:jc w:val="center"/>
              <w:rPr>
                <w:rFonts w:ascii="宋体" w:hAnsi="宋体"/>
                <w:bCs/>
                <w:color w:val="auto"/>
                <w:szCs w:val="21"/>
                <w:highlight w:val="none"/>
              </w:rPr>
            </w:pPr>
          </w:p>
        </w:tc>
        <w:tc>
          <w:tcPr>
            <w:tcW w:w="2120" w:type="dxa"/>
            <w:noWrap w:val="0"/>
            <w:vAlign w:val="center"/>
          </w:tcPr>
          <w:p w14:paraId="42C122C2">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P～P</w:t>
            </w:r>
          </w:p>
        </w:tc>
      </w:tr>
      <w:tr w14:paraId="1DDF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noWrap w:val="0"/>
            <w:vAlign w:val="center"/>
          </w:tcPr>
          <w:p w14:paraId="6F89C4A3">
            <w:pPr>
              <w:adjustRightInd w:val="0"/>
              <w:snapToGrid w:val="0"/>
              <w:spacing w:line="400" w:lineRule="exact"/>
              <w:jc w:val="center"/>
              <w:rPr>
                <w:rFonts w:ascii="宋体" w:hAnsi="宋体"/>
                <w:b/>
                <w:bCs/>
                <w:color w:val="auto"/>
                <w:szCs w:val="21"/>
                <w:highlight w:val="none"/>
              </w:rPr>
            </w:pPr>
          </w:p>
        </w:tc>
        <w:tc>
          <w:tcPr>
            <w:tcW w:w="5580" w:type="dxa"/>
            <w:noWrap w:val="0"/>
            <w:vAlign w:val="center"/>
          </w:tcPr>
          <w:p w14:paraId="774E404D">
            <w:pPr>
              <w:adjustRightInd w:val="0"/>
              <w:snapToGrid w:val="0"/>
              <w:spacing w:line="400" w:lineRule="exact"/>
              <w:jc w:val="center"/>
              <w:rPr>
                <w:rFonts w:ascii="宋体" w:hAnsi="宋体"/>
                <w:bCs/>
                <w:color w:val="auto"/>
                <w:szCs w:val="21"/>
                <w:highlight w:val="none"/>
              </w:rPr>
            </w:pPr>
          </w:p>
        </w:tc>
        <w:tc>
          <w:tcPr>
            <w:tcW w:w="2120" w:type="dxa"/>
            <w:noWrap w:val="0"/>
            <w:vAlign w:val="center"/>
          </w:tcPr>
          <w:p w14:paraId="66058470">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P～P</w:t>
            </w:r>
          </w:p>
        </w:tc>
      </w:tr>
      <w:tr w14:paraId="6083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noWrap w:val="0"/>
            <w:vAlign w:val="center"/>
          </w:tcPr>
          <w:p w14:paraId="7A9E68B2">
            <w:pPr>
              <w:adjustRightInd w:val="0"/>
              <w:snapToGrid w:val="0"/>
              <w:spacing w:line="400" w:lineRule="exact"/>
              <w:jc w:val="center"/>
              <w:rPr>
                <w:rFonts w:ascii="宋体" w:hAnsi="宋体"/>
                <w:b/>
                <w:bCs/>
                <w:color w:val="auto"/>
                <w:szCs w:val="21"/>
                <w:highlight w:val="none"/>
              </w:rPr>
            </w:pPr>
          </w:p>
        </w:tc>
        <w:tc>
          <w:tcPr>
            <w:tcW w:w="5580" w:type="dxa"/>
            <w:noWrap w:val="0"/>
            <w:vAlign w:val="center"/>
          </w:tcPr>
          <w:p w14:paraId="5CCB5126">
            <w:pPr>
              <w:adjustRightInd w:val="0"/>
              <w:snapToGrid w:val="0"/>
              <w:spacing w:line="400" w:lineRule="exact"/>
              <w:jc w:val="center"/>
              <w:rPr>
                <w:rFonts w:ascii="宋体" w:hAnsi="宋体"/>
                <w:bCs/>
                <w:color w:val="auto"/>
                <w:szCs w:val="21"/>
                <w:highlight w:val="none"/>
              </w:rPr>
            </w:pPr>
          </w:p>
        </w:tc>
        <w:tc>
          <w:tcPr>
            <w:tcW w:w="2120" w:type="dxa"/>
            <w:noWrap w:val="0"/>
            <w:vAlign w:val="center"/>
          </w:tcPr>
          <w:p w14:paraId="76B2407F">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P～P</w:t>
            </w:r>
          </w:p>
        </w:tc>
      </w:tr>
      <w:tr w14:paraId="4909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noWrap w:val="0"/>
            <w:vAlign w:val="center"/>
          </w:tcPr>
          <w:p w14:paraId="24D69F75">
            <w:pPr>
              <w:adjustRightInd w:val="0"/>
              <w:snapToGrid w:val="0"/>
              <w:spacing w:line="400" w:lineRule="exact"/>
              <w:jc w:val="center"/>
              <w:rPr>
                <w:rFonts w:ascii="宋体" w:hAnsi="宋体"/>
                <w:b/>
                <w:bCs/>
                <w:color w:val="auto"/>
                <w:szCs w:val="21"/>
                <w:highlight w:val="none"/>
              </w:rPr>
            </w:pPr>
          </w:p>
        </w:tc>
        <w:tc>
          <w:tcPr>
            <w:tcW w:w="5580" w:type="dxa"/>
            <w:noWrap w:val="0"/>
            <w:vAlign w:val="center"/>
          </w:tcPr>
          <w:p w14:paraId="1AF0E90D">
            <w:pPr>
              <w:adjustRightInd w:val="0"/>
              <w:snapToGrid w:val="0"/>
              <w:spacing w:line="400" w:lineRule="exact"/>
              <w:jc w:val="center"/>
              <w:rPr>
                <w:rFonts w:ascii="宋体" w:hAnsi="宋体"/>
                <w:bCs/>
                <w:color w:val="auto"/>
                <w:szCs w:val="21"/>
                <w:highlight w:val="none"/>
              </w:rPr>
            </w:pPr>
          </w:p>
        </w:tc>
        <w:tc>
          <w:tcPr>
            <w:tcW w:w="2120" w:type="dxa"/>
            <w:noWrap w:val="0"/>
            <w:vAlign w:val="center"/>
          </w:tcPr>
          <w:p w14:paraId="0991A1A5">
            <w:pPr>
              <w:adjustRightInd w:val="0"/>
              <w:snapToGrid w:val="0"/>
              <w:spacing w:line="400" w:lineRule="exact"/>
              <w:jc w:val="center"/>
              <w:rPr>
                <w:rFonts w:ascii="宋体" w:hAnsi="宋体"/>
                <w:bCs/>
                <w:color w:val="auto"/>
                <w:szCs w:val="21"/>
                <w:highlight w:val="none"/>
                <w:u w:val="single"/>
              </w:rPr>
            </w:pPr>
            <w:r>
              <w:rPr>
                <w:rFonts w:ascii="宋体" w:hAnsi="宋体"/>
                <w:bCs/>
                <w:color w:val="auto"/>
                <w:szCs w:val="21"/>
                <w:highlight w:val="none"/>
              </w:rPr>
              <w:t>P～P</w:t>
            </w:r>
          </w:p>
        </w:tc>
      </w:tr>
      <w:tr w14:paraId="32A4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noWrap w:val="0"/>
            <w:vAlign w:val="center"/>
          </w:tcPr>
          <w:p w14:paraId="1F0463A5">
            <w:pPr>
              <w:adjustRightInd w:val="0"/>
              <w:snapToGrid w:val="0"/>
              <w:spacing w:line="400" w:lineRule="exact"/>
              <w:jc w:val="center"/>
              <w:rPr>
                <w:rFonts w:ascii="宋体" w:hAnsi="宋体"/>
                <w:b/>
                <w:bCs/>
                <w:color w:val="auto"/>
                <w:szCs w:val="21"/>
                <w:highlight w:val="none"/>
              </w:rPr>
            </w:pPr>
          </w:p>
        </w:tc>
        <w:tc>
          <w:tcPr>
            <w:tcW w:w="5580" w:type="dxa"/>
            <w:noWrap w:val="0"/>
            <w:vAlign w:val="center"/>
          </w:tcPr>
          <w:p w14:paraId="4A9484FB">
            <w:pPr>
              <w:adjustRightInd w:val="0"/>
              <w:snapToGrid w:val="0"/>
              <w:spacing w:line="400" w:lineRule="exact"/>
              <w:jc w:val="center"/>
              <w:rPr>
                <w:rFonts w:ascii="宋体" w:hAnsi="宋体"/>
                <w:bCs/>
                <w:color w:val="auto"/>
                <w:szCs w:val="21"/>
                <w:highlight w:val="none"/>
              </w:rPr>
            </w:pPr>
          </w:p>
        </w:tc>
        <w:tc>
          <w:tcPr>
            <w:tcW w:w="2120" w:type="dxa"/>
            <w:noWrap w:val="0"/>
            <w:vAlign w:val="center"/>
          </w:tcPr>
          <w:p w14:paraId="64CE8EB6">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P～P</w:t>
            </w:r>
          </w:p>
        </w:tc>
      </w:tr>
      <w:tr w14:paraId="5E1C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noWrap w:val="0"/>
            <w:vAlign w:val="center"/>
          </w:tcPr>
          <w:p w14:paraId="60C705E5">
            <w:pPr>
              <w:adjustRightInd w:val="0"/>
              <w:snapToGrid w:val="0"/>
              <w:spacing w:line="400" w:lineRule="exact"/>
              <w:jc w:val="center"/>
              <w:rPr>
                <w:rFonts w:ascii="宋体" w:hAnsi="宋体"/>
                <w:b/>
                <w:bCs/>
                <w:color w:val="auto"/>
                <w:szCs w:val="21"/>
                <w:highlight w:val="none"/>
              </w:rPr>
            </w:pPr>
          </w:p>
        </w:tc>
        <w:tc>
          <w:tcPr>
            <w:tcW w:w="5580" w:type="dxa"/>
            <w:noWrap w:val="0"/>
            <w:vAlign w:val="center"/>
          </w:tcPr>
          <w:p w14:paraId="0F1A6321">
            <w:pPr>
              <w:adjustRightInd w:val="0"/>
              <w:snapToGrid w:val="0"/>
              <w:spacing w:line="400" w:lineRule="exact"/>
              <w:jc w:val="center"/>
              <w:rPr>
                <w:rFonts w:ascii="宋体" w:hAnsi="宋体"/>
                <w:bCs/>
                <w:color w:val="auto"/>
                <w:szCs w:val="21"/>
                <w:highlight w:val="none"/>
              </w:rPr>
            </w:pPr>
          </w:p>
        </w:tc>
        <w:tc>
          <w:tcPr>
            <w:tcW w:w="2120" w:type="dxa"/>
            <w:noWrap w:val="0"/>
            <w:vAlign w:val="center"/>
          </w:tcPr>
          <w:p w14:paraId="5DFCB475">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P～P</w:t>
            </w:r>
          </w:p>
        </w:tc>
      </w:tr>
      <w:tr w14:paraId="2C8B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noWrap w:val="0"/>
            <w:vAlign w:val="center"/>
          </w:tcPr>
          <w:p w14:paraId="76ECFD49">
            <w:pPr>
              <w:adjustRightInd w:val="0"/>
              <w:snapToGrid w:val="0"/>
              <w:spacing w:line="400" w:lineRule="exact"/>
              <w:jc w:val="center"/>
              <w:rPr>
                <w:rFonts w:ascii="宋体" w:hAnsi="宋体"/>
                <w:bCs/>
                <w:color w:val="auto"/>
                <w:szCs w:val="21"/>
                <w:highlight w:val="none"/>
              </w:rPr>
            </w:pPr>
          </w:p>
        </w:tc>
        <w:tc>
          <w:tcPr>
            <w:tcW w:w="5580" w:type="dxa"/>
            <w:noWrap w:val="0"/>
            <w:vAlign w:val="center"/>
          </w:tcPr>
          <w:p w14:paraId="290A9AFC">
            <w:pPr>
              <w:adjustRightInd w:val="0"/>
              <w:snapToGrid w:val="0"/>
              <w:spacing w:line="400" w:lineRule="exact"/>
              <w:jc w:val="center"/>
              <w:rPr>
                <w:rFonts w:ascii="宋体" w:hAnsi="宋体"/>
                <w:bCs/>
                <w:color w:val="auto"/>
                <w:szCs w:val="21"/>
                <w:highlight w:val="none"/>
              </w:rPr>
            </w:pPr>
          </w:p>
        </w:tc>
        <w:tc>
          <w:tcPr>
            <w:tcW w:w="2120" w:type="dxa"/>
            <w:noWrap w:val="0"/>
            <w:vAlign w:val="center"/>
          </w:tcPr>
          <w:p w14:paraId="2A860D40">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P～P</w:t>
            </w:r>
          </w:p>
        </w:tc>
      </w:tr>
      <w:tr w14:paraId="7D87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noWrap w:val="0"/>
            <w:vAlign w:val="center"/>
          </w:tcPr>
          <w:p w14:paraId="78CBE92C">
            <w:pPr>
              <w:adjustRightInd w:val="0"/>
              <w:snapToGrid w:val="0"/>
              <w:spacing w:line="400" w:lineRule="exact"/>
              <w:jc w:val="center"/>
              <w:rPr>
                <w:rFonts w:ascii="宋体" w:hAnsi="宋体"/>
                <w:bCs/>
                <w:color w:val="auto"/>
                <w:szCs w:val="21"/>
                <w:highlight w:val="none"/>
              </w:rPr>
            </w:pPr>
          </w:p>
        </w:tc>
        <w:tc>
          <w:tcPr>
            <w:tcW w:w="5580" w:type="dxa"/>
            <w:noWrap w:val="0"/>
            <w:vAlign w:val="center"/>
          </w:tcPr>
          <w:p w14:paraId="4B6672C7">
            <w:pPr>
              <w:adjustRightInd w:val="0"/>
              <w:snapToGrid w:val="0"/>
              <w:spacing w:line="400" w:lineRule="exact"/>
              <w:jc w:val="center"/>
              <w:rPr>
                <w:rFonts w:ascii="宋体" w:hAnsi="宋体"/>
                <w:bCs/>
                <w:color w:val="auto"/>
                <w:szCs w:val="21"/>
                <w:highlight w:val="none"/>
              </w:rPr>
            </w:pPr>
          </w:p>
        </w:tc>
        <w:tc>
          <w:tcPr>
            <w:tcW w:w="2120" w:type="dxa"/>
            <w:noWrap w:val="0"/>
            <w:vAlign w:val="center"/>
          </w:tcPr>
          <w:p w14:paraId="7C403DD0">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P～P</w:t>
            </w:r>
          </w:p>
        </w:tc>
      </w:tr>
      <w:tr w14:paraId="5514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8" w:type="dxa"/>
            <w:noWrap w:val="0"/>
            <w:vAlign w:val="center"/>
          </w:tcPr>
          <w:p w14:paraId="2A3EEF25">
            <w:pPr>
              <w:adjustRightInd w:val="0"/>
              <w:snapToGrid w:val="0"/>
              <w:spacing w:line="400" w:lineRule="exact"/>
              <w:jc w:val="center"/>
              <w:rPr>
                <w:rFonts w:ascii="宋体" w:hAnsi="宋体"/>
                <w:bCs/>
                <w:color w:val="auto"/>
                <w:szCs w:val="21"/>
                <w:highlight w:val="none"/>
              </w:rPr>
            </w:pPr>
          </w:p>
        </w:tc>
        <w:tc>
          <w:tcPr>
            <w:tcW w:w="5580" w:type="dxa"/>
            <w:noWrap w:val="0"/>
            <w:vAlign w:val="center"/>
          </w:tcPr>
          <w:p w14:paraId="1D026172">
            <w:pPr>
              <w:adjustRightInd w:val="0"/>
              <w:snapToGrid w:val="0"/>
              <w:spacing w:line="400" w:lineRule="exact"/>
              <w:jc w:val="center"/>
              <w:rPr>
                <w:rFonts w:ascii="宋体" w:hAnsi="宋体"/>
                <w:bCs/>
                <w:color w:val="auto"/>
                <w:szCs w:val="21"/>
                <w:highlight w:val="none"/>
              </w:rPr>
            </w:pPr>
          </w:p>
        </w:tc>
        <w:tc>
          <w:tcPr>
            <w:tcW w:w="2120" w:type="dxa"/>
            <w:noWrap w:val="0"/>
            <w:vAlign w:val="center"/>
          </w:tcPr>
          <w:p w14:paraId="41C7A0A4">
            <w:pPr>
              <w:adjustRightInd w:val="0"/>
              <w:snapToGrid w:val="0"/>
              <w:spacing w:line="400" w:lineRule="exact"/>
              <w:jc w:val="center"/>
              <w:rPr>
                <w:rFonts w:ascii="宋体" w:hAnsi="宋体"/>
                <w:bCs/>
                <w:color w:val="auto"/>
                <w:szCs w:val="21"/>
                <w:highlight w:val="none"/>
              </w:rPr>
            </w:pPr>
            <w:r>
              <w:rPr>
                <w:rFonts w:ascii="宋体" w:hAnsi="宋体"/>
                <w:bCs/>
                <w:color w:val="auto"/>
                <w:szCs w:val="21"/>
                <w:highlight w:val="none"/>
              </w:rPr>
              <w:t>P～P</w:t>
            </w:r>
          </w:p>
        </w:tc>
      </w:tr>
    </w:tbl>
    <w:p w14:paraId="2E1EEC63">
      <w:pPr>
        <w:spacing w:line="400" w:lineRule="exact"/>
        <w:rPr>
          <w:rFonts w:hint="eastAsia" w:ascii="宋体" w:hAnsi="宋体" w:cs="宋体"/>
          <w:color w:val="auto"/>
          <w:sz w:val="20"/>
          <w:szCs w:val="20"/>
          <w:highlight w:val="none"/>
        </w:rPr>
      </w:pPr>
      <w:r>
        <w:rPr>
          <w:color w:val="auto"/>
          <w:highlight w:val="none"/>
        </w:rPr>
        <w:br w:type="column"/>
      </w:r>
    </w:p>
    <w:p w14:paraId="3985BD87">
      <w:pPr>
        <w:spacing w:line="360" w:lineRule="auto"/>
        <w:jc w:val="center"/>
        <w:outlineLvl w:val="2"/>
        <w:rPr>
          <w:rFonts w:hint="eastAsia" w:ascii="宋体" w:hAnsi="宋体" w:cs="宋体"/>
          <w:color w:val="auto"/>
          <w:sz w:val="28"/>
          <w:szCs w:val="27"/>
          <w:highlight w:val="none"/>
        </w:rPr>
      </w:pPr>
      <w:bookmarkStart w:id="323" w:name="_Toc259524413"/>
      <w:bookmarkStart w:id="324" w:name="_Toc229305419"/>
      <w:bookmarkStart w:id="325" w:name="_Toc17556904"/>
      <w:bookmarkStart w:id="326" w:name="_Toc17451129"/>
      <w:bookmarkStart w:id="327" w:name="_Toc17451606"/>
      <w:bookmarkStart w:id="328" w:name="_Toc17454899"/>
      <w:bookmarkStart w:id="329" w:name="_Toc17454950"/>
      <w:bookmarkStart w:id="330" w:name="_Toc17451651"/>
      <w:bookmarkStart w:id="331" w:name="_Toc17452692"/>
      <w:bookmarkStart w:id="332" w:name="_Toc1814"/>
      <w:r>
        <w:rPr>
          <w:rFonts w:hint="eastAsia" w:ascii="宋体" w:hAnsi="宋体" w:cs="宋体"/>
          <w:color w:val="auto"/>
          <w:sz w:val="28"/>
          <w:szCs w:val="27"/>
          <w:highlight w:val="none"/>
        </w:rPr>
        <w:t>目    录</w:t>
      </w:r>
      <w:bookmarkEnd w:id="323"/>
      <w:bookmarkEnd w:id="324"/>
      <w:r>
        <w:rPr>
          <w:rFonts w:hint="eastAsia" w:ascii="宋体" w:hAnsi="宋体" w:cs="宋体"/>
          <w:color w:val="auto"/>
          <w:szCs w:val="21"/>
          <w:highlight w:val="none"/>
        </w:rPr>
        <w:t>（可加上二级目录）</w:t>
      </w:r>
      <w:bookmarkEnd w:id="325"/>
      <w:bookmarkEnd w:id="326"/>
      <w:bookmarkEnd w:id="327"/>
      <w:bookmarkEnd w:id="328"/>
      <w:bookmarkEnd w:id="329"/>
      <w:bookmarkEnd w:id="330"/>
      <w:bookmarkEnd w:id="331"/>
      <w:bookmarkEnd w:id="332"/>
    </w:p>
    <w:p w14:paraId="7EA449FB">
      <w:pPr>
        <w:spacing w:line="400" w:lineRule="exact"/>
        <w:rPr>
          <w:rFonts w:hint="eastAsia" w:ascii="宋体" w:hAnsi="宋体" w:cs="宋体"/>
          <w:color w:val="auto"/>
          <w:sz w:val="20"/>
          <w:szCs w:val="20"/>
          <w:highlight w:val="none"/>
        </w:rPr>
      </w:pPr>
    </w:p>
    <w:p w14:paraId="1E0F37B8">
      <w:pPr>
        <w:spacing w:line="360" w:lineRule="auto"/>
        <w:rPr>
          <w:rFonts w:hint="eastAsia" w:ascii="宋体" w:hAnsi="宋体" w:cs="宋体"/>
          <w:color w:val="auto"/>
          <w:sz w:val="27"/>
          <w:szCs w:val="27"/>
          <w:highlight w:val="none"/>
        </w:rPr>
      </w:pPr>
      <w:bookmarkStart w:id="333" w:name="_Toc221951916"/>
      <w:r>
        <w:rPr>
          <w:rFonts w:hint="eastAsia" w:ascii="宋体" w:hAnsi="宋体" w:cs="宋体"/>
          <w:color w:val="auto"/>
          <w:sz w:val="27"/>
          <w:szCs w:val="27"/>
          <w:highlight w:val="none"/>
        </w:rPr>
        <w:t>一、投标函及投标函附录</w:t>
      </w:r>
      <w:bookmarkEnd w:id="333"/>
    </w:p>
    <w:p w14:paraId="21CBE356">
      <w:pPr>
        <w:spacing w:line="360" w:lineRule="auto"/>
        <w:rPr>
          <w:rFonts w:hint="eastAsia" w:ascii="宋体" w:hAnsi="宋体" w:cs="宋体"/>
          <w:color w:val="auto"/>
          <w:sz w:val="27"/>
          <w:szCs w:val="27"/>
          <w:highlight w:val="none"/>
        </w:rPr>
      </w:pPr>
      <w:bookmarkStart w:id="334" w:name="_Toc221951917"/>
      <w:r>
        <w:rPr>
          <w:rFonts w:hint="eastAsia" w:ascii="宋体" w:hAnsi="宋体" w:cs="宋体"/>
          <w:color w:val="auto"/>
          <w:sz w:val="27"/>
          <w:szCs w:val="27"/>
          <w:highlight w:val="none"/>
        </w:rPr>
        <w:t>二、法定代表人身份证明</w:t>
      </w:r>
    </w:p>
    <w:p w14:paraId="4F7A3EB3">
      <w:pPr>
        <w:spacing w:line="360" w:lineRule="auto"/>
        <w:rPr>
          <w:rFonts w:hint="eastAsia" w:ascii="宋体" w:hAnsi="宋体" w:cs="宋体"/>
          <w:color w:val="auto"/>
          <w:sz w:val="27"/>
          <w:szCs w:val="27"/>
          <w:highlight w:val="none"/>
        </w:rPr>
      </w:pPr>
      <w:r>
        <w:rPr>
          <w:rFonts w:hint="eastAsia" w:ascii="宋体" w:hAnsi="宋体" w:cs="宋体"/>
          <w:color w:val="auto"/>
          <w:sz w:val="27"/>
          <w:szCs w:val="27"/>
          <w:highlight w:val="none"/>
        </w:rPr>
        <w:t>三、授权委托书</w:t>
      </w:r>
      <w:bookmarkEnd w:id="334"/>
    </w:p>
    <w:p w14:paraId="706CC46E">
      <w:pPr>
        <w:spacing w:line="360" w:lineRule="auto"/>
        <w:rPr>
          <w:rFonts w:hint="eastAsia" w:ascii="宋体" w:hAnsi="宋体" w:cs="宋体"/>
          <w:strike w:val="0"/>
          <w:dstrike w:val="0"/>
          <w:color w:val="auto"/>
          <w:sz w:val="27"/>
          <w:szCs w:val="27"/>
          <w:highlight w:val="none"/>
        </w:rPr>
      </w:pPr>
      <w:bookmarkStart w:id="335" w:name="_Toc221951918"/>
      <w:bookmarkStart w:id="336" w:name="_Toc221951920"/>
      <w:r>
        <w:rPr>
          <w:rFonts w:hint="eastAsia" w:ascii="宋体" w:hAnsi="宋体" w:cs="宋体"/>
          <w:strike w:val="0"/>
          <w:dstrike w:val="0"/>
          <w:color w:val="auto"/>
          <w:sz w:val="27"/>
          <w:szCs w:val="27"/>
          <w:highlight w:val="none"/>
        </w:rPr>
        <w:t>四、联合体协议书（若有）</w:t>
      </w:r>
      <w:bookmarkEnd w:id="335"/>
    </w:p>
    <w:p w14:paraId="43C62531">
      <w:pPr>
        <w:spacing w:line="360" w:lineRule="auto"/>
        <w:rPr>
          <w:rFonts w:hint="eastAsia" w:ascii="宋体" w:hAnsi="宋体" w:cs="宋体"/>
          <w:strike/>
          <w:dstrike w:val="0"/>
          <w:color w:val="auto"/>
          <w:sz w:val="27"/>
          <w:szCs w:val="27"/>
          <w:highlight w:val="none"/>
          <w:lang w:eastAsia="zh-CN"/>
        </w:rPr>
      </w:pPr>
      <w:bookmarkStart w:id="337" w:name="_Toc221951919"/>
      <w:r>
        <w:rPr>
          <w:rFonts w:hint="eastAsia" w:ascii="宋体" w:hAnsi="宋体" w:cs="宋体"/>
          <w:strike/>
          <w:dstrike w:val="0"/>
          <w:color w:val="auto"/>
          <w:sz w:val="27"/>
          <w:szCs w:val="27"/>
          <w:highlight w:val="none"/>
        </w:rPr>
        <w:t>五、投标保证金</w:t>
      </w:r>
      <w:bookmarkEnd w:id="337"/>
      <w:r>
        <w:rPr>
          <w:rFonts w:hint="eastAsia" w:ascii="宋体" w:hAnsi="宋体" w:cs="宋体"/>
          <w:strike/>
          <w:dstrike w:val="0"/>
          <w:color w:val="auto"/>
          <w:sz w:val="27"/>
          <w:szCs w:val="27"/>
          <w:highlight w:val="none"/>
          <w:lang w:eastAsia="zh-CN"/>
        </w:rPr>
        <w:t>（若有）</w:t>
      </w:r>
    </w:p>
    <w:p w14:paraId="3FBFD4FC">
      <w:pPr>
        <w:spacing w:line="360" w:lineRule="auto"/>
        <w:rPr>
          <w:rFonts w:hint="eastAsia" w:ascii="宋体" w:hAnsi="宋体" w:cs="宋体"/>
          <w:color w:val="auto"/>
          <w:sz w:val="27"/>
          <w:szCs w:val="27"/>
          <w:highlight w:val="none"/>
        </w:rPr>
      </w:pPr>
      <w:r>
        <w:rPr>
          <w:rFonts w:hint="eastAsia" w:ascii="宋体" w:hAnsi="宋体" w:cs="宋体"/>
          <w:color w:val="auto"/>
          <w:sz w:val="27"/>
          <w:szCs w:val="27"/>
          <w:highlight w:val="none"/>
        </w:rPr>
        <w:t>六、已标价工程量清单</w:t>
      </w:r>
      <w:bookmarkEnd w:id="336"/>
    </w:p>
    <w:p w14:paraId="68E99614">
      <w:pPr>
        <w:spacing w:line="360" w:lineRule="auto"/>
        <w:rPr>
          <w:rFonts w:hint="eastAsia" w:ascii="宋体" w:hAnsi="宋体" w:cs="宋体"/>
          <w:color w:val="auto"/>
          <w:sz w:val="27"/>
          <w:szCs w:val="27"/>
          <w:highlight w:val="none"/>
        </w:rPr>
      </w:pPr>
      <w:bookmarkStart w:id="338" w:name="_Toc221951921"/>
      <w:r>
        <w:rPr>
          <w:rFonts w:hint="eastAsia" w:ascii="宋体" w:hAnsi="宋体" w:cs="宋体"/>
          <w:color w:val="auto"/>
          <w:sz w:val="27"/>
          <w:szCs w:val="27"/>
          <w:highlight w:val="none"/>
        </w:rPr>
        <w:t>七、施工组织设计</w:t>
      </w:r>
      <w:bookmarkEnd w:id="338"/>
      <w:r>
        <w:rPr>
          <w:rFonts w:hint="eastAsia" w:ascii="宋体" w:hAnsi="宋体" w:cs="宋体"/>
          <w:color w:val="auto"/>
          <w:sz w:val="27"/>
          <w:szCs w:val="27"/>
          <w:highlight w:val="none"/>
        </w:rPr>
        <w:t>（或施工组织设计要点）</w:t>
      </w:r>
    </w:p>
    <w:p w14:paraId="211B9309">
      <w:pPr>
        <w:spacing w:line="360" w:lineRule="auto"/>
        <w:rPr>
          <w:rFonts w:hint="eastAsia" w:ascii="宋体" w:hAnsi="宋体" w:cs="宋体"/>
          <w:color w:val="auto"/>
          <w:sz w:val="27"/>
          <w:szCs w:val="27"/>
          <w:highlight w:val="none"/>
        </w:rPr>
      </w:pPr>
      <w:bookmarkStart w:id="339" w:name="_Toc221951922"/>
      <w:r>
        <w:rPr>
          <w:rFonts w:hint="eastAsia" w:ascii="宋体" w:hAnsi="宋体" w:cs="宋体"/>
          <w:color w:val="auto"/>
          <w:sz w:val="27"/>
          <w:szCs w:val="27"/>
          <w:highlight w:val="none"/>
        </w:rPr>
        <w:t>八、项目管理机构</w:t>
      </w:r>
      <w:bookmarkEnd w:id="339"/>
    </w:p>
    <w:p w14:paraId="7ECB6FBA">
      <w:pPr>
        <w:spacing w:line="360" w:lineRule="auto"/>
        <w:rPr>
          <w:rFonts w:hint="eastAsia" w:ascii="宋体" w:hAnsi="宋体" w:cs="宋体"/>
          <w:color w:val="auto"/>
          <w:sz w:val="27"/>
          <w:szCs w:val="27"/>
          <w:highlight w:val="none"/>
        </w:rPr>
      </w:pPr>
      <w:bookmarkStart w:id="340" w:name="_Toc221951924"/>
      <w:r>
        <w:rPr>
          <w:rFonts w:hint="eastAsia" w:ascii="宋体" w:hAnsi="宋体" w:cs="宋体"/>
          <w:color w:val="auto"/>
          <w:sz w:val="27"/>
          <w:szCs w:val="27"/>
          <w:highlight w:val="none"/>
        </w:rPr>
        <w:t>九、</w:t>
      </w:r>
      <w:bookmarkEnd w:id="340"/>
      <w:r>
        <w:rPr>
          <w:rFonts w:hint="eastAsia" w:ascii="宋体" w:hAnsi="宋体" w:cs="宋体"/>
          <w:color w:val="auto"/>
          <w:sz w:val="27"/>
          <w:szCs w:val="27"/>
          <w:highlight w:val="none"/>
        </w:rPr>
        <w:t>拟分包项目情况表（若有）</w:t>
      </w:r>
    </w:p>
    <w:p w14:paraId="68906040">
      <w:pPr>
        <w:spacing w:line="360" w:lineRule="auto"/>
        <w:rPr>
          <w:rFonts w:hint="eastAsia" w:ascii="宋体" w:hAnsi="宋体" w:cs="宋体"/>
          <w:color w:val="auto"/>
          <w:sz w:val="27"/>
          <w:szCs w:val="27"/>
          <w:highlight w:val="none"/>
        </w:rPr>
      </w:pPr>
      <w:bookmarkStart w:id="341" w:name="_Toc221951925"/>
      <w:r>
        <w:rPr>
          <w:rFonts w:hint="eastAsia" w:ascii="宋体" w:hAnsi="宋体" w:cs="宋体"/>
          <w:color w:val="auto"/>
          <w:sz w:val="27"/>
          <w:szCs w:val="27"/>
          <w:highlight w:val="none"/>
        </w:rPr>
        <w:t>十、</w:t>
      </w:r>
      <w:bookmarkEnd w:id="341"/>
      <w:r>
        <w:rPr>
          <w:rFonts w:hint="eastAsia" w:ascii="宋体" w:hAnsi="宋体" w:cs="宋体"/>
          <w:color w:val="auto"/>
          <w:sz w:val="27"/>
          <w:szCs w:val="27"/>
          <w:highlight w:val="none"/>
        </w:rPr>
        <w:t>资格审查资料</w:t>
      </w:r>
    </w:p>
    <w:p w14:paraId="5DBF3816">
      <w:pPr>
        <w:spacing w:line="360" w:lineRule="auto"/>
        <w:rPr>
          <w:rFonts w:hint="eastAsia" w:ascii="宋体" w:hAnsi="宋体" w:cs="宋体"/>
          <w:color w:val="auto"/>
          <w:sz w:val="27"/>
          <w:szCs w:val="27"/>
          <w:highlight w:val="none"/>
        </w:rPr>
      </w:pPr>
      <w:r>
        <w:rPr>
          <w:rFonts w:hint="eastAsia" w:ascii="宋体" w:hAnsi="宋体" w:cs="宋体"/>
          <w:color w:val="auto"/>
          <w:sz w:val="27"/>
          <w:szCs w:val="27"/>
          <w:highlight w:val="none"/>
          <w:lang w:val="en-US" w:eastAsia="zh-CN"/>
        </w:rPr>
        <w:t>十一、</w:t>
      </w:r>
      <w:r>
        <w:rPr>
          <w:rFonts w:hint="eastAsia" w:ascii="宋体" w:hAnsi="宋体" w:cs="宋体"/>
          <w:color w:val="auto"/>
          <w:sz w:val="27"/>
          <w:szCs w:val="27"/>
          <w:highlight w:val="none"/>
        </w:rPr>
        <w:t>投标人须知前附表规定的其他材料</w:t>
      </w:r>
    </w:p>
    <w:p w14:paraId="6F91BF4D">
      <w:pPr>
        <w:spacing w:line="360" w:lineRule="auto"/>
        <w:rPr>
          <w:rFonts w:hint="eastAsia" w:ascii="宋体" w:hAnsi="宋体" w:eastAsia="宋体" w:cs="宋体"/>
          <w:color w:val="auto"/>
          <w:sz w:val="27"/>
          <w:szCs w:val="27"/>
          <w:highlight w:val="none"/>
          <w:lang w:eastAsia="zh-CN"/>
        </w:rPr>
      </w:pPr>
      <w:r>
        <w:rPr>
          <w:rFonts w:hint="eastAsia" w:ascii="宋体" w:hAnsi="宋体" w:cs="宋体"/>
          <w:color w:val="auto"/>
          <w:sz w:val="27"/>
          <w:szCs w:val="27"/>
          <w:highlight w:val="none"/>
          <w:lang w:val="en-US" w:eastAsia="zh-CN"/>
        </w:rPr>
        <w:t>十二、定标文件</w:t>
      </w:r>
    </w:p>
    <w:p w14:paraId="6E7D99E3">
      <w:pPr>
        <w:spacing w:line="276" w:lineRule="auto"/>
        <w:rPr>
          <w:rFonts w:hint="eastAsia" w:ascii="宋体" w:hAnsi="宋体" w:cs="宋体"/>
          <w:color w:val="auto"/>
          <w:sz w:val="19"/>
          <w:szCs w:val="19"/>
          <w:highlight w:val="none"/>
        </w:rPr>
      </w:pPr>
      <w:r>
        <w:rPr>
          <w:rFonts w:hint="eastAsia" w:ascii="宋体" w:hAnsi="宋体" w:cs="宋体"/>
          <w:color w:val="auto"/>
          <w:sz w:val="20"/>
          <w:szCs w:val="20"/>
          <w:highlight w:val="none"/>
        </w:rPr>
        <w:br w:type="page"/>
      </w:r>
    </w:p>
    <w:p w14:paraId="715B9891">
      <w:pPr>
        <w:spacing w:line="360" w:lineRule="auto"/>
        <w:jc w:val="center"/>
        <w:outlineLvl w:val="2"/>
        <w:rPr>
          <w:rFonts w:hint="eastAsia" w:ascii="宋体" w:hAnsi="宋体" w:cs="宋体"/>
          <w:color w:val="auto"/>
          <w:sz w:val="28"/>
          <w:szCs w:val="27"/>
          <w:highlight w:val="none"/>
        </w:rPr>
      </w:pPr>
      <w:bookmarkStart w:id="342" w:name="_Toc222031062"/>
      <w:bookmarkStart w:id="343" w:name="_Toc17451607"/>
      <w:bookmarkStart w:id="344" w:name="_Toc168476318"/>
      <w:bookmarkStart w:id="345" w:name="_Toc168475915"/>
      <w:bookmarkStart w:id="346" w:name="_Toc259524414"/>
      <w:bookmarkStart w:id="347" w:name="_Toc17556905"/>
      <w:bookmarkStart w:id="348" w:name="_Toc222032729"/>
      <w:bookmarkStart w:id="349" w:name="_Toc144974857"/>
      <w:bookmarkStart w:id="350" w:name="_Toc222033911"/>
      <w:bookmarkStart w:id="351" w:name="_Toc17451130"/>
      <w:bookmarkStart w:id="352" w:name="_Toc17452693"/>
      <w:bookmarkStart w:id="353" w:name="_Toc17454951"/>
      <w:bookmarkStart w:id="354" w:name="_Toc221951926"/>
      <w:bookmarkStart w:id="355" w:name="_Toc229305420"/>
      <w:bookmarkStart w:id="356" w:name="_Toc17451652"/>
      <w:bookmarkStart w:id="357" w:name="_Toc17454900"/>
      <w:bookmarkStart w:id="358" w:name="_Toc222029560"/>
      <w:bookmarkStart w:id="359" w:name="_Toc9306"/>
      <w:r>
        <w:rPr>
          <w:rFonts w:hint="eastAsia" w:ascii="宋体" w:hAnsi="宋体" w:cs="宋体"/>
          <w:color w:val="auto"/>
          <w:sz w:val="28"/>
          <w:szCs w:val="27"/>
          <w:highlight w:val="none"/>
        </w:rPr>
        <w:t>一、投标函及投标函附录</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2561AF91">
      <w:pPr>
        <w:spacing w:line="400" w:lineRule="exact"/>
        <w:outlineLvl w:val="3"/>
        <w:rPr>
          <w:rFonts w:ascii="宋体" w:hAnsi="宋体"/>
          <w:b/>
          <w:color w:val="auto"/>
          <w:sz w:val="24"/>
          <w:szCs w:val="24"/>
          <w:highlight w:val="none"/>
        </w:rPr>
      </w:pPr>
      <w:bookmarkStart w:id="360" w:name="_Toc168476319"/>
      <w:bookmarkStart w:id="361" w:name="_Toc144974858"/>
      <w:bookmarkStart w:id="362" w:name="_Toc221951927"/>
      <w:bookmarkStart w:id="363" w:name="_Toc168475916"/>
      <w:r>
        <w:rPr>
          <w:rFonts w:ascii="宋体" w:hAnsi="宋体"/>
          <w:b/>
          <w:color w:val="auto"/>
          <w:sz w:val="24"/>
          <w:szCs w:val="24"/>
          <w:highlight w:val="none"/>
        </w:rPr>
        <w:t>（一）投标函</w:t>
      </w:r>
      <w:bookmarkEnd w:id="360"/>
      <w:bookmarkEnd w:id="361"/>
      <w:bookmarkEnd w:id="362"/>
      <w:bookmarkEnd w:id="363"/>
    </w:p>
    <w:p w14:paraId="48FDD9C3">
      <w:pPr>
        <w:spacing w:line="400" w:lineRule="exact"/>
        <w:rPr>
          <w:color w:val="auto"/>
          <w:sz w:val="24"/>
          <w:szCs w:val="24"/>
          <w:highlight w:val="none"/>
        </w:rPr>
      </w:pPr>
    </w:p>
    <w:p w14:paraId="5A7E401F">
      <w:pPr>
        <w:spacing w:line="400" w:lineRule="exact"/>
        <w:rPr>
          <w:rFonts w:ascii="宋体" w:hAnsi="宋体"/>
          <w:color w:val="auto"/>
          <w:sz w:val="24"/>
          <w:szCs w:val="24"/>
          <w:highlight w:val="none"/>
        </w:rPr>
      </w:pPr>
      <w:r>
        <w:rPr>
          <w:rFonts w:ascii="宋体" w:hAnsi="宋体"/>
          <w:color w:val="auto"/>
          <w:sz w:val="24"/>
          <w:szCs w:val="24"/>
          <w:highlight w:val="none"/>
          <w:u w:val="single"/>
        </w:rPr>
        <w:t xml:space="preserve">                        </w:t>
      </w:r>
      <w:bookmarkStart w:id="364" w:name="_Toc221951928"/>
      <w:r>
        <w:rPr>
          <w:rFonts w:ascii="宋体" w:hAnsi="宋体"/>
          <w:color w:val="auto"/>
          <w:sz w:val="24"/>
          <w:szCs w:val="24"/>
          <w:highlight w:val="none"/>
        </w:rPr>
        <w:t>（</w:t>
      </w:r>
      <w:r>
        <w:rPr>
          <w:rFonts w:hint="eastAsia" w:ascii="宋体" w:hAnsi="宋体"/>
          <w:color w:val="auto"/>
          <w:sz w:val="24"/>
          <w:szCs w:val="24"/>
          <w:highlight w:val="none"/>
        </w:rPr>
        <w:t>招标人名称</w:t>
      </w:r>
      <w:r>
        <w:rPr>
          <w:rFonts w:ascii="宋体" w:hAnsi="宋体"/>
          <w:color w:val="auto"/>
          <w:sz w:val="24"/>
          <w:szCs w:val="24"/>
          <w:highlight w:val="none"/>
        </w:rPr>
        <w:t>）：</w:t>
      </w:r>
      <w:bookmarkEnd w:id="364"/>
    </w:p>
    <w:p w14:paraId="59585032">
      <w:pPr>
        <w:spacing w:line="400" w:lineRule="exact"/>
        <w:rPr>
          <w:rFonts w:ascii="宋体" w:hAnsi="宋体"/>
          <w:color w:val="auto"/>
          <w:sz w:val="24"/>
          <w:szCs w:val="24"/>
          <w:highlight w:val="none"/>
        </w:rPr>
      </w:pPr>
    </w:p>
    <w:p w14:paraId="3258080E">
      <w:pPr>
        <w:spacing w:line="400" w:lineRule="exact"/>
        <w:ind w:firstLine="480" w:firstLineChars="200"/>
        <w:rPr>
          <w:rFonts w:ascii="宋体" w:hAnsi="宋体"/>
          <w:color w:val="auto"/>
          <w:sz w:val="24"/>
          <w:szCs w:val="24"/>
          <w:highlight w:val="none"/>
        </w:rPr>
      </w:pPr>
      <w:bookmarkStart w:id="365" w:name="_Toc221951929"/>
      <w:r>
        <w:rPr>
          <w:rFonts w:ascii="宋体" w:hAnsi="宋体"/>
          <w:color w:val="auto"/>
          <w:sz w:val="24"/>
          <w:szCs w:val="24"/>
          <w:highlight w:val="none"/>
        </w:rPr>
        <w:t>1．我方已仔细研究了</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（标段名称）</w:t>
      </w:r>
      <w:r>
        <w:rPr>
          <w:rFonts w:ascii="宋体" w:hAnsi="宋体"/>
          <w:color w:val="auto"/>
          <w:sz w:val="24"/>
          <w:szCs w:val="24"/>
          <w:highlight w:val="none"/>
        </w:rPr>
        <w:t>招标文件的全部内容，愿意以人民币（大写）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）的投标总报价，</w:t>
      </w:r>
      <w:r>
        <w:rPr>
          <w:rFonts w:hint="eastAsia" w:ascii="宋体" w:hAnsi="宋体"/>
          <w:color w:val="auto"/>
          <w:sz w:val="24"/>
          <w:szCs w:val="24"/>
          <w:highlight w:val="none"/>
        </w:rPr>
        <w:t>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日历天，</w:t>
      </w:r>
      <w:r>
        <w:rPr>
          <w:rFonts w:ascii="宋体" w:hAnsi="宋体"/>
          <w:color w:val="auto"/>
          <w:sz w:val="24"/>
          <w:szCs w:val="24"/>
          <w:highlight w:val="none"/>
        </w:rPr>
        <w:t>按合同约定实施和完成承包工程，修补工程中的任何缺陷，工程质量达到</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bookmarkEnd w:id="365"/>
    </w:p>
    <w:p w14:paraId="7A6D87F1">
      <w:pPr>
        <w:spacing w:line="400" w:lineRule="exact"/>
        <w:ind w:firstLine="480" w:firstLineChars="200"/>
        <w:jc w:val="left"/>
        <w:rPr>
          <w:rFonts w:ascii="宋体" w:hAnsi="宋体"/>
          <w:color w:val="auto"/>
          <w:sz w:val="24"/>
          <w:szCs w:val="24"/>
          <w:highlight w:val="none"/>
        </w:rPr>
      </w:pPr>
      <w:bookmarkStart w:id="366" w:name="_Toc221951930"/>
      <w:r>
        <w:rPr>
          <w:rFonts w:ascii="宋体" w:hAnsi="宋体"/>
          <w:color w:val="auto"/>
          <w:sz w:val="24"/>
          <w:szCs w:val="24"/>
          <w:highlight w:val="none"/>
        </w:rPr>
        <w:t>2．我方承诺在投标有效期内不</w:t>
      </w:r>
      <w:r>
        <w:rPr>
          <w:rFonts w:hint="eastAsia" w:ascii="宋体" w:hAnsi="宋体"/>
          <w:color w:val="auto"/>
          <w:sz w:val="24"/>
          <w:szCs w:val="24"/>
          <w:highlight w:val="none"/>
        </w:rPr>
        <w:t>补充、</w:t>
      </w:r>
      <w:r>
        <w:rPr>
          <w:rFonts w:ascii="宋体" w:hAnsi="宋体"/>
          <w:color w:val="auto"/>
          <w:sz w:val="24"/>
          <w:szCs w:val="24"/>
          <w:highlight w:val="none"/>
        </w:rPr>
        <w:t>修改、</w:t>
      </w:r>
      <w:r>
        <w:rPr>
          <w:rFonts w:hint="eastAsia" w:ascii="宋体" w:hAnsi="宋体"/>
          <w:color w:val="auto"/>
          <w:sz w:val="24"/>
          <w:szCs w:val="24"/>
          <w:highlight w:val="none"/>
        </w:rPr>
        <w:t>替代或</w:t>
      </w:r>
      <w:r>
        <w:rPr>
          <w:rFonts w:ascii="宋体" w:hAnsi="宋体"/>
          <w:color w:val="auto"/>
          <w:sz w:val="24"/>
          <w:szCs w:val="24"/>
          <w:highlight w:val="none"/>
        </w:rPr>
        <w:t>撤</w:t>
      </w:r>
      <w:r>
        <w:rPr>
          <w:rFonts w:hint="eastAsia" w:ascii="宋体" w:hAnsi="宋体"/>
          <w:color w:val="auto"/>
          <w:sz w:val="24"/>
          <w:szCs w:val="24"/>
          <w:highlight w:val="none"/>
        </w:rPr>
        <w:t>回本</w:t>
      </w:r>
      <w:r>
        <w:rPr>
          <w:rFonts w:ascii="宋体" w:hAnsi="宋体"/>
          <w:color w:val="auto"/>
          <w:sz w:val="24"/>
          <w:szCs w:val="24"/>
          <w:highlight w:val="none"/>
        </w:rPr>
        <w:t>投标文件。</w:t>
      </w:r>
      <w:bookmarkEnd w:id="366"/>
    </w:p>
    <w:p w14:paraId="73B6EF54">
      <w:pPr>
        <w:spacing w:line="400" w:lineRule="exact"/>
        <w:ind w:firstLine="480" w:firstLineChars="200"/>
        <w:rPr>
          <w:rFonts w:ascii="宋体" w:hAnsi="宋体"/>
          <w:color w:val="auto"/>
          <w:sz w:val="24"/>
          <w:szCs w:val="24"/>
          <w:highlight w:val="none"/>
        </w:rPr>
      </w:pPr>
      <w:bookmarkStart w:id="367" w:name="_Toc221951931"/>
      <w:r>
        <w:rPr>
          <w:rFonts w:ascii="宋体" w:hAnsi="宋体"/>
          <w:strike/>
          <w:dstrike w:val="0"/>
          <w:color w:val="auto"/>
          <w:sz w:val="24"/>
          <w:szCs w:val="24"/>
          <w:highlight w:val="none"/>
        </w:rPr>
        <w:t>3．</w:t>
      </w:r>
      <w:r>
        <w:rPr>
          <w:rFonts w:hint="eastAsia" w:ascii="宋体" w:hAnsi="宋体"/>
          <w:strike/>
          <w:dstrike w:val="0"/>
          <w:color w:val="auto"/>
          <w:sz w:val="24"/>
          <w:szCs w:val="24"/>
          <w:highlight w:val="none"/>
        </w:rPr>
        <w:t xml:space="preserve"> </w:t>
      </w:r>
      <w:r>
        <w:rPr>
          <w:rFonts w:ascii="宋体" w:hAnsi="宋体"/>
          <w:strike/>
          <w:dstrike w:val="0"/>
          <w:color w:val="auto"/>
          <w:sz w:val="24"/>
          <w:szCs w:val="24"/>
          <w:highlight w:val="none"/>
        </w:rPr>
        <w:t>随同本投标函提交投标保证金一份，金额为人民币（大写）</w:t>
      </w:r>
      <w:r>
        <w:rPr>
          <w:rFonts w:ascii="宋体" w:hAnsi="宋体"/>
          <w:strike/>
          <w:dstrike w:val="0"/>
          <w:color w:val="auto"/>
          <w:sz w:val="24"/>
          <w:szCs w:val="24"/>
          <w:highlight w:val="none"/>
          <w:u w:val="single"/>
        </w:rPr>
        <w:t xml:space="preserve">        </w:t>
      </w:r>
      <w:r>
        <w:rPr>
          <w:rFonts w:ascii="宋体" w:hAnsi="宋体"/>
          <w:strike/>
          <w:dstrike w:val="0"/>
          <w:color w:val="auto"/>
          <w:sz w:val="24"/>
          <w:szCs w:val="24"/>
          <w:highlight w:val="none"/>
        </w:rPr>
        <w:t>元（¥</w:t>
      </w:r>
      <w:r>
        <w:rPr>
          <w:rFonts w:ascii="宋体" w:hAnsi="宋体"/>
          <w:strike/>
          <w:dstrike w:val="0"/>
          <w:color w:val="auto"/>
          <w:sz w:val="24"/>
          <w:szCs w:val="24"/>
          <w:highlight w:val="none"/>
          <w:u w:val="single"/>
        </w:rPr>
        <w:t xml:space="preserve">  </w:t>
      </w:r>
      <w:r>
        <w:rPr>
          <w:rFonts w:hint="eastAsia" w:ascii="宋体" w:hAnsi="宋体"/>
          <w:strike/>
          <w:dstrike w:val="0"/>
          <w:color w:val="auto"/>
          <w:sz w:val="24"/>
          <w:szCs w:val="24"/>
          <w:highlight w:val="none"/>
          <w:u w:val="single"/>
        </w:rPr>
        <w:t xml:space="preserve">   </w:t>
      </w:r>
      <w:r>
        <w:rPr>
          <w:rFonts w:ascii="宋体" w:hAnsi="宋体"/>
          <w:strike/>
          <w:dstrike w:val="0"/>
          <w:color w:val="auto"/>
          <w:sz w:val="24"/>
          <w:szCs w:val="24"/>
          <w:highlight w:val="none"/>
          <w:u w:val="single"/>
        </w:rPr>
        <w:t xml:space="preserve"> </w:t>
      </w:r>
      <w:r>
        <w:rPr>
          <w:rFonts w:hint="eastAsia" w:ascii="宋体" w:hAnsi="宋体"/>
          <w:strike/>
          <w:dstrike w:val="0"/>
          <w:color w:val="auto"/>
          <w:sz w:val="24"/>
          <w:szCs w:val="24"/>
          <w:highlight w:val="none"/>
        </w:rPr>
        <w:t>元</w:t>
      </w:r>
      <w:r>
        <w:rPr>
          <w:rFonts w:ascii="宋体" w:hAnsi="宋体"/>
          <w:strike/>
          <w:dstrike w:val="0"/>
          <w:color w:val="auto"/>
          <w:sz w:val="24"/>
          <w:szCs w:val="24"/>
          <w:highlight w:val="none"/>
        </w:rPr>
        <w:t xml:space="preserve"> ）。</w:t>
      </w:r>
      <w:bookmarkEnd w:id="367"/>
    </w:p>
    <w:p w14:paraId="0B4361EC">
      <w:pPr>
        <w:spacing w:line="400" w:lineRule="exact"/>
        <w:ind w:firstLine="480" w:firstLineChars="200"/>
        <w:rPr>
          <w:rFonts w:ascii="宋体" w:hAnsi="宋体"/>
          <w:color w:val="auto"/>
          <w:sz w:val="24"/>
          <w:szCs w:val="24"/>
          <w:highlight w:val="none"/>
        </w:rPr>
      </w:pPr>
      <w:bookmarkStart w:id="368" w:name="_Toc221951932"/>
      <w:r>
        <w:rPr>
          <w:rFonts w:hint="eastAsia" w:ascii="宋体" w:hAnsi="宋体"/>
          <w:color w:val="auto"/>
          <w:sz w:val="24"/>
          <w:szCs w:val="24"/>
          <w:highlight w:val="none"/>
          <w:lang w:val="en-US" w:eastAsia="zh-CN"/>
        </w:rPr>
        <w:t>4</w:t>
      </w:r>
      <w:r>
        <w:rPr>
          <w:rFonts w:ascii="宋体" w:hAnsi="宋体"/>
          <w:color w:val="auto"/>
          <w:sz w:val="24"/>
          <w:szCs w:val="24"/>
          <w:highlight w:val="none"/>
        </w:rPr>
        <w:t>．如我方中标：</w:t>
      </w:r>
      <w:bookmarkEnd w:id="368"/>
    </w:p>
    <w:p w14:paraId="6EEFF6F8">
      <w:pPr>
        <w:spacing w:line="400" w:lineRule="exact"/>
        <w:ind w:firstLine="820" w:firstLineChars="342"/>
        <w:rPr>
          <w:rFonts w:ascii="宋体" w:hAnsi="宋体"/>
          <w:color w:val="auto"/>
          <w:sz w:val="24"/>
          <w:szCs w:val="24"/>
          <w:highlight w:val="none"/>
        </w:rPr>
      </w:pPr>
      <w:bookmarkStart w:id="369" w:name="_Toc221951933"/>
      <w:r>
        <w:rPr>
          <w:rFonts w:ascii="宋体" w:hAnsi="宋体"/>
          <w:color w:val="auto"/>
          <w:sz w:val="24"/>
          <w:szCs w:val="24"/>
          <w:highlight w:val="none"/>
        </w:rPr>
        <w:t>（1）我方承诺在收到中标通知书后，在中标通知书规定的期限内与你方签订合同。</w:t>
      </w:r>
      <w:bookmarkEnd w:id="369"/>
    </w:p>
    <w:p w14:paraId="1829E049">
      <w:pPr>
        <w:spacing w:line="400" w:lineRule="exact"/>
        <w:ind w:firstLine="820" w:firstLineChars="342"/>
        <w:rPr>
          <w:rFonts w:ascii="宋体" w:hAnsi="宋体"/>
          <w:color w:val="auto"/>
          <w:sz w:val="24"/>
          <w:szCs w:val="24"/>
          <w:highlight w:val="none"/>
        </w:rPr>
      </w:pPr>
      <w:bookmarkStart w:id="370" w:name="_Toc221951934"/>
      <w:r>
        <w:rPr>
          <w:rFonts w:ascii="宋体" w:hAnsi="宋体"/>
          <w:color w:val="auto"/>
          <w:sz w:val="24"/>
          <w:szCs w:val="24"/>
          <w:highlight w:val="none"/>
        </w:rPr>
        <w:t>（2）随同本投标函递交的投标函附录属于合同文件的组成部分。</w:t>
      </w:r>
      <w:bookmarkEnd w:id="370"/>
    </w:p>
    <w:p w14:paraId="2A6094B8">
      <w:pPr>
        <w:spacing w:line="400" w:lineRule="exact"/>
        <w:ind w:firstLine="820" w:firstLineChars="342"/>
        <w:rPr>
          <w:rFonts w:ascii="宋体" w:hAnsi="宋体"/>
          <w:color w:val="auto"/>
          <w:sz w:val="24"/>
          <w:szCs w:val="24"/>
          <w:highlight w:val="none"/>
        </w:rPr>
      </w:pPr>
      <w:bookmarkStart w:id="371" w:name="_Toc221951935"/>
      <w:r>
        <w:rPr>
          <w:rFonts w:ascii="宋体" w:hAnsi="宋体"/>
          <w:color w:val="auto"/>
          <w:sz w:val="24"/>
          <w:szCs w:val="24"/>
          <w:highlight w:val="none"/>
        </w:rPr>
        <w:t>（3）我方承诺按照招标文件规定向你方递交履约担保。</w:t>
      </w:r>
      <w:bookmarkEnd w:id="371"/>
    </w:p>
    <w:p w14:paraId="0E9B3356">
      <w:pPr>
        <w:spacing w:line="400" w:lineRule="exact"/>
        <w:ind w:firstLine="820" w:firstLineChars="342"/>
        <w:rPr>
          <w:rFonts w:ascii="宋体" w:hAnsi="宋体"/>
          <w:color w:val="auto"/>
          <w:sz w:val="24"/>
          <w:szCs w:val="24"/>
          <w:highlight w:val="none"/>
        </w:rPr>
      </w:pPr>
      <w:bookmarkStart w:id="372" w:name="_Toc221951936"/>
      <w:r>
        <w:rPr>
          <w:rFonts w:ascii="宋体" w:hAnsi="宋体"/>
          <w:color w:val="auto"/>
          <w:sz w:val="24"/>
          <w:szCs w:val="24"/>
          <w:highlight w:val="none"/>
        </w:rPr>
        <w:t>（4）我方承诺在合同约定的期限内完成并移交全部合同工程。</w:t>
      </w:r>
      <w:bookmarkEnd w:id="372"/>
    </w:p>
    <w:p w14:paraId="79DBB498">
      <w:pPr>
        <w:spacing w:line="400" w:lineRule="exact"/>
        <w:ind w:firstLine="480" w:firstLineChars="200"/>
        <w:rPr>
          <w:rFonts w:ascii="宋体" w:hAnsi="宋体"/>
          <w:color w:val="auto"/>
          <w:sz w:val="24"/>
          <w:szCs w:val="24"/>
          <w:highlight w:val="none"/>
        </w:rPr>
      </w:pPr>
      <w:bookmarkStart w:id="373" w:name="_Toc221951937"/>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．我方在此声明，所递交的投标文件及有关资料内容完整、真实和准确，且不存在第二章“投标人须知”第1.4.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项规定的任何一种情形。</w:t>
      </w:r>
      <w:bookmarkEnd w:id="373"/>
    </w:p>
    <w:p w14:paraId="5EDB5D49">
      <w:pPr>
        <w:spacing w:line="400" w:lineRule="exact"/>
        <w:ind w:firstLine="480" w:firstLineChars="200"/>
        <w:rPr>
          <w:rFonts w:ascii="宋体" w:hAnsi="宋体"/>
          <w:color w:val="auto"/>
          <w:sz w:val="24"/>
          <w:szCs w:val="24"/>
          <w:highlight w:val="none"/>
        </w:rPr>
      </w:pPr>
      <w:bookmarkStart w:id="374" w:name="_Toc221951938"/>
      <w:r>
        <w:rPr>
          <w:rFonts w:hint="eastAsia" w:ascii="宋体" w:hAnsi="宋体"/>
          <w:color w:val="auto"/>
          <w:sz w:val="24"/>
          <w:szCs w:val="24"/>
          <w:highlight w:val="none"/>
          <w:lang w:val="en-US" w:eastAsia="zh-CN"/>
        </w:rPr>
        <w:t>6</w:t>
      </w:r>
      <w:r>
        <w:rPr>
          <w:rFonts w:ascii="宋体" w:hAnsi="宋体"/>
          <w:color w:val="auto"/>
          <w:sz w:val="24"/>
          <w:szCs w:val="24"/>
          <w:highlight w:val="none"/>
        </w:rPr>
        <w:t>．</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其他</w:t>
      </w:r>
      <w:r>
        <w:rPr>
          <w:rFonts w:ascii="宋体" w:hAnsi="宋体"/>
          <w:color w:val="auto"/>
          <w:sz w:val="24"/>
          <w:szCs w:val="24"/>
          <w:highlight w:val="none"/>
        </w:rPr>
        <w:t>补充说明）。</w:t>
      </w:r>
      <w:bookmarkEnd w:id="374"/>
    </w:p>
    <w:p w14:paraId="5A6E187E">
      <w:pPr>
        <w:spacing w:line="400" w:lineRule="exact"/>
        <w:rPr>
          <w:rFonts w:ascii="宋体" w:hAnsi="宋体"/>
          <w:color w:val="auto"/>
          <w:sz w:val="24"/>
          <w:szCs w:val="24"/>
          <w:highlight w:val="none"/>
        </w:rPr>
      </w:pPr>
    </w:p>
    <w:p w14:paraId="7D79CCC4">
      <w:pPr>
        <w:spacing w:line="400" w:lineRule="exact"/>
        <w:ind w:firstLine="4200" w:firstLineChars="1750"/>
        <w:rPr>
          <w:rFonts w:ascii="宋体" w:hAnsi="宋体"/>
          <w:color w:val="auto"/>
          <w:sz w:val="24"/>
          <w:szCs w:val="24"/>
          <w:highlight w:val="none"/>
        </w:rPr>
      </w:pPr>
      <w:bookmarkStart w:id="375" w:name="_Toc221951939"/>
      <w:r>
        <w:rPr>
          <w:rFonts w:ascii="宋体" w:hAnsi="宋体"/>
          <w:color w:val="auto"/>
          <w:sz w:val="24"/>
          <w:szCs w:val="24"/>
          <w:highlight w:val="none"/>
        </w:rPr>
        <w:t>投 标 人：</w:t>
      </w:r>
      <w:r>
        <w:rPr>
          <w:rFonts w:ascii="宋体" w:hAnsi="宋体"/>
          <w:color w:val="auto"/>
          <w:sz w:val="24"/>
          <w:szCs w:val="24"/>
          <w:highlight w:val="none"/>
          <w:u w:val="single"/>
        </w:rPr>
        <w:t xml:space="preserve">                     </w:t>
      </w:r>
      <w:r>
        <w:rPr>
          <w:rFonts w:ascii="宋体" w:hAnsi="宋体"/>
          <w:color w:val="auto"/>
          <w:sz w:val="24"/>
          <w:szCs w:val="24"/>
          <w:highlight w:val="none"/>
        </w:rPr>
        <w:t>（盖单位章）</w:t>
      </w:r>
      <w:bookmarkEnd w:id="375"/>
    </w:p>
    <w:p w14:paraId="0120C826">
      <w:pPr>
        <w:spacing w:line="400" w:lineRule="exact"/>
        <w:ind w:firstLine="4200" w:firstLineChars="1750"/>
        <w:rPr>
          <w:rFonts w:ascii="宋体" w:hAnsi="宋体"/>
          <w:color w:val="auto"/>
          <w:sz w:val="24"/>
          <w:szCs w:val="24"/>
          <w:highlight w:val="none"/>
        </w:rPr>
      </w:pPr>
      <w:bookmarkStart w:id="376" w:name="_Toc221951941"/>
      <w:r>
        <w:rPr>
          <w:rFonts w:ascii="宋体" w:hAnsi="宋体"/>
          <w:color w:val="auto"/>
          <w:sz w:val="24"/>
          <w:szCs w:val="24"/>
          <w:highlight w:val="none"/>
        </w:rPr>
        <w:t>地址：</w:t>
      </w:r>
      <w:bookmarkEnd w:id="376"/>
      <w:r>
        <w:rPr>
          <w:rFonts w:ascii="宋体" w:hAnsi="宋体"/>
          <w:color w:val="auto"/>
          <w:sz w:val="24"/>
          <w:szCs w:val="24"/>
          <w:highlight w:val="none"/>
          <w:u w:val="single"/>
        </w:rPr>
        <w:t xml:space="preserve">                                     </w:t>
      </w:r>
    </w:p>
    <w:p w14:paraId="544E6668">
      <w:pPr>
        <w:spacing w:line="400" w:lineRule="exact"/>
        <w:ind w:firstLine="4200" w:firstLineChars="1750"/>
        <w:rPr>
          <w:rFonts w:ascii="宋体" w:hAnsi="宋体"/>
          <w:color w:val="auto"/>
          <w:sz w:val="24"/>
          <w:szCs w:val="24"/>
          <w:highlight w:val="none"/>
        </w:rPr>
      </w:pPr>
      <w:bookmarkStart w:id="377" w:name="_Toc221951942"/>
      <w:r>
        <w:rPr>
          <w:rFonts w:ascii="宋体" w:hAnsi="宋体"/>
          <w:color w:val="auto"/>
          <w:sz w:val="24"/>
          <w:szCs w:val="24"/>
          <w:highlight w:val="none"/>
        </w:rPr>
        <w:t>网址：</w:t>
      </w:r>
      <w:bookmarkEnd w:id="377"/>
      <w:r>
        <w:rPr>
          <w:rFonts w:ascii="宋体" w:hAnsi="宋体"/>
          <w:color w:val="auto"/>
          <w:sz w:val="24"/>
          <w:szCs w:val="24"/>
          <w:highlight w:val="none"/>
          <w:u w:val="single"/>
        </w:rPr>
        <w:t xml:space="preserve">                                     </w:t>
      </w:r>
    </w:p>
    <w:p w14:paraId="0C9E7D8C">
      <w:pPr>
        <w:spacing w:line="400" w:lineRule="exact"/>
        <w:ind w:firstLine="4200" w:firstLineChars="1750"/>
        <w:rPr>
          <w:rFonts w:ascii="宋体" w:hAnsi="宋体"/>
          <w:color w:val="auto"/>
          <w:sz w:val="24"/>
          <w:szCs w:val="24"/>
          <w:highlight w:val="none"/>
        </w:rPr>
      </w:pPr>
      <w:bookmarkStart w:id="378" w:name="_Toc221951943"/>
      <w:r>
        <w:rPr>
          <w:rFonts w:ascii="宋体" w:hAnsi="宋体"/>
          <w:color w:val="auto"/>
          <w:sz w:val="24"/>
          <w:szCs w:val="24"/>
          <w:highlight w:val="none"/>
        </w:rPr>
        <w:t>电话：</w:t>
      </w:r>
      <w:bookmarkEnd w:id="378"/>
      <w:r>
        <w:rPr>
          <w:rFonts w:ascii="宋体" w:hAnsi="宋体"/>
          <w:color w:val="auto"/>
          <w:sz w:val="24"/>
          <w:szCs w:val="24"/>
          <w:highlight w:val="none"/>
          <w:u w:val="single"/>
        </w:rPr>
        <w:t xml:space="preserve">                                     </w:t>
      </w:r>
    </w:p>
    <w:p w14:paraId="3699D27F">
      <w:pPr>
        <w:spacing w:line="400" w:lineRule="exact"/>
        <w:ind w:firstLine="4200" w:firstLineChars="1750"/>
        <w:rPr>
          <w:rFonts w:ascii="宋体" w:hAnsi="宋体"/>
          <w:color w:val="auto"/>
          <w:sz w:val="24"/>
          <w:szCs w:val="24"/>
          <w:highlight w:val="none"/>
        </w:rPr>
      </w:pPr>
      <w:bookmarkStart w:id="379" w:name="_Toc221951944"/>
      <w:r>
        <w:rPr>
          <w:rFonts w:ascii="宋体" w:hAnsi="宋体"/>
          <w:color w:val="auto"/>
          <w:sz w:val="24"/>
          <w:szCs w:val="24"/>
          <w:highlight w:val="none"/>
        </w:rPr>
        <w:t>传真：</w:t>
      </w:r>
      <w:bookmarkEnd w:id="379"/>
      <w:r>
        <w:rPr>
          <w:rFonts w:ascii="宋体" w:hAnsi="宋体"/>
          <w:color w:val="auto"/>
          <w:sz w:val="24"/>
          <w:szCs w:val="24"/>
          <w:highlight w:val="none"/>
          <w:u w:val="single"/>
        </w:rPr>
        <w:t xml:space="preserve">                                     </w:t>
      </w:r>
    </w:p>
    <w:p w14:paraId="0BA3F1F4">
      <w:pPr>
        <w:spacing w:line="400" w:lineRule="exact"/>
        <w:ind w:firstLine="4200" w:firstLineChars="1750"/>
        <w:rPr>
          <w:rFonts w:ascii="宋体" w:hAnsi="宋体"/>
          <w:color w:val="auto"/>
          <w:sz w:val="24"/>
          <w:szCs w:val="24"/>
          <w:highlight w:val="none"/>
        </w:rPr>
      </w:pPr>
      <w:bookmarkStart w:id="380" w:name="_Toc221951945"/>
      <w:r>
        <w:rPr>
          <w:rFonts w:ascii="宋体" w:hAnsi="宋体"/>
          <w:color w:val="auto"/>
          <w:sz w:val="24"/>
          <w:szCs w:val="24"/>
          <w:highlight w:val="none"/>
        </w:rPr>
        <w:t>邮政编码：</w:t>
      </w:r>
      <w:bookmarkEnd w:id="380"/>
      <w:r>
        <w:rPr>
          <w:rFonts w:ascii="宋体" w:hAnsi="宋体"/>
          <w:color w:val="auto"/>
          <w:sz w:val="24"/>
          <w:szCs w:val="24"/>
          <w:highlight w:val="none"/>
          <w:u w:val="single"/>
        </w:rPr>
        <w:t xml:space="preserve">                                 </w:t>
      </w:r>
    </w:p>
    <w:p w14:paraId="53EFB13B">
      <w:pPr>
        <w:spacing w:line="400" w:lineRule="exact"/>
        <w:ind w:firstLine="4200" w:firstLineChars="1750"/>
        <w:rPr>
          <w:rFonts w:ascii="宋体" w:hAnsi="宋体"/>
          <w:color w:val="auto"/>
          <w:sz w:val="24"/>
          <w:szCs w:val="24"/>
          <w:highlight w:val="none"/>
        </w:rPr>
      </w:pPr>
    </w:p>
    <w:p w14:paraId="09401333">
      <w:pPr>
        <w:spacing w:line="360" w:lineRule="auto"/>
        <w:jc w:val="right"/>
        <w:rPr>
          <w:rFonts w:hint="eastAsia" w:ascii="宋体" w:hAnsi="宋体" w:cs="宋体"/>
          <w:color w:val="auto"/>
          <w:sz w:val="24"/>
          <w:szCs w:val="24"/>
          <w:highlight w:val="none"/>
        </w:rPr>
      </w:pPr>
      <w:bookmarkStart w:id="381" w:name="_Toc221951946"/>
      <w:r>
        <w:rPr>
          <w:rFonts w:ascii="宋体" w:hAnsi="宋体"/>
          <w:color w:val="auto"/>
          <w:sz w:val="24"/>
          <w:szCs w:val="24"/>
          <w:highlight w:val="none"/>
          <w:u w:val="single"/>
        </w:rPr>
        <w:t>___</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__</w:t>
      </w:r>
      <w:r>
        <w:rPr>
          <w:rFonts w:ascii="宋体" w:hAnsi="宋体"/>
          <w:color w:val="auto"/>
          <w:sz w:val="24"/>
          <w:szCs w:val="24"/>
          <w:highlight w:val="none"/>
        </w:rPr>
        <w:t>年</w:t>
      </w:r>
      <w:r>
        <w:rPr>
          <w:rFonts w:ascii="宋体" w:hAnsi="宋体"/>
          <w:color w:val="auto"/>
          <w:sz w:val="24"/>
          <w:szCs w:val="24"/>
          <w:highlight w:val="none"/>
          <w:u w:val="single"/>
        </w:rPr>
        <w:t>__</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__</w:t>
      </w:r>
      <w:r>
        <w:rPr>
          <w:rFonts w:ascii="宋体" w:hAnsi="宋体"/>
          <w:color w:val="auto"/>
          <w:sz w:val="24"/>
          <w:szCs w:val="24"/>
          <w:highlight w:val="none"/>
        </w:rPr>
        <w:t>月__</w:t>
      </w:r>
      <w:r>
        <w:rPr>
          <w:rFonts w:ascii="宋体" w:hAnsi="宋体"/>
          <w:color w:val="auto"/>
          <w:sz w:val="24"/>
          <w:szCs w:val="24"/>
          <w:highlight w:val="none"/>
          <w:u w:val="single"/>
        </w:rPr>
        <w:t>_</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_</w:t>
      </w:r>
      <w:r>
        <w:rPr>
          <w:rFonts w:ascii="宋体" w:hAnsi="宋体"/>
          <w:color w:val="auto"/>
          <w:sz w:val="24"/>
          <w:szCs w:val="24"/>
          <w:highlight w:val="none"/>
        </w:rPr>
        <w:t>日</w:t>
      </w:r>
      <w:bookmarkEnd w:id="381"/>
    </w:p>
    <w:p w14:paraId="3DAFE72C">
      <w:pPr>
        <w:spacing w:line="400" w:lineRule="exact"/>
        <w:rPr>
          <w:rFonts w:hint="eastAsia" w:ascii="宋体" w:hAnsi="宋体" w:cs="宋体"/>
          <w:color w:val="auto"/>
          <w:sz w:val="20"/>
          <w:szCs w:val="20"/>
          <w:highlight w:val="none"/>
        </w:rPr>
      </w:pPr>
    </w:p>
    <w:p w14:paraId="28B7244B">
      <w:pPr>
        <w:spacing w:line="400" w:lineRule="exact"/>
        <w:rPr>
          <w:rFonts w:hint="eastAsia" w:ascii="宋体" w:hAnsi="宋体" w:cs="宋体"/>
          <w:b/>
          <w:bCs/>
          <w:color w:val="auto"/>
          <w:sz w:val="36"/>
          <w:szCs w:val="36"/>
          <w:highlight w:val="none"/>
          <w:lang w:val="zh-CN"/>
        </w:rPr>
      </w:pPr>
      <w:r>
        <w:rPr>
          <w:rFonts w:hint="eastAsia" w:ascii="宋体" w:hAnsi="宋体" w:cs="宋体"/>
          <w:color w:val="auto"/>
          <w:sz w:val="19"/>
          <w:szCs w:val="19"/>
          <w:highlight w:val="none"/>
        </w:rPr>
        <w:br w:type="page"/>
      </w:r>
      <w:bookmarkStart w:id="382" w:name="_Toc168475917"/>
      <w:bookmarkStart w:id="383" w:name="_Toc168476320"/>
      <w:bookmarkStart w:id="384" w:name="_Toc221951947"/>
      <w:bookmarkStart w:id="385" w:name="_Toc144974859"/>
      <w:r>
        <w:rPr>
          <w:rFonts w:hint="eastAsia" w:ascii="宋体" w:hAnsi="宋体" w:cs="宋体"/>
          <w:b/>
          <w:color w:val="auto"/>
          <w:sz w:val="24"/>
          <w:szCs w:val="31"/>
          <w:highlight w:val="none"/>
        </w:rPr>
        <w:t>（二）</w:t>
      </w:r>
      <w:r>
        <w:rPr>
          <w:rFonts w:hint="eastAsia" w:ascii="宋体" w:hAnsi="宋体" w:cs="宋体"/>
          <w:color w:val="auto"/>
          <w:sz w:val="28"/>
          <w:szCs w:val="27"/>
          <w:highlight w:val="none"/>
        </w:rPr>
        <w:t>投标函附录</w:t>
      </w:r>
      <w:r>
        <w:rPr>
          <w:rFonts w:hint="eastAsia" w:ascii="宋体" w:hAnsi="宋体" w:cs="宋体"/>
          <w:strike w:val="0"/>
          <w:color w:val="auto"/>
          <w:szCs w:val="21"/>
          <w:highlight w:val="none"/>
        </w:rPr>
        <w:t>（适用于采用综合评估法一、二及经评审最低价法）</w:t>
      </w:r>
    </w:p>
    <w:p w14:paraId="3A816D87">
      <w:pPr>
        <w:autoSpaceDE w:val="0"/>
        <w:autoSpaceDN w:val="0"/>
        <w:adjustRightInd w:val="0"/>
        <w:jc w:val="center"/>
        <w:rPr>
          <w:rFonts w:hint="eastAsia" w:ascii="宋体" w:hAnsi="宋体" w:cs="宋体"/>
          <w:bCs/>
          <w:color w:val="auto"/>
          <w:sz w:val="52"/>
          <w:szCs w:val="52"/>
          <w:highlight w:val="none"/>
        </w:rPr>
      </w:pPr>
      <w:r>
        <w:rPr>
          <w:rFonts w:hint="eastAsia" w:ascii="宋体" w:hAnsi="宋体" w:cs="宋体"/>
          <w:b/>
          <w:color w:val="auto"/>
          <w:sz w:val="24"/>
          <w:szCs w:val="24"/>
          <w:highlight w:val="none"/>
          <w:lang w:val="zh-CN"/>
        </w:rPr>
        <w:t xml:space="preserve">                                              </w:t>
      </w:r>
      <w:r>
        <w:rPr>
          <w:rFonts w:hint="eastAsia" w:ascii="宋体" w:hAnsi="宋体" w:cs="宋体"/>
          <w:color w:val="auto"/>
          <w:sz w:val="24"/>
          <w:szCs w:val="24"/>
          <w:highlight w:val="none"/>
          <w:lang w:val="zh-CN"/>
        </w:rPr>
        <w:t>投标日期：   年  月  日</w:t>
      </w:r>
    </w:p>
    <w:tbl>
      <w:tblPr>
        <w:tblStyle w:val="17"/>
        <w:tblpPr w:leftFromText="180" w:rightFromText="180" w:vertAnchor="text" w:horzAnchor="margin" w:tblpY="-86"/>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8"/>
        <w:gridCol w:w="2230"/>
        <w:gridCol w:w="3621"/>
      </w:tblGrid>
      <w:tr w14:paraId="1CB1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14:paraId="55C3EB94">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14:paraId="761D858C">
            <w:pPr>
              <w:autoSpaceDE w:val="0"/>
              <w:autoSpaceDN w:val="0"/>
              <w:adjustRightInd w:val="0"/>
              <w:rPr>
                <w:rFonts w:hint="eastAsia" w:ascii="宋体" w:hAnsi="宋体" w:cs="宋体"/>
                <w:bCs/>
                <w:color w:val="auto"/>
                <w:sz w:val="24"/>
                <w:szCs w:val="24"/>
                <w:highlight w:val="none"/>
                <w:lang w:val="zh-CN"/>
              </w:rPr>
            </w:pPr>
          </w:p>
        </w:tc>
      </w:tr>
      <w:tr w14:paraId="5C29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14:paraId="6A2452EA">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14:paraId="283729F6">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2EDC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14:paraId="706DE133">
            <w:pPr>
              <w:widowControl/>
              <w:jc w:val="center"/>
              <w:rPr>
                <w:rFonts w:hint="eastAsia"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14:paraId="4CF1EADE">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0BE3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14:paraId="7FBBE3D0">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14:paraId="6654757F">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0410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14:paraId="58FA6C49">
            <w:pPr>
              <w:widowControl/>
              <w:jc w:val="center"/>
              <w:rPr>
                <w:rFonts w:hint="eastAsia"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14:paraId="02940ABF">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07A3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right w:val="single" w:color="auto" w:sz="4" w:space="0"/>
            </w:tcBorders>
            <w:noWrap w:val="0"/>
            <w:vAlign w:val="center"/>
          </w:tcPr>
          <w:p w14:paraId="0B5D1AAD">
            <w:pPr>
              <w:widowControl/>
              <w:jc w:val="center"/>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rPr>
              <w:t>绿色施工安全防护措施费</w:t>
            </w:r>
            <w:r>
              <w:rPr>
                <w:rFonts w:hint="eastAsia" w:ascii="宋体" w:hAnsi="宋体" w:cs="宋体"/>
                <w:bCs/>
                <w:color w:val="auto"/>
                <w:sz w:val="24"/>
                <w:szCs w:val="24"/>
                <w:highlight w:val="none"/>
                <w:lang w:val="zh-CN"/>
              </w:rPr>
              <w:t>（元）</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14:paraId="3F0CE27D">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5D98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28" w:type="dxa"/>
            <w:vMerge w:val="continue"/>
            <w:tcBorders>
              <w:left w:val="single" w:color="auto" w:sz="4" w:space="0"/>
              <w:bottom w:val="single" w:color="auto" w:sz="4" w:space="0"/>
              <w:right w:val="single" w:color="auto" w:sz="4" w:space="0"/>
            </w:tcBorders>
            <w:noWrap w:val="0"/>
            <w:vAlign w:val="center"/>
          </w:tcPr>
          <w:p w14:paraId="4BFE3A88">
            <w:pPr>
              <w:widowControl/>
              <w:jc w:val="center"/>
              <w:rPr>
                <w:rFonts w:hint="eastAsia"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14:paraId="47090433">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7DA1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14:paraId="31C4DD2B">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14:paraId="77B188B7">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按照招标文件要求</w:t>
            </w:r>
          </w:p>
        </w:tc>
      </w:tr>
      <w:tr w14:paraId="09BD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14:paraId="2E9EB51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14:paraId="05D2183D">
            <w:pPr>
              <w:autoSpaceDE w:val="0"/>
              <w:autoSpaceDN w:val="0"/>
              <w:adjustRightInd w:val="0"/>
              <w:rPr>
                <w:rFonts w:hint="eastAsia" w:ascii="宋体" w:hAnsi="宋体" w:cs="宋体"/>
                <w:bCs/>
                <w:color w:val="auto"/>
                <w:sz w:val="24"/>
                <w:szCs w:val="24"/>
                <w:highlight w:val="none"/>
                <w:lang w:val="zh-CN"/>
              </w:rPr>
            </w:pPr>
          </w:p>
        </w:tc>
      </w:tr>
      <w:tr w14:paraId="59C1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noWrap w:val="0"/>
            <w:vAlign w:val="center"/>
          </w:tcPr>
          <w:p w14:paraId="03AEDEBB">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14:paraId="0B333E73">
            <w:pPr>
              <w:autoSpaceDE w:val="0"/>
              <w:autoSpaceDN w:val="0"/>
              <w:adjustRightInd w:val="0"/>
              <w:rPr>
                <w:rFonts w:hint="eastAsia" w:ascii="宋体" w:hAnsi="宋体" w:cs="宋体"/>
                <w:bCs/>
                <w:color w:val="auto"/>
                <w:sz w:val="24"/>
                <w:szCs w:val="24"/>
                <w:highlight w:val="none"/>
                <w:lang w:val="zh-CN"/>
              </w:rPr>
            </w:pPr>
          </w:p>
        </w:tc>
      </w:tr>
      <w:tr w14:paraId="0E26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14:paraId="7A408233">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66BD711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3621" w:type="dxa"/>
            <w:tcBorders>
              <w:top w:val="single" w:color="auto" w:sz="4" w:space="0"/>
              <w:left w:val="single" w:color="auto" w:sz="4" w:space="0"/>
              <w:bottom w:val="single" w:color="auto" w:sz="4" w:space="0"/>
              <w:right w:val="single" w:color="auto" w:sz="4" w:space="0"/>
            </w:tcBorders>
            <w:noWrap w:val="0"/>
            <w:vAlign w:val="top"/>
          </w:tcPr>
          <w:p w14:paraId="61EE9D85">
            <w:pPr>
              <w:autoSpaceDE w:val="0"/>
              <w:autoSpaceDN w:val="0"/>
              <w:adjustRightInd w:val="0"/>
              <w:rPr>
                <w:rFonts w:hint="eastAsia" w:ascii="宋体" w:hAnsi="宋体" w:cs="宋体"/>
                <w:b/>
                <w:bCs/>
                <w:color w:val="auto"/>
                <w:sz w:val="24"/>
                <w:szCs w:val="24"/>
                <w:highlight w:val="none"/>
                <w:lang w:val="zh-CN"/>
              </w:rPr>
            </w:pPr>
          </w:p>
        </w:tc>
      </w:tr>
      <w:tr w14:paraId="57E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14:paraId="2CFF67C9">
            <w:pPr>
              <w:widowControl/>
              <w:jc w:val="center"/>
              <w:rPr>
                <w:rFonts w:hint="eastAsia" w:ascii="宋体" w:hAnsi="宋体" w:cs="宋体"/>
                <w:bCs/>
                <w:color w:val="auto"/>
                <w:sz w:val="24"/>
                <w:szCs w:val="24"/>
                <w:highlight w:val="none"/>
                <w:lang w:val="zh-CN"/>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14AEB92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建造师的注册编号</w:t>
            </w:r>
          </w:p>
        </w:tc>
        <w:tc>
          <w:tcPr>
            <w:tcW w:w="3621" w:type="dxa"/>
            <w:tcBorders>
              <w:top w:val="single" w:color="auto" w:sz="4" w:space="0"/>
              <w:left w:val="single" w:color="auto" w:sz="4" w:space="0"/>
              <w:bottom w:val="single" w:color="auto" w:sz="4" w:space="0"/>
              <w:right w:val="single" w:color="auto" w:sz="4" w:space="0"/>
            </w:tcBorders>
            <w:noWrap w:val="0"/>
            <w:vAlign w:val="top"/>
          </w:tcPr>
          <w:p w14:paraId="4C59D8D6">
            <w:pPr>
              <w:autoSpaceDE w:val="0"/>
              <w:autoSpaceDN w:val="0"/>
              <w:adjustRightInd w:val="0"/>
              <w:rPr>
                <w:rFonts w:hint="eastAsia" w:ascii="宋体" w:hAnsi="宋体" w:cs="宋体"/>
                <w:b/>
                <w:bCs/>
                <w:color w:val="auto"/>
                <w:sz w:val="24"/>
                <w:szCs w:val="24"/>
                <w:highlight w:val="none"/>
                <w:lang w:val="zh-CN"/>
              </w:rPr>
            </w:pPr>
          </w:p>
        </w:tc>
      </w:tr>
      <w:tr w14:paraId="3338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14:paraId="13DF7D3D">
            <w:pPr>
              <w:autoSpaceDE w:val="0"/>
              <w:autoSpaceDN w:val="0"/>
              <w:adjustRightInd w:val="0"/>
              <w:ind w:firstLine="235" w:firstLineChars="98"/>
              <w:jc w:val="center"/>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委派的安全员</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546166A4">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姓名</w:t>
            </w:r>
          </w:p>
        </w:tc>
        <w:tc>
          <w:tcPr>
            <w:tcW w:w="3621" w:type="dxa"/>
            <w:tcBorders>
              <w:top w:val="single" w:color="auto" w:sz="4" w:space="0"/>
              <w:left w:val="single" w:color="auto" w:sz="4" w:space="0"/>
              <w:bottom w:val="single" w:color="auto" w:sz="4" w:space="0"/>
              <w:right w:val="single" w:color="auto" w:sz="4" w:space="0"/>
            </w:tcBorders>
            <w:noWrap w:val="0"/>
            <w:vAlign w:val="top"/>
          </w:tcPr>
          <w:p w14:paraId="7A599CB8">
            <w:pPr>
              <w:autoSpaceDE w:val="0"/>
              <w:autoSpaceDN w:val="0"/>
              <w:adjustRightInd w:val="0"/>
              <w:rPr>
                <w:rFonts w:hint="eastAsia" w:ascii="宋体" w:hAnsi="宋体" w:cs="宋体"/>
                <w:b/>
                <w:bCs/>
                <w:color w:val="auto"/>
                <w:sz w:val="24"/>
                <w:szCs w:val="24"/>
                <w:highlight w:val="none"/>
                <w:lang w:val="zh-CN"/>
              </w:rPr>
            </w:pPr>
          </w:p>
        </w:tc>
      </w:tr>
      <w:tr w14:paraId="0280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14:paraId="4D94E13E">
            <w:pPr>
              <w:widowControl/>
              <w:jc w:val="left"/>
              <w:rPr>
                <w:rFonts w:hint="eastAsia" w:ascii="宋体" w:hAnsi="宋体" w:cs="宋体"/>
                <w:bCs/>
                <w:color w:val="auto"/>
                <w:sz w:val="24"/>
                <w:szCs w:val="24"/>
                <w:highlight w:val="none"/>
                <w:lang w:val="zh-CN"/>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60E61C73">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安全生产考核合格证</w:t>
            </w:r>
            <w:r>
              <w:rPr>
                <w:rFonts w:hint="eastAsia" w:ascii="宋体" w:hAnsi="宋体" w:cs="宋体"/>
                <w:color w:val="auto"/>
                <w:sz w:val="24"/>
                <w:szCs w:val="24"/>
                <w:highlight w:val="none"/>
                <w:u w:val="single"/>
              </w:rPr>
              <w:t>（C类）</w:t>
            </w:r>
            <w:r>
              <w:rPr>
                <w:rFonts w:hint="eastAsia" w:ascii="宋体" w:hAnsi="宋体" w:cs="宋体"/>
                <w:color w:val="auto"/>
                <w:sz w:val="24"/>
                <w:szCs w:val="24"/>
                <w:highlight w:val="none"/>
              </w:rPr>
              <w:t>编号</w:t>
            </w:r>
          </w:p>
        </w:tc>
        <w:tc>
          <w:tcPr>
            <w:tcW w:w="3621" w:type="dxa"/>
            <w:tcBorders>
              <w:top w:val="single" w:color="auto" w:sz="4" w:space="0"/>
              <w:left w:val="single" w:color="auto" w:sz="4" w:space="0"/>
              <w:bottom w:val="single" w:color="auto" w:sz="4" w:space="0"/>
              <w:right w:val="single" w:color="auto" w:sz="4" w:space="0"/>
            </w:tcBorders>
            <w:noWrap w:val="0"/>
            <w:vAlign w:val="top"/>
          </w:tcPr>
          <w:p w14:paraId="3B825BFE">
            <w:pPr>
              <w:autoSpaceDE w:val="0"/>
              <w:autoSpaceDN w:val="0"/>
              <w:adjustRightInd w:val="0"/>
              <w:rPr>
                <w:rFonts w:hint="eastAsia" w:ascii="宋体" w:hAnsi="宋体" w:cs="宋体"/>
                <w:b/>
                <w:bCs/>
                <w:color w:val="auto"/>
                <w:sz w:val="24"/>
                <w:szCs w:val="24"/>
                <w:highlight w:val="none"/>
                <w:lang w:val="zh-CN"/>
              </w:rPr>
            </w:pPr>
          </w:p>
        </w:tc>
      </w:tr>
    </w:tbl>
    <w:p w14:paraId="7D031238">
      <w:pPr>
        <w:autoSpaceDE w:val="0"/>
        <w:autoSpaceDN w:val="0"/>
        <w:adjustRightInd w:val="0"/>
        <w:rPr>
          <w:rFonts w:hint="eastAsia" w:ascii="宋体" w:hAnsi="宋体" w:cs="宋体"/>
          <w:color w:val="auto"/>
          <w:szCs w:val="21"/>
          <w:highlight w:val="none"/>
          <w:lang w:val="zh-CN"/>
        </w:rPr>
      </w:pPr>
      <w:r>
        <w:rPr>
          <w:rFonts w:hint="eastAsia" w:ascii="宋体" w:hAnsi="宋体" w:cs="宋体"/>
          <w:color w:val="auto"/>
          <w:szCs w:val="21"/>
          <w:highlight w:val="none"/>
          <w:lang w:val="zh-CN"/>
        </w:rPr>
        <w:t>注：1.本表所报委派的项目负责人、</w:t>
      </w:r>
      <w:r>
        <w:rPr>
          <w:rFonts w:hint="eastAsia" w:ascii="宋体" w:hAnsi="宋体" w:cs="宋体"/>
          <w:color w:val="auto"/>
          <w:szCs w:val="21"/>
          <w:highlight w:val="none"/>
          <w:lang w:val="zh-CN" w:eastAsia="zh-CN"/>
        </w:rPr>
        <w:t>专职</w:t>
      </w:r>
      <w:r>
        <w:rPr>
          <w:rFonts w:hint="eastAsia" w:ascii="宋体" w:hAnsi="宋体" w:cs="宋体"/>
          <w:color w:val="auto"/>
          <w:szCs w:val="21"/>
          <w:highlight w:val="none"/>
          <w:lang w:val="zh-CN"/>
        </w:rPr>
        <w:t>安全员的姓名及相关资料，须与本企业在广州交易集团有限公司（广州公共资源交易中心）企业库记录的相应信息一致，评审时，委派的项目负责人、</w:t>
      </w:r>
      <w:r>
        <w:rPr>
          <w:rFonts w:hint="eastAsia" w:ascii="宋体" w:hAnsi="宋体" w:cs="宋体"/>
          <w:color w:val="auto"/>
          <w:szCs w:val="21"/>
          <w:highlight w:val="none"/>
          <w:lang w:val="zh-CN" w:eastAsia="zh-CN"/>
        </w:rPr>
        <w:t>专职</w:t>
      </w:r>
      <w:r>
        <w:rPr>
          <w:rFonts w:hint="eastAsia" w:ascii="宋体" w:hAnsi="宋体" w:cs="宋体"/>
          <w:color w:val="auto"/>
          <w:szCs w:val="21"/>
          <w:highlight w:val="none"/>
          <w:lang w:val="zh-CN"/>
        </w:rPr>
        <w:t>安全员以投标人在广州交易集团有限公司（广州公共资源交易中心）企业库登记的信息为准。</w:t>
      </w:r>
    </w:p>
    <w:bookmarkEnd w:id="382"/>
    <w:bookmarkEnd w:id="383"/>
    <w:bookmarkEnd w:id="384"/>
    <w:bookmarkEnd w:id="385"/>
    <w:p w14:paraId="41427CD6">
      <w:pPr>
        <w:pageBreakBefore/>
        <w:spacing w:line="360" w:lineRule="auto"/>
        <w:jc w:val="center"/>
        <w:outlineLvl w:val="2"/>
        <w:rPr>
          <w:rFonts w:hint="eastAsia" w:ascii="宋体" w:hAnsi="宋体" w:cs="宋体"/>
          <w:color w:val="auto"/>
          <w:sz w:val="28"/>
          <w:szCs w:val="27"/>
          <w:highlight w:val="none"/>
        </w:rPr>
      </w:pPr>
      <w:bookmarkStart w:id="386" w:name="_Toc222029561"/>
      <w:bookmarkStart w:id="387" w:name="_Toc222033912"/>
      <w:bookmarkStart w:id="388" w:name="_Toc17454952"/>
      <w:bookmarkStart w:id="389" w:name="_Toc221952013"/>
      <w:bookmarkStart w:id="390" w:name="_Toc17451653"/>
      <w:bookmarkStart w:id="391" w:name="_Toc17451131"/>
      <w:bookmarkStart w:id="392" w:name="_Toc168475918"/>
      <w:bookmarkStart w:id="393" w:name="_Toc144974860"/>
      <w:bookmarkStart w:id="394" w:name="_Toc17556906"/>
      <w:bookmarkStart w:id="395" w:name="_Toc17452694"/>
      <w:bookmarkStart w:id="396" w:name="_Toc222031063"/>
      <w:bookmarkStart w:id="397" w:name="_Toc17451608"/>
      <w:bookmarkStart w:id="398" w:name="_Toc259524415"/>
      <w:bookmarkStart w:id="399" w:name="_Toc229305421"/>
      <w:bookmarkStart w:id="400" w:name="_Toc17454901"/>
      <w:bookmarkStart w:id="401" w:name="_Toc168476321"/>
      <w:bookmarkStart w:id="402" w:name="_Toc222032730"/>
      <w:bookmarkStart w:id="403" w:name="_Toc27235"/>
      <w:r>
        <w:rPr>
          <w:rFonts w:hint="eastAsia" w:ascii="宋体" w:hAnsi="宋体" w:cs="宋体"/>
          <w:color w:val="auto"/>
          <w:sz w:val="28"/>
          <w:szCs w:val="27"/>
          <w:highlight w:val="none"/>
        </w:rPr>
        <w:t>二、法定代表人身份证明</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66FF0E7C">
      <w:pPr>
        <w:spacing w:line="400" w:lineRule="exact"/>
        <w:rPr>
          <w:rFonts w:hint="eastAsia" w:ascii="宋体" w:hAnsi="宋体" w:cs="宋体"/>
          <w:color w:val="auto"/>
          <w:sz w:val="19"/>
          <w:szCs w:val="19"/>
          <w:highlight w:val="none"/>
        </w:rPr>
      </w:pPr>
    </w:p>
    <w:p w14:paraId="1681A038">
      <w:pPr>
        <w:spacing w:line="400" w:lineRule="exact"/>
        <w:rPr>
          <w:rFonts w:hint="eastAsia" w:ascii="宋体" w:hAnsi="宋体" w:cs="宋体"/>
          <w:color w:val="auto"/>
          <w:szCs w:val="21"/>
          <w:highlight w:val="none"/>
        </w:rPr>
      </w:pPr>
    </w:p>
    <w:p w14:paraId="57391B6B">
      <w:pPr>
        <w:spacing w:line="360" w:lineRule="auto"/>
        <w:rPr>
          <w:rFonts w:hint="eastAsia" w:ascii="宋体" w:hAnsi="宋体" w:cs="宋体"/>
          <w:color w:val="auto"/>
          <w:sz w:val="24"/>
          <w:szCs w:val="24"/>
          <w:highlight w:val="none"/>
        </w:rPr>
      </w:pPr>
      <w:bookmarkStart w:id="404" w:name="_Toc221952014"/>
      <w:r>
        <w:rPr>
          <w:rFonts w:hint="eastAsia" w:ascii="宋体" w:hAnsi="宋体" w:cs="宋体"/>
          <w:color w:val="auto"/>
          <w:sz w:val="24"/>
          <w:szCs w:val="24"/>
          <w:highlight w:val="none"/>
        </w:rPr>
        <w:t>投标人名称：</w:t>
      </w:r>
      <w:bookmarkEnd w:id="404"/>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CC0C071">
      <w:pPr>
        <w:spacing w:line="360" w:lineRule="auto"/>
        <w:rPr>
          <w:rFonts w:hint="eastAsia" w:ascii="宋体" w:hAnsi="宋体" w:cs="宋体"/>
          <w:color w:val="auto"/>
          <w:sz w:val="24"/>
          <w:szCs w:val="24"/>
          <w:highlight w:val="none"/>
        </w:rPr>
      </w:pPr>
      <w:bookmarkStart w:id="405" w:name="_Toc221952015"/>
      <w:r>
        <w:rPr>
          <w:rFonts w:hint="eastAsia" w:ascii="宋体" w:hAnsi="宋体" w:cs="宋体"/>
          <w:color w:val="auto"/>
          <w:sz w:val="24"/>
          <w:szCs w:val="24"/>
          <w:highlight w:val="none"/>
        </w:rPr>
        <w:t>单位性质：</w:t>
      </w:r>
      <w:bookmarkEnd w:id="405"/>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099C2248">
      <w:pPr>
        <w:spacing w:line="360" w:lineRule="auto"/>
        <w:rPr>
          <w:rFonts w:hint="eastAsia" w:ascii="宋体" w:hAnsi="宋体" w:cs="宋体"/>
          <w:color w:val="auto"/>
          <w:sz w:val="24"/>
          <w:szCs w:val="24"/>
          <w:highlight w:val="none"/>
        </w:rPr>
      </w:pPr>
      <w:bookmarkStart w:id="406" w:name="_Toc221952016"/>
      <w:r>
        <w:rPr>
          <w:rFonts w:hint="eastAsia" w:ascii="宋体" w:hAnsi="宋体" w:cs="宋体"/>
          <w:color w:val="auto"/>
          <w:sz w:val="24"/>
          <w:szCs w:val="24"/>
          <w:highlight w:val="none"/>
        </w:rPr>
        <w:t>地址：</w:t>
      </w:r>
      <w:bookmarkEnd w:id="406"/>
      <w:r>
        <w:rPr>
          <w:rFonts w:hint="eastAsia" w:ascii="宋体" w:hAnsi="宋体" w:cs="宋体"/>
          <w:color w:val="auto"/>
          <w:sz w:val="24"/>
          <w:szCs w:val="24"/>
          <w:highlight w:val="none"/>
          <w:u w:val="single"/>
        </w:rPr>
        <w:t xml:space="preserve">                                   </w:t>
      </w:r>
    </w:p>
    <w:p w14:paraId="1E12119D">
      <w:pPr>
        <w:spacing w:line="360" w:lineRule="auto"/>
        <w:rPr>
          <w:rFonts w:hint="eastAsia" w:ascii="宋体" w:hAnsi="宋体" w:cs="宋体"/>
          <w:color w:val="auto"/>
          <w:sz w:val="24"/>
          <w:szCs w:val="24"/>
          <w:highlight w:val="none"/>
        </w:rPr>
      </w:pPr>
      <w:bookmarkStart w:id="407" w:name="_Toc221952017"/>
      <w:r>
        <w:rPr>
          <w:rFonts w:hint="eastAsia" w:ascii="宋体" w:hAnsi="宋体" w:cs="宋体"/>
          <w:color w:val="auto"/>
          <w:sz w:val="24"/>
          <w:szCs w:val="24"/>
          <w:highlight w:val="none"/>
        </w:rPr>
        <w:t>成立时间：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bookmarkEnd w:id="407"/>
    </w:p>
    <w:p w14:paraId="1F180238">
      <w:pPr>
        <w:spacing w:line="360" w:lineRule="auto"/>
        <w:rPr>
          <w:rFonts w:hint="eastAsia" w:ascii="宋体" w:hAnsi="宋体" w:cs="宋体"/>
          <w:color w:val="auto"/>
          <w:sz w:val="24"/>
          <w:szCs w:val="24"/>
          <w:highlight w:val="none"/>
        </w:rPr>
      </w:pPr>
      <w:bookmarkStart w:id="408" w:name="_Toc221952018"/>
      <w:r>
        <w:rPr>
          <w:rFonts w:hint="eastAsia" w:ascii="宋体" w:hAnsi="宋体" w:cs="宋体"/>
          <w:color w:val="auto"/>
          <w:sz w:val="24"/>
          <w:szCs w:val="24"/>
          <w:highlight w:val="none"/>
        </w:rPr>
        <w:t>经营期限：</w:t>
      </w:r>
      <w:bookmarkEnd w:id="408"/>
      <w:r>
        <w:rPr>
          <w:rFonts w:hint="eastAsia" w:ascii="宋体" w:hAnsi="宋体" w:cs="宋体"/>
          <w:color w:val="auto"/>
          <w:sz w:val="24"/>
          <w:szCs w:val="24"/>
          <w:highlight w:val="none"/>
          <w:u w:val="single"/>
        </w:rPr>
        <w:t xml:space="preserve">                               </w:t>
      </w:r>
    </w:p>
    <w:p w14:paraId="4E0B4D56">
      <w:pPr>
        <w:spacing w:line="360" w:lineRule="auto"/>
        <w:rPr>
          <w:rFonts w:hint="eastAsia" w:ascii="宋体" w:hAnsi="宋体" w:cs="宋体"/>
          <w:color w:val="auto"/>
          <w:sz w:val="24"/>
          <w:szCs w:val="24"/>
          <w:highlight w:val="none"/>
        </w:rPr>
      </w:pPr>
      <w:bookmarkStart w:id="409" w:name="_Toc221952019"/>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bookmarkEnd w:id="409"/>
      <w:r>
        <w:rPr>
          <w:rFonts w:hint="eastAsia" w:ascii="宋体" w:hAnsi="宋体" w:cs="宋体"/>
          <w:color w:val="auto"/>
          <w:sz w:val="24"/>
          <w:szCs w:val="24"/>
          <w:highlight w:val="none"/>
          <w:u w:val="single"/>
        </w:rPr>
        <w:t xml:space="preserve">             </w:t>
      </w:r>
      <w:bookmarkStart w:id="410" w:name="_Toc221952020"/>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的法定代表人。</w:t>
      </w:r>
      <w:bookmarkEnd w:id="410"/>
    </w:p>
    <w:p w14:paraId="3D2F3CDD">
      <w:pPr>
        <w:spacing w:line="360" w:lineRule="auto"/>
        <w:ind w:firstLine="480" w:firstLineChars="200"/>
        <w:rPr>
          <w:rFonts w:hint="eastAsia" w:ascii="宋体" w:hAnsi="宋体" w:cs="宋体"/>
          <w:color w:val="auto"/>
          <w:sz w:val="24"/>
          <w:szCs w:val="24"/>
          <w:highlight w:val="none"/>
        </w:rPr>
      </w:pPr>
      <w:bookmarkStart w:id="411" w:name="_Toc221952021"/>
      <w:r>
        <w:rPr>
          <w:rFonts w:hint="eastAsia" w:ascii="宋体" w:hAnsi="宋体" w:cs="宋体"/>
          <w:color w:val="auto"/>
          <w:sz w:val="24"/>
          <w:szCs w:val="24"/>
          <w:highlight w:val="none"/>
        </w:rPr>
        <w:t>特此证明。</w:t>
      </w:r>
      <w:bookmarkEnd w:id="411"/>
    </w:p>
    <w:p w14:paraId="4CAF0440">
      <w:pPr>
        <w:spacing w:line="360" w:lineRule="auto"/>
        <w:rPr>
          <w:rFonts w:hint="eastAsia" w:ascii="宋体" w:hAnsi="宋体" w:cs="宋体"/>
          <w:color w:val="auto"/>
          <w:sz w:val="24"/>
          <w:szCs w:val="24"/>
          <w:highlight w:val="none"/>
        </w:rPr>
      </w:pPr>
    </w:p>
    <w:p w14:paraId="4220D14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附：法定代表人身份证正反面扫描件。</w:t>
      </w:r>
    </w:p>
    <w:p w14:paraId="11653466">
      <w:pPr>
        <w:spacing w:line="360" w:lineRule="auto"/>
        <w:rPr>
          <w:rFonts w:hint="eastAsia" w:ascii="宋体" w:hAnsi="宋体" w:cs="宋体"/>
          <w:color w:val="auto"/>
          <w:sz w:val="24"/>
          <w:szCs w:val="24"/>
          <w:highlight w:val="none"/>
        </w:rPr>
      </w:pPr>
    </w:p>
    <w:p w14:paraId="5C4A2017">
      <w:pPr>
        <w:spacing w:line="360" w:lineRule="auto"/>
        <w:jc w:val="right"/>
        <w:rPr>
          <w:rFonts w:hint="eastAsia" w:ascii="宋体" w:hAnsi="宋体" w:cs="宋体"/>
          <w:color w:val="auto"/>
          <w:sz w:val="24"/>
          <w:szCs w:val="24"/>
          <w:highlight w:val="none"/>
        </w:rPr>
      </w:pPr>
      <w:bookmarkStart w:id="412" w:name="_Toc221952022"/>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bookmarkEnd w:id="412"/>
    </w:p>
    <w:p w14:paraId="7BCABAD4">
      <w:pPr>
        <w:spacing w:line="360" w:lineRule="auto"/>
        <w:jc w:val="right"/>
        <w:rPr>
          <w:rFonts w:hint="eastAsia" w:ascii="宋体" w:hAnsi="宋体" w:cs="宋体"/>
          <w:color w:val="auto"/>
          <w:sz w:val="24"/>
          <w:szCs w:val="24"/>
          <w:highlight w:val="none"/>
        </w:rPr>
      </w:pPr>
    </w:p>
    <w:p w14:paraId="2C45C28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bookmarkStart w:id="413" w:name="_Toc221952023"/>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bookmarkEnd w:id="413"/>
      <w:r>
        <w:rPr>
          <w:rFonts w:hint="eastAsia" w:ascii="宋体" w:hAnsi="宋体" w:cs="宋体"/>
          <w:color w:val="auto"/>
          <w:sz w:val="24"/>
          <w:szCs w:val="24"/>
          <w:highlight w:val="none"/>
        </w:rPr>
        <w:t xml:space="preserve"> </w:t>
      </w:r>
    </w:p>
    <w:p w14:paraId="4E470FBF">
      <w:pPr>
        <w:spacing w:line="400" w:lineRule="exact"/>
        <w:jc w:val="center"/>
        <w:rPr>
          <w:rFonts w:hint="eastAsia" w:ascii="宋体" w:hAnsi="宋体" w:cs="宋体"/>
          <w:color w:val="auto"/>
          <w:sz w:val="19"/>
          <w:szCs w:val="19"/>
          <w:highlight w:val="none"/>
        </w:rPr>
      </w:pPr>
      <w:r>
        <w:rPr>
          <w:rFonts w:hint="eastAsia" w:ascii="宋体" w:hAnsi="宋体" w:cs="宋体"/>
          <w:color w:val="auto"/>
          <w:sz w:val="24"/>
          <w:szCs w:val="24"/>
          <w:highlight w:val="none"/>
        </w:rPr>
        <w:br w:type="page"/>
      </w:r>
    </w:p>
    <w:p w14:paraId="07490424">
      <w:pPr>
        <w:spacing w:line="360" w:lineRule="auto"/>
        <w:jc w:val="center"/>
        <w:outlineLvl w:val="2"/>
        <w:rPr>
          <w:rFonts w:hint="eastAsia" w:ascii="宋体" w:hAnsi="宋体" w:cs="宋体"/>
          <w:color w:val="auto"/>
          <w:sz w:val="28"/>
          <w:szCs w:val="27"/>
          <w:highlight w:val="none"/>
        </w:rPr>
      </w:pPr>
      <w:bookmarkStart w:id="414" w:name="_Toc17454953"/>
      <w:bookmarkStart w:id="415" w:name="_Toc221952024"/>
      <w:bookmarkStart w:id="416" w:name="_Toc229305422"/>
      <w:bookmarkStart w:id="417" w:name="_Toc17452695"/>
      <w:bookmarkStart w:id="418" w:name="_Toc17451609"/>
      <w:bookmarkStart w:id="419" w:name="_Toc17454902"/>
      <w:bookmarkStart w:id="420" w:name="_Toc259524416"/>
      <w:bookmarkStart w:id="421" w:name="_Toc17451132"/>
      <w:bookmarkStart w:id="422" w:name="_Toc17451654"/>
      <w:bookmarkStart w:id="423" w:name="_Toc222029562"/>
      <w:bookmarkStart w:id="424" w:name="_Toc222033913"/>
      <w:bookmarkStart w:id="425" w:name="_Toc168475919"/>
      <w:bookmarkStart w:id="426" w:name="_Toc17556907"/>
      <w:bookmarkStart w:id="427" w:name="_Toc222032731"/>
      <w:bookmarkStart w:id="428" w:name="_Toc222031064"/>
      <w:bookmarkStart w:id="429" w:name="_Toc168476322"/>
      <w:bookmarkStart w:id="430" w:name="_Toc144974861"/>
      <w:bookmarkStart w:id="431" w:name="_Toc5116"/>
      <w:r>
        <w:rPr>
          <w:rFonts w:hint="eastAsia" w:ascii="宋体" w:hAnsi="宋体" w:cs="宋体"/>
          <w:color w:val="auto"/>
          <w:sz w:val="28"/>
          <w:szCs w:val="27"/>
          <w:highlight w:val="none"/>
        </w:rPr>
        <w:t>三、授权委托书</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F0106AC">
      <w:pPr>
        <w:spacing w:line="400" w:lineRule="exact"/>
        <w:rPr>
          <w:rFonts w:hint="eastAsia" w:ascii="宋体" w:hAnsi="宋体" w:cs="宋体"/>
          <w:color w:val="auto"/>
          <w:sz w:val="20"/>
          <w:szCs w:val="20"/>
          <w:highlight w:val="none"/>
        </w:rPr>
      </w:pPr>
    </w:p>
    <w:p w14:paraId="28C4017D">
      <w:pPr>
        <w:topLinePunct/>
        <w:spacing w:line="360" w:lineRule="auto"/>
        <w:ind w:firstLine="480" w:firstLineChars="200"/>
        <w:rPr>
          <w:rFonts w:hint="eastAsia" w:ascii="宋体" w:hAnsi="宋体" w:cs="宋体"/>
          <w:color w:val="auto"/>
          <w:sz w:val="24"/>
          <w:szCs w:val="24"/>
          <w:highlight w:val="none"/>
        </w:rPr>
      </w:pPr>
      <w:bookmarkStart w:id="432" w:name="_Toc221952025"/>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（标段名称）投标文件、签订合同和处理有关事宜，其法律后果由我方承担。</w:t>
      </w:r>
      <w:bookmarkEnd w:id="432"/>
    </w:p>
    <w:p w14:paraId="5B7E624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433" w:name="_Toc221952026"/>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bookmarkEnd w:id="433"/>
    </w:p>
    <w:p w14:paraId="31DD971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代理人无转委托权。代理人为投标人正式职工（提供</w:t>
      </w:r>
      <w:r>
        <w:rPr>
          <w:rFonts w:hint="eastAsia" w:ascii="宋体" w:hAnsi="宋体" w:cs="宋体"/>
          <w:color w:val="auto"/>
          <w:sz w:val="24"/>
          <w:szCs w:val="24"/>
          <w:highlight w:val="none"/>
          <w:lang w:val="en-US" w:eastAsia="zh-CN"/>
        </w:rPr>
        <w:t>离投标截止时间最近</w:t>
      </w:r>
      <w:r>
        <w:rPr>
          <w:rFonts w:hint="eastAsia" w:ascii="宋体" w:hAnsi="宋体" w:cs="宋体"/>
          <w:color w:val="auto"/>
          <w:sz w:val="24"/>
          <w:szCs w:val="24"/>
          <w:highlight w:val="none"/>
        </w:rPr>
        <w:t>一个月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2025年7月或8月</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社保证明）</w:t>
      </w:r>
    </w:p>
    <w:p w14:paraId="066F440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附：委托代理人身份证正反面和社保证明扫描件</w:t>
      </w:r>
    </w:p>
    <w:p w14:paraId="0BECD14E">
      <w:pPr>
        <w:spacing w:line="360" w:lineRule="auto"/>
        <w:rPr>
          <w:rFonts w:hint="eastAsia" w:ascii="宋体" w:hAnsi="宋体" w:cs="宋体"/>
          <w:color w:val="auto"/>
          <w:sz w:val="24"/>
          <w:szCs w:val="24"/>
          <w:highlight w:val="none"/>
        </w:rPr>
      </w:pPr>
    </w:p>
    <w:p w14:paraId="0A118244">
      <w:pPr>
        <w:spacing w:line="360" w:lineRule="auto"/>
        <w:rPr>
          <w:rFonts w:hint="eastAsia" w:ascii="宋体" w:hAnsi="宋体" w:cs="宋体"/>
          <w:color w:val="auto"/>
          <w:sz w:val="24"/>
          <w:szCs w:val="24"/>
          <w:highlight w:val="none"/>
        </w:rPr>
      </w:pPr>
    </w:p>
    <w:p w14:paraId="2549F80D">
      <w:pPr>
        <w:spacing w:line="360" w:lineRule="auto"/>
        <w:jc w:val="right"/>
        <w:rPr>
          <w:rFonts w:hint="eastAsia" w:ascii="宋体" w:hAnsi="宋体" w:cs="宋体"/>
          <w:color w:val="auto"/>
          <w:sz w:val="24"/>
          <w:szCs w:val="24"/>
          <w:highlight w:val="none"/>
        </w:rPr>
      </w:pPr>
      <w:bookmarkStart w:id="434" w:name="_Toc221952029"/>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bookmarkEnd w:id="434"/>
    </w:p>
    <w:p w14:paraId="57593503">
      <w:pPr>
        <w:spacing w:line="360" w:lineRule="auto"/>
        <w:jc w:val="right"/>
        <w:rPr>
          <w:rFonts w:hint="eastAsia" w:ascii="宋体" w:hAnsi="宋体" w:cs="宋体"/>
          <w:color w:val="auto"/>
          <w:sz w:val="24"/>
          <w:szCs w:val="24"/>
          <w:highlight w:val="none"/>
        </w:rPr>
      </w:pPr>
    </w:p>
    <w:p w14:paraId="53E24834">
      <w:pPr>
        <w:wordWrap w:val="0"/>
        <w:spacing w:line="360" w:lineRule="auto"/>
        <w:jc w:val="right"/>
        <w:rPr>
          <w:rFonts w:hint="eastAsia" w:ascii="宋体" w:hAnsi="宋体" w:cs="宋体"/>
          <w:color w:val="auto"/>
          <w:sz w:val="24"/>
          <w:szCs w:val="24"/>
          <w:highlight w:val="none"/>
        </w:rPr>
      </w:pPr>
      <w:bookmarkStart w:id="435" w:name="_Toc221952030"/>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bookmarkEnd w:id="435"/>
    </w:p>
    <w:p w14:paraId="13BB83D7">
      <w:pPr>
        <w:spacing w:line="360" w:lineRule="auto"/>
        <w:jc w:val="right"/>
        <w:rPr>
          <w:rFonts w:hint="eastAsia" w:ascii="宋体" w:hAnsi="宋体" w:cs="宋体"/>
          <w:color w:val="auto"/>
          <w:sz w:val="24"/>
          <w:szCs w:val="24"/>
          <w:highlight w:val="none"/>
        </w:rPr>
      </w:pPr>
    </w:p>
    <w:p w14:paraId="5FCE5580">
      <w:pPr>
        <w:spacing w:line="360" w:lineRule="auto"/>
        <w:ind w:right="420" w:firstLine="2959" w:firstLineChars="1233"/>
        <w:rPr>
          <w:rFonts w:hint="eastAsia" w:ascii="宋体" w:hAnsi="宋体" w:cs="宋体"/>
          <w:color w:val="auto"/>
          <w:sz w:val="24"/>
          <w:szCs w:val="24"/>
          <w:highlight w:val="none"/>
        </w:rPr>
      </w:pPr>
      <w:bookmarkStart w:id="436" w:name="_Toc221952031"/>
      <w:r>
        <w:rPr>
          <w:rFonts w:hint="eastAsia" w:ascii="宋体" w:hAnsi="宋体" w:cs="宋体"/>
          <w:color w:val="auto"/>
          <w:sz w:val="24"/>
          <w:szCs w:val="24"/>
          <w:highlight w:val="none"/>
        </w:rPr>
        <w:t>身份证号码：</w:t>
      </w:r>
      <w:bookmarkEnd w:id="436"/>
      <w:r>
        <w:rPr>
          <w:rFonts w:hint="eastAsia" w:ascii="宋体" w:hAnsi="宋体" w:cs="宋体"/>
          <w:color w:val="auto"/>
          <w:sz w:val="24"/>
          <w:szCs w:val="24"/>
          <w:highlight w:val="none"/>
          <w:u w:val="single"/>
        </w:rPr>
        <w:t xml:space="preserve">                                   </w:t>
      </w:r>
    </w:p>
    <w:p w14:paraId="31C9286B">
      <w:pPr>
        <w:spacing w:line="360" w:lineRule="auto"/>
        <w:jc w:val="right"/>
        <w:rPr>
          <w:rFonts w:hint="eastAsia" w:ascii="宋体" w:hAnsi="宋体" w:cs="宋体"/>
          <w:color w:val="auto"/>
          <w:sz w:val="24"/>
          <w:szCs w:val="24"/>
          <w:highlight w:val="none"/>
        </w:rPr>
      </w:pPr>
    </w:p>
    <w:p w14:paraId="7D17D1E9">
      <w:pPr>
        <w:wordWrap w:val="0"/>
        <w:spacing w:line="360" w:lineRule="auto"/>
        <w:jc w:val="right"/>
        <w:rPr>
          <w:rFonts w:hint="eastAsia" w:ascii="宋体" w:hAnsi="宋体" w:cs="宋体"/>
          <w:color w:val="auto"/>
          <w:sz w:val="24"/>
          <w:szCs w:val="24"/>
          <w:highlight w:val="none"/>
        </w:rPr>
      </w:pPr>
      <w:bookmarkStart w:id="437" w:name="_Toc221952032"/>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bookmarkEnd w:id="437"/>
      <w:r>
        <w:rPr>
          <w:rFonts w:hint="eastAsia" w:ascii="宋体" w:hAnsi="宋体" w:cs="宋体"/>
          <w:color w:val="auto"/>
          <w:sz w:val="24"/>
          <w:szCs w:val="24"/>
          <w:highlight w:val="none"/>
        </w:rPr>
        <w:t xml:space="preserve"> </w:t>
      </w:r>
    </w:p>
    <w:p w14:paraId="48921B7A">
      <w:pPr>
        <w:wordWrap w:val="0"/>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83484D1">
      <w:pPr>
        <w:spacing w:line="360" w:lineRule="auto"/>
        <w:ind w:right="420" w:firstLine="2940" w:firstLineChars="1225"/>
        <w:rPr>
          <w:rFonts w:hint="eastAsia" w:ascii="宋体" w:hAnsi="宋体" w:cs="宋体"/>
          <w:color w:val="auto"/>
          <w:sz w:val="24"/>
          <w:szCs w:val="24"/>
          <w:highlight w:val="none"/>
        </w:rPr>
      </w:pPr>
      <w:bookmarkStart w:id="438" w:name="_Toc221952033"/>
      <w:r>
        <w:rPr>
          <w:rFonts w:hint="eastAsia" w:ascii="宋体" w:hAnsi="宋体" w:cs="宋体"/>
          <w:color w:val="auto"/>
          <w:sz w:val="24"/>
          <w:szCs w:val="24"/>
          <w:highlight w:val="none"/>
        </w:rPr>
        <w:t>身份证号码：</w:t>
      </w:r>
      <w:bookmarkEnd w:id="438"/>
      <w:r>
        <w:rPr>
          <w:rFonts w:hint="eastAsia" w:ascii="宋体" w:hAnsi="宋体" w:cs="宋体"/>
          <w:color w:val="auto"/>
          <w:sz w:val="24"/>
          <w:szCs w:val="24"/>
          <w:highlight w:val="none"/>
          <w:u w:val="single"/>
        </w:rPr>
        <w:t xml:space="preserve">                                    </w:t>
      </w:r>
    </w:p>
    <w:p w14:paraId="28092E23">
      <w:pPr>
        <w:spacing w:line="360" w:lineRule="auto"/>
        <w:jc w:val="right"/>
        <w:rPr>
          <w:rFonts w:hint="eastAsia" w:ascii="宋体" w:hAnsi="宋体" w:cs="宋体"/>
          <w:color w:val="auto"/>
          <w:sz w:val="24"/>
          <w:szCs w:val="24"/>
          <w:highlight w:val="none"/>
        </w:rPr>
      </w:pPr>
    </w:p>
    <w:p w14:paraId="444DC601">
      <w:pPr>
        <w:spacing w:line="360" w:lineRule="auto"/>
        <w:ind w:firstLine="1800" w:firstLineChars="750"/>
        <w:jc w:val="righ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bookmarkStart w:id="439" w:name="_Toc221952034"/>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bookmarkEnd w:id="439"/>
    </w:p>
    <w:p w14:paraId="4731DDC8">
      <w:pPr>
        <w:spacing w:line="400" w:lineRule="exact"/>
        <w:jc w:val="center"/>
        <w:rPr>
          <w:rFonts w:hint="eastAsia" w:ascii="宋体" w:hAnsi="宋体" w:cs="宋体"/>
          <w:color w:val="auto"/>
          <w:sz w:val="19"/>
          <w:szCs w:val="19"/>
          <w:highlight w:val="none"/>
        </w:rPr>
      </w:pPr>
      <w:r>
        <w:rPr>
          <w:rFonts w:hint="eastAsia" w:ascii="宋体" w:hAnsi="宋体" w:cs="宋体"/>
          <w:color w:val="auto"/>
          <w:sz w:val="19"/>
          <w:szCs w:val="19"/>
          <w:highlight w:val="none"/>
        </w:rPr>
        <w:br w:type="page"/>
      </w:r>
    </w:p>
    <w:p w14:paraId="3F92BB4E">
      <w:pPr>
        <w:spacing w:line="360" w:lineRule="auto"/>
        <w:jc w:val="center"/>
        <w:outlineLvl w:val="2"/>
        <w:rPr>
          <w:rFonts w:hint="eastAsia" w:ascii="宋体" w:hAnsi="宋体" w:cs="宋体"/>
          <w:strike w:val="0"/>
          <w:color w:val="auto"/>
          <w:sz w:val="28"/>
          <w:szCs w:val="27"/>
          <w:highlight w:val="none"/>
        </w:rPr>
      </w:pPr>
      <w:bookmarkStart w:id="440" w:name="_Toc144974862"/>
      <w:bookmarkStart w:id="441" w:name="_Toc222033914"/>
      <w:bookmarkStart w:id="442" w:name="_Toc259524417"/>
      <w:bookmarkStart w:id="443" w:name="_Toc17454954"/>
      <w:bookmarkStart w:id="444" w:name="_Toc17454903"/>
      <w:bookmarkStart w:id="445" w:name="_Toc229305423"/>
      <w:bookmarkStart w:id="446" w:name="_Toc17556908"/>
      <w:bookmarkStart w:id="447" w:name="_Toc17451133"/>
      <w:bookmarkStart w:id="448" w:name="_Toc17451655"/>
      <w:bookmarkStart w:id="449" w:name="_Toc17451610"/>
      <w:bookmarkStart w:id="450" w:name="_Toc222031065"/>
      <w:bookmarkStart w:id="451" w:name="_Toc168476323"/>
      <w:bookmarkStart w:id="452" w:name="_Toc222029563"/>
      <w:bookmarkStart w:id="453" w:name="_Toc222032732"/>
      <w:bookmarkStart w:id="454" w:name="_Toc221952035"/>
      <w:bookmarkStart w:id="455" w:name="_Toc168475920"/>
      <w:bookmarkStart w:id="456" w:name="_Toc17452696"/>
      <w:bookmarkStart w:id="457" w:name="_Toc25728"/>
      <w:r>
        <w:rPr>
          <w:rFonts w:hint="eastAsia" w:ascii="宋体" w:hAnsi="宋体" w:cs="宋体"/>
          <w:strike w:val="0"/>
          <w:color w:val="auto"/>
          <w:sz w:val="28"/>
          <w:szCs w:val="27"/>
          <w:highlight w:val="none"/>
        </w:rPr>
        <w:t>四、</w:t>
      </w:r>
      <w:bookmarkEnd w:id="440"/>
      <w:r>
        <w:rPr>
          <w:rFonts w:hint="eastAsia" w:ascii="宋体" w:hAnsi="宋体" w:cs="宋体"/>
          <w:strike w:val="0"/>
          <w:color w:val="auto"/>
          <w:sz w:val="28"/>
          <w:szCs w:val="27"/>
          <w:highlight w:val="none"/>
        </w:rPr>
        <w:t>联合体协议书</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1081BEE8">
      <w:pPr>
        <w:spacing w:line="360" w:lineRule="auto"/>
        <w:jc w:val="left"/>
        <w:rPr>
          <w:rFonts w:hint="eastAsia" w:ascii="宋体" w:hAnsi="宋体" w:cs="宋体"/>
          <w:strike w:val="0"/>
          <w:color w:val="auto"/>
          <w:szCs w:val="21"/>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14:paraId="2F7E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4" w:hRule="atLeast"/>
          <w:jc w:val="center"/>
        </w:trPr>
        <w:tc>
          <w:tcPr>
            <w:tcW w:w="9243" w:type="dxa"/>
            <w:noWrap w:val="0"/>
            <w:vAlign w:val="top"/>
          </w:tcPr>
          <w:p w14:paraId="0CB1D523">
            <w:pPr>
              <w:spacing w:line="360" w:lineRule="auto"/>
              <w:ind w:firstLine="598" w:firstLineChars="285"/>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(承担主要施工任务的单位名称)、</w:t>
            </w:r>
            <w:r>
              <w:rPr>
                <w:rFonts w:hint="eastAsia" w:ascii="宋体" w:hAnsi="宋体"/>
                <w:color w:val="auto"/>
                <w:highlight w:val="none"/>
                <w:u w:val="single"/>
              </w:rPr>
              <w:t xml:space="preserve">               </w:t>
            </w:r>
            <w:r>
              <w:rPr>
                <w:rFonts w:hint="eastAsia" w:ascii="宋体" w:hAnsi="宋体"/>
                <w:color w:val="auto"/>
                <w:highlight w:val="none"/>
              </w:rPr>
              <w:t>(承担其他施工任务的单位名称)自愿组成联合体，共同参加</w:t>
            </w:r>
            <w:r>
              <w:rPr>
                <w:rFonts w:hint="eastAsia" w:ascii="宋体" w:hAnsi="宋体"/>
                <w:color w:val="auto"/>
                <w:highlight w:val="none"/>
                <w:u w:val="single"/>
              </w:rPr>
              <w:t xml:space="preserve">               </w:t>
            </w:r>
            <w:r>
              <w:rPr>
                <w:rFonts w:hint="eastAsia" w:ascii="宋体" w:hAnsi="宋体"/>
                <w:color w:val="auto"/>
                <w:highlight w:val="none"/>
              </w:rPr>
              <w:t>投标。现就联合体投标事宜订立如下协议。</w:t>
            </w:r>
          </w:p>
          <w:p w14:paraId="3CF6BB74">
            <w:pPr>
              <w:spacing w:line="360" w:lineRule="auto"/>
              <w:ind w:firstLine="598" w:firstLineChars="285"/>
              <w:rPr>
                <w:rFonts w:ascii="宋体" w:hAnsi="宋体"/>
                <w:color w:val="auto"/>
                <w:highlight w:val="none"/>
              </w:rPr>
            </w:pPr>
            <w:r>
              <w:rPr>
                <w:rFonts w:ascii="宋体" w:hAnsi="宋体"/>
                <w:color w:val="auto"/>
                <w:highlight w:val="none"/>
              </w:rPr>
              <w:t>1</w:t>
            </w:r>
            <w:r>
              <w:rPr>
                <w:rFonts w:hint="eastAsia"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为联合体主办方。</w:t>
            </w:r>
          </w:p>
          <w:p w14:paraId="4FA57852">
            <w:pPr>
              <w:spacing w:line="360" w:lineRule="auto"/>
              <w:ind w:firstLine="598" w:firstLineChars="285"/>
              <w:rPr>
                <w:rFonts w:ascii="宋体" w:hAnsi="宋体"/>
                <w:color w:val="auto"/>
                <w:highlight w:val="none"/>
              </w:rPr>
            </w:pPr>
            <w:r>
              <w:rPr>
                <w:rFonts w:hint="eastAsia" w:ascii="宋体" w:hAnsi="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41C95E53">
            <w:pPr>
              <w:spacing w:line="360" w:lineRule="auto"/>
              <w:ind w:firstLine="598" w:firstLineChars="285"/>
              <w:rPr>
                <w:rFonts w:ascii="宋体" w:hAnsi="宋体"/>
                <w:color w:val="auto"/>
                <w:highlight w:val="none"/>
              </w:rPr>
            </w:pPr>
            <w:r>
              <w:rPr>
                <w:rFonts w:hint="eastAsia" w:ascii="宋体" w:hAnsi="宋体"/>
                <w:color w:val="auto"/>
                <w:highlight w:val="none"/>
              </w:rPr>
              <w:t>3、联合体将严格按照招标文件的各项要求，递交投标文件，履行合同，并对外承担连带责任。</w:t>
            </w:r>
          </w:p>
          <w:p w14:paraId="0B0DCDD1">
            <w:pPr>
              <w:spacing w:line="360" w:lineRule="auto"/>
              <w:ind w:firstLine="598" w:firstLineChars="285"/>
              <w:rPr>
                <w:rFonts w:ascii="宋体" w:hAnsi="宋体"/>
                <w:color w:val="auto"/>
                <w:highlight w:val="none"/>
              </w:rPr>
            </w:pPr>
            <w:r>
              <w:rPr>
                <w:rFonts w:hint="eastAsia" w:ascii="宋体" w:hAnsi="宋体"/>
                <w:color w:val="auto"/>
                <w:highlight w:val="none"/>
              </w:rPr>
              <w:t>4、联合体各成员单位内部的职责分工如下：</w:t>
            </w:r>
          </w:p>
          <w:p w14:paraId="441E67A7">
            <w:pPr>
              <w:spacing w:line="360" w:lineRule="auto"/>
              <w:ind w:firstLine="598" w:firstLineChars="285"/>
              <w:rPr>
                <w:rFonts w:hint="default" w:ascii="宋体" w:hAnsi="宋体" w:eastAsia="宋体"/>
                <w:color w:val="auto"/>
                <w:szCs w:val="21"/>
                <w:highlight w:val="none"/>
                <w:u w:val="single"/>
                <w:lang w:val="en-US" w:eastAsia="zh-CN"/>
              </w:rPr>
            </w:pPr>
            <w:r>
              <w:rPr>
                <w:rFonts w:hint="eastAsia" w:ascii="宋体" w:hAnsi="宋体"/>
                <w:color w:val="auto"/>
                <w:highlight w:val="none"/>
              </w:rPr>
              <w:t>①</w:t>
            </w:r>
            <w:r>
              <w:rPr>
                <w:rFonts w:hint="eastAsia" w:ascii="宋体" w:hAnsi="宋体"/>
                <w:color w:val="auto"/>
                <w:highlight w:val="none"/>
                <w:u w:val="single"/>
              </w:rPr>
              <w:t xml:space="preserve">                  </w:t>
            </w:r>
            <w:r>
              <w:rPr>
                <w:rFonts w:hint="eastAsia" w:ascii="宋体" w:hAnsi="宋体"/>
                <w:color w:val="auto"/>
                <w:highlight w:val="none"/>
              </w:rPr>
              <w:t>（承担主要施工任务的单位名称）：作为本项目总负责单位，除承担本项目的主要施工任务外，还对本招标项目的进度、质量、安全、投资控制、管理、协调等负全责，具体按合同要求。</w:t>
            </w:r>
          </w:p>
          <w:p w14:paraId="1E37851E">
            <w:pPr>
              <w:spacing w:line="360" w:lineRule="auto"/>
              <w:ind w:firstLine="598" w:firstLineChars="285"/>
              <w:rPr>
                <w:color w:val="auto"/>
                <w:highlight w:val="none"/>
              </w:rPr>
            </w:pPr>
            <w:r>
              <w:rPr>
                <w:rFonts w:hint="eastAsia" w:ascii="宋体" w:hAnsi="宋体"/>
                <w:color w:val="auto"/>
                <w:highlight w:val="none"/>
              </w:rPr>
              <w:t>②</w:t>
            </w:r>
            <w:r>
              <w:rPr>
                <w:rFonts w:hint="eastAsia" w:ascii="宋体" w:hAnsi="宋体"/>
                <w:color w:val="auto"/>
                <w:highlight w:val="none"/>
                <w:u w:val="single"/>
              </w:rPr>
              <w:t xml:space="preserve">                   </w:t>
            </w:r>
            <w:r>
              <w:rPr>
                <w:rFonts w:hint="eastAsia" w:ascii="宋体" w:hAnsi="宋体"/>
                <w:color w:val="auto"/>
                <w:highlight w:val="none"/>
              </w:rPr>
              <w:t>（承担其他施工任务的单位名称）：主要承担本项目的其他施工任务，具体按合同要求。</w:t>
            </w:r>
            <w:r>
              <w:rPr>
                <w:rFonts w:ascii="宋体" w:hAnsi="宋体"/>
                <w:color w:val="auto"/>
                <w:highlight w:val="none"/>
              </w:rPr>
              <w:t>5</w:t>
            </w:r>
            <w:r>
              <w:rPr>
                <w:rFonts w:hint="eastAsia" w:ascii="宋体" w:hAnsi="宋体"/>
                <w:color w:val="auto"/>
                <w:highlight w:val="none"/>
              </w:rPr>
              <w:t>、本协议书自签署之日起生效，合同履行完毕后自动失效。</w:t>
            </w:r>
            <w:r>
              <w:rPr>
                <w:rFonts w:ascii="宋体" w:hAnsi="宋体"/>
                <w:color w:val="auto"/>
                <w:highlight w:val="none"/>
              </w:rPr>
              <w:t xml:space="preserve"> </w:t>
            </w:r>
          </w:p>
          <w:p w14:paraId="65B86950">
            <w:pPr>
              <w:topLinePunct/>
              <w:spacing w:line="440" w:lineRule="exact"/>
              <w:rPr>
                <w:rFonts w:ascii="宋体" w:hAnsi="宋体"/>
                <w:color w:val="auto"/>
                <w:highlight w:val="none"/>
              </w:rPr>
            </w:pPr>
          </w:p>
          <w:p w14:paraId="0E930830">
            <w:pPr>
              <w:topLinePunct/>
              <w:spacing w:line="440" w:lineRule="exact"/>
              <w:rPr>
                <w:rFonts w:ascii="宋体" w:hAnsi="宋体"/>
                <w:color w:val="auto"/>
                <w:highlight w:val="none"/>
              </w:rPr>
            </w:pPr>
            <w:r>
              <w:rPr>
                <w:rFonts w:hint="eastAsia" w:ascii="宋体" w:hAnsi="宋体"/>
                <w:color w:val="auto"/>
                <w:highlight w:val="none"/>
              </w:rPr>
              <w:t>联合体</w:t>
            </w:r>
            <w:r>
              <w:rPr>
                <w:rFonts w:ascii="宋体" w:hAnsi="宋体"/>
                <w:color w:val="auto"/>
                <w:highlight w:val="none"/>
              </w:rPr>
              <w:t>主办方名称：</w:t>
            </w:r>
            <w:r>
              <w:rPr>
                <w:rFonts w:ascii="宋体" w:hAnsi="宋体"/>
                <w:color w:val="auto"/>
                <w:highlight w:val="none"/>
                <w:u w:val="single"/>
              </w:rPr>
              <w:t xml:space="preserve">                           </w:t>
            </w:r>
            <w:r>
              <w:rPr>
                <w:rFonts w:ascii="宋体" w:hAnsi="宋体"/>
                <w:color w:val="auto"/>
                <w:highlight w:val="none"/>
              </w:rPr>
              <w:t>（盖单位章）</w:t>
            </w:r>
          </w:p>
          <w:p w14:paraId="5D7EB581">
            <w:pPr>
              <w:topLinePunct/>
              <w:spacing w:line="440" w:lineRule="exact"/>
              <w:rPr>
                <w:rFonts w:ascii="宋体" w:hAnsi="宋体"/>
                <w:color w:val="auto"/>
                <w:highlight w:val="none"/>
              </w:rPr>
            </w:pPr>
            <w:r>
              <w:rPr>
                <w:rFonts w:ascii="宋体" w:hAnsi="宋体"/>
                <w:color w:val="auto"/>
                <w:highlight w:val="none"/>
              </w:rPr>
              <w:t>法定代表人：</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签字或盖章</w:t>
            </w:r>
            <w:r>
              <w:rPr>
                <w:rFonts w:ascii="宋体" w:hAnsi="宋体"/>
                <w:color w:val="auto"/>
                <w:highlight w:val="none"/>
              </w:rPr>
              <w:t>）</w:t>
            </w:r>
          </w:p>
          <w:p w14:paraId="1D11968F">
            <w:pPr>
              <w:topLinePunct/>
              <w:spacing w:line="440" w:lineRule="exact"/>
              <w:rPr>
                <w:rFonts w:ascii="宋体" w:hAnsi="宋体"/>
                <w:color w:val="auto"/>
                <w:highlight w:val="none"/>
              </w:rPr>
            </w:pPr>
          </w:p>
          <w:p w14:paraId="6C35B76A">
            <w:pPr>
              <w:topLinePunct/>
              <w:spacing w:line="440" w:lineRule="exact"/>
              <w:rPr>
                <w:rFonts w:ascii="宋体" w:hAnsi="宋体"/>
                <w:color w:val="auto"/>
                <w:szCs w:val="21"/>
                <w:highlight w:val="none"/>
              </w:rPr>
            </w:pPr>
            <w:r>
              <w:rPr>
                <w:rFonts w:ascii="宋体" w:hAnsi="宋体"/>
                <w:color w:val="auto"/>
                <w:szCs w:val="21"/>
                <w:highlight w:val="none"/>
              </w:rPr>
              <w:t>成员名称：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14:paraId="4D966D94">
            <w:pPr>
              <w:topLinePunct/>
              <w:spacing w:line="440" w:lineRule="exact"/>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签字或盖章</w:t>
            </w:r>
            <w:r>
              <w:rPr>
                <w:rFonts w:ascii="宋体" w:hAnsi="宋体"/>
                <w:color w:val="auto"/>
                <w:szCs w:val="21"/>
                <w:highlight w:val="none"/>
              </w:rPr>
              <w:t>）</w:t>
            </w:r>
          </w:p>
          <w:p w14:paraId="7769863C">
            <w:pPr>
              <w:pStyle w:val="11"/>
              <w:rPr>
                <w:color w:val="auto"/>
                <w:highlight w:val="none"/>
              </w:rPr>
            </w:pPr>
          </w:p>
          <w:p w14:paraId="45CA7B18">
            <w:pPr>
              <w:autoSpaceDE w:val="0"/>
              <w:autoSpaceDN w:val="0"/>
              <w:adjustRightInd w:val="0"/>
              <w:spacing w:line="360" w:lineRule="auto"/>
              <w:jc w:val="right"/>
              <w:rPr>
                <w:rFonts w:hint="eastAsia" w:ascii="宋体" w:hAnsi="宋体"/>
                <w:color w:val="auto"/>
                <w:highlight w:val="none"/>
              </w:rPr>
            </w:pPr>
          </w:p>
          <w:p w14:paraId="77BF652F">
            <w:pPr>
              <w:autoSpaceDE w:val="0"/>
              <w:autoSpaceDN w:val="0"/>
              <w:adjustRightInd w:val="0"/>
              <w:spacing w:line="360" w:lineRule="auto"/>
              <w:jc w:val="right"/>
              <w:rPr>
                <w:rFonts w:ascii="宋体" w:hAnsi="宋体" w:cs="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s="宋体"/>
                <w:color w:val="auto"/>
                <w:highlight w:val="none"/>
              </w:rPr>
              <w:t>年</w:t>
            </w:r>
            <w:r>
              <w:rPr>
                <w:rFonts w:ascii="宋体" w:hAnsi="宋体"/>
                <w:color w:val="auto"/>
                <w:highlight w:val="none"/>
                <w:u w:val="single"/>
              </w:rPr>
              <w:t xml:space="preserve">       </w:t>
            </w:r>
            <w:r>
              <w:rPr>
                <w:rFonts w:hint="eastAsia" w:ascii="宋体" w:hAnsi="宋体" w:cs="宋体"/>
                <w:color w:val="auto"/>
                <w:highlight w:val="none"/>
              </w:rPr>
              <w:t>月</w:t>
            </w:r>
            <w:r>
              <w:rPr>
                <w:rFonts w:ascii="宋体" w:hAnsi="宋体"/>
                <w:color w:val="auto"/>
                <w:highlight w:val="none"/>
                <w:u w:val="single"/>
              </w:rPr>
              <w:t xml:space="preserve">       </w:t>
            </w:r>
            <w:r>
              <w:rPr>
                <w:rFonts w:hint="eastAsia" w:ascii="宋体" w:hAnsi="宋体" w:cs="宋体"/>
                <w:color w:val="auto"/>
                <w:highlight w:val="none"/>
              </w:rPr>
              <w:t>日</w:t>
            </w:r>
          </w:p>
          <w:p w14:paraId="3BBE964B">
            <w:pPr>
              <w:spacing w:line="400" w:lineRule="exact"/>
              <w:ind w:firstLine="435"/>
              <w:jc w:val="left"/>
              <w:rPr>
                <w:rFonts w:hint="eastAsia" w:ascii="宋体" w:hAnsi="宋体"/>
                <w:color w:val="auto"/>
                <w:szCs w:val="21"/>
                <w:highlight w:val="none"/>
              </w:rPr>
            </w:pPr>
            <w:r>
              <w:rPr>
                <w:rFonts w:hint="eastAsia" w:ascii="宋体" w:hAnsi="宋体"/>
                <w:color w:val="auto"/>
                <w:szCs w:val="21"/>
                <w:highlight w:val="none"/>
              </w:rPr>
              <w:t>注：单独投标的，无需提交本协议书。</w:t>
            </w:r>
          </w:p>
          <w:p w14:paraId="5C7F514C">
            <w:pPr>
              <w:autoSpaceDE w:val="0"/>
              <w:autoSpaceDN w:val="0"/>
              <w:adjustRightInd w:val="0"/>
              <w:spacing w:line="360" w:lineRule="auto"/>
              <w:jc w:val="left"/>
              <w:rPr>
                <w:rFonts w:ascii="宋体" w:hAnsi="宋体" w:cs="宋体"/>
                <w:bCs/>
                <w:color w:val="auto"/>
                <w:sz w:val="24"/>
                <w:highlight w:val="none"/>
              </w:rPr>
            </w:pPr>
          </w:p>
        </w:tc>
      </w:tr>
    </w:tbl>
    <w:p w14:paraId="18B5FE0A">
      <w:pPr>
        <w:spacing w:line="400" w:lineRule="exact"/>
        <w:jc w:val="left"/>
        <w:rPr>
          <w:rFonts w:hint="eastAsia" w:ascii="宋体" w:hAnsi="宋体" w:cs="宋体"/>
          <w:color w:val="auto"/>
          <w:szCs w:val="21"/>
          <w:highlight w:val="none"/>
          <w:u w:val="single"/>
        </w:rPr>
      </w:pPr>
    </w:p>
    <w:p w14:paraId="67BC8D6B">
      <w:pPr>
        <w:spacing w:line="400" w:lineRule="exact"/>
        <w:jc w:val="left"/>
        <w:rPr>
          <w:rFonts w:hint="eastAsia" w:ascii="宋体" w:hAnsi="宋体" w:cs="宋体"/>
          <w:color w:val="auto"/>
          <w:sz w:val="20"/>
          <w:szCs w:val="20"/>
          <w:highlight w:val="none"/>
        </w:rPr>
      </w:pPr>
      <w:r>
        <w:rPr>
          <w:rFonts w:hint="eastAsia" w:ascii="宋体" w:hAnsi="宋体" w:cs="宋体"/>
          <w:color w:val="auto"/>
          <w:sz w:val="20"/>
          <w:szCs w:val="20"/>
          <w:highlight w:val="none"/>
        </w:rPr>
        <w:br w:type="page"/>
      </w:r>
    </w:p>
    <w:p w14:paraId="469DDEA2">
      <w:pPr>
        <w:spacing w:line="360" w:lineRule="auto"/>
        <w:jc w:val="center"/>
        <w:outlineLvl w:val="2"/>
        <w:rPr>
          <w:rFonts w:hint="eastAsia" w:ascii="宋体" w:hAnsi="宋体" w:cs="宋体"/>
          <w:strike/>
          <w:dstrike w:val="0"/>
          <w:color w:val="auto"/>
          <w:sz w:val="28"/>
          <w:szCs w:val="27"/>
          <w:highlight w:val="none"/>
        </w:rPr>
      </w:pPr>
      <w:bookmarkStart w:id="458" w:name="_Toc17454904"/>
      <w:bookmarkStart w:id="459" w:name="_Toc17556909"/>
      <w:bookmarkStart w:id="460" w:name="_Toc222033915"/>
      <w:bookmarkStart w:id="461" w:name="_Toc168476324"/>
      <w:bookmarkStart w:id="462" w:name="_Toc168475921"/>
      <w:bookmarkStart w:id="463" w:name="_Toc222029564"/>
      <w:bookmarkStart w:id="464" w:name="_Toc17454955"/>
      <w:bookmarkStart w:id="465" w:name="_Toc229305424"/>
      <w:bookmarkStart w:id="466" w:name="_Toc222032733"/>
      <w:bookmarkStart w:id="467" w:name="_Toc17451134"/>
      <w:bookmarkStart w:id="468" w:name="_Toc17451611"/>
      <w:bookmarkStart w:id="469" w:name="_Toc221952052"/>
      <w:bookmarkStart w:id="470" w:name="_Toc17451656"/>
      <w:bookmarkStart w:id="471" w:name="_Toc17452697"/>
      <w:bookmarkStart w:id="472" w:name="_Toc259524418"/>
      <w:bookmarkStart w:id="473" w:name="_Toc222031066"/>
      <w:bookmarkStart w:id="474" w:name="_Toc2485"/>
      <w:r>
        <w:rPr>
          <w:rFonts w:hint="eastAsia" w:ascii="宋体" w:hAnsi="宋体" w:cs="宋体"/>
          <w:strike/>
          <w:dstrike w:val="0"/>
          <w:color w:val="auto"/>
          <w:sz w:val="28"/>
          <w:szCs w:val="27"/>
          <w:highlight w:val="none"/>
        </w:rPr>
        <w:t>五、投标保证金</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6D9D1DC1">
      <w:pPr>
        <w:spacing w:line="400" w:lineRule="exact"/>
        <w:jc w:val="left"/>
        <w:rPr>
          <w:rFonts w:hint="eastAsia" w:ascii="宋体" w:hAnsi="宋体" w:cs="宋体"/>
          <w:strike/>
          <w:dstrike w:val="0"/>
          <w:color w:val="auto"/>
          <w:szCs w:val="21"/>
          <w:highlight w:val="none"/>
          <w:u w:val="single"/>
        </w:rPr>
      </w:pPr>
    </w:p>
    <w:p w14:paraId="3B6AEED8">
      <w:pPr>
        <w:spacing w:line="360" w:lineRule="auto"/>
        <w:jc w:val="left"/>
        <w:rPr>
          <w:rFonts w:hint="eastAsia" w:ascii="宋体" w:hAnsi="宋体" w:cs="宋体"/>
          <w:color w:val="auto"/>
          <w:sz w:val="20"/>
          <w:szCs w:val="20"/>
          <w:highlight w:val="none"/>
        </w:rPr>
      </w:pPr>
      <w:r>
        <w:rPr>
          <w:rFonts w:hint="eastAsia" w:ascii="宋体" w:hAnsi="宋体" w:cs="宋体"/>
          <w:strike/>
          <w:dstrike w:val="0"/>
          <w:color w:val="auto"/>
          <w:szCs w:val="21"/>
          <w:highlight w:val="none"/>
        </w:rPr>
        <w:br w:type="page"/>
      </w:r>
      <w:bookmarkStart w:id="475" w:name="_Toc222029565"/>
      <w:bookmarkStart w:id="476" w:name="_Toc168476325"/>
      <w:bookmarkStart w:id="477" w:name="_Toc168475922"/>
      <w:bookmarkStart w:id="478" w:name="_Toc222031067"/>
      <w:bookmarkStart w:id="479" w:name="_Toc144974863"/>
      <w:bookmarkStart w:id="480" w:name="_Toc221952063"/>
    </w:p>
    <w:p w14:paraId="73E1A2C8">
      <w:pPr>
        <w:spacing w:line="360" w:lineRule="auto"/>
        <w:jc w:val="center"/>
        <w:outlineLvl w:val="2"/>
        <w:rPr>
          <w:rFonts w:hint="eastAsia" w:ascii="宋体" w:hAnsi="宋体" w:cs="宋体"/>
          <w:color w:val="auto"/>
          <w:sz w:val="28"/>
          <w:szCs w:val="27"/>
          <w:highlight w:val="none"/>
        </w:rPr>
      </w:pPr>
      <w:bookmarkStart w:id="481" w:name="_Toc17454956"/>
      <w:bookmarkStart w:id="482" w:name="_Toc17451657"/>
      <w:bookmarkStart w:id="483" w:name="_Toc17454905"/>
      <w:bookmarkStart w:id="484" w:name="_Toc17452698"/>
      <w:bookmarkStart w:id="485" w:name="_Toc17556910"/>
      <w:bookmarkStart w:id="486" w:name="_Toc222033916"/>
      <w:bookmarkStart w:id="487" w:name="_Toc17451612"/>
      <w:bookmarkStart w:id="488" w:name="_Toc222032734"/>
      <w:bookmarkStart w:id="489" w:name="_Toc17451135"/>
      <w:bookmarkStart w:id="490" w:name="_Toc259524419"/>
      <w:bookmarkStart w:id="491" w:name="_Toc229305425"/>
      <w:bookmarkStart w:id="492" w:name="_Toc6598"/>
      <w:r>
        <w:rPr>
          <w:rFonts w:hint="eastAsia" w:ascii="宋体" w:hAnsi="宋体" w:cs="宋体"/>
          <w:color w:val="auto"/>
          <w:sz w:val="28"/>
          <w:szCs w:val="27"/>
          <w:highlight w:val="none"/>
        </w:rPr>
        <w:t>六、已标价工程量清单</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483189F4">
      <w:pPr>
        <w:spacing w:line="360" w:lineRule="auto"/>
        <w:jc w:val="center"/>
        <w:outlineLvl w:val="2"/>
        <w:rPr>
          <w:rFonts w:hint="eastAsia" w:ascii="宋体" w:hAnsi="宋体" w:cs="宋体"/>
          <w:color w:val="auto"/>
          <w:szCs w:val="21"/>
          <w:highlight w:val="none"/>
        </w:rPr>
      </w:pPr>
      <w:bookmarkStart w:id="493" w:name="_Toc24245"/>
      <w:r>
        <w:rPr>
          <w:rFonts w:hint="eastAsia" w:ascii="宋体" w:hAnsi="宋体"/>
          <w:color w:val="auto"/>
          <w:sz w:val="24"/>
          <w:szCs w:val="24"/>
          <w:highlight w:val="none"/>
          <w:u w:val="single"/>
        </w:rPr>
        <w:t>按招标人提供的工程量清单填报。</w:t>
      </w:r>
      <w:bookmarkEnd w:id="493"/>
    </w:p>
    <w:p w14:paraId="0D20A993">
      <w:pPr>
        <w:spacing w:line="360" w:lineRule="auto"/>
        <w:rPr>
          <w:rFonts w:hint="eastAsia" w:ascii="宋体" w:hAnsi="宋体" w:cs="宋体"/>
          <w:color w:val="auto"/>
          <w:sz w:val="28"/>
          <w:szCs w:val="27"/>
          <w:highlight w:val="none"/>
        </w:rPr>
      </w:pPr>
    </w:p>
    <w:p w14:paraId="7CB3452D">
      <w:pPr>
        <w:widowControl/>
        <w:jc w:val="left"/>
        <w:rPr>
          <w:rFonts w:hint="eastAsia" w:ascii="宋体" w:hAnsi="宋体" w:cs="宋体"/>
          <w:color w:val="auto"/>
          <w:sz w:val="28"/>
          <w:szCs w:val="27"/>
          <w:highlight w:val="none"/>
        </w:rPr>
      </w:pPr>
      <w:r>
        <w:rPr>
          <w:rFonts w:hint="eastAsia" w:ascii="宋体" w:hAnsi="宋体" w:cs="宋体"/>
          <w:color w:val="auto"/>
          <w:sz w:val="28"/>
          <w:szCs w:val="27"/>
          <w:highlight w:val="none"/>
        </w:rPr>
        <w:br w:type="page"/>
      </w:r>
    </w:p>
    <w:p w14:paraId="7C5FEE73">
      <w:pPr>
        <w:spacing w:line="360" w:lineRule="auto"/>
        <w:jc w:val="center"/>
        <w:outlineLvl w:val="2"/>
        <w:rPr>
          <w:rFonts w:hint="eastAsia" w:ascii="宋体" w:hAnsi="宋体" w:cs="宋体"/>
          <w:color w:val="auto"/>
          <w:sz w:val="28"/>
          <w:szCs w:val="27"/>
          <w:highlight w:val="none"/>
        </w:rPr>
      </w:pPr>
      <w:bookmarkStart w:id="494" w:name="_Toc17556912"/>
      <w:bookmarkStart w:id="495" w:name="_Toc222032735"/>
      <w:bookmarkStart w:id="496" w:name="_Toc17454958"/>
      <w:bookmarkStart w:id="497" w:name="_Toc17451659"/>
      <w:bookmarkStart w:id="498" w:name="_Toc229305426"/>
      <w:bookmarkStart w:id="499" w:name="_Toc222031068"/>
      <w:bookmarkStart w:id="500" w:name="_Toc17451614"/>
      <w:bookmarkStart w:id="501" w:name="_Toc17452700"/>
      <w:bookmarkStart w:id="502" w:name="_Toc259524420"/>
      <w:bookmarkStart w:id="503" w:name="_Toc144974864"/>
      <w:bookmarkStart w:id="504" w:name="_Toc17454907"/>
      <w:bookmarkStart w:id="505" w:name="_Toc168476326"/>
      <w:bookmarkStart w:id="506" w:name="_Toc222029566"/>
      <w:bookmarkStart w:id="507" w:name="_Toc222033917"/>
      <w:bookmarkStart w:id="508" w:name="_Toc17451137"/>
      <w:bookmarkStart w:id="509" w:name="_Toc168475923"/>
      <w:bookmarkStart w:id="510" w:name="_Toc221952064"/>
      <w:bookmarkStart w:id="511" w:name="_Toc5107"/>
      <w:r>
        <w:rPr>
          <w:rFonts w:hint="eastAsia" w:ascii="宋体" w:hAnsi="宋体" w:cs="宋体"/>
          <w:color w:val="auto"/>
          <w:sz w:val="28"/>
          <w:szCs w:val="27"/>
          <w:highlight w:val="none"/>
        </w:rPr>
        <w:t>七、施工组织设计</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93B21BE">
      <w:pPr>
        <w:spacing w:line="400" w:lineRule="exact"/>
        <w:ind w:firstLine="420" w:firstLineChars="200"/>
        <w:jc w:val="center"/>
        <w:rPr>
          <w:rFonts w:hint="eastAsia" w:ascii="宋体" w:hAnsi="宋体"/>
          <w:i w:val="0"/>
          <w:iCs/>
          <w:color w:val="auto"/>
          <w:szCs w:val="21"/>
          <w:highlight w:val="none"/>
        </w:rPr>
      </w:pPr>
      <w:bookmarkStart w:id="512" w:name="_Toc144974871"/>
      <w:bookmarkStart w:id="513" w:name="_Toc168476333"/>
      <w:bookmarkStart w:id="514" w:name="_Toc259524421"/>
      <w:bookmarkStart w:id="515" w:name="_Toc222031069"/>
      <w:bookmarkStart w:id="516" w:name="_Toc222032736"/>
      <w:bookmarkStart w:id="517" w:name="_Toc222029567"/>
      <w:bookmarkStart w:id="518" w:name="_Toc229305427"/>
      <w:bookmarkStart w:id="519" w:name="_Toc221952115"/>
      <w:bookmarkStart w:id="520" w:name="_Toc222033918"/>
      <w:bookmarkStart w:id="521" w:name="_Toc168475930"/>
      <w:r>
        <w:rPr>
          <w:rFonts w:hint="eastAsia" w:ascii="宋体" w:hAnsi="宋体"/>
          <w:i w:val="0"/>
          <w:iCs/>
          <w:color w:val="auto"/>
          <w:szCs w:val="21"/>
          <w:highlight w:val="none"/>
        </w:rPr>
        <w:t>（说明：</w:t>
      </w:r>
      <w:r>
        <w:rPr>
          <w:rFonts w:hint="eastAsia" w:ascii="宋体" w:hAnsi="宋体"/>
          <w:i w:val="0"/>
          <w:iCs/>
          <w:strike/>
          <w:color w:val="auto"/>
          <w:szCs w:val="21"/>
          <w:highlight w:val="none"/>
        </w:rPr>
        <w:t>不须要编制技术标的，投标人可不编写该部分内容，</w:t>
      </w:r>
      <w:r>
        <w:rPr>
          <w:rFonts w:hint="eastAsia" w:ascii="宋体" w:hAnsi="宋体"/>
          <w:i w:val="0"/>
          <w:iCs/>
          <w:color w:val="auto"/>
          <w:szCs w:val="21"/>
          <w:highlight w:val="none"/>
        </w:rPr>
        <w:t>提交施工组织设计要点；投标人在编制施工组织设计或施工方案时应按照招标人提出的施工现场建筑垃圾源头减量的具体要求以及建筑垃圾综合利用产品的使用要求提供相应措施）</w:t>
      </w:r>
    </w:p>
    <w:p w14:paraId="48BB66E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rPr>
        <w:tab/>
      </w:r>
      <w:r>
        <w:rPr>
          <w:rFonts w:hint="eastAsia" w:ascii="宋体" w:hAnsi="宋体"/>
          <w:color w:val="auto"/>
          <w:szCs w:val="21"/>
          <w:highlight w:val="none"/>
        </w:rPr>
        <w:t>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14:paraId="7A900BB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 图表及格式要求：</w:t>
      </w:r>
    </w:p>
    <w:p w14:paraId="2410959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附表一  拟投入本标段的主要施工设备表</w:t>
      </w:r>
    </w:p>
    <w:p w14:paraId="28DAA37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附表二  拟投入本标段的试验和检测仪器设备表</w:t>
      </w:r>
    </w:p>
    <w:p w14:paraId="4A427EB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附表三  拟投入本标段的劳动力计划表</w:t>
      </w:r>
    </w:p>
    <w:p w14:paraId="21C2578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附表四  计划开工日期、完工日期和施工进度网络图</w:t>
      </w:r>
    </w:p>
    <w:p w14:paraId="696C0C9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附表五  施工总平面图</w:t>
      </w:r>
    </w:p>
    <w:p w14:paraId="6FCE9885">
      <w:pPr>
        <w:widowControl/>
        <w:spacing w:line="360" w:lineRule="auto"/>
        <w:ind w:firstLine="420" w:firstLineChars="200"/>
        <w:jc w:val="both"/>
        <w:rPr>
          <w:rFonts w:hint="default" w:ascii="宋体" w:hAnsi="宋体" w:eastAsia="宋体" w:cs="宋体"/>
          <w:color w:val="auto"/>
          <w:sz w:val="28"/>
          <w:szCs w:val="27"/>
          <w:highlight w:val="none"/>
          <w:lang w:val="en-US" w:eastAsia="zh-CN"/>
        </w:rPr>
      </w:pPr>
      <w:r>
        <w:rPr>
          <w:rFonts w:hint="eastAsia" w:ascii="宋体" w:hAnsi="宋体"/>
          <w:color w:val="auto"/>
          <w:szCs w:val="21"/>
          <w:highlight w:val="none"/>
        </w:rPr>
        <w:t>附表六  临时用地表</w:t>
      </w:r>
    </w:p>
    <w:p w14:paraId="2D97DF6B">
      <w:pPr>
        <w:pageBreakBefore/>
        <w:widowControl/>
        <w:jc w:val="left"/>
        <w:rPr>
          <w:rFonts w:hint="eastAsia" w:ascii="宋体" w:hAnsi="宋体" w:cs="宋体"/>
          <w:color w:val="auto"/>
          <w:sz w:val="28"/>
          <w:szCs w:val="27"/>
          <w:highlight w:val="none"/>
        </w:rPr>
      </w:pPr>
    </w:p>
    <w:p w14:paraId="6A3E7E6C">
      <w:pPr>
        <w:spacing w:line="400" w:lineRule="exact"/>
        <w:jc w:val="center"/>
        <w:outlineLvl w:val="3"/>
        <w:rPr>
          <w:rFonts w:ascii="宋体" w:hAnsi="宋体"/>
          <w:b/>
          <w:color w:val="auto"/>
          <w:sz w:val="24"/>
          <w:szCs w:val="31"/>
          <w:highlight w:val="none"/>
        </w:rPr>
      </w:pPr>
      <w:bookmarkStart w:id="522" w:name="_Toc221952073"/>
      <w:bookmarkStart w:id="523" w:name="_Toc168475924"/>
      <w:bookmarkStart w:id="524" w:name="_Toc168476327"/>
      <w:bookmarkStart w:id="525" w:name="_Toc144974865"/>
      <w:bookmarkStart w:id="526" w:name="_Toc17452701"/>
      <w:bookmarkStart w:id="527" w:name="_Toc17451138"/>
      <w:bookmarkStart w:id="528" w:name="_Toc17451615"/>
      <w:bookmarkStart w:id="529" w:name="_Toc17451660"/>
      <w:bookmarkStart w:id="530" w:name="_Toc17454959"/>
      <w:bookmarkStart w:id="531" w:name="_Toc17556913"/>
      <w:bookmarkStart w:id="532" w:name="_Toc17454908"/>
      <w:r>
        <w:rPr>
          <w:rFonts w:ascii="宋体" w:hAnsi="宋体"/>
          <w:b/>
          <w:color w:val="auto"/>
          <w:sz w:val="24"/>
          <w:szCs w:val="31"/>
          <w:highlight w:val="none"/>
        </w:rPr>
        <w:t>附表一：拟投入本标段的主要施工设备表</w:t>
      </w:r>
      <w:bookmarkEnd w:id="522"/>
      <w:bookmarkEnd w:id="523"/>
      <w:bookmarkEnd w:id="524"/>
      <w:bookmarkEnd w:id="525"/>
    </w:p>
    <w:p w14:paraId="1FA875F6">
      <w:pPr>
        <w:spacing w:line="400" w:lineRule="exact"/>
        <w:rPr>
          <w:color w:val="auto"/>
          <w:sz w:val="19"/>
          <w:szCs w:val="19"/>
          <w:highlight w:val="none"/>
        </w:rPr>
      </w:pP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46"/>
        <w:gridCol w:w="804"/>
        <w:gridCol w:w="1044"/>
        <w:gridCol w:w="708"/>
        <w:gridCol w:w="780"/>
        <w:gridCol w:w="1279"/>
        <w:gridCol w:w="924"/>
        <w:gridCol w:w="1116"/>
        <w:gridCol w:w="731"/>
      </w:tblGrid>
      <w:tr w14:paraId="1E3F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440F80D6">
            <w:pPr>
              <w:spacing w:line="400" w:lineRule="exact"/>
              <w:jc w:val="center"/>
              <w:rPr>
                <w:rFonts w:ascii="宋体" w:hAnsi="宋体"/>
                <w:color w:val="auto"/>
                <w:szCs w:val="21"/>
                <w:highlight w:val="none"/>
              </w:rPr>
            </w:pPr>
            <w:bookmarkStart w:id="533" w:name="_Toc221952074"/>
            <w:r>
              <w:rPr>
                <w:rFonts w:ascii="宋体" w:hAnsi="宋体"/>
                <w:color w:val="auto"/>
                <w:szCs w:val="21"/>
                <w:highlight w:val="none"/>
              </w:rPr>
              <w:t>序号</w:t>
            </w:r>
            <w:bookmarkEnd w:id="533"/>
          </w:p>
        </w:tc>
        <w:tc>
          <w:tcPr>
            <w:tcW w:w="620" w:type="pct"/>
            <w:noWrap w:val="0"/>
            <w:vAlign w:val="top"/>
          </w:tcPr>
          <w:p w14:paraId="0940258B">
            <w:pPr>
              <w:spacing w:line="400" w:lineRule="exact"/>
              <w:jc w:val="center"/>
              <w:rPr>
                <w:rFonts w:ascii="宋体" w:hAnsi="宋体"/>
                <w:color w:val="auto"/>
                <w:szCs w:val="21"/>
                <w:highlight w:val="none"/>
              </w:rPr>
            </w:pPr>
            <w:bookmarkStart w:id="534" w:name="_Toc221952075"/>
            <w:r>
              <w:rPr>
                <w:rFonts w:ascii="宋体" w:hAnsi="宋体"/>
                <w:color w:val="auto"/>
                <w:szCs w:val="21"/>
                <w:highlight w:val="none"/>
              </w:rPr>
              <w:t>设备名称</w:t>
            </w:r>
            <w:bookmarkEnd w:id="534"/>
          </w:p>
        </w:tc>
        <w:tc>
          <w:tcPr>
            <w:tcW w:w="435" w:type="pct"/>
            <w:noWrap w:val="0"/>
            <w:vAlign w:val="top"/>
          </w:tcPr>
          <w:p w14:paraId="077CC0AE">
            <w:pPr>
              <w:spacing w:line="400" w:lineRule="exact"/>
              <w:jc w:val="center"/>
              <w:rPr>
                <w:rFonts w:ascii="宋体" w:hAnsi="宋体"/>
                <w:color w:val="auto"/>
                <w:szCs w:val="21"/>
                <w:highlight w:val="none"/>
              </w:rPr>
            </w:pPr>
            <w:bookmarkStart w:id="535" w:name="_Toc221952076"/>
            <w:r>
              <w:rPr>
                <w:rFonts w:ascii="宋体" w:hAnsi="宋体"/>
                <w:color w:val="auto"/>
                <w:szCs w:val="21"/>
                <w:highlight w:val="none"/>
              </w:rPr>
              <w:t>型号</w:t>
            </w:r>
            <w:bookmarkEnd w:id="535"/>
          </w:p>
          <w:p w14:paraId="7C8A8670">
            <w:pPr>
              <w:spacing w:line="400" w:lineRule="exact"/>
              <w:jc w:val="center"/>
              <w:rPr>
                <w:rFonts w:ascii="宋体" w:hAnsi="宋体"/>
                <w:color w:val="auto"/>
                <w:szCs w:val="21"/>
                <w:highlight w:val="none"/>
              </w:rPr>
            </w:pPr>
            <w:bookmarkStart w:id="536" w:name="_Toc221952077"/>
            <w:r>
              <w:rPr>
                <w:rFonts w:ascii="宋体" w:hAnsi="宋体"/>
                <w:color w:val="auto"/>
                <w:szCs w:val="21"/>
                <w:highlight w:val="none"/>
              </w:rPr>
              <w:t>规格</w:t>
            </w:r>
            <w:bookmarkEnd w:id="536"/>
          </w:p>
        </w:tc>
        <w:tc>
          <w:tcPr>
            <w:tcW w:w="565" w:type="pct"/>
            <w:noWrap w:val="0"/>
            <w:vAlign w:val="top"/>
          </w:tcPr>
          <w:p w14:paraId="3F0F4712">
            <w:pPr>
              <w:spacing w:line="400" w:lineRule="exact"/>
              <w:jc w:val="center"/>
              <w:rPr>
                <w:rFonts w:ascii="宋体" w:hAnsi="宋体"/>
                <w:color w:val="auto"/>
                <w:szCs w:val="21"/>
                <w:highlight w:val="none"/>
              </w:rPr>
            </w:pPr>
            <w:bookmarkStart w:id="537" w:name="_Toc221952078"/>
            <w:r>
              <w:rPr>
                <w:rFonts w:ascii="宋体" w:hAnsi="宋体"/>
                <w:color w:val="auto"/>
                <w:szCs w:val="21"/>
                <w:highlight w:val="none"/>
              </w:rPr>
              <w:t>数量</w:t>
            </w:r>
            <w:bookmarkEnd w:id="537"/>
          </w:p>
        </w:tc>
        <w:tc>
          <w:tcPr>
            <w:tcW w:w="383" w:type="pct"/>
            <w:noWrap w:val="0"/>
            <w:vAlign w:val="top"/>
          </w:tcPr>
          <w:p w14:paraId="159F806A">
            <w:pPr>
              <w:spacing w:line="400" w:lineRule="exact"/>
              <w:jc w:val="center"/>
              <w:rPr>
                <w:rFonts w:ascii="宋体" w:hAnsi="宋体"/>
                <w:color w:val="auto"/>
                <w:szCs w:val="21"/>
                <w:highlight w:val="none"/>
              </w:rPr>
            </w:pPr>
            <w:bookmarkStart w:id="538" w:name="_Toc221952079"/>
            <w:r>
              <w:rPr>
                <w:rFonts w:ascii="宋体" w:hAnsi="宋体"/>
                <w:color w:val="auto"/>
                <w:szCs w:val="21"/>
                <w:highlight w:val="none"/>
              </w:rPr>
              <w:t>国别</w:t>
            </w:r>
            <w:bookmarkEnd w:id="538"/>
          </w:p>
          <w:p w14:paraId="677B8491">
            <w:pPr>
              <w:spacing w:line="400" w:lineRule="exact"/>
              <w:jc w:val="center"/>
              <w:rPr>
                <w:rFonts w:ascii="宋体" w:hAnsi="宋体"/>
                <w:color w:val="auto"/>
                <w:szCs w:val="21"/>
                <w:highlight w:val="none"/>
              </w:rPr>
            </w:pPr>
            <w:bookmarkStart w:id="539" w:name="_Toc221952080"/>
            <w:r>
              <w:rPr>
                <w:rFonts w:ascii="宋体" w:hAnsi="宋体"/>
                <w:color w:val="auto"/>
                <w:szCs w:val="21"/>
                <w:highlight w:val="none"/>
              </w:rPr>
              <w:t>产地</w:t>
            </w:r>
            <w:bookmarkEnd w:id="539"/>
          </w:p>
        </w:tc>
        <w:tc>
          <w:tcPr>
            <w:tcW w:w="422" w:type="pct"/>
            <w:noWrap w:val="0"/>
            <w:vAlign w:val="top"/>
          </w:tcPr>
          <w:p w14:paraId="3470E6E4">
            <w:pPr>
              <w:spacing w:line="400" w:lineRule="exact"/>
              <w:jc w:val="center"/>
              <w:rPr>
                <w:rFonts w:ascii="宋体" w:hAnsi="宋体"/>
                <w:color w:val="auto"/>
                <w:szCs w:val="21"/>
                <w:highlight w:val="none"/>
              </w:rPr>
            </w:pPr>
            <w:bookmarkStart w:id="540" w:name="_Toc221952081"/>
            <w:r>
              <w:rPr>
                <w:rFonts w:ascii="宋体" w:hAnsi="宋体"/>
                <w:color w:val="auto"/>
                <w:szCs w:val="21"/>
                <w:highlight w:val="none"/>
              </w:rPr>
              <w:t>制造</w:t>
            </w:r>
            <w:bookmarkEnd w:id="540"/>
          </w:p>
          <w:p w14:paraId="2AE43620">
            <w:pPr>
              <w:spacing w:line="400" w:lineRule="exact"/>
              <w:jc w:val="center"/>
              <w:rPr>
                <w:rFonts w:ascii="宋体" w:hAnsi="宋体"/>
                <w:color w:val="auto"/>
                <w:szCs w:val="21"/>
                <w:highlight w:val="none"/>
              </w:rPr>
            </w:pPr>
            <w:bookmarkStart w:id="541" w:name="_Toc221952082"/>
            <w:r>
              <w:rPr>
                <w:rFonts w:ascii="宋体" w:hAnsi="宋体"/>
                <w:color w:val="auto"/>
                <w:szCs w:val="21"/>
                <w:highlight w:val="none"/>
              </w:rPr>
              <w:t>年份</w:t>
            </w:r>
            <w:bookmarkEnd w:id="541"/>
          </w:p>
        </w:tc>
        <w:tc>
          <w:tcPr>
            <w:tcW w:w="692" w:type="pct"/>
            <w:noWrap w:val="0"/>
            <w:vAlign w:val="top"/>
          </w:tcPr>
          <w:p w14:paraId="332FBCDA">
            <w:pPr>
              <w:spacing w:line="400" w:lineRule="exact"/>
              <w:jc w:val="center"/>
              <w:rPr>
                <w:rFonts w:ascii="宋体" w:hAnsi="宋体"/>
                <w:color w:val="auto"/>
                <w:szCs w:val="21"/>
                <w:highlight w:val="none"/>
              </w:rPr>
            </w:pPr>
            <w:bookmarkStart w:id="542" w:name="_Toc221952083"/>
            <w:r>
              <w:rPr>
                <w:rFonts w:ascii="宋体" w:hAnsi="宋体"/>
                <w:color w:val="auto"/>
                <w:szCs w:val="21"/>
                <w:highlight w:val="none"/>
              </w:rPr>
              <w:t>额定功率（</w:t>
            </w:r>
            <w:r>
              <w:rPr>
                <w:rFonts w:hint="eastAsia" w:ascii="宋体" w:hAnsi="宋体"/>
                <w:color w:val="auto"/>
                <w:szCs w:val="21"/>
                <w:highlight w:val="none"/>
              </w:rPr>
              <w:t>K</w:t>
            </w:r>
            <w:r>
              <w:rPr>
                <w:rFonts w:ascii="宋体" w:hAnsi="宋体"/>
                <w:color w:val="auto"/>
                <w:szCs w:val="21"/>
                <w:highlight w:val="none"/>
              </w:rPr>
              <w:t>W）</w:t>
            </w:r>
            <w:bookmarkEnd w:id="542"/>
          </w:p>
        </w:tc>
        <w:tc>
          <w:tcPr>
            <w:tcW w:w="500" w:type="pct"/>
            <w:noWrap w:val="0"/>
            <w:vAlign w:val="top"/>
          </w:tcPr>
          <w:p w14:paraId="452DC0EF">
            <w:pPr>
              <w:spacing w:line="400" w:lineRule="exact"/>
              <w:jc w:val="center"/>
              <w:rPr>
                <w:rFonts w:ascii="宋体" w:hAnsi="宋体"/>
                <w:color w:val="auto"/>
                <w:szCs w:val="21"/>
                <w:highlight w:val="none"/>
              </w:rPr>
            </w:pPr>
            <w:bookmarkStart w:id="543" w:name="_Toc221952084"/>
            <w:r>
              <w:rPr>
                <w:rFonts w:ascii="宋体" w:hAnsi="宋体"/>
                <w:color w:val="auto"/>
                <w:szCs w:val="21"/>
                <w:highlight w:val="none"/>
              </w:rPr>
              <w:t>生产</w:t>
            </w:r>
            <w:bookmarkEnd w:id="543"/>
          </w:p>
          <w:p w14:paraId="5EFA0B0B">
            <w:pPr>
              <w:spacing w:line="400" w:lineRule="exact"/>
              <w:jc w:val="center"/>
              <w:rPr>
                <w:rFonts w:ascii="宋体" w:hAnsi="宋体"/>
                <w:color w:val="auto"/>
                <w:szCs w:val="21"/>
                <w:highlight w:val="none"/>
              </w:rPr>
            </w:pPr>
            <w:bookmarkStart w:id="544" w:name="_Toc221952085"/>
            <w:r>
              <w:rPr>
                <w:rFonts w:ascii="宋体" w:hAnsi="宋体"/>
                <w:color w:val="auto"/>
                <w:szCs w:val="21"/>
                <w:highlight w:val="none"/>
              </w:rPr>
              <w:t>能力</w:t>
            </w:r>
            <w:bookmarkEnd w:id="544"/>
          </w:p>
        </w:tc>
        <w:tc>
          <w:tcPr>
            <w:tcW w:w="603" w:type="pct"/>
            <w:noWrap w:val="0"/>
            <w:vAlign w:val="top"/>
          </w:tcPr>
          <w:p w14:paraId="4459EFA1">
            <w:pPr>
              <w:spacing w:line="400" w:lineRule="exact"/>
              <w:jc w:val="center"/>
              <w:rPr>
                <w:rFonts w:ascii="宋体" w:hAnsi="宋体"/>
                <w:color w:val="auto"/>
                <w:szCs w:val="21"/>
                <w:highlight w:val="none"/>
              </w:rPr>
            </w:pPr>
            <w:bookmarkStart w:id="545" w:name="_Toc221952086"/>
            <w:r>
              <w:rPr>
                <w:rFonts w:ascii="宋体" w:hAnsi="宋体"/>
                <w:color w:val="auto"/>
                <w:szCs w:val="21"/>
                <w:highlight w:val="none"/>
              </w:rPr>
              <w:t>用于施工部位</w:t>
            </w:r>
            <w:bookmarkEnd w:id="545"/>
          </w:p>
        </w:tc>
        <w:tc>
          <w:tcPr>
            <w:tcW w:w="395" w:type="pct"/>
            <w:noWrap w:val="0"/>
            <w:vAlign w:val="top"/>
          </w:tcPr>
          <w:p w14:paraId="44F8F024">
            <w:pPr>
              <w:spacing w:line="400" w:lineRule="exact"/>
              <w:jc w:val="center"/>
              <w:rPr>
                <w:rFonts w:ascii="宋体" w:hAnsi="宋体"/>
                <w:color w:val="auto"/>
                <w:szCs w:val="21"/>
                <w:highlight w:val="none"/>
              </w:rPr>
            </w:pPr>
            <w:bookmarkStart w:id="546" w:name="_Toc221952087"/>
            <w:r>
              <w:rPr>
                <w:rFonts w:ascii="宋体" w:hAnsi="宋体"/>
                <w:color w:val="auto"/>
                <w:szCs w:val="21"/>
                <w:highlight w:val="none"/>
              </w:rPr>
              <w:t>备注</w:t>
            </w:r>
            <w:bookmarkEnd w:id="546"/>
          </w:p>
        </w:tc>
      </w:tr>
      <w:tr w14:paraId="3AE0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48EC3A2B">
            <w:pPr>
              <w:spacing w:line="400" w:lineRule="exact"/>
              <w:jc w:val="center"/>
              <w:rPr>
                <w:rFonts w:ascii="宋体" w:hAnsi="宋体"/>
                <w:color w:val="auto"/>
                <w:szCs w:val="21"/>
                <w:highlight w:val="none"/>
              </w:rPr>
            </w:pPr>
          </w:p>
        </w:tc>
        <w:tc>
          <w:tcPr>
            <w:tcW w:w="620" w:type="pct"/>
            <w:noWrap w:val="0"/>
            <w:vAlign w:val="top"/>
          </w:tcPr>
          <w:p w14:paraId="7CB0AD33">
            <w:pPr>
              <w:spacing w:line="400" w:lineRule="exact"/>
              <w:jc w:val="center"/>
              <w:rPr>
                <w:rFonts w:ascii="宋体" w:hAnsi="宋体"/>
                <w:color w:val="auto"/>
                <w:szCs w:val="21"/>
                <w:highlight w:val="none"/>
              </w:rPr>
            </w:pPr>
          </w:p>
        </w:tc>
        <w:tc>
          <w:tcPr>
            <w:tcW w:w="435" w:type="pct"/>
            <w:noWrap w:val="0"/>
            <w:vAlign w:val="top"/>
          </w:tcPr>
          <w:p w14:paraId="2404D0A5">
            <w:pPr>
              <w:spacing w:line="400" w:lineRule="exact"/>
              <w:jc w:val="center"/>
              <w:rPr>
                <w:rFonts w:ascii="宋体" w:hAnsi="宋体"/>
                <w:color w:val="auto"/>
                <w:szCs w:val="21"/>
                <w:highlight w:val="none"/>
              </w:rPr>
            </w:pPr>
          </w:p>
        </w:tc>
        <w:tc>
          <w:tcPr>
            <w:tcW w:w="565" w:type="pct"/>
            <w:noWrap w:val="0"/>
            <w:vAlign w:val="top"/>
          </w:tcPr>
          <w:p w14:paraId="537C6564">
            <w:pPr>
              <w:spacing w:line="400" w:lineRule="exact"/>
              <w:jc w:val="center"/>
              <w:rPr>
                <w:rFonts w:ascii="宋体" w:hAnsi="宋体"/>
                <w:color w:val="auto"/>
                <w:szCs w:val="21"/>
                <w:highlight w:val="none"/>
              </w:rPr>
            </w:pPr>
          </w:p>
        </w:tc>
        <w:tc>
          <w:tcPr>
            <w:tcW w:w="383" w:type="pct"/>
            <w:noWrap w:val="0"/>
            <w:vAlign w:val="top"/>
          </w:tcPr>
          <w:p w14:paraId="6BA4DF05">
            <w:pPr>
              <w:spacing w:line="400" w:lineRule="exact"/>
              <w:jc w:val="center"/>
              <w:rPr>
                <w:rFonts w:ascii="宋体" w:hAnsi="宋体"/>
                <w:color w:val="auto"/>
                <w:szCs w:val="21"/>
                <w:highlight w:val="none"/>
              </w:rPr>
            </w:pPr>
          </w:p>
        </w:tc>
        <w:tc>
          <w:tcPr>
            <w:tcW w:w="422" w:type="pct"/>
            <w:noWrap w:val="0"/>
            <w:vAlign w:val="top"/>
          </w:tcPr>
          <w:p w14:paraId="7C7A1E3A">
            <w:pPr>
              <w:spacing w:line="400" w:lineRule="exact"/>
              <w:jc w:val="center"/>
              <w:rPr>
                <w:rFonts w:ascii="宋体" w:hAnsi="宋体"/>
                <w:color w:val="auto"/>
                <w:szCs w:val="21"/>
                <w:highlight w:val="none"/>
              </w:rPr>
            </w:pPr>
          </w:p>
        </w:tc>
        <w:tc>
          <w:tcPr>
            <w:tcW w:w="692" w:type="pct"/>
            <w:noWrap w:val="0"/>
            <w:vAlign w:val="top"/>
          </w:tcPr>
          <w:p w14:paraId="7E95A85C">
            <w:pPr>
              <w:spacing w:line="400" w:lineRule="exact"/>
              <w:jc w:val="center"/>
              <w:rPr>
                <w:rFonts w:ascii="宋体" w:hAnsi="宋体"/>
                <w:color w:val="auto"/>
                <w:szCs w:val="21"/>
                <w:highlight w:val="none"/>
              </w:rPr>
            </w:pPr>
          </w:p>
        </w:tc>
        <w:tc>
          <w:tcPr>
            <w:tcW w:w="500" w:type="pct"/>
            <w:noWrap w:val="0"/>
            <w:vAlign w:val="top"/>
          </w:tcPr>
          <w:p w14:paraId="1DF0EAF2">
            <w:pPr>
              <w:spacing w:line="400" w:lineRule="exact"/>
              <w:jc w:val="center"/>
              <w:rPr>
                <w:rFonts w:ascii="宋体" w:hAnsi="宋体"/>
                <w:color w:val="auto"/>
                <w:szCs w:val="21"/>
                <w:highlight w:val="none"/>
              </w:rPr>
            </w:pPr>
          </w:p>
        </w:tc>
        <w:tc>
          <w:tcPr>
            <w:tcW w:w="603" w:type="pct"/>
            <w:noWrap w:val="0"/>
            <w:vAlign w:val="top"/>
          </w:tcPr>
          <w:p w14:paraId="64F6F1E4">
            <w:pPr>
              <w:spacing w:line="400" w:lineRule="exact"/>
              <w:jc w:val="center"/>
              <w:rPr>
                <w:rFonts w:ascii="宋体" w:hAnsi="宋体"/>
                <w:color w:val="auto"/>
                <w:szCs w:val="21"/>
                <w:highlight w:val="none"/>
              </w:rPr>
            </w:pPr>
          </w:p>
        </w:tc>
        <w:tc>
          <w:tcPr>
            <w:tcW w:w="395" w:type="pct"/>
            <w:noWrap w:val="0"/>
            <w:vAlign w:val="top"/>
          </w:tcPr>
          <w:p w14:paraId="578A4DC7">
            <w:pPr>
              <w:spacing w:line="400" w:lineRule="exact"/>
              <w:jc w:val="center"/>
              <w:rPr>
                <w:rFonts w:ascii="宋体" w:hAnsi="宋体"/>
                <w:color w:val="auto"/>
                <w:szCs w:val="21"/>
                <w:highlight w:val="none"/>
              </w:rPr>
            </w:pPr>
          </w:p>
        </w:tc>
      </w:tr>
      <w:tr w14:paraId="63D9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2EACD471">
            <w:pPr>
              <w:spacing w:line="400" w:lineRule="exact"/>
              <w:jc w:val="center"/>
              <w:rPr>
                <w:rFonts w:ascii="宋体" w:hAnsi="宋体"/>
                <w:color w:val="auto"/>
                <w:szCs w:val="21"/>
                <w:highlight w:val="none"/>
              </w:rPr>
            </w:pPr>
          </w:p>
        </w:tc>
        <w:tc>
          <w:tcPr>
            <w:tcW w:w="620" w:type="pct"/>
            <w:noWrap w:val="0"/>
            <w:vAlign w:val="top"/>
          </w:tcPr>
          <w:p w14:paraId="4D71F337">
            <w:pPr>
              <w:spacing w:line="400" w:lineRule="exact"/>
              <w:jc w:val="center"/>
              <w:rPr>
                <w:rFonts w:ascii="宋体" w:hAnsi="宋体"/>
                <w:color w:val="auto"/>
                <w:szCs w:val="21"/>
                <w:highlight w:val="none"/>
              </w:rPr>
            </w:pPr>
          </w:p>
        </w:tc>
        <w:tc>
          <w:tcPr>
            <w:tcW w:w="435" w:type="pct"/>
            <w:noWrap w:val="0"/>
            <w:vAlign w:val="top"/>
          </w:tcPr>
          <w:p w14:paraId="5A33ED8F">
            <w:pPr>
              <w:spacing w:line="400" w:lineRule="exact"/>
              <w:jc w:val="center"/>
              <w:rPr>
                <w:rFonts w:ascii="宋体" w:hAnsi="宋体"/>
                <w:color w:val="auto"/>
                <w:szCs w:val="21"/>
                <w:highlight w:val="none"/>
              </w:rPr>
            </w:pPr>
          </w:p>
        </w:tc>
        <w:tc>
          <w:tcPr>
            <w:tcW w:w="565" w:type="pct"/>
            <w:noWrap w:val="0"/>
            <w:vAlign w:val="top"/>
          </w:tcPr>
          <w:p w14:paraId="4AD3B670">
            <w:pPr>
              <w:spacing w:line="400" w:lineRule="exact"/>
              <w:jc w:val="center"/>
              <w:rPr>
                <w:rFonts w:ascii="宋体" w:hAnsi="宋体"/>
                <w:color w:val="auto"/>
                <w:szCs w:val="21"/>
                <w:highlight w:val="none"/>
              </w:rPr>
            </w:pPr>
          </w:p>
        </w:tc>
        <w:tc>
          <w:tcPr>
            <w:tcW w:w="383" w:type="pct"/>
            <w:noWrap w:val="0"/>
            <w:vAlign w:val="top"/>
          </w:tcPr>
          <w:p w14:paraId="5A526428">
            <w:pPr>
              <w:spacing w:line="400" w:lineRule="exact"/>
              <w:jc w:val="center"/>
              <w:rPr>
                <w:rFonts w:ascii="宋体" w:hAnsi="宋体"/>
                <w:color w:val="auto"/>
                <w:szCs w:val="21"/>
                <w:highlight w:val="none"/>
              </w:rPr>
            </w:pPr>
          </w:p>
        </w:tc>
        <w:tc>
          <w:tcPr>
            <w:tcW w:w="422" w:type="pct"/>
            <w:noWrap w:val="0"/>
            <w:vAlign w:val="top"/>
          </w:tcPr>
          <w:p w14:paraId="45F3878D">
            <w:pPr>
              <w:spacing w:line="400" w:lineRule="exact"/>
              <w:jc w:val="center"/>
              <w:rPr>
                <w:rFonts w:ascii="宋体" w:hAnsi="宋体"/>
                <w:color w:val="auto"/>
                <w:szCs w:val="21"/>
                <w:highlight w:val="none"/>
              </w:rPr>
            </w:pPr>
          </w:p>
        </w:tc>
        <w:tc>
          <w:tcPr>
            <w:tcW w:w="692" w:type="pct"/>
            <w:noWrap w:val="0"/>
            <w:vAlign w:val="top"/>
          </w:tcPr>
          <w:p w14:paraId="4B76E942">
            <w:pPr>
              <w:spacing w:line="400" w:lineRule="exact"/>
              <w:jc w:val="center"/>
              <w:rPr>
                <w:rFonts w:ascii="宋体" w:hAnsi="宋体"/>
                <w:color w:val="auto"/>
                <w:szCs w:val="21"/>
                <w:highlight w:val="none"/>
              </w:rPr>
            </w:pPr>
          </w:p>
        </w:tc>
        <w:tc>
          <w:tcPr>
            <w:tcW w:w="500" w:type="pct"/>
            <w:noWrap w:val="0"/>
            <w:vAlign w:val="top"/>
          </w:tcPr>
          <w:p w14:paraId="5A975F04">
            <w:pPr>
              <w:spacing w:line="400" w:lineRule="exact"/>
              <w:jc w:val="center"/>
              <w:rPr>
                <w:rFonts w:ascii="宋体" w:hAnsi="宋体"/>
                <w:color w:val="auto"/>
                <w:szCs w:val="21"/>
                <w:highlight w:val="none"/>
              </w:rPr>
            </w:pPr>
          </w:p>
        </w:tc>
        <w:tc>
          <w:tcPr>
            <w:tcW w:w="603" w:type="pct"/>
            <w:noWrap w:val="0"/>
            <w:vAlign w:val="top"/>
          </w:tcPr>
          <w:p w14:paraId="007B4B73">
            <w:pPr>
              <w:spacing w:line="400" w:lineRule="exact"/>
              <w:jc w:val="center"/>
              <w:rPr>
                <w:rFonts w:ascii="宋体" w:hAnsi="宋体"/>
                <w:color w:val="auto"/>
                <w:szCs w:val="21"/>
                <w:highlight w:val="none"/>
              </w:rPr>
            </w:pPr>
          </w:p>
        </w:tc>
        <w:tc>
          <w:tcPr>
            <w:tcW w:w="395" w:type="pct"/>
            <w:noWrap w:val="0"/>
            <w:vAlign w:val="top"/>
          </w:tcPr>
          <w:p w14:paraId="7F0D1D80">
            <w:pPr>
              <w:spacing w:line="400" w:lineRule="exact"/>
              <w:jc w:val="center"/>
              <w:rPr>
                <w:rFonts w:ascii="宋体" w:hAnsi="宋体"/>
                <w:color w:val="auto"/>
                <w:szCs w:val="21"/>
                <w:highlight w:val="none"/>
              </w:rPr>
            </w:pPr>
          </w:p>
        </w:tc>
      </w:tr>
      <w:tr w14:paraId="3ACA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1" w:type="pct"/>
            <w:noWrap w:val="0"/>
            <w:vAlign w:val="top"/>
          </w:tcPr>
          <w:p w14:paraId="165B9B0A">
            <w:pPr>
              <w:spacing w:line="400" w:lineRule="exact"/>
              <w:jc w:val="center"/>
              <w:rPr>
                <w:rFonts w:ascii="宋体" w:hAnsi="宋体"/>
                <w:color w:val="auto"/>
                <w:szCs w:val="21"/>
                <w:highlight w:val="none"/>
              </w:rPr>
            </w:pPr>
          </w:p>
        </w:tc>
        <w:tc>
          <w:tcPr>
            <w:tcW w:w="620" w:type="pct"/>
            <w:noWrap w:val="0"/>
            <w:vAlign w:val="top"/>
          </w:tcPr>
          <w:p w14:paraId="7F6A5F57">
            <w:pPr>
              <w:spacing w:line="400" w:lineRule="exact"/>
              <w:jc w:val="center"/>
              <w:rPr>
                <w:rFonts w:ascii="宋体" w:hAnsi="宋体"/>
                <w:color w:val="auto"/>
                <w:szCs w:val="21"/>
                <w:highlight w:val="none"/>
              </w:rPr>
            </w:pPr>
          </w:p>
        </w:tc>
        <w:tc>
          <w:tcPr>
            <w:tcW w:w="435" w:type="pct"/>
            <w:noWrap w:val="0"/>
            <w:vAlign w:val="top"/>
          </w:tcPr>
          <w:p w14:paraId="52B5302A">
            <w:pPr>
              <w:spacing w:line="400" w:lineRule="exact"/>
              <w:jc w:val="center"/>
              <w:rPr>
                <w:rFonts w:ascii="宋体" w:hAnsi="宋体"/>
                <w:color w:val="auto"/>
                <w:szCs w:val="21"/>
                <w:highlight w:val="none"/>
              </w:rPr>
            </w:pPr>
          </w:p>
        </w:tc>
        <w:tc>
          <w:tcPr>
            <w:tcW w:w="565" w:type="pct"/>
            <w:noWrap w:val="0"/>
            <w:vAlign w:val="top"/>
          </w:tcPr>
          <w:p w14:paraId="486E57E6">
            <w:pPr>
              <w:spacing w:line="400" w:lineRule="exact"/>
              <w:jc w:val="center"/>
              <w:rPr>
                <w:rFonts w:ascii="宋体" w:hAnsi="宋体"/>
                <w:color w:val="auto"/>
                <w:szCs w:val="21"/>
                <w:highlight w:val="none"/>
              </w:rPr>
            </w:pPr>
          </w:p>
        </w:tc>
        <w:tc>
          <w:tcPr>
            <w:tcW w:w="383" w:type="pct"/>
            <w:noWrap w:val="0"/>
            <w:vAlign w:val="top"/>
          </w:tcPr>
          <w:p w14:paraId="0408C4DA">
            <w:pPr>
              <w:spacing w:line="400" w:lineRule="exact"/>
              <w:jc w:val="center"/>
              <w:rPr>
                <w:rFonts w:ascii="宋体" w:hAnsi="宋体"/>
                <w:color w:val="auto"/>
                <w:szCs w:val="21"/>
                <w:highlight w:val="none"/>
              </w:rPr>
            </w:pPr>
          </w:p>
        </w:tc>
        <w:tc>
          <w:tcPr>
            <w:tcW w:w="422" w:type="pct"/>
            <w:noWrap w:val="0"/>
            <w:vAlign w:val="top"/>
          </w:tcPr>
          <w:p w14:paraId="466DDCC5">
            <w:pPr>
              <w:spacing w:line="400" w:lineRule="exact"/>
              <w:jc w:val="center"/>
              <w:rPr>
                <w:rFonts w:ascii="宋体" w:hAnsi="宋体"/>
                <w:color w:val="auto"/>
                <w:szCs w:val="21"/>
                <w:highlight w:val="none"/>
              </w:rPr>
            </w:pPr>
          </w:p>
        </w:tc>
        <w:tc>
          <w:tcPr>
            <w:tcW w:w="692" w:type="pct"/>
            <w:noWrap w:val="0"/>
            <w:vAlign w:val="top"/>
          </w:tcPr>
          <w:p w14:paraId="6F8B90A5">
            <w:pPr>
              <w:spacing w:line="400" w:lineRule="exact"/>
              <w:jc w:val="center"/>
              <w:rPr>
                <w:rFonts w:ascii="宋体" w:hAnsi="宋体"/>
                <w:color w:val="auto"/>
                <w:szCs w:val="21"/>
                <w:highlight w:val="none"/>
              </w:rPr>
            </w:pPr>
          </w:p>
        </w:tc>
        <w:tc>
          <w:tcPr>
            <w:tcW w:w="500" w:type="pct"/>
            <w:noWrap w:val="0"/>
            <w:vAlign w:val="top"/>
          </w:tcPr>
          <w:p w14:paraId="3EA13CB3">
            <w:pPr>
              <w:spacing w:line="400" w:lineRule="exact"/>
              <w:jc w:val="center"/>
              <w:rPr>
                <w:rFonts w:ascii="宋体" w:hAnsi="宋体"/>
                <w:color w:val="auto"/>
                <w:szCs w:val="21"/>
                <w:highlight w:val="none"/>
              </w:rPr>
            </w:pPr>
          </w:p>
        </w:tc>
        <w:tc>
          <w:tcPr>
            <w:tcW w:w="603" w:type="pct"/>
            <w:noWrap w:val="0"/>
            <w:vAlign w:val="top"/>
          </w:tcPr>
          <w:p w14:paraId="36700A2B">
            <w:pPr>
              <w:spacing w:line="400" w:lineRule="exact"/>
              <w:jc w:val="center"/>
              <w:rPr>
                <w:rFonts w:ascii="宋体" w:hAnsi="宋体"/>
                <w:color w:val="auto"/>
                <w:szCs w:val="21"/>
                <w:highlight w:val="none"/>
              </w:rPr>
            </w:pPr>
          </w:p>
        </w:tc>
        <w:tc>
          <w:tcPr>
            <w:tcW w:w="395" w:type="pct"/>
            <w:noWrap w:val="0"/>
            <w:vAlign w:val="top"/>
          </w:tcPr>
          <w:p w14:paraId="31427484">
            <w:pPr>
              <w:spacing w:line="400" w:lineRule="exact"/>
              <w:jc w:val="center"/>
              <w:rPr>
                <w:rFonts w:ascii="宋体" w:hAnsi="宋体"/>
                <w:color w:val="auto"/>
                <w:szCs w:val="21"/>
                <w:highlight w:val="none"/>
              </w:rPr>
            </w:pPr>
          </w:p>
        </w:tc>
      </w:tr>
      <w:tr w14:paraId="4D6A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326A41FF">
            <w:pPr>
              <w:spacing w:line="400" w:lineRule="exact"/>
              <w:jc w:val="center"/>
              <w:rPr>
                <w:rFonts w:ascii="宋体" w:hAnsi="宋体"/>
                <w:color w:val="auto"/>
                <w:szCs w:val="21"/>
                <w:highlight w:val="none"/>
              </w:rPr>
            </w:pPr>
          </w:p>
        </w:tc>
        <w:tc>
          <w:tcPr>
            <w:tcW w:w="620" w:type="pct"/>
            <w:noWrap w:val="0"/>
            <w:vAlign w:val="top"/>
          </w:tcPr>
          <w:p w14:paraId="51B3D685">
            <w:pPr>
              <w:spacing w:line="400" w:lineRule="exact"/>
              <w:jc w:val="center"/>
              <w:rPr>
                <w:rFonts w:ascii="宋体" w:hAnsi="宋体"/>
                <w:color w:val="auto"/>
                <w:szCs w:val="21"/>
                <w:highlight w:val="none"/>
              </w:rPr>
            </w:pPr>
          </w:p>
        </w:tc>
        <w:tc>
          <w:tcPr>
            <w:tcW w:w="435" w:type="pct"/>
            <w:noWrap w:val="0"/>
            <w:vAlign w:val="top"/>
          </w:tcPr>
          <w:p w14:paraId="1189D8F0">
            <w:pPr>
              <w:spacing w:line="400" w:lineRule="exact"/>
              <w:jc w:val="center"/>
              <w:rPr>
                <w:rFonts w:ascii="宋体" w:hAnsi="宋体"/>
                <w:color w:val="auto"/>
                <w:szCs w:val="21"/>
                <w:highlight w:val="none"/>
              </w:rPr>
            </w:pPr>
          </w:p>
        </w:tc>
        <w:tc>
          <w:tcPr>
            <w:tcW w:w="565" w:type="pct"/>
            <w:noWrap w:val="0"/>
            <w:vAlign w:val="top"/>
          </w:tcPr>
          <w:p w14:paraId="4049466A">
            <w:pPr>
              <w:spacing w:line="400" w:lineRule="exact"/>
              <w:jc w:val="center"/>
              <w:rPr>
                <w:rFonts w:ascii="宋体" w:hAnsi="宋体"/>
                <w:color w:val="auto"/>
                <w:szCs w:val="21"/>
                <w:highlight w:val="none"/>
              </w:rPr>
            </w:pPr>
          </w:p>
        </w:tc>
        <w:tc>
          <w:tcPr>
            <w:tcW w:w="383" w:type="pct"/>
            <w:noWrap w:val="0"/>
            <w:vAlign w:val="top"/>
          </w:tcPr>
          <w:p w14:paraId="25864DB4">
            <w:pPr>
              <w:spacing w:line="400" w:lineRule="exact"/>
              <w:jc w:val="center"/>
              <w:rPr>
                <w:rFonts w:ascii="宋体" w:hAnsi="宋体"/>
                <w:color w:val="auto"/>
                <w:szCs w:val="21"/>
                <w:highlight w:val="none"/>
              </w:rPr>
            </w:pPr>
          </w:p>
        </w:tc>
        <w:tc>
          <w:tcPr>
            <w:tcW w:w="422" w:type="pct"/>
            <w:noWrap w:val="0"/>
            <w:vAlign w:val="top"/>
          </w:tcPr>
          <w:p w14:paraId="5EFB36EA">
            <w:pPr>
              <w:spacing w:line="400" w:lineRule="exact"/>
              <w:jc w:val="center"/>
              <w:rPr>
                <w:rFonts w:ascii="宋体" w:hAnsi="宋体"/>
                <w:color w:val="auto"/>
                <w:szCs w:val="21"/>
                <w:highlight w:val="none"/>
              </w:rPr>
            </w:pPr>
          </w:p>
        </w:tc>
        <w:tc>
          <w:tcPr>
            <w:tcW w:w="692" w:type="pct"/>
            <w:noWrap w:val="0"/>
            <w:vAlign w:val="top"/>
          </w:tcPr>
          <w:p w14:paraId="7D500BF4">
            <w:pPr>
              <w:spacing w:line="400" w:lineRule="exact"/>
              <w:jc w:val="center"/>
              <w:rPr>
                <w:rFonts w:ascii="宋体" w:hAnsi="宋体"/>
                <w:color w:val="auto"/>
                <w:szCs w:val="21"/>
                <w:highlight w:val="none"/>
              </w:rPr>
            </w:pPr>
          </w:p>
        </w:tc>
        <w:tc>
          <w:tcPr>
            <w:tcW w:w="500" w:type="pct"/>
            <w:noWrap w:val="0"/>
            <w:vAlign w:val="top"/>
          </w:tcPr>
          <w:p w14:paraId="0F9E25DB">
            <w:pPr>
              <w:spacing w:line="400" w:lineRule="exact"/>
              <w:jc w:val="center"/>
              <w:rPr>
                <w:rFonts w:ascii="宋体" w:hAnsi="宋体"/>
                <w:color w:val="auto"/>
                <w:szCs w:val="21"/>
                <w:highlight w:val="none"/>
              </w:rPr>
            </w:pPr>
          </w:p>
        </w:tc>
        <w:tc>
          <w:tcPr>
            <w:tcW w:w="603" w:type="pct"/>
            <w:noWrap w:val="0"/>
            <w:vAlign w:val="top"/>
          </w:tcPr>
          <w:p w14:paraId="20DAC503">
            <w:pPr>
              <w:spacing w:line="400" w:lineRule="exact"/>
              <w:jc w:val="center"/>
              <w:rPr>
                <w:rFonts w:ascii="宋体" w:hAnsi="宋体"/>
                <w:color w:val="auto"/>
                <w:szCs w:val="21"/>
                <w:highlight w:val="none"/>
              </w:rPr>
            </w:pPr>
          </w:p>
        </w:tc>
        <w:tc>
          <w:tcPr>
            <w:tcW w:w="395" w:type="pct"/>
            <w:noWrap w:val="0"/>
            <w:vAlign w:val="top"/>
          </w:tcPr>
          <w:p w14:paraId="5FA7DC98">
            <w:pPr>
              <w:spacing w:line="400" w:lineRule="exact"/>
              <w:jc w:val="center"/>
              <w:rPr>
                <w:rFonts w:ascii="宋体" w:hAnsi="宋体"/>
                <w:color w:val="auto"/>
                <w:szCs w:val="21"/>
                <w:highlight w:val="none"/>
              </w:rPr>
            </w:pPr>
          </w:p>
        </w:tc>
      </w:tr>
      <w:tr w14:paraId="5E5E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534BD476">
            <w:pPr>
              <w:spacing w:line="400" w:lineRule="exact"/>
              <w:jc w:val="center"/>
              <w:rPr>
                <w:rFonts w:ascii="宋体" w:hAnsi="宋体"/>
                <w:color w:val="auto"/>
                <w:szCs w:val="21"/>
                <w:highlight w:val="none"/>
              </w:rPr>
            </w:pPr>
          </w:p>
        </w:tc>
        <w:tc>
          <w:tcPr>
            <w:tcW w:w="620" w:type="pct"/>
            <w:noWrap w:val="0"/>
            <w:vAlign w:val="top"/>
          </w:tcPr>
          <w:p w14:paraId="305DA4AD">
            <w:pPr>
              <w:spacing w:line="400" w:lineRule="exact"/>
              <w:jc w:val="center"/>
              <w:rPr>
                <w:rFonts w:ascii="宋体" w:hAnsi="宋体"/>
                <w:color w:val="auto"/>
                <w:szCs w:val="21"/>
                <w:highlight w:val="none"/>
              </w:rPr>
            </w:pPr>
          </w:p>
        </w:tc>
        <w:tc>
          <w:tcPr>
            <w:tcW w:w="435" w:type="pct"/>
            <w:noWrap w:val="0"/>
            <w:vAlign w:val="top"/>
          </w:tcPr>
          <w:p w14:paraId="616651A4">
            <w:pPr>
              <w:spacing w:line="400" w:lineRule="exact"/>
              <w:jc w:val="center"/>
              <w:rPr>
                <w:rFonts w:ascii="宋体" w:hAnsi="宋体"/>
                <w:color w:val="auto"/>
                <w:szCs w:val="21"/>
                <w:highlight w:val="none"/>
              </w:rPr>
            </w:pPr>
          </w:p>
        </w:tc>
        <w:tc>
          <w:tcPr>
            <w:tcW w:w="565" w:type="pct"/>
            <w:noWrap w:val="0"/>
            <w:vAlign w:val="top"/>
          </w:tcPr>
          <w:p w14:paraId="2713F4BE">
            <w:pPr>
              <w:spacing w:line="400" w:lineRule="exact"/>
              <w:jc w:val="center"/>
              <w:rPr>
                <w:rFonts w:ascii="宋体" w:hAnsi="宋体"/>
                <w:color w:val="auto"/>
                <w:szCs w:val="21"/>
                <w:highlight w:val="none"/>
              </w:rPr>
            </w:pPr>
          </w:p>
        </w:tc>
        <w:tc>
          <w:tcPr>
            <w:tcW w:w="383" w:type="pct"/>
            <w:noWrap w:val="0"/>
            <w:vAlign w:val="top"/>
          </w:tcPr>
          <w:p w14:paraId="5579B6C4">
            <w:pPr>
              <w:spacing w:line="400" w:lineRule="exact"/>
              <w:jc w:val="center"/>
              <w:rPr>
                <w:rFonts w:ascii="宋体" w:hAnsi="宋体"/>
                <w:color w:val="auto"/>
                <w:szCs w:val="21"/>
                <w:highlight w:val="none"/>
              </w:rPr>
            </w:pPr>
          </w:p>
        </w:tc>
        <w:tc>
          <w:tcPr>
            <w:tcW w:w="422" w:type="pct"/>
            <w:noWrap w:val="0"/>
            <w:vAlign w:val="top"/>
          </w:tcPr>
          <w:p w14:paraId="4BF271A4">
            <w:pPr>
              <w:spacing w:line="400" w:lineRule="exact"/>
              <w:jc w:val="center"/>
              <w:rPr>
                <w:rFonts w:ascii="宋体" w:hAnsi="宋体"/>
                <w:color w:val="auto"/>
                <w:szCs w:val="21"/>
                <w:highlight w:val="none"/>
              </w:rPr>
            </w:pPr>
          </w:p>
        </w:tc>
        <w:tc>
          <w:tcPr>
            <w:tcW w:w="692" w:type="pct"/>
            <w:noWrap w:val="0"/>
            <w:vAlign w:val="top"/>
          </w:tcPr>
          <w:p w14:paraId="20B252A2">
            <w:pPr>
              <w:spacing w:line="400" w:lineRule="exact"/>
              <w:jc w:val="center"/>
              <w:rPr>
                <w:rFonts w:ascii="宋体" w:hAnsi="宋体"/>
                <w:color w:val="auto"/>
                <w:szCs w:val="21"/>
                <w:highlight w:val="none"/>
              </w:rPr>
            </w:pPr>
          </w:p>
        </w:tc>
        <w:tc>
          <w:tcPr>
            <w:tcW w:w="500" w:type="pct"/>
            <w:noWrap w:val="0"/>
            <w:vAlign w:val="top"/>
          </w:tcPr>
          <w:p w14:paraId="5F5F4435">
            <w:pPr>
              <w:spacing w:line="400" w:lineRule="exact"/>
              <w:jc w:val="center"/>
              <w:rPr>
                <w:rFonts w:ascii="宋体" w:hAnsi="宋体"/>
                <w:color w:val="auto"/>
                <w:szCs w:val="21"/>
                <w:highlight w:val="none"/>
              </w:rPr>
            </w:pPr>
          </w:p>
        </w:tc>
        <w:tc>
          <w:tcPr>
            <w:tcW w:w="603" w:type="pct"/>
            <w:noWrap w:val="0"/>
            <w:vAlign w:val="top"/>
          </w:tcPr>
          <w:p w14:paraId="39BB2106">
            <w:pPr>
              <w:spacing w:line="400" w:lineRule="exact"/>
              <w:jc w:val="center"/>
              <w:rPr>
                <w:rFonts w:ascii="宋体" w:hAnsi="宋体"/>
                <w:color w:val="auto"/>
                <w:szCs w:val="21"/>
                <w:highlight w:val="none"/>
              </w:rPr>
            </w:pPr>
          </w:p>
        </w:tc>
        <w:tc>
          <w:tcPr>
            <w:tcW w:w="395" w:type="pct"/>
            <w:noWrap w:val="0"/>
            <w:vAlign w:val="top"/>
          </w:tcPr>
          <w:p w14:paraId="67B2625F">
            <w:pPr>
              <w:spacing w:line="400" w:lineRule="exact"/>
              <w:jc w:val="center"/>
              <w:rPr>
                <w:rFonts w:ascii="宋体" w:hAnsi="宋体"/>
                <w:color w:val="auto"/>
                <w:szCs w:val="21"/>
                <w:highlight w:val="none"/>
              </w:rPr>
            </w:pPr>
          </w:p>
        </w:tc>
      </w:tr>
      <w:tr w14:paraId="3261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53879498">
            <w:pPr>
              <w:spacing w:line="400" w:lineRule="exact"/>
              <w:jc w:val="center"/>
              <w:rPr>
                <w:rFonts w:ascii="宋体" w:hAnsi="宋体"/>
                <w:color w:val="auto"/>
                <w:szCs w:val="21"/>
                <w:highlight w:val="none"/>
              </w:rPr>
            </w:pPr>
          </w:p>
        </w:tc>
        <w:tc>
          <w:tcPr>
            <w:tcW w:w="620" w:type="pct"/>
            <w:noWrap w:val="0"/>
            <w:vAlign w:val="top"/>
          </w:tcPr>
          <w:p w14:paraId="3FD6E77D">
            <w:pPr>
              <w:spacing w:line="400" w:lineRule="exact"/>
              <w:jc w:val="center"/>
              <w:rPr>
                <w:rFonts w:ascii="宋体" w:hAnsi="宋体"/>
                <w:color w:val="auto"/>
                <w:szCs w:val="21"/>
                <w:highlight w:val="none"/>
              </w:rPr>
            </w:pPr>
          </w:p>
        </w:tc>
        <w:tc>
          <w:tcPr>
            <w:tcW w:w="435" w:type="pct"/>
            <w:noWrap w:val="0"/>
            <w:vAlign w:val="top"/>
          </w:tcPr>
          <w:p w14:paraId="2D4740D0">
            <w:pPr>
              <w:spacing w:line="400" w:lineRule="exact"/>
              <w:jc w:val="center"/>
              <w:rPr>
                <w:rFonts w:ascii="宋体" w:hAnsi="宋体"/>
                <w:color w:val="auto"/>
                <w:szCs w:val="21"/>
                <w:highlight w:val="none"/>
              </w:rPr>
            </w:pPr>
          </w:p>
        </w:tc>
        <w:tc>
          <w:tcPr>
            <w:tcW w:w="565" w:type="pct"/>
            <w:noWrap w:val="0"/>
            <w:vAlign w:val="top"/>
          </w:tcPr>
          <w:p w14:paraId="3CC155A1">
            <w:pPr>
              <w:spacing w:line="400" w:lineRule="exact"/>
              <w:jc w:val="center"/>
              <w:rPr>
                <w:rFonts w:ascii="宋体" w:hAnsi="宋体"/>
                <w:color w:val="auto"/>
                <w:szCs w:val="21"/>
                <w:highlight w:val="none"/>
              </w:rPr>
            </w:pPr>
          </w:p>
        </w:tc>
        <w:tc>
          <w:tcPr>
            <w:tcW w:w="383" w:type="pct"/>
            <w:noWrap w:val="0"/>
            <w:vAlign w:val="top"/>
          </w:tcPr>
          <w:p w14:paraId="7C1ACA67">
            <w:pPr>
              <w:spacing w:line="400" w:lineRule="exact"/>
              <w:jc w:val="center"/>
              <w:rPr>
                <w:rFonts w:ascii="宋体" w:hAnsi="宋体"/>
                <w:color w:val="auto"/>
                <w:szCs w:val="21"/>
                <w:highlight w:val="none"/>
              </w:rPr>
            </w:pPr>
          </w:p>
        </w:tc>
        <w:tc>
          <w:tcPr>
            <w:tcW w:w="422" w:type="pct"/>
            <w:noWrap w:val="0"/>
            <w:vAlign w:val="top"/>
          </w:tcPr>
          <w:p w14:paraId="11020FD3">
            <w:pPr>
              <w:spacing w:line="400" w:lineRule="exact"/>
              <w:jc w:val="center"/>
              <w:rPr>
                <w:rFonts w:ascii="宋体" w:hAnsi="宋体"/>
                <w:color w:val="auto"/>
                <w:szCs w:val="21"/>
                <w:highlight w:val="none"/>
              </w:rPr>
            </w:pPr>
          </w:p>
        </w:tc>
        <w:tc>
          <w:tcPr>
            <w:tcW w:w="692" w:type="pct"/>
            <w:noWrap w:val="0"/>
            <w:vAlign w:val="top"/>
          </w:tcPr>
          <w:p w14:paraId="3144566C">
            <w:pPr>
              <w:spacing w:line="400" w:lineRule="exact"/>
              <w:jc w:val="center"/>
              <w:rPr>
                <w:rFonts w:ascii="宋体" w:hAnsi="宋体"/>
                <w:color w:val="auto"/>
                <w:szCs w:val="21"/>
                <w:highlight w:val="none"/>
              </w:rPr>
            </w:pPr>
          </w:p>
        </w:tc>
        <w:tc>
          <w:tcPr>
            <w:tcW w:w="500" w:type="pct"/>
            <w:noWrap w:val="0"/>
            <w:vAlign w:val="top"/>
          </w:tcPr>
          <w:p w14:paraId="061D2C23">
            <w:pPr>
              <w:spacing w:line="400" w:lineRule="exact"/>
              <w:jc w:val="center"/>
              <w:rPr>
                <w:rFonts w:ascii="宋体" w:hAnsi="宋体"/>
                <w:color w:val="auto"/>
                <w:szCs w:val="21"/>
                <w:highlight w:val="none"/>
              </w:rPr>
            </w:pPr>
          </w:p>
        </w:tc>
        <w:tc>
          <w:tcPr>
            <w:tcW w:w="603" w:type="pct"/>
            <w:noWrap w:val="0"/>
            <w:vAlign w:val="top"/>
          </w:tcPr>
          <w:p w14:paraId="6BF52B77">
            <w:pPr>
              <w:spacing w:line="400" w:lineRule="exact"/>
              <w:jc w:val="center"/>
              <w:rPr>
                <w:rFonts w:ascii="宋体" w:hAnsi="宋体"/>
                <w:color w:val="auto"/>
                <w:szCs w:val="21"/>
                <w:highlight w:val="none"/>
              </w:rPr>
            </w:pPr>
          </w:p>
        </w:tc>
        <w:tc>
          <w:tcPr>
            <w:tcW w:w="395" w:type="pct"/>
            <w:noWrap w:val="0"/>
            <w:vAlign w:val="top"/>
          </w:tcPr>
          <w:p w14:paraId="5CE8C4EA">
            <w:pPr>
              <w:spacing w:line="400" w:lineRule="exact"/>
              <w:jc w:val="center"/>
              <w:rPr>
                <w:rFonts w:ascii="宋体" w:hAnsi="宋体"/>
                <w:color w:val="auto"/>
                <w:szCs w:val="21"/>
                <w:highlight w:val="none"/>
              </w:rPr>
            </w:pPr>
          </w:p>
        </w:tc>
      </w:tr>
      <w:tr w14:paraId="3873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4DD9779F">
            <w:pPr>
              <w:spacing w:line="400" w:lineRule="exact"/>
              <w:jc w:val="center"/>
              <w:rPr>
                <w:rFonts w:ascii="宋体" w:hAnsi="宋体"/>
                <w:color w:val="auto"/>
                <w:szCs w:val="21"/>
                <w:highlight w:val="none"/>
              </w:rPr>
            </w:pPr>
          </w:p>
        </w:tc>
        <w:tc>
          <w:tcPr>
            <w:tcW w:w="620" w:type="pct"/>
            <w:noWrap w:val="0"/>
            <w:vAlign w:val="top"/>
          </w:tcPr>
          <w:p w14:paraId="2E3FDCBE">
            <w:pPr>
              <w:spacing w:line="400" w:lineRule="exact"/>
              <w:jc w:val="center"/>
              <w:rPr>
                <w:rFonts w:ascii="宋体" w:hAnsi="宋体"/>
                <w:color w:val="auto"/>
                <w:szCs w:val="21"/>
                <w:highlight w:val="none"/>
              </w:rPr>
            </w:pPr>
          </w:p>
        </w:tc>
        <w:tc>
          <w:tcPr>
            <w:tcW w:w="435" w:type="pct"/>
            <w:noWrap w:val="0"/>
            <w:vAlign w:val="top"/>
          </w:tcPr>
          <w:p w14:paraId="666731CD">
            <w:pPr>
              <w:spacing w:line="400" w:lineRule="exact"/>
              <w:jc w:val="center"/>
              <w:rPr>
                <w:rFonts w:ascii="宋体" w:hAnsi="宋体"/>
                <w:color w:val="auto"/>
                <w:szCs w:val="21"/>
                <w:highlight w:val="none"/>
              </w:rPr>
            </w:pPr>
          </w:p>
        </w:tc>
        <w:tc>
          <w:tcPr>
            <w:tcW w:w="565" w:type="pct"/>
            <w:noWrap w:val="0"/>
            <w:vAlign w:val="top"/>
          </w:tcPr>
          <w:p w14:paraId="03837B6A">
            <w:pPr>
              <w:spacing w:line="400" w:lineRule="exact"/>
              <w:jc w:val="center"/>
              <w:rPr>
                <w:rFonts w:ascii="宋体" w:hAnsi="宋体"/>
                <w:color w:val="auto"/>
                <w:szCs w:val="21"/>
                <w:highlight w:val="none"/>
              </w:rPr>
            </w:pPr>
          </w:p>
        </w:tc>
        <w:tc>
          <w:tcPr>
            <w:tcW w:w="383" w:type="pct"/>
            <w:noWrap w:val="0"/>
            <w:vAlign w:val="top"/>
          </w:tcPr>
          <w:p w14:paraId="13924081">
            <w:pPr>
              <w:spacing w:line="400" w:lineRule="exact"/>
              <w:jc w:val="center"/>
              <w:rPr>
                <w:rFonts w:ascii="宋体" w:hAnsi="宋体"/>
                <w:color w:val="auto"/>
                <w:szCs w:val="21"/>
                <w:highlight w:val="none"/>
              </w:rPr>
            </w:pPr>
          </w:p>
        </w:tc>
        <w:tc>
          <w:tcPr>
            <w:tcW w:w="422" w:type="pct"/>
            <w:noWrap w:val="0"/>
            <w:vAlign w:val="top"/>
          </w:tcPr>
          <w:p w14:paraId="41563392">
            <w:pPr>
              <w:spacing w:line="400" w:lineRule="exact"/>
              <w:jc w:val="center"/>
              <w:rPr>
                <w:rFonts w:ascii="宋体" w:hAnsi="宋体"/>
                <w:color w:val="auto"/>
                <w:szCs w:val="21"/>
                <w:highlight w:val="none"/>
              </w:rPr>
            </w:pPr>
          </w:p>
        </w:tc>
        <w:tc>
          <w:tcPr>
            <w:tcW w:w="692" w:type="pct"/>
            <w:noWrap w:val="0"/>
            <w:vAlign w:val="top"/>
          </w:tcPr>
          <w:p w14:paraId="69690876">
            <w:pPr>
              <w:spacing w:line="400" w:lineRule="exact"/>
              <w:jc w:val="center"/>
              <w:rPr>
                <w:rFonts w:ascii="宋体" w:hAnsi="宋体"/>
                <w:color w:val="auto"/>
                <w:szCs w:val="21"/>
                <w:highlight w:val="none"/>
              </w:rPr>
            </w:pPr>
          </w:p>
        </w:tc>
        <w:tc>
          <w:tcPr>
            <w:tcW w:w="500" w:type="pct"/>
            <w:noWrap w:val="0"/>
            <w:vAlign w:val="top"/>
          </w:tcPr>
          <w:p w14:paraId="7D00F2A5">
            <w:pPr>
              <w:spacing w:line="400" w:lineRule="exact"/>
              <w:jc w:val="center"/>
              <w:rPr>
                <w:rFonts w:ascii="宋体" w:hAnsi="宋体"/>
                <w:color w:val="auto"/>
                <w:szCs w:val="21"/>
                <w:highlight w:val="none"/>
              </w:rPr>
            </w:pPr>
          </w:p>
        </w:tc>
        <w:tc>
          <w:tcPr>
            <w:tcW w:w="603" w:type="pct"/>
            <w:noWrap w:val="0"/>
            <w:vAlign w:val="top"/>
          </w:tcPr>
          <w:p w14:paraId="2579C822">
            <w:pPr>
              <w:spacing w:line="400" w:lineRule="exact"/>
              <w:jc w:val="center"/>
              <w:rPr>
                <w:rFonts w:ascii="宋体" w:hAnsi="宋体"/>
                <w:color w:val="auto"/>
                <w:szCs w:val="21"/>
                <w:highlight w:val="none"/>
              </w:rPr>
            </w:pPr>
          </w:p>
        </w:tc>
        <w:tc>
          <w:tcPr>
            <w:tcW w:w="395" w:type="pct"/>
            <w:noWrap w:val="0"/>
            <w:vAlign w:val="top"/>
          </w:tcPr>
          <w:p w14:paraId="7966DD40">
            <w:pPr>
              <w:spacing w:line="400" w:lineRule="exact"/>
              <w:jc w:val="center"/>
              <w:rPr>
                <w:rFonts w:ascii="宋体" w:hAnsi="宋体"/>
                <w:color w:val="auto"/>
                <w:szCs w:val="21"/>
                <w:highlight w:val="none"/>
              </w:rPr>
            </w:pPr>
          </w:p>
        </w:tc>
      </w:tr>
      <w:tr w14:paraId="18E1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3741930D">
            <w:pPr>
              <w:spacing w:line="400" w:lineRule="exact"/>
              <w:jc w:val="center"/>
              <w:rPr>
                <w:rFonts w:ascii="宋体" w:hAnsi="宋体"/>
                <w:color w:val="auto"/>
                <w:szCs w:val="21"/>
                <w:highlight w:val="none"/>
              </w:rPr>
            </w:pPr>
          </w:p>
        </w:tc>
        <w:tc>
          <w:tcPr>
            <w:tcW w:w="620" w:type="pct"/>
            <w:noWrap w:val="0"/>
            <w:vAlign w:val="top"/>
          </w:tcPr>
          <w:p w14:paraId="7202DFC7">
            <w:pPr>
              <w:spacing w:line="400" w:lineRule="exact"/>
              <w:jc w:val="center"/>
              <w:rPr>
                <w:rFonts w:ascii="宋体" w:hAnsi="宋体"/>
                <w:color w:val="auto"/>
                <w:szCs w:val="21"/>
                <w:highlight w:val="none"/>
              </w:rPr>
            </w:pPr>
          </w:p>
        </w:tc>
        <w:tc>
          <w:tcPr>
            <w:tcW w:w="435" w:type="pct"/>
            <w:noWrap w:val="0"/>
            <w:vAlign w:val="top"/>
          </w:tcPr>
          <w:p w14:paraId="310902EB">
            <w:pPr>
              <w:spacing w:line="400" w:lineRule="exact"/>
              <w:jc w:val="center"/>
              <w:rPr>
                <w:rFonts w:ascii="宋体" w:hAnsi="宋体"/>
                <w:color w:val="auto"/>
                <w:szCs w:val="21"/>
                <w:highlight w:val="none"/>
              </w:rPr>
            </w:pPr>
          </w:p>
        </w:tc>
        <w:tc>
          <w:tcPr>
            <w:tcW w:w="565" w:type="pct"/>
            <w:noWrap w:val="0"/>
            <w:vAlign w:val="top"/>
          </w:tcPr>
          <w:p w14:paraId="1D173095">
            <w:pPr>
              <w:spacing w:line="400" w:lineRule="exact"/>
              <w:jc w:val="center"/>
              <w:rPr>
                <w:rFonts w:ascii="宋体" w:hAnsi="宋体"/>
                <w:color w:val="auto"/>
                <w:szCs w:val="21"/>
                <w:highlight w:val="none"/>
              </w:rPr>
            </w:pPr>
          </w:p>
        </w:tc>
        <w:tc>
          <w:tcPr>
            <w:tcW w:w="383" w:type="pct"/>
            <w:noWrap w:val="0"/>
            <w:vAlign w:val="top"/>
          </w:tcPr>
          <w:p w14:paraId="0670A813">
            <w:pPr>
              <w:spacing w:line="400" w:lineRule="exact"/>
              <w:jc w:val="center"/>
              <w:rPr>
                <w:rFonts w:ascii="宋体" w:hAnsi="宋体"/>
                <w:color w:val="auto"/>
                <w:szCs w:val="21"/>
                <w:highlight w:val="none"/>
              </w:rPr>
            </w:pPr>
          </w:p>
        </w:tc>
        <w:tc>
          <w:tcPr>
            <w:tcW w:w="422" w:type="pct"/>
            <w:noWrap w:val="0"/>
            <w:vAlign w:val="top"/>
          </w:tcPr>
          <w:p w14:paraId="769B0952">
            <w:pPr>
              <w:spacing w:line="400" w:lineRule="exact"/>
              <w:jc w:val="center"/>
              <w:rPr>
                <w:rFonts w:ascii="宋体" w:hAnsi="宋体"/>
                <w:color w:val="auto"/>
                <w:szCs w:val="21"/>
                <w:highlight w:val="none"/>
              </w:rPr>
            </w:pPr>
          </w:p>
        </w:tc>
        <w:tc>
          <w:tcPr>
            <w:tcW w:w="692" w:type="pct"/>
            <w:noWrap w:val="0"/>
            <w:vAlign w:val="top"/>
          </w:tcPr>
          <w:p w14:paraId="5CFBAA45">
            <w:pPr>
              <w:spacing w:line="400" w:lineRule="exact"/>
              <w:jc w:val="center"/>
              <w:rPr>
                <w:rFonts w:ascii="宋体" w:hAnsi="宋体"/>
                <w:color w:val="auto"/>
                <w:szCs w:val="21"/>
                <w:highlight w:val="none"/>
              </w:rPr>
            </w:pPr>
          </w:p>
        </w:tc>
        <w:tc>
          <w:tcPr>
            <w:tcW w:w="500" w:type="pct"/>
            <w:noWrap w:val="0"/>
            <w:vAlign w:val="top"/>
          </w:tcPr>
          <w:p w14:paraId="28A50B30">
            <w:pPr>
              <w:spacing w:line="400" w:lineRule="exact"/>
              <w:jc w:val="center"/>
              <w:rPr>
                <w:rFonts w:ascii="宋体" w:hAnsi="宋体"/>
                <w:color w:val="auto"/>
                <w:szCs w:val="21"/>
                <w:highlight w:val="none"/>
              </w:rPr>
            </w:pPr>
          </w:p>
        </w:tc>
        <w:tc>
          <w:tcPr>
            <w:tcW w:w="603" w:type="pct"/>
            <w:noWrap w:val="0"/>
            <w:vAlign w:val="top"/>
          </w:tcPr>
          <w:p w14:paraId="6C3120FF">
            <w:pPr>
              <w:spacing w:line="400" w:lineRule="exact"/>
              <w:jc w:val="center"/>
              <w:rPr>
                <w:rFonts w:ascii="宋体" w:hAnsi="宋体"/>
                <w:color w:val="auto"/>
                <w:szCs w:val="21"/>
                <w:highlight w:val="none"/>
              </w:rPr>
            </w:pPr>
          </w:p>
        </w:tc>
        <w:tc>
          <w:tcPr>
            <w:tcW w:w="395" w:type="pct"/>
            <w:noWrap w:val="0"/>
            <w:vAlign w:val="top"/>
          </w:tcPr>
          <w:p w14:paraId="402346A0">
            <w:pPr>
              <w:spacing w:line="400" w:lineRule="exact"/>
              <w:jc w:val="center"/>
              <w:rPr>
                <w:rFonts w:ascii="宋体" w:hAnsi="宋体"/>
                <w:color w:val="auto"/>
                <w:szCs w:val="21"/>
                <w:highlight w:val="none"/>
              </w:rPr>
            </w:pPr>
          </w:p>
        </w:tc>
      </w:tr>
      <w:tr w14:paraId="4843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254F689C">
            <w:pPr>
              <w:spacing w:line="400" w:lineRule="exact"/>
              <w:jc w:val="center"/>
              <w:rPr>
                <w:rFonts w:ascii="宋体" w:hAnsi="宋体"/>
                <w:color w:val="auto"/>
                <w:szCs w:val="21"/>
                <w:highlight w:val="none"/>
              </w:rPr>
            </w:pPr>
          </w:p>
        </w:tc>
        <w:tc>
          <w:tcPr>
            <w:tcW w:w="620" w:type="pct"/>
            <w:noWrap w:val="0"/>
            <w:vAlign w:val="top"/>
          </w:tcPr>
          <w:p w14:paraId="2210B74A">
            <w:pPr>
              <w:spacing w:line="400" w:lineRule="exact"/>
              <w:jc w:val="center"/>
              <w:rPr>
                <w:rFonts w:ascii="宋体" w:hAnsi="宋体"/>
                <w:color w:val="auto"/>
                <w:szCs w:val="21"/>
                <w:highlight w:val="none"/>
              </w:rPr>
            </w:pPr>
          </w:p>
        </w:tc>
        <w:tc>
          <w:tcPr>
            <w:tcW w:w="435" w:type="pct"/>
            <w:noWrap w:val="0"/>
            <w:vAlign w:val="top"/>
          </w:tcPr>
          <w:p w14:paraId="26A861D4">
            <w:pPr>
              <w:spacing w:line="400" w:lineRule="exact"/>
              <w:jc w:val="center"/>
              <w:rPr>
                <w:rFonts w:ascii="宋体" w:hAnsi="宋体"/>
                <w:color w:val="auto"/>
                <w:szCs w:val="21"/>
                <w:highlight w:val="none"/>
              </w:rPr>
            </w:pPr>
          </w:p>
        </w:tc>
        <w:tc>
          <w:tcPr>
            <w:tcW w:w="565" w:type="pct"/>
            <w:noWrap w:val="0"/>
            <w:vAlign w:val="top"/>
          </w:tcPr>
          <w:p w14:paraId="2420A789">
            <w:pPr>
              <w:spacing w:line="400" w:lineRule="exact"/>
              <w:jc w:val="center"/>
              <w:rPr>
                <w:rFonts w:ascii="宋体" w:hAnsi="宋体"/>
                <w:color w:val="auto"/>
                <w:szCs w:val="21"/>
                <w:highlight w:val="none"/>
              </w:rPr>
            </w:pPr>
          </w:p>
        </w:tc>
        <w:tc>
          <w:tcPr>
            <w:tcW w:w="383" w:type="pct"/>
            <w:noWrap w:val="0"/>
            <w:vAlign w:val="top"/>
          </w:tcPr>
          <w:p w14:paraId="5A2A09C7">
            <w:pPr>
              <w:spacing w:line="400" w:lineRule="exact"/>
              <w:jc w:val="center"/>
              <w:rPr>
                <w:rFonts w:ascii="宋体" w:hAnsi="宋体"/>
                <w:color w:val="auto"/>
                <w:szCs w:val="21"/>
                <w:highlight w:val="none"/>
              </w:rPr>
            </w:pPr>
          </w:p>
        </w:tc>
        <w:tc>
          <w:tcPr>
            <w:tcW w:w="422" w:type="pct"/>
            <w:noWrap w:val="0"/>
            <w:vAlign w:val="top"/>
          </w:tcPr>
          <w:p w14:paraId="4BCCBF34">
            <w:pPr>
              <w:spacing w:line="400" w:lineRule="exact"/>
              <w:jc w:val="center"/>
              <w:rPr>
                <w:rFonts w:ascii="宋体" w:hAnsi="宋体"/>
                <w:color w:val="auto"/>
                <w:szCs w:val="21"/>
                <w:highlight w:val="none"/>
              </w:rPr>
            </w:pPr>
          </w:p>
        </w:tc>
        <w:tc>
          <w:tcPr>
            <w:tcW w:w="692" w:type="pct"/>
            <w:noWrap w:val="0"/>
            <w:vAlign w:val="top"/>
          </w:tcPr>
          <w:p w14:paraId="3C6529B6">
            <w:pPr>
              <w:spacing w:line="400" w:lineRule="exact"/>
              <w:jc w:val="center"/>
              <w:rPr>
                <w:rFonts w:ascii="宋体" w:hAnsi="宋体"/>
                <w:color w:val="auto"/>
                <w:szCs w:val="21"/>
                <w:highlight w:val="none"/>
              </w:rPr>
            </w:pPr>
          </w:p>
        </w:tc>
        <w:tc>
          <w:tcPr>
            <w:tcW w:w="500" w:type="pct"/>
            <w:noWrap w:val="0"/>
            <w:vAlign w:val="top"/>
          </w:tcPr>
          <w:p w14:paraId="4610FB44">
            <w:pPr>
              <w:spacing w:line="400" w:lineRule="exact"/>
              <w:jc w:val="center"/>
              <w:rPr>
                <w:rFonts w:ascii="宋体" w:hAnsi="宋体"/>
                <w:color w:val="auto"/>
                <w:szCs w:val="21"/>
                <w:highlight w:val="none"/>
              </w:rPr>
            </w:pPr>
          </w:p>
        </w:tc>
        <w:tc>
          <w:tcPr>
            <w:tcW w:w="603" w:type="pct"/>
            <w:noWrap w:val="0"/>
            <w:vAlign w:val="top"/>
          </w:tcPr>
          <w:p w14:paraId="32C333FB">
            <w:pPr>
              <w:spacing w:line="400" w:lineRule="exact"/>
              <w:jc w:val="center"/>
              <w:rPr>
                <w:rFonts w:ascii="宋体" w:hAnsi="宋体"/>
                <w:color w:val="auto"/>
                <w:szCs w:val="21"/>
                <w:highlight w:val="none"/>
              </w:rPr>
            </w:pPr>
          </w:p>
        </w:tc>
        <w:tc>
          <w:tcPr>
            <w:tcW w:w="395" w:type="pct"/>
            <w:noWrap w:val="0"/>
            <w:vAlign w:val="top"/>
          </w:tcPr>
          <w:p w14:paraId="171E64F0">
            <w:pPr>
              <w:spacing w:line="400" w:lineRule="exact"/>
              <w:jc w:val="center"/>
              <w:rPr>
                <w:rFonts w:ascii="宋体" w:hAnsi="宋体"/>
                <w:color w:val="auto"/>
                <w:szCs w:val="21"/>
                <w:highlight w:val="none"/>
              </w:rPr>
            </w:pPr>
          </w:p>
        </w:tc>
      </w:tr>
      <w:tr w14:paraId="1ED7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5702C08E">
            <w:pPr>
              <w:spacing w:line="400" w:lineRule="exact"/>
              <w:jc w:val="center"/>
              <w:rPr>
                <w:rFonts w:ascii="宋体" w:hAnsi="宋体"/>
                <w:color w:val="auto"/>
                <w:szCs w:val="21"/>
                <w:highlight w:val="none"/>
              </w:rPr>
            </w:pPr>
          </w:p>
        </w:tc>
        <w:tc>
          <w:tcPr>
            <w:tcW w:w="620" w:type="pct"/>
            <w:noWrap w:val="0"/>
            <w:vAlign w:val="top"/>
          </w:tcPr>
          <w:p w14:paraId="690E2B6E">
            <w:pPr>
              <w:spacing w:line="400" w:lineRule="exact"/>
              <w:jc w:val="center"/>
              <w:rPr>
                <w:rFonts w:ascii="宋体" w:hAnsi="宋体"/>
                <w:color w:val="auto"/>
                <w:szCs w:val="21"/>
                <w:highlight w:val="none"/>
              </w:rPr>
            </w:pPr>
          </w:p>
        </w:tc>
        <w:tc>
          <w:tcPr>
            <w:tcW w:w="435" w:type="pct"/>
            <w:noWrap w:val="0"/>
            <w:vAlign w:val="top"/>
          </w:tcPr>
          <w:p w14:paraId="7FA6DA8B">
            <w:pPr>
              <w:spacing w:line="400" w:lineRule="exact"/>
              <w:jc w:val="center"/>
              <w:rPr>
                <w:rFonts w:ascii="宋体" w:hAnsi="宋体"/>
                <w:color w:val="auto"/>
                <w:szCs w:val="21"/>
                <w:highlight w:val="none"/>
              </w:rPr>
            </w:pPr>
          </w:p>
        </w:tc>
        <w:tc>
          <w:tcPr>
            <w:tcW w:w="565" w:type="pct"/>
            <w:noWrap w:val="0"/>
            <w:vAlign w:val="top"/>
          </w:tcPr>
          <w:p w14:paraId="16EAE270">
            <w:pPr>
              <w:spacing w:line="400" w:lineRule="exact"/>
              <w:jc w:val="center"/>
              <w:rPr>
                <w:rFonts w:ascii="宋体" w:hAnsi="宋体"/>
                <w:color w:val="auto"/>
                <w:szCs w:val="21"/>
                <w:highlight w:val="none"/>
              </w:rPr>
            </w:pPr>
          </w:p>
        </w:tc>
        <w:tc>
          <w:tcPr>
            <w:tcW w:w="383" w:type="pct"/>
            <w:noWrap w:val="0"/>
            <w:vAlign w:val="top"/>
          </w:tcPr>
          <w:p w14:paraId="01C5BCC6">
            <w:pPr>
              <w:spacing w:line="400" w:lineRule="exact"/>
              <w:jc w:val="center"/>
              <w:rPr>
                <w:rFonts w:ascii="宋体" w:hAnsi="宋体"/>
                <w:color w:val="auto"/>
                <w:szCs w:val="21"/>
                <w:highlight w:val="none"/>
              </w:rPr>
            </w:pPr>
          </w:p>
        </w:tc>
        <w:tc>
          <w:tcPr>
            <w:tcW w:w="422" w:type="pct"/>
            <w:noWrap w:val="0"/>
            <w:vAlign w:val="top"/>
          </w:tcPr>
          <w:p w14:paraId="3EF5C011">
            <w:pPr>
              <w:spacing w:line="400" w:lineRule="exact"/>
              <w:jc w:val="center"/>
              <w:rPr>
                <w:rFonts w:ascii="宋体" w:hAnsi="宋体"/>
                <w:color w:val="auto"/>
                <w:szCs w:val="21"/>
                <w:highlight w:val="none"/>
              </w:rPr>
            </w:pPr>
          </w:p>
        </w:tc>
        <w:tc>
          <w:tcPr>
            <w:tcW w:w="692" w:type="pct"/>
            <w:noWrap w:val="0"/>
            <w:vAlign w:val="top"/>
          </w:tcPr>
          <w:p w14:paraId="71C6B184">
            <w:pPr>
              <w:spacing w:line="400" w:lineRule="exact"/>
              <w:jc w:val="center"/>
              <w:rPr>
                <w:rFonts w:ascii="宋体" w:hAnsi="宋体"/>
                <w:color w:val="auto"/>
                <w:szCs w:val="21"/>
                <w:highlight w:val="none"/>
              </w:rPr>
            </w:pPr>
          </w:p>
        </w:tc>
        <w:tc>
          <w:tcPr>
            <w:tcW w:w="500" w:type="pct"/>
            <w:noWrap w:val="0"/>
            <w:vAlign w:val="top"/>
          </w:tcPr>
          <w:p w14:paraId="464010C0">
            <w:pPr>
              <w:spacing w:line="400" w:lineRule="exact"/>
              <w:jc w:val="center"/>
              <w:rPr>
                <w:rFonts w:ascii="宋体" w:hAnsi="宋体"/>
                <w:color w:val="auto"/>
                <w:szCs w:val="21"/>
                <w:highlight w:val="none"/>
              </w:rPr>
            </w:pPr>
          </w:p>
        </w:tc>
        <w:tc>
          <w:tcPr>
            <w:tcW w:w="603" w:type="pct"/>
            <w:noWrap w:val="0"/>
            <w:vAlign w:val="top"/>
          </w:tcPr>
          <w:p w14:paraId="758ACD39">
            <w:pPr>
              <w:spacing w:line="400" w:lineRule="exact"/>
              <w:jc w:val="center"/>
              <w:rPr>
                <w:rFonts w:ascii="宋体" w:hAnsi="宋体"/>
                <w:color w:val="auto"/>
                <w:szCs w:val="21"/>
                <w:highlight w:val="none"/>
              </w:rPr>
            </w:pPr>
          </w:p>
        </w:tc>
        <w:tc>
          <w:tcPr>
            <w:tcW w:w="395" w:type="pct"/>
            <w:noWrap w:val="0"/>
            <w:vAlign w:val="top"/>
          </w:tcPr>
          <w:p w14:paraId="164F5084">
            <w:pPr>
              <w:spacing w:line="400" w:lineRule="exact"/>
              <w:jc w:val="center"/>
              <w:rPr>
                <w:rFonts w:ascii="宋体" w:hAnsi="宋体"/>
                <w:color w:val="auto"/>
                <w:szCs w:val="21"/>
                <w:highlight w:val="none"/>
              </w:rPr>
            </w:pPr>
          </w:p>
        </w:tc>
      </w:tr>
      <w:tr w14:paraId="5C23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3B03AF6E">
            <w:pPr>
              <w:spacing w:line="400" w:lineRule="exact"/>
              <w:jc w:val="center"/>
              <w:rPr>
                <w:rFonts w:ascii="宋体" w:hAnsi="宋体"/>
                <w:color w:val="auto"/>
                <w:szCs w:val="21"/>
                <w:highlight w:val="none"/>
              </w:rPr>
            </w:pPr>
          </w:p>
        </w:tc>
        <w:tc>
          <w:tcPr>
            <w:tcW w:w="620" w:type="pct"/>
            <w:noWrap w:val="0"/>
            <w:vAlign w:val="top"/>
          </w:tcPr>
          <w:p w14:paraId="59ACA573">
            <w:pPr>
              <w:spacing w:line="400" w:lineRule="exact"/>
              <w:jc w:val="center"/>
              <w:rPr>
                <w:rFonts w:ascii="宋体" w:hAnsi="宋体"/>
                <w:color w:val="auto"/>
                <w:szCs w:val="21"/>
                <w:highlight w:val="none"/>
              </w:rPr>
            </w:pPr>
          </w:p>
        </w:tc>
        <w:tc>
          <w:tcPr>
            <w:tcW w:w="435" w:type="pct"/>
            <w:noWrap w:val="0"/>
            <w:vAlign w:val="top"/>
          </w:tcPr>
          <w:p w14:paraId="5B367970">
            <w:pPr>
              <w:spacing w:line="400" w:lineRule="exact"/>
              <w:jc w:val="center"/>
              <w:rPr>
                <w:rFonts w:ascii="宋体" w:hAnsi="宋体"/>
                <w:color w:val="auto"/>
                <w:szCs w:val="21"/>
                <w:highlight w:val="none"/>
              </w:rPr>
            </w:pPr>
          </w:p>
        </w:tc>
        <w:tc>
          <w:tcPr>
            <w:tcW w:w="565" w:type="pct"/>
            <w:noWrap w:val="0"/>
            <w:vAlign w:val="top"/>
          </w:tcPr>
          <w:p w14:paraId="7A28CD4B">
            <w:pPr>
              <w:spacing w:line="400" w:lineRule="exact"/>
              <w:jc w:val="center"/>
              <w:rPr>
                <w:rFonts w:ascii="宋体" w:hAnsi="宋体"/>
                <w:color w:val="auto"/>
                <w:szCs w:val="21"/>
                <w:highlight w:val="none"/>
              </w:rPr>
            </w:pPr>
          </w:p>
        </w:tc>
        <w:tc>
          <w:tcPr>
            <w:tcW w:w="383" w:type="pct"/>
            <w:noWrap w:val="0"/>
            <w:vAlign w:val="top"/>
          </w:tcPr>
          <w:p w14:paraId="600CB3BB">
            <w:pPr>
              <w:spacing w:line="400" w:lineRule="exact"/>
              <w:jc w:val="center"/>
              <w:rPr>
                <w:rFonts w:ascii="宋体" w:hAnsi="宋体"/>
                <w:color w:val="auto"/>
                <w:szCs w:val="21"/>
                <w:highlight w:val="none"/>
              </w:rPr>
            </w:pPr>
          </w:p>
        </w:tc>
        <w:tc>
          <w:tcPr>
            <w:tcW w:w="422" w:type="pct"/>
            <w:noWrap w:val="0"/>
            <w:vAlign w:val="top"/>
          </w:tcPr>
          <w:p w14:paraId="050554F7">
            <w:pPr>
              <w:spacing w:line="400" w:lineRule="exact"/>
              <w:jc w:val="center"/>
              <w:rPr>
                <w:rFonts w:ascii="宋体" w:hAnsi="宋体"/>
                <w:color w:val="auto"/>
                <w:szCs w:val="21"/>
                <w:highlight w:val="none"/>
              </w:rPr>
            </w:pPr>
          </w:p>
        </w:tc>
        <w:tc>
          <w:tcPr>
            <w:tcW w:w="692" w:type="pct"/>
            <w:noWrap w:val="0"/>
            <w:vAlign w:val="top"/>
          </w:tcPr>
          <w:p w14:paraId="57DC880A">
            <w:pPr>
              <w:spacing w:line="400" w:lineRule="exact"/>
              <w:jc w:val="center"/>
              <w:rPr>
                <w:rFonts w:ascii="宋体" w:hAnsi="宋体"/>
                <w:color w:val="auto"/>
                <w:szCs w:val="21"/>
                <w:highlight w:val="none"/>
              </w:rPr>
            </w:pPr>
          </w:p>
        </w:tc>
        <w:tc>
          <w:tcPr>
            <w:tcW w:w="500" w:type="pct"/>
            <w:noWrap w:val="0"/>
            <w:vAlign w:val="top"/>
          </w:tcPr>
          <w:p w14:paraId="315A4F9A">
            <w:pPr>
              <w:spacing w:line="400" w:lineRule="exact"/>
              <w:jc w:val="center"/>
              <w:rPr>
                <w:rFonts w:ascii="宋体" w:hAnsi="宋体"/>
                <w:color w:val="auto"/>
                <w:szCs w:val="21"/>
                <w:highlight w:val="none"/>
              </w:rPr>
            </w:pPr>
          </w:p>
        </w:tc>
        <w:tc>
          <w:tcPr>
            <w:tcW w:w="603" w:type="pct"/>
            <w:noWrap w:val="0"/>
            <w:vAlign w:val="top"/>
          </w:tcPr>
          <w:p w14:paraId="4A5305E1">
            <w:pPr>
              <w:spacing w:line="400" w:lineRule="exact"/>
              <w:jc w:val="center"/>
              <w:rPr>
                <w:rFonts w:ascii="宋体" w:hAnsi="宋体"/>
                <w:color w:val="auto"/>
                <w:szCs w:val="21"/>
                <w:highlight w:val="none"/>
              </w:rPr>
            </w:pPr>
          </w:p>
        </w:tc>
        <w:tc>
          <w:tcPr>
            <w:tcW w:w="395" w:type="pct"/>
            <w:noWrap w:val="0"/>
            <w:vAlign w:val="top"/>
          </w:tcPr>
          <w:p w14:paraId="5C856DFB">
            <w:pPr>
              <w:spacing w:line="400" w:lineRule="exact"/>
              <w:jc w:val="center"/>
              <w:rPr>
                <w:rFonts w:ascii="宋体" w:hAnsi="宋体"/>
                <w:color w:val="auto"/>
                <w:szCs w:val="21"/>
                <w:highlight w:val="none"/>
              </w:rPr>
            </w:pPr>
          </w:p>
        </w:tc>
      </w:tr>
      <w:tr w14:paraId="284B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3CC7ADF2">
            <w:pPr>
              <w:spacing w:line="400" w:lineRule="exact"/>
              <w:jc w:val="center"/>
              <w:rPr>
                <w:rFonts w:ascii="宋体" w:hAnsi="宋体"/>
                <w:color w:val="auto"/>
                <w:szCs w:val="21"/>
                <w:highlight w:val="none"/>
              </w:rPr>
            </w:pPr>
          </w:p>
        </w:tc>
        <w:tc>
          <w:tcPr>
            <w:tcW w:w="620" w:type="pct"/>
            <w:noWrap w:val="0"/>
            <w:vAlign w:val="top"/>
          </w:tcPr>
          <w:p w14:paraId="21DA5F36">
            <w:pPr>
              <w:spacing w:line="400" w:lineRule="exact"/>
              <w:jc w:val="center"/>
              <w:rPr>
                <w:rFonts w:ascii="宋体" w:hAnsi="宋体"/>
                <w:color w:val="auto"/>
                <w:szCs w:val="21"/>
                <w:highlight w:val="none"/>
              </w:rPr>
            </w:pPr>
          </w:p>
        </w:tc>
        <w:tc>
          <w:tcPr>
            <w:tcW w:w="435" w:type="pct"/>
            <w:noWrap w:val="0"/>
            <w:vAlign w:val="top"/>
          </w:tcPr>
          <w:p w14:paraId="2CFCA2E7">
            <w:pPr>
              <w:spacing w:line="400" w:lineRule="exact"/>
              <w:jc w:val="center"/>
              <w:rPr>
                <w:rFonts w:ascii="宋体" w:hAnsi="宋体"/>
                <w:color w:val="auto"/>
                <w:szCs w:val="21"/>
                <w:highlight w:val="none"/>
              </w:rPr>
            </w:pPr>
          </w:p>
        </w:tc>
        <w:tc>
          <w:tcPr>
            <w:tcW w:w="565" w:type="pct"/>
            <w:noWrap w:val="0"/>
            <w:vAlign w:val="top"/>
          </w:tcPr>
          <w:p w14:paraId="2CAF3966">
            <w:pPr>
              <w:spacing w:line="400" w:lineRule="exact"/>
              <w:jc w:val="center"/>
              <w:rPr>
                <w:rFonts w:ascii="宋体" w:hAnsi="宋体"/>
                <w:color w:val="auto"/>
                <w:szCs w:val="21"/>
                <w:highlight w:val="none"/>
              </w:rPr>
            </w:pPr>
          </w:p>
        </w:tc>
        <w:tc>
          <w:tcPr>
            <w:tcW w:w="383" w:type="pct"/>
            <w:noWrap w:val="0"/>
            <w:vAlign w:val="top"/>
          </w:tcPr>
          <w:p w14:paraId="034FA42E">
            <w:pPr>
              <w:spacing w:line="400" w:lineRule="exact"/>
              <w:jc w:val="center"/>
              <w:rPr>
                <w:rFonts w:ascii="宋体" w:hAnsi="宋体"/>
                <w:color w:val="auto"/>
                <w:szCs w:val="21"/>
                <w:highlight w:val="none"/>
              </w:rPr>
            </w:pPr>
          </w:p>
        </w:tc>
        <w:tc>
          <w:tcPr>
            <w:tcW w:w="422" w:type="pct"/>
            <w:noWrap w:val="0"/>
            <w:vAlign w:val="top"/>
          </w:tcPr>
          <w:p w14:paraId="172698AD">
            <w:pPr>
              <w:spacing w:line="400" w:lineRule="exact"/>
              <w:jc w:val="center"/>
              <w:rPr>
                <w:rFonts w:ascii="宋体" w:hAnsi="宋体"/>
                <w:color w:val="auto"/>
                <w:szCs w:val="21"/>
                <w:highlight w:val="none"/>
              </w:rPr>
            </w:pPr>
          </w:p>
        </w:tc>
        <w:tc>
          <w:tcPr>
            <w:tcW w:w="692" w:type="pct"/>
            <w:noWrap w:val="0"/>
            <w:vAlign w:val="top"/>
          </w:tcPr>
          <w:p w14:paraId="23475436">
            <w:pPr>
              <w:spacing w:line="400" w:lineRule="exact"/>
              <w:jc w:val="center"/>
              <w:rPr>
                <w:rFonts w:ascii="宋体" w:hAnsi="宋体"/>
                <w:color w:val="auto"/>
                <w:szCs w:val="21"/>
                <w:highlight w:val="none"/>
              </w:rPr>
            </w:pPr>
          </w:p>
        </w:tc>
        <w:tc>
          <w:tcPr>
            <w:tcW w:w="500" w:type="pct"/>
            <w:noWrap w:val="0"/>
            <w:vAlign w:val="top"/>
          </w:tcPr>
          <w:p w14:paraId="3C488B0A">
            <w:pPr>
              <w:spacing w:line="400" w:lineRule="exact"/>
              <w:jc w:val="center"/>
              <w:rPr>
                <w:rFonts w:ascii="宋体" w:hAnsi="宋体"/>
                <w:color w:val="auto"/>
                <w:szCs w:val="21"/>
                <w:highlight w:val="none"/>
              </w:rPr>
            </w:pPr>
          </w:p>
        </w:tc>
        <w:tc>
          <w:tcPr>
            <w:tcW w:w="603" w:type="pct"/>
            <w:noWrap w:val="0"/>
            <w:vAlign w:val="top"/>
          </w:tcPr>
          <w:p w14:paraId="4DC8A7EF">
            <w:pPr>
              <w:spacing w:line="400" w:lineRule="exact"/>
              <w:jc w:val="center"/>
              <w:rPr>
                <w:rFonts w:ascii="宋体" w:hAnsi="宋体"/>
                <w:color w:val="auto"/>
                <w:szCs w:val="21"/>
                <w:highlight w:val="none"/>
              </w:rPr>
            </w:pPr>
          </w:p>
        </w:tc>
        <w:tc>
          <w:tcPr>
            <w:tcW w:w="395" w:type="pct"/>
            <w:noWrap w:val="0"/>
            <w:vAlign w:val="top"/>
          </w:tcPr>
          <w:p w14:paraId="33ADE15F">
            <w:pPr>
              <w:spacing w:line="400" w:lineRule="exact"/>
              <w:jc w:val="center"/>
              <w:rPr>
                <w:rFonts w:ascii="宋体" w:hAnsi="宋体"/>
                <w:color w:val="auto"/>
                <w:szCs w:val="21"/>
                <w:highlight w:val="none"/>
              </w:rPr>
            </w:pPr>
          </w:p>
        </w:tc>
      </w:tr>
      <w:tr w14:paraId="249C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771F5E10">
            <w:pPr>
              <w:spacing w:line="400" w:lineRule="exact"/>
              <w:jc w:val="center"/>
              <w:rPr>
                <w:rFonts w:ascii="宋体" w:hAnsi="宋体"/>
                <w:color w:val="auto"/>
                <w:szCs w:val="21"/>
                <w:highlight w:val="none"/>
              </w:rPr>
            </w:pPr>
          </w:p>
        </w:tc>
        <w:tc>
          <w:tcPr>
            <w:tcW w:w="620" w:type="pct"/>
            <w:noWrap w:val="0"/>
            <w:vAlign w:val="top"/>
          </w:tcPr>
          <w:p w14:paraId="32ED62A5">
            <w:pPr>
              <w:spacing w:line="400" w:lineRule="exact"/>
              <w:jc w:val="center"/>
              <w:rPr>
                <w:rFonts w:ascii="宋体" w:hAnsi="宋体"/>
                <w:color w:val="auto"/>
                <w:szCs w:val="21"/>
                <w:highlight w:val="none"/>
              </w:rPr>
            </w:pPr>
          </w:p>
        </w:tc>
        <w:tc>
          <w:tcPr>
            <w:tcW w:w="435" w:type="pct"/>
            <w:noWrap w:val="0"/>
            <w:vAlign w:val="top"/>
          </w:tcPr>
          <w:p w14:paraId="75994795">
            <w:pPr>
              <w:spacing w:line="400" w:lineRule="exact"/>
              <w:jc w:val="center"/>
              <w:rPr>
                <w:rFonts w:ascii="宋体" w:hAnsi="宋体"/>
                <w:color w:val="auto"/>
                <w:szCs w:val="21"/>
                <w:highlight w:val="none"/>
              </w:rPr>
            </w:pPr>
          </w:p>
        </w:tc>
        <w:tc>
          <w:tcPr>
            <w:tcW w:w="565" w:type="pct"/>
            <w:noWrap w:val="0"/>
            <w:vAlign w:val="top"/>
          </w:tcPr>
          <w:p w14:paraId="3F69E7B1">
            <w:pPr>
              <w:spacing w:line="400" w:lineRule="exact"/>
              <w:jc w:val="center"/>
              <w:rPr>
                <w:rFonts w:ascii="宋体" w:hAnsi="宋体"/>
                <w:color w:val="auto"/>
                <w:szCs w:val="21"/>
                <w:highlight w:val="none"/>
              </w:rPr>
            </w:pPr>
          </w:p>
        </w:tc>
        <w:tc>
          <w:tcPr>
            <w:tcW w:w="383" w:type="pct"/>
            <w:noWrap w:val="0"/>
            <w:vAlign w:val="top"/>
          </w:tcPr>
          <w:p w14:paraId="392EEC9B">
            <w:pPr>
              <w:spacing w:line="400" w:lineRule="exact"/>
              <w:jc w:val="center"/>
              <w:rPr>
                <w:rFonts w:ascii="宋体" w:hAnsi="宋体"/>
                <w:color w:val="auto"/>
                <w:szCs w:val="21"/>
                <w:highlight w:val="none"/>
              </w:rPr>
            </w:pPr>
          </w:p>
        </w:tc>
        <w:tc>
          <w:tcPr>
            <w:tcW w:w="422" w:type="pct"/>
            <w:noWrap w:val="0"/>
            <w:vAlign w:val="top"/>
          </w:tcPr>
          <w:p w14:paraId="4BB55BE8">
            <w:pPr>
              <w:spacing w:line="400" w:lineRule="exact"/>
              <w:jc w:val="center"/>
              <w:rPr>
                <w:rFonts w:ascii="宋体" w:hAnsi="宋体"/>
                <w:color w:val="auto"/>
                <w:szCs w:val="21"/>
                <w:highlight w:val="none"/>
              </w:rPr>
            </w:pPr>
          </w:p>
        </w:tc>
        <w:tc>
          <w:tcPr>
            <w:tcW w:w="692" w:type="pct"/>
            <w:noWrap w:val="0"/>
            <w:vAlign w:val="top"/>
          </w:tcPr>
          <w:p w14:paraId="32598ABC">
            <w:pPr>
              <w:spacing w:line="400" w:lineRule="exact"/>
              <w:jc w:val="center"/>
              <w:rPr>
                <w:rFonts w:ascii="宋体" w:hAnsi="宋体"/>
                <w:color w:val="auto"/>
                <w:szCs w:val="21"/>
                <w:highlight w:val="none"/>
              </w:rPr>
            </w:pPr>
          </w:p>
        </w:tc>
        <w:tc>
          <w:tcPr>
            <w:tcW w:w="500" w:type="pct"/>
            <w:noWrap w:val="0"/>
            <w:vAlign w:val="top"/>
          </w:tcPr>
          <w:p w14:paraId="6745B056">
            <w:pPr>
              <w:spacing w:line="400" w:lineRule="exact"/>
              <w:jc w:val="center"/>
              <w:rPr>
                <w:rFonts w:ascii="宋体" w:hAnsi="宋体"/>
                <w:color w:val="auto"/>
                <w:szCs w:val="21"/>
                <w:highlight w:val="none"/>
              </w:rPr>
            </w:pPr>
          </w:p>
        </w:tc>
        <w:tc>
          <w:tcPr>
            <w:tcW w:w="603" w:type="pct"/>
            <w:noWrap w:val="0"/>
            <w:vAlign w:val="top"/>
          </w:tcPr>
          <w:p w14:paraId="2800AF53">
            <w:pPr>
              <w:spacing w:line="400" w:lineRule="exact"/>
              <w:jc w:val="center"/>
              <w:rPr>
                <w:rFonts w:ascii="宋体" w:hAnsi="宋体"/>
                <w:color w:val="auto"/>
                <w:szCs w:val="21"/>
                <w:highlight w:val="none"/>
              </w:rPr>
            </w:pPr>
          </w:p>
        </w:tc>
        <w:tc>
          <w:tcPr>
            <w:tcW w:w="395" w:type="pct"/>
            <w:noWrap w:val="0"/>
            <w:vAlign w:val="top"/>
          </w:tcPr>
          <w:p w14:paraId="1F730150">
            <w:pPr>
              <w:spacing w:line="400" w:lineRule="exact"/>
              <w:jc w:val="center"/>
              <w:rPr>
                <w:rFonts w:ascii="宋体" w:hAnsi="宋体"/>
                <w:color w:val="auto"/>
                <w:szCs w:val="21"/>
                <w:highlight w:val="none"/>
              </w:rPr>
            </w:pPr>
          </w:p>
        </w:tc>
      </w:tr>
      <w:tr w14:paraId="3906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386ACC76">
            <w:pPr>
              <w:spacing w:line="400" w:lineRule="exact"/>
              <w:jc w:val="center"/>
              <w:rPr>
                <w:rFonts w:ascii="宋体" w:hAnsi="宋体"/>
                <w:color w:val="auto"/>
                <w:szCs w:val="21"/>
                <w:highlight w:val="none"/>
              </w:rPr>
            </w:pPr>
          </w:p>
        </w:tc>
        <w:tc>
          <w:tcPr>
            <w:tcW w:w="620" w:type="pct"/>
            <w:noWrap w:val="0"/>
            <w:vAlign w:val="top"/>
          </w:tcPr>
          <w:p w14:paraId="5BFDC7B1">
            <w:pPr>
              <w:spacing w:line="400" w:lineRule="exact"/>
              <w:jc w:val="center"/>
              <w:rPr>
                <w:rFonts w:ascii="宋体" w:hAnsi="宋体"/>
                <w:color w:val="auto"/>
                <w:szCs w:val="21"/>
                <w:highlight w:val="none"/>
              </w:rPr>
            </w:pPr>
          </w:p>
        </w:tc>
        <w:tc>
          <w:tcPr>
            <w:tcW w:w="435" w:type="pct"/>
            <w:noWrap w:val="0"/>
            <w:vAlign w:val="top"/>
          </w:tcPr>
          <w:p w14:paraId="66A504A6">
            <w:pPr>
              <w:spacing w:line="400" w:lineRule="exact"/>
              <w:jc w:val="center"/>
              <w:rPr>
                <w:rFonts w:ascii="宋体" w:hAnsi="宋体"/>
                <w:color w:val="auto"/>
                <w:szCs w:val="21"/>
                <w:highlight w:val="none"/>
              </w:rPr>
            </w:pPr>
          </w:p>
        </w:tc>
        <w:tc>
          <w:tcPr>
            <w:tcW w:w="565" w:type="pct"/>
            <w:noWrap w:val="0"/>
            <w:vAlign w:val="top"/>
          </w:tcPr>
          <w:p w14:paraId="25101D2A">
            <w:pPr>
              <w:spacing w:line="400" w:lineRule="exact"/>
              <w:jc w:val="center"/>
              <w:rPr>
                <w:rFonts w:ascii="宋体" w:hAnsi="宋体"/>
                <w:color w:val="auto"/>
                <w:szCs w:val="21"/>
                <w:highlight w:val="none"/>
              </w:rPr>
            </w:pPr>
          </w:p>
        </w:tc>
        <w:tc>
          <w:tcPr>
            <w:tcW w:w="383" w:type="pct"/>
            <w:noWrap w:val="0"/>
            <w:vAlign w:val="top"/>
          </w:tcPr>
          <w:p w14:paraId="3A43EB9D">
            <w:pPr>
              <w:spacing w:line="400" w:lineRule="exact"/>
              <w:jc w:val="center"/>
              <w:rPr>
                <w:rFonts w:ascii="宋体" w:hAnsi="宋体"/>
                <w:color w:val="auto"/>
                <w:szCs w:val="21"/>
                <w:highlight w:val="none"/>
              </w:rPr>
            </w:pPr>
          </w:p>
        </w:tc>
        <w:tc>
          <w:tcPr>
            <w:tcW w:w="422" w:type="pct"/>
            <w:noWrap w:val="0"/>
            <w:vAlign w:val="top"/>
          </w:tcPr>
          <w:p w14:paraId="5107DA0C">
            <w:pPr>
              <w:spacing w:line="400" w:lineRule="exact"/>
              <w:jc w:val="center"/>
              <w:rPr>
                <w:rFonts w:ascii="宋体" w:hAnsi="宋体"/>
                <w:color w:val="auto"/>
                <w:szCs w:val="21"/>
                <w:highlight w:val="none"/>
              </w:rPr>
            </w:pPr>
          </w:p>
        </w:tc>
        <w:tc>
          <w:tcPr>
            <w:tcW w:w="692" w:type="pct"/>
            <w:noWrap w:val="0"/>
            <w:vAlign w:val="top"/>
          </w:tcPr>
          <w:p w14:paraId="39BB3359">
            <w:pPr>
              <w:spacing w:line="400" w:lineRule="exact"/>
              <w:jc w:val="center"/>
              <w:rPr>
                <w:rFonts w:ascii="宋体" w:hAnsi="宋体"/>
                <w:color w:val="auto"/>
                <w:szCs w:val="21"/>
                <w:highlight w:val="none"/>
              </w:rPr>
            </w:pPr>
          </w:p>
        </w:tc>
        <w:tc>
          <w:tcPr>
            <w:tcW w:w="500" w:type="pct"/>
            <w:noWrap w:val="0"/>
            <w:vAlign w:val="top"/>
          </w:tcPr>
          <w:p w14:paraId="66F094BE">
            <w:pPr>
              <w:spacing w:line="400" w:lineRule="exact"/>
              <w:jc w:val="center"/>
              <w:rPr>
                <w:rFonts w:ascii="宋体" w:hAnsi="宋体"/>
                <w:color w:val="auto"/>
                <w:szCs w:val="21"/>
                <w:highlight w:val="none"/>
              </w:rPr>
            </w:pPr>
          </w:p>
        </w:tc>
        <w:tc>
          <w:tcPr>
            <w:tcW w:w="603" w:type="pct"/>
            <w:noWrap w:val="0"/>
            <w:vAlign w:val="top"/>
          </w:tcPr>
          <w:p w14:paraId="0B6D533E">
            <w:pPr>
              <w:spacing w:line="400" w:lineRule="exact"/>
              <w:jc w:val="center"/>
              <w:rPr>
                <w:rFonts w:ascii="宋体" w:hAnsi="宋体"/>
                <w:color w:val="auto"/>
                <w:szCs w:val="21"/>
                <w:highlight w:val="none"/>
              </w:rPr>
            </w:pPr>
          </w:p>
        </w:tc>
        <w:tc>
          <w:tcPr>
            <w:tcW w:w="395" w:type="pct"/>
            <w:noWrap w:val="0"/>
            <w:vAlign w:val="top"/>
          </w:tcPr>
          <w:p w14:paraId="6144C57D">
            <w:pPr>
              <w:spacing w:line="400" w:lineRule="exact"/>
              <w:jc w:val="center"/>
              <w:rPr>
                <w:rFonts w:ascii="宋体" w:hAnsi="宋体"/>
                <w:color w:val="auto"/>
                <w:szCs w:val="21"/>
                <w:highlight w:val="none"/>
              </w:rPr>
            </w:pPr>
          </w:p>
        </w:tc>
      </w:tr>
      <w:tr w14:paraId="302F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5A344732">
            <w:pPr>
              <w:spacing w:line="400" w:lineRule="exact"/>
              <w:jc w:val="center"/>
              <w:rPr>
                <w:rFonts w:ascii="宋体" w:hAnsi="宋体"/>
                <w:color w:val="auto"/>
                <w:szCs w:val="21"/>
                <w:highlight w:val="none"/>
              </w:rPr>
            </w:pPr>
          </w:p>
        </w:tc>
        <w:tc>
          <w:tcPr>
            <w:tcW w:w="620" w:type="pct"/>
            <w:noWrap w:val="0"/>
            <w:vAlign w:val="top"/>
          </w:tcPr>
          <w:p w14:paraId="17AAC294">
            <w:pPr>
              <w:spacing w:line="400" w:lineRule="exact"/>
              <w:jc w:val="center"/>
              <w:rPr>
                <w:rFonts w:ascii="宋体" w:hAnsi="宋体"/>
                <w:color w:val="auto"/>
                <w:szCs w:val="21"/>
                <w:highlight w:val="none"/>
              </w:rPr>
            </w:pPr>
          </w:p>
        </w:tc>
        <w:tc>
          <w:tcPr>
            <w:tcW w:w="435" w:type="pct"/>
            <w:noWrap w:val="0"/>
            <w:vAlign w:val="top"/>
          </w:tcPr>
          <w:p w14:paraId="7C95E50F">
            <w:pPr>
              <w:spacing w:line="400" w:lineRule="exact"/>
              <w:jc w:val="center"/>
              <w:rPr>
                <w:rFonts w:ascii="宋体" w:hAnsi="宋体"/>
                <w:color w:val="auto"/>
                <w:szCs w:val="21"/>
                <w:highlight w:val="none"/>
              </w:rPr>
            </w:pPr>
          </w:p>
        </w:tc>
        <w:tc>
          <w:tcPr>
            <w:tcW w:w="565" w:type="pct"/>
            <w:noWrap w:val="0"/>
            <w:vAlign w:val="top"/>
          </w:tcPr>
          <w:p w14:paraId="55130F3D">
            <w:pPr>
              <w:spacing w:line="400" w:lineRule="exact"/>
              <w:jc w:val="center"/>
              <w:rPr>
                <w:rFonts w:ascii="宋体" w:hAnsi="宋体"/>
                <w:color w:val="auto"/>
                <w:szCs w:val="21"/>
                <w:highlight w:val="none"/>
              </w:rPr>
            </w:pPr>
          </w:p>
        </w:tc>
        <w:tc>
          <w:tcPr>
            <w:tcW w:w="383" w:type="pct"/>
            <w:noWrap w:val="0"/>
            <w:vAlign w:val="top"/>
          </w:tcPr>
          <w:p w14:paraId="3B82B202">
            <w:pPr>
              <w:spacing w:line="400" w:lineRule="exact"/>
              <w:jc w:val="center"/>
              <w:rPr>
                <w:rFonts w:ascii="宋体" w:hAnsi="宋体"/>
                <w:color w:val="auto"/>
                <w:szCs w:val="21"/>
                <w:highlight w:val="none"/>
              </w:rPr>
            </w:pPr>
          </w:p>
        </w:tc>
        <w:tc>
          <w:tcPr>
            <w:tcW w:w="422" w:type="pct"/>
            <w:noWrap w:val="0"/>
            <w:vAlign w:val="top"/>
          </w:tcPr>
          <w:p w14:paraId="60294695">
            <w:pPr>
              <w:spacing w:line="400" w:lineRule="exact"/>
              <w:jc w:val="center"/>
              <w:rPr>
                <w:rFonts w:ascii="宋体" w:hAnsi="宋体"/>
                <w:color w:val="auto"/>
                <w:szCs w:val="21"/>
                <w:highlight w:val="none"/>
              </w:rPr>
            </w:pPr>
          </w:p>
        </w:tc>
        <w:tc>
          <w:tcPr>
            <w:tcW w:w="692" w:type="pct"/>
            <w:noWrap w:val="0"/>
            <w:vAlign w:val="top"/>
          </w:tcPr>
          <w:p w14:paraId="36F86FBC">
            <w:pPr>
              <w:spacing w:line="400" w:lineRule="exact"/>
              <w:jc w:val="center"/>
              <w:rPr>
                <w:rFonts w:ascii="宋体" w:hAnsi="宋体"/>
                <w:color w:val="auto"/>
                <w:szCs w:val="21"/>
                <w:highlight w:val="none"/>
              </w:rPr>
            </w:pPr>
          </w:p>
        </w:tc>
        <w:tc>
          <w:tcPr>
            <w:tcW w:w="500" w:type="pct"/>
            <w:noWrap w:val="0"/>
            <w:vAlign w:val="top"/>
          </w:tcPr>
          <w:p w14:paraId="46F9784E">
            <w:pPr>
              <w:spacing w:line="400" w:lineRule="exact"/>
              <w:jc w:val="center"/>
              <w:rPr>
                <w:rFonts w:ascii="宋体" w:hAnsi="宋体"/>
                <w:color w:val="auto"/>
                <w:szCs w:val="21"/>
                <w:highlight w:val="none"/>
              </w:rPr>
            </w:pPr>
          </w:p>
        </w:tc>
        <w:tc>
          <w:tcPr>
            <w:tcW w:w="603" w:type="pct"/>
            <w:noWrap w:val="0"/>
            <w:vAlign w:val="top"/>
          </w:tcPr>
          <w:p w14:paraId="76C2F01F">
            <w:pPr>
              <w:spacing w:line="400" w:lineRule="exact"/>
              <w:jc w:val="center"/>
              <w:rPr>
                <w:rFonts w:ascii="宋体" w:hAnsi="宋体"/>
                <w:color w:val="auto"/>
                <w:szCs w:val="21"/>
                <w:highlight w:val="none"/>
              </w:rPr>
            </w:pPr>
          </w:p>
        </w:tc>
        <w:tc>
          <w:tcPr>
            <w:tcW w:w="395" w:type="pct"/>
            <w:noWrap w:val="0"/>
            <w:vAlign w:val="top"/>
          </w:tcPr>
          <w:p w14:paraId="3026B4C8">
            <w:pPr>
              <w:spacing w:line="400" w:lineRule="exact"/>
              <w:jc w:val="center"/>
              <w:rPr>
                <w:rFonts w:ascii="宋体" w:hAnsi="宋体"/>
                <w:color w:val="auto"/>
                <w:szCs w:val="21"/>
                <w:highlight w:val="none"/>
              </w:rPr>
            </w:pPr>
          </w:p>
        </w:tc>
      </w:tr>
      <w:tr w14:paraId="0FA9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59C430BA">
            <w:pPr>
              <w:spacing w:line="400" w:lineRule="exact"/>
              <w:jc w:val="center"/>
              <w:rPr>
                <w:rFonts w:ascii="宋体" w:hAnsi="宋体"/>
                <w:color w:val="auto"/>
                <w:szCs w:val="21"/>
                <w:highlight w:val="none"/>
              </w:rPr>
            </w:pPr>
          </w:p>
        </w:tc>
        <w:tc>
          <w:tcPr>
            <w:tcW w:w="620" w:type="pct"/>
            <w:noWrap w:val="0"/>
            <w:vAlign w:val="top"/>
          </w:tcPr>
          <w:p w14:paraId="0A0720D3">
            <w:pPr>
              <w:spacing w:line="400" w:lineRule="exact"/>
              <w:jc w:val="center"/>
              <w:rPr>
                <w:rFonts w:ascii="宋体" w:hAnsi="宋体"/>
                <w:color w:val="auto"/>
                <w:szCs w:val="21"/>
                <w:highlight w:val="none"/>
              </w:rPr>
            </w:pPr>
          </w:p>
        </w:tc>
        <w:tc>
          <w:tcPr>
            <w:tcW w:w="435" w:type="pct"/>
            <w:noWrap w:val="0"/>
            <w:vAlign w:val="top"/>
          </w:tcPr>
          <w:p w14:paraId="57A222AA">
            <w:pPr>
              <w:spacing w:line="400" w:lineRule="exact"/>
              <w:jc w:val="center"/>
              <w:rPr>
                <w:rFonts w:ascii="宋体" w:hAnsi="宋体"/>
                <w:color w:val="auto"/>
                <w:szCs w:val="21"/>
                <w:highlight w:val="none"/>
              </w:rPr>
            </w:pPr>
          </w:p>
        </w:tc>
        <w:tc>
          <w:tcPr>
            <w:tcW w:w="565" w:type="pct"/>
            <w:noWrap w:val="0"/>
            <w:vAlign w:val="top"/>
          </w:tcPr>
          <w:p w14:paraId="6D0C2832">
            <w:pPr>
              <w:spacing w:line="400" w:lineRule="exact"/>
              <w:jc w:val="center"/>
              <w:rPr>
                <w:rFonts w:ascii="宋体" w:hAnsi="宋体"/>
                <w:color w:val="auto"/>
                <w:szCs w:val="21"/>
                <w:highlight w:val="none"/>
              </w:rPr>
            </w:pPr>
          </w:p>
        </w:tc>
        <w:tc>
          <w:tcPr>
            <w:tcW w:w="383" w:type="pct"/>
            <w:noWrap w:val="0"/>
            <w:vAlign w:val="top"/>
          </w:tcPr>
          <w:p w14:paraId="3BE8BE90">
            <w:pPr>
              <w:spacing w:line="400" w:lineRule="exact"/>
              <w:jc w:val="center"/>
              <w:rPr>
                <w:rFonts w:ascii="宋体" w:hAnsi="宋体"/>
                <w:color w:val="auto"/>
                <w:szCs w:val="21"/>
                <w:highlight w:val="none"/>
              </w:rPr>
            </w:pPr>
          </w:p>
        </w:tc>
        <w:tc>
          <w:tcPr>
            <w:tcW w:w="422" w:type="pct"/>
            <w:noWrap w:val="0"/>
            <w:vAlign w:val="top"/>
          </w:tcPr>
          <w:p w14:paraId="5E74DED7">
            <w:pPr>
              <w:spacing w:line="400" w:lineRule="exact"/>
              <w:jc w:val="center"/>
              <w:rPr>
                <w:rFonts w:ascii="宋体" w:hAnsi="宋体"/>
                <w:color w:val="auto"/>
                <w:szCs w:val="21"/>
                <w:highlight w:val="none"/>
              </w:rPr>
            </w:pPr>
          </w:p>
        </w:tc>
        <w:tc>
          <w:tcPr>
            <w:tcW w:w="692" w:type="pct"/>
            <w:noWrap w:val="0"/>
            <w:vAlign w:val="top"/>
          </w:tcPr>
          <w:p w14:paraId="691AC9D2">
            <w:pPr>
              <w:spacing w:line="400" w:lineRule="exact"/>
              <w:jc w:val="center"/>
              <w:rPr>
                <w:rFonts w:ascii="宋体" w:hAnsi="宋体"/>
                <w:color w:val="auto"/>
                <w:szCs w:val="21"/>
                <w:highlight w:val="none"/>
              </w:rPr>
            </w:pPr>
          </w:p>
        </w:tc>
        <w:tc>
          <w:tcPr>
            <w:tcW w:w="500" w:type="pct"/>
            <w:noWrap w:val="0"/>
            <w:vAlign w:val="top"/>
          </w:tcPr>
          <w:p w14:paraId="41DAFA70">
            <w:pPr>
              <w:spacing w:line="400" w:lineRule="exact"/>
              <w:jc w:val="center"/>
              <w:rPr>
                <w:rFonts w:ascii="宋体" w:hAnsi="宋体"/>
                <w:color w:val="auto"/>
                <w:szCs w:val="21"/>
                <w:highlight w:val="none"/>
              </w:rPr>
            </w:pPr>
          </w:p>
        </w:tc>
        <w:tc>
          <w:tcPr>
            <w:tcW w:w="603" w:type="pct"/>
            <w:noWrap w:val="0"/>
            <w:vAlign w:val="top"/>
          </w:tcPr>
          <w:p w14:paraId="10383A7A">
            <w:pPr>
              <w:spacing w:line="400" w:lineRule="exact"/>
              <w:jc w:val="center"/>
              <w:rPr>
                <w:rFonts w:ascii="宋体" w:hAnsi="宋体"/>
                <w:color w:val="auto"/>
                <w:szCs w:val="21"/>
                <w:highlight w:val="none"/>
              </w:rPr>
            </w:pPr>
          </w:p>
        </w:tc>
        <w:tc>
          <w:tcPr>
            <w:tcW w:w="395" w:type="pct"/>
            <w:noWrap w:val="0"/>
            <w:vAlign w:val="top"/>
          </w:tcPr>
          <w:p w14:paraId="04EF89C9">
            <w:pPr>
              <w:spacing w:line="400" w:lineRule="exact"/>
              <w:jc w:val="center"/>
              <w:rPr>
                <w:rFonts w:ascii="宋体" w:hAnsi="宋体"/>
                <w:color w:val="auto"/>
                <w:szCs w:val="21"/>
                <w:highlight w:val="none"/>
              </w:rPr>
            </w:pPr>
          </w:p>
        </w:tc>
      </w:tr>
      <w:tr w14:paraId="5F71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64CEE8AF">
            <w:pPr>
              <w:spacing w:line="400" w:lineRule="exact"/>
              <w:jc w:val="center"/>
              <w:rPr>
                <w:rFonts w:ascii="宋体" w:hAnsi="宋体"/>
                <w:color w:val="auto"/>
                <w:szCs w:val="21"/>
                <w:highlight w:val="none"/>
              </w:rPr>
            </w:pPr>
          </w:p>
        </w:tc>
        <w:tc>
          <w:tcPr>
            <w:tcW w:w="620" w:type="pct"/>
            <w:noWrap w:val="0"/>
            <w:vAlign w:val="top"/>
          </w:tcPr>
          <w:p w14:paraId="6C71575E">
            <w:pPr>
              <w:spacing w:line="400" w:lineRule="exact"/>
              <w:jc w:val="center"/>
              <w:rPr>
                <w:rFonts w:ascii="宋体" w:hAnsi="宋体"/>
                <w:color w:val="auto"/>
                <w:szCs w:val="21"/>
                <w:highlight w:val="none"/>
              </w:rPr>
            </w:pPr>
          </w:p>
        </w:tc>
        <w:tc>
          <w:tcPr>
            <w:tcW w:w="435" w:type="pct"/>
            <w:noWrap w:val="0"/>
            <w:vAlign w:val="top"/>
          </w:tcPr>
          <w:p w14:paraId="0D3C3FD9">
            <w:pPr>
              <w:spacing w:line="400" w:lineRule="exact"/>
              <w:jc w:val="center"/>
              <w:rPr>
                <w:rFonts w:ascii="宋体" w:hAnsi="宋体"/>
                <w:color w:val="auto"/>
                <w:szCs w:val="21"/>
                <w:highlight w:val="none"/>
              </w:rPr>
            </w:pPr>
          </w:p>
        </w:tc>
        <w:tc>
          <w:tcPr>
            <w:tcW w:w="565" w:type="pct"/>
            <w:noWrap w:val="0"/>
            <w:vAlign w:val="top"/>
          </w:tcPr>
          <w:p w14:paraId="185B2FAD">
            <w:pPr>
              <w:spacing w:line="400" w:lineRule="exact"/>
              <w:jc w:val="center"/>
              <w:rPr>
                <w:rFonts w:ascii="宋体" w:hAnsi="宋体"/>
                <w:color w:val="auto"/>
                <w:szCs w:val="21"/>
                <w:highlight w:val="none"/>
              </w:rPr>
            </w:pPr>
          </w:p>
        </w:tc>
        <w:tc>
          <w:tcPr>
            <w:tcW w:w="383" w:type="pct"/>
            <w:noWrap w:val="0"/>
            <w:vAlign w:val="top"/>
          </w:tcPr>
          <w:p w14:paraId="3EF9CE9B">
            <w:pPr>
              <w:spacing w:line="400" w:lineRule="exact"/>
              <w:jc w:val="center"/>
              <w:rPr>
                <w:rFonts w:ascii="宋体" w:hAnsi="宋体"/>
                <w:color w:val="auto"/>
                <w:szCs w:val="21"/>
                <w:highlight w:val="none"/>
              </w:rPr>
            </w:pPr>
          </w:p>
        </w:tc>
        <w:tc>
          <w:tcPr>
            <w:tcW w:w="422" w:type="pct"/>
            <w:noWrap w:val="0"/>
            <w:vAlign w:val="top"/>
          </w:tcPr>
          <w:p w14:paraId="29618A30">
            <w:pPr>
              <w:spacing w:line="400" w:lineRule="exact"/>
              <w:jc w:val="center"/>
              <w:rPr>
                <w:rFonts w:ascii="宋体" w:hAnsi="宋体"/>
                <w:color w:val="auto"/>
                <w:szCs w:val="21"/>
                <w:highlight w:val="none"/>
              </w:rPr>
            </w:pPr>
          </w:p>
        </w:tc>
        <w:tc>
          <w:tcPr>
            <w:tcW w:w="692" w:type="pct"/>
            <w:noWrap w:val="0"/>
            <w:vAlign w:val="top"/>
          </w:tcPr>
          <w:p w14:paraId="4B7303EA">
            <w:pPr>
              <w:spacing w:line="400" w:lineRule="exact"/>
              <w:jc w:val="center"/>
              <w:rPr>
                <w:rFonts w:ascii="宋体" w:hAnsi="宋体"/>
                <w:color w:val="auto"/>
                <w:szCs w:val="21"/>
                <w:highlight w:val="none"/>
              </w:rPr>
            </w:pPr>
          </w:p>
        </w:tc>
        <w:tc>
          <w:tcPr>
            <w:tcW w:w="500" w:type="pct"/>
            <w:noWrap w:val="0"/>
            <w:vAlign w:val="top"/>
          </w:tcPr>
          <w:p w14:paraId="038E5D95">
            <w:pPr>
              <w:spacing w:line="400" w:lineRule="exact"/>
              <w:jc w:val="center"/>
              <w:rPr>
                <w:rFonts w:ascii="宋体" w:hAnsi="宋体"/>
                <w:color w:val="auto"/>
                <w:szCs w:val="21"/>
                <w:highlight w:val="none"/>
              </w:rPr>
            </w:pPr>
          </w:p>
        </w:tc>
        <w:tc>
          <w:tcPr>
            <w:tcW w:w="603" w:type="pct"/>
            <w:noWrap w:val="0"/>
            <w:vAlign w:val="top"/>
          </w:tcPr>
          <w:p w14:paraId="5ECDA7B9">
            <w:pPr>
              <w:spacing w:line="400" w:lineRule="exact"/>
              <w:jc w:val="center"/>
              <w:rPr>
                <w:rFonts w:ascii="宋体" w:hAnsi="宋体"/>
                <w:color w:val="auto"/>
                <w:szCs w:val="21"/>
                <w:highlight w:val="none"/>
              </w:rPr>
            </w:pPr>
          </w:p>
        </w:tc>
        <w:tc>
          <w:tcPr>
            <w:tcW w:w="395" w:type="pct"/>
            <w:noWrap w:val="0"/>
            <w:vAlign w:val="top"/>
          </w:tcPr>
          <w:p w14:paraId="4B6F7A28">
            <w:pPr>
              <w:spacing w:line="400" w:lineRule="exact"/>
              <w:jc w:val="center"/>
              <w:rPr>
                <w:rFonts w:ascii="宋体" w:hAnsi="宋体"/>
                <w:color w:val="auto"/>
                <w:szCs w:val="21"/>
                <w:highlight w:val="none"/>
              </w:rPr>
            </w:pPr>
          </w:p>
        </w:tc>
      </w:tr>
      <w:tr w14:paraId="08E5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1E3C39EA">
            <w:pPr>
              <w:spacing w:line="400" w:lineRule="exact"/>
              <w:jc w:val="center"/>
              <w:rPr>
                <w:rFonts w:ascii="宋体" w:hAnsi="宋体"/>
                <w:color w:val="auto"/>
                <w:szCs w:val="21"/>
                <w:highlight w:val="none"/>
              </w:rPr>
            </w:pPr>
          </w:p>
        </w:tc>
        <w:tc>
          <w:tcPr>
            <w:tcW w:w="620" w:type="pct"/>
            <w:noWrap w:val="0"/>
            <w:vAlign w:val="top"/>
          </w:tcPr>
          <w:p w14:paraId="3C985E8F">
            <w:pPr>
              <w:spacing w:line="400" w:lineRule="exact"/>
              <w:jc w:val="center"/>
              <w:rPr>
                <w:rFonts w:ascii="宋体" w:hAnsi="宋体"/>
                <w:color w:val="auto"/>
                <w:szCs w:val="21"/>
                <w:highlight w:val="none"/>
              </w:rPr>
            </w:pPr>
          </w:p>
        </w:tc>
        <w:tc>
          <w:tcPr>
            <w:tcW w:w="435" w:type="pct"/>
            <w:noWrap w:val="0"/>
            <w:vAlign w:val="top"/>
          </w:tcPr>
          <w:p w14:paraId="6C9DD5EF">
            <w:pPr>
              <w:spacing w:line="400" w:lineRule="exact"/>
              <w:jc w:val="center"/>
              <w:rPr>
                <w:rFonts w:ascii="宋体" w:hAnsi="宋体"/>
                <w:color w:val="auto"/>
                <w:szCs w:val="21"/>
                <w:highlight w:val="none"/>
              </w:rPr>
            </w:pPr>
          </w:p>
        </w:tc>
        <w:tc>
          <w:tcPr>
            <w:tcW w:w="565" w:type="pct"/>
            <w:noWrap w:val="0"/>
            <w:vAlign w:val="top"/>
          </w:tcPr>
          <w:p w14:paraId="21306C9D">
            <w:pPr>
              <w:spacing w:line="400" w:lineRule="exact"/>
              <w:jc w:val="center"/>
              <w:rPr>
                <w:rFonts w:ascii="宋体" w:hAnsi="宋体"/>
                <w:color w:val="auto"/>
                <w:szCs w:val="21"/>
                <w:highlight w:val="none"/>
              </w:rPr>
            </w:pPr>
          </w:p>
        </w:tc>
        <w:tc>
          <w:tcPr>
            <w:tcW w:w="383" w:type="pct"/>
            <w:noWrap w:val="0"/>
            <w:vAlign w:val="top"/>
          </w:tcPr>
          <w:p w14:paraId="22EB295A">
            <w:pPr>
              <w:spacing w:line="400" w:lineRule="exact"/>
              <w:jc w:val="center"/>
              <w:rPr>
                <w:rFonts w:ascii="宋体" w:hAnsi="宋体"/>
                <w:color w:val="auto"/>
                <w:szCs w:val="21"/>
                <w:highlight w:val="none"/>
              </w:rPr>
            </w:pPr>
          </w:p>
        </w:tc>
        <w:tc>
          <w:tcPr>
            <w:tcW w:w="422" w:type="pct"/>
            <w:noWrap w:val="0"/>
            <w:vAlign w:val="top"/>
          </w:tcPr>
          <w:p w14:paraId="10D9DB26">
            <w:pPr>
              <w:spacing w:line="400" w:lineRule="exact"/>
              <w:jc w:val="center"/>
              <w:rPr>
                <w:rFonts w:ascii="宋体" w:hAnsi="宋体"/>
                <w:color w:val="auto"/>
                <w:szCs w:val="21"/>
                <w:highlight w:val="none"/>
              </w:rPr>
            </w:pPr>
          </w:p>
        </w:tc>
        <w:tc>
          <w:tcPr>
            <w:tcW w:w="692" w:type="pct"/>
            <w:noWrap w:val="0"/>
            <w:vAlign w:val="top"/>
          </w:tcPr>
          <w:p w14:paraId="33A94DBE">
            <w:pPr>
              <w:spacing w:line="400" w:lineRule="exact"/>
              <w:jc w:val="center"/>
              <w:rPr>
                <w:rFonts w:ascii="宋体" w:hAnsi="宋体"/>
                <w:color w:val="auto"/>
                <w:szCs w:val="21"/>
                <w:highlight w:val="none"/>
              </w:rPr>
            </w:pPr>
          </w:p>
        </w:tc>
        <w:tc>
          <w:tcPr>
            <w:tcW w:w="500" w:type="pct"/>
            <w:noWrap w:val="0"/>
            <w:vAlign w:val="top"/>
          </w:tcPr>
          <w:p w14:paraId="1D40936A">
            <w:pPr>
              <w:spacing w:line="400" w:lineRule="exact"/>
              <w:jc w:val="center"/>
              <w:rPr>
                <w:rFonts w:ascii="宋体" w:hAnsi="宋体"/>
                <w:color w:val="auto"/>
                <w:szCs w:val="21"/>
                <w:highlight w:val="none"/>
              </w:rPr>
            </w:pPr>
          </w:p>
        </w:tc>
        <w:tc>
          <w:tcPr>
            <w:tcW w:w="603" w:type="pct"/>
            <w:noWrap w:val="0"/>
            <w:vAlign w:val="top"/>
          </w:tcPr>
          <w:p w14:paraId="46E99317">
            <w:pPr>
              <w:spacing w:line="400" w:lineRule="exact"/>
              <w:jc w:val="center"/>
              <w:rPr>
                <w:rFonts w:ascii="宋体" w:hAnsi="宋体"/>
                <w:color w:val="auto"/>
                <w:szCs w:val="21"/>
                <w:highlight w:val="none"/>
              </w:rPr>
            </w:pPr>
          </w:p>
        </w:tc>
        <w:tc>
          <w:tcPr>
            <w:tcW w:w="395" w:type="pct"/>
            <w:noWrap w:val="0"/>
            <w:vAlign w:val="top"/>
          </w:tcPr>
          <w:p w14:paraId="13B11AD3">
            <w:pPr>
              <w:spacing w:line="400" w:lineRule="exact"/>
              <w:jc w:val="center"/>
              <w:rPr>
                <w:rFonts w:ascii="宋体" w:hAnsi="宋体"/>
                <w:color w:val="auto"/>
                <w:szCs w:val="21"/>
                <w:highlight w:val="none"/>
              </w:rPr>
            </w:pPr>
          </w:p>
        </w:tc>
      </w:tr>
      <w:tr w14:paraId="2576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19141E7B">
            <w:pPr>
              <w:spacing w:line="400" w:lineRule="exact"/>
              <w:jc w:val="center"/>
              <w:rPr>
                <w:rFonts w:ascii="宋体" w:hAnsi="宋体"/>
                <w:color w:val="auto"/>
                <w:szCs w:val="21"/>
                <w:highlight w:val="none"/>
              </w:rPr>
            </w:pPr>
          </w:p>
        </w:tc>
        <w:tc>
          <w:tcPr>
            <w:tcW w:w="620" w:type="pct"/>
            <w:noWrap w:val="0"/>
            <w:vAlign w:val="top"/>
          </w:tcPr>
          <w:p w14:paraId="5999BA88">
            <w:pPr>
              <w:spacing w:line="400" w:lineRule="exact"/>
              <w:jc w:val="center"/>
              <w:rPr>
                <w:rFonts w:ascii="宋体" w:hAnsi="宋体"/>
                <w:color w:val="auto"/>
                <w:szCs w:val="21"/>
                <w:highlight w:val="none"/>
              </w:rPr>
            </w:pPr>
          </w:p>
        </w:tc>
        <w:tc>
          <w:tcPr>
            <w:tcW w:w="435" w:type="pct"/>
            <w:noWrap w:val="0"/>
            <w:vAlign w:val="top"/>
          </w:tcPr>
          <w:p w14:paraId="7A60A0DB">
            <w:pPr>
              <w:spacing w:line="400" w:lineRule="exact"/>
              <w:jc w:val="center"/>
              <w:rPr>
                <w:rFonts w:ascii="宋体" w:hAnsi="宋体"/>
                <w:color w:val="auto"/>
                <w:szCs w:val="21"/>
                <w:highlight w:val="none"/>
              </w:rPr>
            </w:pPr>
          </w:p>
        </w:tc>
        <w:tc>
          <w:tcPr>
            <w:tcW w:w="565" w:type="pct"/>
            <w:noWrap w:val="0"/>
            <w:vAlign w:val="top"/>
          </w:tcPr>
          <w:p w14:paraId="0E8F9491">
            <w:pPr>
              <w:spacing w:line="400" w:lineRule="exact"/>
              <w:jc w:val="center"/>
              <w:rPr>
                <w:rFonts w:ascii="宋体" w:hAnsi="宋体"/>
                <w:color w:val="auto"/>
                <w:szCs w:val="21"/>
                <w:highlight w:val="none"/>
              </w:rPr>
            </w:pPr>
          </w:p>
        </w:tc>
        <w:tc>
          <w:tcPr>
            <w:tcW w:w="383" w:type="pct"/>
            <w:noWrap w:val="0"/>
            <w:vAlign w:val="top"/>
          </w:tcPr>
          <w:p w14:paraId="1F34AAAC">
            <w:pPr>
              <w:spacing w:line="400" w:lineRule="exact"/>
              <w:jc w:val="center"/>
              <w:rPr>
                <w:rFonts w:ascii="宋体" w:hAnsi="宋体"/>
                <w:color w:val="auto"/>
                <w:szCs w:val="21"/>
                <w:highlight w:val="none"/>
              </w:rPr>
            </w:pPr>
          </w:p>
        </w:tc>
        <w:tc>
          <w:tcPr>
            <w:tcW w:w="422" w:type="pct"/>
            <w:noWrap w:val="0"/>
            <w:vAlign w:val="top"/>
          </w:tcPr>
          <w:p w14:paraId="2D9C6F8A">
            <w:pPr>
              <w:spacing w:line="400" w:lineRule="exact"/>
              <w:jc w:val="center"/>
              <w:rPr>
                <w:rFonts w:ascii="宋体" w:hAnsi="宋体"/>
                <w:color w:val="auto"/>
                <w:szCs w:val="21"/>
                <w:highlight w:val="none"/>
              </w:rPr>
            </w:pPr>
          </w:p>
        </w:tc>
        <w:tc>
          <w:tcPr>
            <w:tcW w:w="692" w:type="pct"/>
            <w:noWrap w:val="0"/>
            <w:vAlign w:val="top"/>
          </w:tcPr>
          <w:p w14:paraId="4B0578BB">
            <w:pPr>
              <w:spacing w:line="400" w:lineRule="exact"/>
              <w:jc w:val="center"/>
              <w:rPr>
                <w:rFonts w:ascii="宋体" w:hAnsi="宋体"/>
                <w:color w:val="auto"/>
                <w:szCs w:val="21"/>
                <w:highlight w:val="none"/>
              </w:rPr>
            </w:pPr>
          </w:p>
        </w:tc>
        <w:tc>
          <w:tcPr>
            <w:tcW w:w="500" w:type="pct"/>
            <w:noWrap w:val="0"/>
            <w:vAlign w:val="top"/>
          </w:tcPr>
          <w:p w14:paraId="500DDF49">
            <w:pPr>
              <w:spacing w:line="400" w:lineRule="exact"/>
              <w:jc w:val="center"/>
              <w:rPr>
                <w:rFonts w:ascii="宋体" w:hAnsi="宋体"/>
                <w:color w:val="auto"/>
                <w:szCs w:val="21"/>
                <w:highlight w:val="none"/>
              </w:rPr>
            </w:pPr>
          </w:p>
        </w:tc>
        <w:tc>
          <w:tcPr>
            <w:tcW w:w="603" w:type="pct"/>
            <w:noWrap w:val="0"/>
            <w:vAlign w:val="top"/>
          </w:tcPr>
          <w:p w14:paraId="0F5589C0">
            <w:pPr>
              <w:spacing w:line="400" w:lineRule="exact"/>
              <w:jc w:val="center"/>
              <w:rPr>
                <w:rFonts w:ascii="宋体" w:hAnsi="宋体"/>
                <w:color w:val="auto"/>
                <w:szCs w:val="21"/>
                <w:highlight w:val="none"/>
              </w:rPr>
            </w:pPr>
          </w:p>
        </w:tc>
        <w:tc>
          <w:tcPr>
            <w:tcW w:w="395" w:type="pct"/>
            <w:noWrap w:val="0"/>
            <w:vAlign w:val="top"/>
          </w:tcPr>
          <w:p w14:paraId="39BB4967">
            <w:pPr>
              <w:spacing w:line="400" w:lineRule="exact"/>
              <w:jc w:val="center"/>
              <w:rPr>
                <w:rFonts w:ascii="宋体" w:hAnsi="宋体"/>
                <w:color w:val="auto"/>
                <w:szCs w:val="21"/>
                <w:highlight w:val="none"/>
              </w:rPr>
            </w:pPr>
          </w:p>
        </w:tc>
      </w:tr>
      <w:tr w14:paraId="1CF0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48547856">
            <w:pPr>
              <w:spacing w:line="400" w:lineRule="exact"/>
              <w:jc w:val="center"/>
              <w:rPr>
                <w:rFonts w:ascii="宋体" w:hAnsi="宋体"/>
                <w:color w:val="auto"/>
                <w:szCs w:val="21"/>
                <w:highlight w:val="none"/>
              </w:rPr>
            </w:pPr>
          </w:p>
        </w:tc>
        <w:tc>
          <w:tcPr>
            <w:tcW w:w="620" w:type="pct"/>
            <w:noWrap w:val="0"/>
            <w:vAlign w:val="top"/>
          </w:tcPr>
          <w:p w14:paraId="697F4D96">
            <w:pPr>
              <w:spacing w:line="400" w:lineRule="exact"/>
              <w:jc w:val="center"/>
              <w:rPr>
                <w:rFonts w:ascii="宋体" w:hAnsi="宋体"/>
                <w:color w:val="auto"/>
                <w:szCs w:val="21"/>
                <w:highlight w:val="none"/>
              </w:rPr>
            </w:pPr>
          </w:p>
        </w:tc>
        <w:tc>
          <w:tcPr>
            <w:tcW w:w="435" w:type="pct"/>
            <w:noWrap w:val="0"/>
            <w:vAlign w:val="top"/>
          </w:tcPr>
          <w:p w14:paraId="762146FD">
            <w:pPr>
              <w:spacing w:line="400" w:lineRule="exact"/>
              <w:jc w:val="center"/>
              <w:rPr>
                <w:rFonts w:ascii="宋体" w:hAnsi="宋体"/>
                <w:color w:val="auto"/>
                <w:szCs w:val="21"/>
                <w:highlight w:val="none"/>
              </w:rPr>
            </w:pPr>
          </w:p>
        </w:tc>
        <w:tc>
          <w:tcPr>
            <w:tcW w:w="565" w:type="pct"/>
            <w:noWrap w:val="0"/>
            <w:vAlign w:val="top"/>
          </w:tcPr>
          <w:p w14:paraId="6F99048A">
            <w:pPr>
              <w:spacing w:line="400" w:lineRule="exact"/>
              <w:jc w:val="center"/>
              <w:rPr>
                <w:rFonts w:ascii="宋体" w:hAnsi="宋体"/>
                <w:color w:val="auto"/>
                <w:szCs w:val="21"/>
                <w:highlight w:val="none"/>
              </w:rPr>
            </w:pPr>
          </w:p>
        </w:tc>
        <w:tc>
          <w:tcPr>
            <w:tcW w:w="383" w:type="pct"/>
            <w:noWrap w:val="0"/>
            <w:vAlign w:val="top"/>
          </w:tcPr>
          <w:p w14:paraId="455DB0FD">
            <w:pPr>
              <w:spacing w:line="400" w:lineRule="exact"/>
              <w:jc w:val="center"/>
              <w:rPr>
                <w:rFonts w:ascii="宋体" w:hAnsi="宋体"/>
                <w:color w:val="auto"/>
                <w:szCs w:val="21"/>
                <w:highlight w:val="none"/>
              </w:rPr>
            </w:pPr>
          </w:p>
        </w:tc>
        <w:tc>
          <w:tcPr>
            <w:tcW w:w="422" w:type="pct"/>
            <w:noWrap w:val="0"/>
            <w:vAlign w:val="top"/>
          </w:tcPr>
          <w:p w14:paraId="372B624E">
            <w:pPr>
              <w:spacing w:line="400" w:lineRule="exact"/>
              <w:jc w:val="center"/>
              <w:rPr>
                <w:rFonts w:ascii="宋体" w:hAnsi="宋体"/>
                <w:color w:val="auto"/>
                <w:szCs w:val="21"/>
                <w:highlight w:val="none"/>
              </w:rPr>
            </w:pPr>
          </w:p>
        </w:tc>
        <w:tc>
          <w:tcPr>
            <w:tcW w:w="692" w:type="pct"/>
            <w:noWrap w:val="0"/>
            <w:vAlign w:val="top"/>
          </w:tcPr>
          <w:p w14:paraId="3FDBFA38">
            <w:pPr>
              <w:spacing w:line="400" w:lineRule="exact"/>
              <w:jc w:val="center"/>
              <w:rPr>
                <w:rFonts w:ascii="宋体" w:hAnsi="宋体"/>
                <w:color w:val="auto"/>
                <w:szCs w:val="21"/>
                <w:highlight w:val="none"/>
              </w:rPr>
            </w:pPr>
          </w:p>
        </w:tc>
        <w:tc>
          <w:tcPr>
            <w:tcW w:w="500" w:type="pct"/>
            <w:noWrap w:val="0"/>
            <w:vAlign w:val="top"/>
          </w:tcPr>
          <w:p w14:paraId="6C14B7D0">
            <w:pPr>
              <w:spacing w:line="400" w:lineRule="exact"/>
              <w:jc w:val="center"/>
              <w:rPr>
                <w:rFonts w:ascii="宋体" w:hAnsi="宋体"/>
                <w:color w:val="auto"/>
                <w:szCs w:val="21"/>
                <w:highlight w:val="none"/>
              </w:rPr>
            </w:pPr>
          </w:p>
        </w:tc>
        <w:tc>
          <w:tcPr>
            <w:tcW w:w="603" w:type="pct"/>
            <w:noWrap w:val="0"/>
            <w:vAlign w:val="top"/>
          </w:tcPr>
          <w:p w14:paraId="4E08F380">
            <w:pPr>
              <w:spacing w:line="400" w:lineRule="exact"/>
              <w:jc w:val="center"/>
              <w:rPr>
                <w:rFonts w:ascii="宋体" w:hAnsi="宋体"/>
                <w:color w:val="auto"/>
                <w:szCs w:val="21"/>
                <w:highlight w:val="none"/>
              </w:rPr>
            </w:pPr>
          </w:p>
        </w:tc>
        <w:tc>
          <w:tcPr>
            <w:tcW w:w="395" w:type="pct"/>
            <w:noWrap w:val="0"/>
            <w:vAlign w:val="top"/>
          </w:tcPr>
          <w:p w14:paraId="3D07C968">
            <w:pPr>
              <w:spacing w:line="400" w:lineRule="exact"/>
              <w:jc w:val="center"/>
              <w:rPr>
                <w:rFonts w:ascii="宋体" w:hAnsi="宋体"/>
                <w:color w:val="auto"/>
                <w:szCs w:val="21"/>
                <w:highlight w:val="none"/>
              </w:rPr>
            </w:pPr>
          </w:p>
        </w:tc>
      </w:tr>
      <w:tr w14:paraId="72FB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4749167A">
            <w:pPr>
              <w:spacing w:line="400" w:lineRule="exact"/>
              <w:jc w:val="center"/>
              <w:rPr>
                <w:rFonts w:ascii="宋体" w:hAnsi="宋体"/>
                <w:color w:val="auto"/>
                <w:szCs w:val="21"/>
                <w:highlight w:val="none"/>
              </w:rPr>
            </w:pPr>
          </w:p>
        </w:tc>
        <w:tc>
          <w:tcPr>
            <w:tcW w:w="620" w:type="pct"/>
            <w:noWrap w:val="0"/>
            <w:vAlign w:val="top"/>
          </w:tcPr>
          <w:p w14:paraId="6FCE7FEA">
            <w:pPr>
              <w:spacing w:line="400" w:lineRule="exact"/>
              <w:jc w:val="center"/>
              <w:rPr>
                <w:rFonts w:ascii="宋体" w:hAnsi="宋体"/>
                <w:color w:val="auto"/>
                <w:szCs w:val="21"/>
                <w:highlight w:val="none"/>
              </w:rPr>
            </w:pPr>
          </w:p>
        </w:tc>
        <w:tc>
          <w:tcPr>
            <w:tcW w:w="435" w:type="pct"/>
            <w:noWrap w:val="0"/>
            <w:vAlign w:val="top"/>
          </w:tcPr>
          <w:p w14:paraId="6AA26BA8">
            <w:pPr>
              <w:spacing w:line="400" w:lineRule="exact"/>
              <w:jc w:val="center"/>
              <w:rPr>
                <w:rFonts w:ascii="宋体" w:hAnsi="宋体"/>
                <w:color w:val="auto"/>
                <w:szCs w:val="21"/>
                <w:highlight w:val="none"/>
              </w:rPr>
            </w:pPr>
          </w:p>
        </w:tc>
        <w:tc>
          <w:tcPr>
            <w:tcW w:w="565" w:type="pct"/>
            <w:noWrap w:val="0"/>
            <w:vAlign w:val="top"/>
          </w:tcPr>
          <w:p w14:paraId="2DD8CD2A">
            <w:pPr>
              <w:spacing w:line="400" w:lineRule="exact"/>
              <w:jc w:val="center"/>
              <w:rPr>
                <w:rFonts w:ascii="宋体" w:hAnsi="宋体"/>
                <w:color w:val="auto"/>
                <w:szCs w:val="21"/>
                <w:highlight w:val="none"/>
              </w:rPr>
            </w:pPr>
          </w:p>
        </w:tc>
        <w:tc>
          <w:tcPr>
            <w:tcW w:w="383" w:type="pct"/>
            <w:noWrap w:val="0"/>
            <w:vAlign w:val="top"/>
          </w:tcPr>
          <w:p w14:paraId="4EBEDF3C">
            <w:pPr>
              <w:spacing w:line="400" w:lineRule="exact"/>
              <w:jc w:val="center"/>
              <w:rPr>
                <w:rFonts w:ascii="宋体" w:hAnsi="宋体"/>
                <w:color w:val="auto"/>
                <w:szCs w:val="21"/>
                <w:highlight w:val="none"/>
              </w:rPr>
            </w:pPr>
          </w:p>
        </w:tc>
        <w:tc>
          <w:tcPr>
            <w:tcW w:w="422" w:type="pct"/>
            <w:noWrap w:val="0"/>
            <w:vAlign w:val="top"/>
          </w:tcPr>
          <w:p w14:paraId="46F047EF">
            <w:pPr>
              <w:spacing w:line="400" w:lineRule="exact"/>
              <w:jc w:val="center"/>
              <w:rPr>
                <w:rFonts w:ascii="宋体" w:hAnsi="宋体"/>
                <w:color w:val="auto"/>
                <w:szCs w:val="21"/>
                <w:highlight w:val="none"/>
              </w:rPr>
            </w:pPr>
          </w:p>
        </w:tc>
        <w:tc>
          <w:tcPr>
            <w:tcW w:w="692" w:type="pct"/>
            <w:noWrap w:val="0"/>
            <w:vAlign w:val="top"/>
          </w:tcPr>
          <w:p w14:paraId="15BB0BA0">
            <w:pPr>
              <w:spacing w:line="400" w:lineRule="exact"/>
              <w:jc w:val="center"/>
              <w:rPr>
                <w:rFonts w:ascii="宋体" w:hAnsi="宋体"/>
                <w:color w:val="auto"/>
                <w:szCs w:val="21"/>
                <w:highlight w:val="none"/>
              </w:rPr>
            </w:pPr>
          </w:p>
        </w:tc>
        <w:tc>
          <w:tcPr>
            <w:tcW w:w="500" w:type="pct"/>
            <w:noWrap w:val="0"/>
            <w:vAlign w:val="top"/>
          </w:tcPr>
          <w:p w14:paraId="60420E96">
            <w:pPr>
              <w:spacing w:line="400" w:lineRule="exact"/>
              <w:jc w:val="center"/>
              <w:rPr>
                <w:rFonts w:ascii="宋体" w:hAnsi="宋体"/>
                <w:color w:val="auto"/>
                <w:szCs w:val="21"/>
                <w:highlight w:val="none"/>
              </w:rPr>
            </w:pPr>
          </w:p>
        </w:tc>
        <w:tc>
          <w:tcPr>
            <w:tcW w:w="603" w:type="pct"/>
            <w:noWrap w:val="0"/>
            <w:vAlign w:val="top"/>
          </w:tcPr>
          <w:p w14:paraId="3F77CB6C">
            <w:pPr>
              <w:spacing w:line="400" w:lineRule="exact"/>
              <w:jc w:val="center"/>
              <w:rPr>
                <w:rFonts w:ascii="宋体" w:hAnsi="宋体"/>
                <w:color w:val="auto"/>
                <w:szCs w:val="21"/>
                <w:highlight w:val="none"/>
              </w:rPr>
            </w:pPr>
          </w:p>
        </w:tc>
        <w:tc>
          <w:tcPr>
            <w:tcW w:w="395" w:type="pct"/>
            <w:noWrap w:val="0"/>
            <w:vAlign w:val="top"/>
          </w:tcPr>
          <w:p w14:paraId="2BAA8FB8">
            <w:pPr>
              <w:spacing w:line="400" w:lineRule="exact"/>
              <w:jc w:val="center"/>
              <w:rPr>
                <w:rFonts w:ascii="宋体" w:hAnsi="宋体"/>
                <w:color w:val="auto"/>
                <w:szCs w:val="21"/>
                <w:highlight w:val="none"/>
              </w:rPr>
            </w:pPr>
          </w:p>
        </w:tc>
      </w:tr>
      <w:tr w14:paraId="34AC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22E91D10">
            <w:pPr>
              <w:spacing w:line="400" w:lineRule="exact"/>
              <w:jc w:val="center"/>
              <w:rPr>
                <w:rFonts w:ascii="宋体" w:hAnsi="宋体"/>
                <w:color w:val="auto"/>
                <w:szCs w:val="21"/>
                <w:highlight w:val="none"/>
              </w:rPr>
            </w:pPr>
          </w:p>
        </w:tc>
        <w:tc>
          <w:tcPr>
            <w:tcW w:w="620" w:type="pct"/>
            <w:noWrap w:val="0"/>
            <w:vAlign w:val="top"/>
          </w:tcPr>
          <w:p w14:paraId="1AD7509E">
            <w:pPr>
              <w:spacing w:line="400" w:lineRule="exact"/>
              <w:jc w:val="center"/>
              <w:rPr>
                <w:rFonts w:ascii="宋体" w:hAnsi="宋体"/>
                <w:color w:val="auto"/>
                <w:szCs w:val="21"/>
                <w:highlight w:val="none"/>
              </w:rPr>
            </w:pPr>
          </w:p>
        </w:tc>
        <w:tc>
          <w:tcPr>
            <w:tcW w:w="435" w:type="pct"/>
            <w:noWrap w:val="0"/>
            <w:vAlign w:val="top"/>
          </w:tcPr>
          <w:p w14:paraId="7E941B2E">
            <w:pPr>
              <w:spacing w:line="400" w:lineRule="exact"/>
              <w:jc w:val="center"/>
              <w:rPr>
                <w:rFonts w:ascii="宋体" w:hAnsi="宋体"/>
                <w:color w:val="auto"/>
                <w:szCs w:val="21"/>
                <w:highlight w:val="none"/>
              </w:rPr>
            </w:pPr>
          </w:p>
        </w:tc>
        <w:tc>
          <w:tcPr>
            <w:tcW w:w="565" w:type="pct"/>
            <w:noWrap w:val="0"/>
            <w:vAlign w:val="top"/>
          </w:tcPr>
          <w:p w14:paraId="5C5E3EF6">
            <w:pPr>
              <w:spacing w:line="400" w:lineRule="exact"/>
              <w:jc w:val="center"/>
              <w:rPr>
                <w:rFonts w:ascii="宋体" w:hAnsi="宋体"/>
                <w:color w:val="auto"/>
                <w:szCs w:val="21"/>
                <w:highlight w:val="none"/>
              </w:rPr>
            </w:pPr>
          </w:p>
        </w:tc>
        <w:tc>
          <w:tcPr>
            <w:tcW w:w="383" w:type="pct"/>
            <w:noWrap w:val="0"/>
            <w:vAlign w:val="top"/>
          </w:tcPr>
          <w:p w14:paraId="613B1DE0">
            <w:pPr>
              <w:spacing w:line="400" w:lineRule="exact"/>
              <w:jc w:val="center"/>
              <w:rPr>
                <w:rFonts w:ascii="宋体" w:hAnsi="宋体"/>
                <w:color w:val="auto"/>
                <w:szCs w:val="21"/>
                <w:highlight w:val="none"/>
              </w:rPr>
            </w:pPr>
          </w:p>
        </w:tc>
        <w:tc>
          <w:tcPr>
            <w:tcW w:w="422" w:type="pct"/>
            <w:noWrap w:val="0"/>
            <w:vAlign w:val="top"/>
          </w:tcPr>
          <w:p w14:paraId="0B3CAA08">
            <w:pPr>
              <w:spacing w:line="400" w:lineRule="exact"/>
              <w:jc w:val="center"/>
              <w:rPr>
                <w:rFonts w:ascii="宋体" w:hAnsi="宋体"/>
                <w:color w:val="auto"/>
                <w:szCs w:val="21"/>
                <w:highlight w:val="none"/>
              </w:rPr>
            </w:pPr>
          </w:p>
        </w:tc>
        <w:tc>
          <w:tcPr>
            <w:tcW w:w="692" w:type="pct"/>
            <w:noWrap w:val="0"/>
            <w:vAlign w:val="top"/>
          </w:tcPr>
          <w:p w14:paraId="5AD50623">
            <w:pPr>
              <w:spacing w:line="400" w:lineRule="exact"/>
              <w:jc w:val="center"/>
              <w:rPr>
                <w:rFonts w:ascii="宋体" w:hAnsi="宋体"/>
                <w:color w:val="auto"/>
                <w:szCs w:val="21"/>
                <w:highlight w:val="none"/>
              </w:rPr>
            </w:pPr>
          </w:p>
        </w:tc>
        <w:tc>
          <w:tcPr>
            <w:tcW w:w="500" w:type="pct"/>
            <w:noWrap w:val="0"/>
            <w:vAlign w:val="top"/>
          </w:tcPr>
          <w:p w14:paraId="4EC1065D">
            <w:pPr>
              <w:spacing w:line="400" w:lineRule="exact"/>
              <w:jc w:val="center"/>
              <w:rPr>
                <w:rFonts w:ascii="宋体" w:hAnsi="宋体"/>
                <w:color w:val="auto"/>
                <w:szCs w:val="21"/>
                <w:highlight w:val="none"/>
              </w:rPr>
            </w:pPr>
          </w:p>
        </w:tc>
        <w:tc>
          <w:tcPr>
            <w:tcW w:w="603" w:type="pct"/>
            <w:noWrap w:val="0"/>
            <w:vAlign w:val="top"/>
          </w:tcPr>
          <w:p w14:paraId="027E1119">
            <w:pPr>
              <w:spacing w:line="400" w:lineRule="exact"/>
              <w:jc w:val="center"/>
              <w:rPr>
                <w:rFonts w:ascii="宋体" w:hAnsi="宋体"/>
                <w:color w:val="auto"/>
                <w:szCs w:val="21"/>
                <w:highlight w:val="none"/>
              </w:rPr>
            </w:pPr>
          </w:p>
        </w:tc>
        <w:tc>
          <w:tcPr>
            <w:tcW w:w="395" w:type="pct"/>
            <w:noWrap w:val="0"/>
            <w:vAlign w:val="top"/>
          </w:tcPr>
          <w:p w14:paraId="17AC3E84">
            <w:pPr>
              <w:spacing w:line="400" w:lineRule="exact"/>
              <w:jc w:val="center"/>
              <w:rPr>
                <w:rFonts w:ascii="宋体" w:hAnsi="宋体"/>
                <w:color w:val="auto"/>
                <w:szCs w:val="21"/>
                <w:highlight w:val="none"/>
              </w:rPr>
            </w:pPr>
          </w:p>
        </w:tc>
      </w:tr>
      <w:tr w14:paraId="1717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top"/>
          </w:tcPr>
          <w:p w14:paraId="04E6FDA3">
            <w:pPr>
              <w:spacing w:line="400" w:lineRule="exact"/>
              <w:jc w:val="center"/>
              <w:rPr>
                <w:rFonts w:ascii="宋体" w:hAnsi="宋体"/>
                <w:color w:val="auto"/>
                <w:szCs w:val="21"/>
                <w:highlight w:val="none"/>
              </w:rPr>
            </w:pPr>
          </w:p>
        </w:tc>
        <w:tc>
          <w:tcPr>
            <w:tcW w:w="620" w:type="pct"/>
            <w:noWrap w:val="0"/>
            <w:vAlign w:val="top"/>
          </w:tcPr>
          <w:p w14:paraId="4DCADD08">
            <w:pPr>
              <w:spacing w:line="400" w:lineRule="exact"/>
              <w:jc w:val="center"/>
              <w:rPr>
                <w:rFonts w:ascii="宋体" w:hAnsi="宋体"/>
                <w:color w:val="auto"/>
                <w:szCs w:val="21"/>
                <w:highlight w:val="none"/>
              </w:rPr>
            </w:pPr>
          </w:p>
        </w:tc>
        <w:tc>
          <w:tcPr>
            <w:tcW w:w="435" w:type="pct"/>
            <w:noWrap w:val="0"/>
            <w:vAlign w:val="top"/>
          </w:tcPr>
          <w:p w14:paraId="29499D42">
            <w:pPr>
              <w:spacing w:line="400" w:lineRule="exact"/>
              <w:jc w:val="center"/>
              <w:rPr>
                <w:rFonts w:ascii="宋体" w:hAnsi="宋体"/>
                <w:color w:val="auto"/>
                <w:szCs w:val="21"/>
                <w:highlight w:val="none"/>
              </w:rPr>
            </w:pPr>
          </w:p>
        </w:tc>
        <w:tc>
          <w:tcPr>
            <w:tcW w:w="565" w:type="pct"/>
            <w:noWrap w:val="0"/>
            <w:vAlign w:val="top"/>
          </w:tcPr>
          <w:p w14:paraId="2223CE6B">
            <w:pPr>
              <w:spacing w:line="400" w:lineRule="exact"/>
              <w:jc w:val="center"/>
              <w:rPr>
                <w:rFonts w:ascii="宋体" w:hAnsi="宋体"/>
                <w:color w:val="auto"/>
                <w:szCs w:val="21"/>
                <w:highlight w:val="none"/>
              </w:rPr>
            </w:pPr>
          </w:p>
        </w:tc>
        <w:tc>
          <w:tcPr>
            <w:tcW w:w="383" w:type="pct"/>
            <w:noWrap w:val="0"/>
            <w:vAlign w:val="top"/>
          </w:tcPr>
          <w:p w14:paraId="0356A701">
            <w:pPr>
              <w:spacing w:line="400" w:lineRule="exact"/>
              <w:jc w:val="center"/>
              <w:rPr>
                <w:rFonts w:ascii="宋体" w:hAnsi="宋体"/>
                <w:color w:val="auto"/>
                <w:szCs w:val="21"/>
                <w:highlight w:val="none"/>
              </w:rPr>
            </w:pPr>
          </w:p>
        </w:tc>
        <w:tc>
          <w:tcPr>
            <w:tcW w:w="422" w:type="pct"/>
            <w:noWrap w:val="0"/>
            <w:vAlign w:val="top"/>
          </w:tcPr>
          <w:p w14:paraId="0AD6AA62">
            <w:pPr>
              <w:spacing w:line="400" w:lineRule="exact"/>
              <w:jc w:val="center"/>
              <w:rPr>
                <w:rFonts w:ascii="宋体" w:hAnsi="宋体"/>
                <w:color w:val="auto"/>
                <w:szCs w:val="21"/>
                <w:highlight w:val="none"/>
              </w:rPr>
            </w:pPr>
          </w:p>
        </w:tc>
        <w:tc>
          <w:tcPr>
            <w:tcW w:w="692" w:type="pct"/>
            <w:noWrap w:val="0"/>
            <w:vAlign w:val="top"/>
          </w:tcPr>
          <w:p w14:paraId="0ADFFFBE">
            <w:pPr>
              <w:spacing w:line="400" w:lineRule="exact"/>
              <w:jc w:val="center"/>
              <w:rPr>
                <w:rFonts w:ascii="宋体" w:hAnsi="宋体"/>
                <w:color w:val="auto"/>
                <w:szCs w:val="21"/>
                <w:highlight w:val="none"/>
              </w:rPr>
            </w:pPr>
          </w:p>
        </w:tc>
        <w:tc>
          <w:tcPr>
            <w:tcW w:w="500" w:type="pct"/>
            <w:noWrap w:val="0"/>
            <w:vAlign w:val="top"/>
          </w:tcPr>
          <w:p w14:paraId="69D41720">
            <w:pPr>
              <w:spacing w:line="400" w:lineRule="exact"/>
              <w:jc w:val="center"/>
              <w:rPr>
                <w:rFonts w:ascii="宋体" w:hAnsi="宋体"/>
                <w:color w:val="auto"/>
                <w:szCs w:val="21"/>
                <w:highlight w:val="none"/>
              </w:rPr>
            </w:pPr>
          </w:p>
        </w:tc>
        <w:tc>
          <w:tcPr>
            <w:tcW w:w="603" w:type="pct"/>
            <w:noWrap w:val="0"/>
            <w:vAlign w:val="top"/>
          </w:tcPr>
          <w:p w14:paraId="599AEDB1">
            <w:pPr>
              <w:spacing w:line="400" w:lineRule="exact"/>
              <w:jc w:val="center"/>
              <w:rPr>
                <w:rFonts w:ascii="宋体" w:hAnsi="宋体"/>
                <w:color w:val="auto"/>
                <w:szCs w:val="21"/>
                <w:highlight w:val="none"/>
              </w:rPr>
            </w:pPr>
          </w:p>
        </w:tc>
        <w:tc>
          <w:tcPr>
            <w:tcW w:w="395" w:type="pct"/>
            <w:noWrap w:val="0"/>
            <w:vAlign w:val="top"/>
          </w:tcPr>
          <w:p w14:paraId="24CF8328">
            <w:pPr>
              <w:spacing w:line="400" w:lineRule="exact"/>
              <w:jc w:val="center"/>
              <w:rPr>
                <w:rFonts w:ascii="宋体" w:hAnsi="宋体"/>
                <w:color w:val="auto"/>
                <w:szCs w:val="21"/>
                <w:highlight w:val="none"/>
              </w:rPr>
            </w:pPr>
          </w:p>
        </w:tc>
      </w:tr>
    </w:tbl>
    <w:p w14:paraId="5946FFA9">
      <w:pPr>
        <w:spacing w:line="400" w:lineRule="exact"/>
        <w:rPr>
          <w:rFonts w:eastAsia="黑体"/>
          <w:color w:val="auto"/>
          <w:sz w:val="19"/>
          <w:szCs w:val="19"/>
          <w:highlight w:val="none"/>
        </w:rPr>
      </w:pPr>
    </w:p>
    <w:p w14:paraId="1385D4C4">
      <w:pPr>
        <w:spacing w:line="400" w:lineRule="exact"/>
        <w:rPr>
          <w:rFonts w:eastAsia="黑体"/>
          <w:color w:val="auto"/>
          <w:sz w:val="19"/>
          <w:szCs w:val="19"/>
          <w:highlight w:val="none"/>
        </w:rPr>
      </w:pPr>
      <w:r>
        <w:rPr>
          <w:rFonts w:eastAsia="黑体"/>
          <w:color w:val="auto"/>
          <w:sz w:val="19"/>
          <w:szCs w:val="19"/>
          <w:highlight w:val="none"/>
        </w:rPr>
        <w:br w:type="page"/>
      </w:r>
    </w:p>
    <w:p w14:paraId="2A55F58A">
      <w:pPr>
        <w:spacing w:line="400" w:lineRule="exact"/>
        <w:jc w:val="center"/>
        <w:outlineLvl w:val="3"/>
        <w:rPr>
          <w:rFonts w:ascii="宋体" w:hAnsi="宋体"/>
          <w:b/>
          <w:color w:val="auto"/>
          <w:sz w:val="24"/>
          <w:szCs w:val="31"/>
          <w:highlight w:val="none"/>
        </w:rPr>
      </w:pPr>
      <w:bookmarkStart w:id="547" w:name="_Toc221952088"/>
      <w:bookmarkStart w:id="548" w:name="_Toc168476328"/>
      <w:bookmarkStart w:id="549" w:name="_Toc144974866"/>
      <w:bookmarkStart w:id="550" w:name="_Toc168475925"/>
      <w:r>
        <w:rPr>
          <w:rFonts w:ascii="宋体" w:hAnsi="宋体"/>
          <w:b/>
          <w:color w:val="auto"/>
          <w:sz w:val="24"/>
          <w:szCs w:val="31"/>
          <w:highlight w:val="none"/>
        </w:rPr>
        <w:t>附表二：拟</w:t>
      </w:r>
      <w:r>
        <w:rPr>
          <w:rFonts w:hint="eastAsia" w:ascii="宋体" w:hAnsi="宋体"/>
          <w:b/>
          <w:color w:val="auto"/>
          <w:sz w:val="24"/>
          <w:szCs w:val="31"/>
          <w:highlight w:val="none"/>
        </w:rPr>
        <w:t>投入</w:t>
      </w:r>
      <w:r>
        <w:rPr>
          <w:rFonts w:ascii="宋体" w:hAnsi="宋体"/>
          <w:b/>
          <w:color w:val="auto"/>
          <w:sz w:val="24"/>
          <w:szCs w:val="31"/>
          <w:highlight w:val="none"/>
        </w:rPr>
        <w:t>本标段的</w:t>
      </w:r>
      <w:r>
        <w:rPr>
          <w:rFonts w:hint="eastAsia" w:ascii="宋体" w:hAnsi="宋体"/>
          <w:b/>
          <w:color w:val="auto"/>
          <w:sz w:val="24"/>
          <w:szCs w:val="31"/>
          <w:highlight w:val="none"/>
        </w:rPr>
        <w:t>试</w:t>
      </w:r>
      <w:r>
        <w:rPr>
          <w:rFonts w:ascii="宋体" w:hAnsi="宋体"/>
          <w:b/>
          <w:color w:val="auto"/>
          <w:sz w:val="24"/>
          <w:szCs w:val="31"/>
          <w:highlight w:val="none"/>
        </w:rPr>
        <w:t>验和检测仪器设备表</w:t>
      </w:r>
      <w:bookmarkEnd w:id="547"/>
      <w:bookmarkEnd w:id="548"/>
      <w:bookmarkEnd w:id="549"/>
      <w:bookmarkEnd w:id="550"/>
    </w:p>
    <w:p w14:paraId="329C75E3">
      <w:pPr>
        <w:spacing w:line="400" w:lineRule="exact"/>
        <w:rPr>
          <w:color w:val="auto"/>
          <w:sz w:val="19"/>
          <w:szCs w:val="19"/>
          <w:highlight w:val="none"/>
        </w:rPr>
      </w:pP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185"/>
        <w:gridCol w:w="954"/>
        <w:gridCol w:w="954"/>
        <w:gridCol w:w="732"/>
        <w:gridCol w:w="806"/>
        <w:gridCol w:w="1324"/>
        <w:gridCol w:w="1806"/>
        <w:gridCol w:w="748"/>
      </w:tblGrid>
      <w:tr w14:paraId="6113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0B8D50C5">
            <w:pPr>
              <w:spacing w:line="400" w:lineRule="exact"/>
              <w:jc w:val="center"/>
              <w:rPr>
                <w:rFonts w:ascii="宋体" w:hAnsi="宋体"/>
                <w:color w:val="auto"/>
                <w:szCs w:val="21"/>
                <w:highlight w:val="none"/>
              </w:rPr>
            </w:pPr>
            <w:bookmarkStart w:id="551" w:name="_Toc221952089"/>
            <w:r>
              <w:rPr>
                <w:rFonts w:ascii="宋体" w:hAnsi="宋体"/>
                <w:color w:val="auto"/>
                <w:szCs w:val="21"/>
                <w:highlight w:val="none"/>
              </w:rPr>
              <w:t>序号</w:t>
            </w:r>
            <w:bookmarkEnd w:id="551"/>
          </w:p>
        </w:tc>
        <w:tc>
          <w:tcPr>
            <w:tcW w:w="641" w:type="pct"/>
            <w:noWrap w:val="0"/>
            <w:vAlign w:val="top"/>
          </w:tcPr>
          <w:p w14:paraId="7CC9756A">
            <w:pPr>
              <w:spacing w:line="400" w:lineRule="exact"/>
              <w:jc w:val="center"/>
              <w:rPr>
                <w:rFonts w:ascii="宋体" w:hAnsi="宋体"/>
                <w:color w:val="auto"/>
                <w:szCs w:val="21"/>
                <w:highlight w:val="none"/>
              </w:rPr>
            </w:pPr>
            <w:bookmarkStart w:id="552" w:name="_Toc221952090"/>
            <w:r>
              <w:rPr>
                <w:rFonts w:ascii="宋体" w:hAnsi="宋体"/>
                <w:color w:val="auto"/>
                <w:szCs w:val="21"/>
                <w:highlight w:val="none"/>
              </w:rPr>
              <w:t>仪器设备名称</w:t>
            </w:r>
            <w:bookmarkEnd w:id="552"/>
          </w:p>
        </w:tc>
        <w:tc>
          <w:tcPr>
            <w:tcW w:w="516" w:type="pct"/>
            <w:noWrap w:val="0"/>
            <w:vAlign w:val="top"/>
          </w:tcPr>
          <w:p w14:paraId="3C93B3D1">
            <w:pPr>
              <w:spacing w:line="400" w:lineRule="exact"/>
              <w:jc w:val="center"/>
              <w:rPr>
                <w:rFonts w:ascii="宋体" w:hAnsi="宋体"/>
                <w:color w:val="auto"/>
                <w:szCs w:val="21"/>
                <w:highlight w:val="none"/>
              </w:rPr>
            </w:pPr>
            <w:bookmarkStart w:id="553" w:name="_Toc221952091"/>
            <w:r>
              <w:rPr>
                <w:rFonts w:ascii="宋体" w:hAnsi="宋体"/>
                <w:color w:val="auto"/>
                <w:szCs w:val="21"/>
                <w:highlight w:val="none"/>
              </w:rPr>
              <w:t>型号</w:t>
            </w:r>
            <w:bookmarkEnd w:id="553"/>
          </w:p>
          <w:p w14:paraId="1CD6849C">
            <w:pPr>
              <w:spacing w:line="400" w:lineRule="exact"/>
              <w:jc w:val="center"/>
              <w:rPr>
                <w:rFonts w:ascii="宋体" w:hAnsi="宋体"/>
                <w:color w:val="auto"/>
                <w:szCs w:val="21"/>
                <w:highlight w:val="none"/>
              </w:rPr>
            </w:pPr>
            <w:bookmarkStart w:id="554" w:name="_Toc221952092"/>
            <w:r>
              <w:rPr>
                <w:rFonts w:ascii="宋体" w:hAnsi="宋体"/>
                <w:color w:val="auto"/>
                <w:szCs w:val="21"/>
                <w:highlight w:val="none"/>
              </w:rPr>
              <w:t>规格</w:t>
            </w:r>
            <w:bookmarkEnd w:id="554"/>
          </w:p>
        </w:tc>
        <w:tc>
          <w:tcPr>
            <w:tcW w:w="516" w:type="pct"/>
            <w:noWrap w:val="0"/>
            <w:vAlign w:val="top"/>
          </w:tcPr>
          <w:p w14:paraId="59EA7244">
            <w:pPr>
              <w:spacing w:line="400" w:lineRule="exact"/>
              <w:jc w:val="center"/>
              <w:rPr>
                <w:rFonts w:ascii="宋体" w:hAnsi="宋体"/>
                <w:color w:val="auto"/>
                <w:szCs w:val="21"/>
                <w:highlight w:val="none"/>
              </w:rPr>
            </w:pPr>
            <w:bookmarkStart w:id="555" w:name="_Toc221952093"/>
            <w:r>
              <w:rPr>
                <w:rFonts w:ascii="宋体" w:hAnsi="宋体"/>
                <w:color w:val="auto"/>
                <w:szCs w:val="21"/>
                <w:highlight w:val="none"/>
              </w:rPr>
              <w:t>数量</w:t>
            </w:r>
            <w:bookmarkEnd w:id="555"/>
          </w:p>
        </w:tc>
        <w:tc>
          <w:tcPr>
            <w:tcW w:w="396" w:type="pct"/>
            <w:noWrap w:val="0"/>
            <w:vAlign w:val="top"/>
          </w:tcPr>
          <w:p w14:paraId="31F60A5B">
            <w:pPr>
              <w:spacing w:line="400" w:lineRule="exact"/>
              <w:jc w:val="center"/>
              <w:rPr>
                <w:rFonts w:ascii="宋体" w:hAnsi="宋体"/>
                <w:color w:val="auto"/>
                <w:szCs w:val="21"/>
                <w:highlight w:val="none"/>
              </w:rPr>
            </w:pPr>
            <w:bookmarkStart w:id="556" w:name="_Toc221952094"/>
            <w:r>
              <w:rPr>
                <w:rFonts w:ascii="宋体" w:hAnsi="宋体"/>
                <w:color w:val="auto"/>
                <w:szCs w:val="21"/>
                <w:highlight w:val="none"/>
              </w:rPr>
              <w:t>国别</w:t>
            </w:r>
            <w:bookmarkEnd w:id="556"/>
          </w:p>
          <w:p w14:paraId="0F6B18F8">
            <w:pPr>
              <w:spacing w:line="400" w:lineRule="exact"/>
              <w:jc w:val="center"/>
              <w:rPr>
                <w:rFonts w:ascii="宋体" w:hAnsi="宋体"/>
                <w:color w:val="auto"/>
                <w:szCs w:val="21"/>
                <w:highlight w:val="none"/>
              </w:rPr>
            </w:pPr>
            <w:bookmarkStart w:id="557" w:name="_Toc221952095"/>
            <w:r>
              <w:rPr>
                <w:rFonts w:ascii="宋体" w:hAnsi="宋体"/>
                <w:color w:val="auto"/>
                <w:szCs w:val="21"/>
                <w:highlight w:val="none"/>
              </w:rPr>
              <w:t>产地</w:t>
            </w:r>
            <w:bookmarkEnd w:id="557"/>
          </w:p>
        </w:tc>
        <w:tc>
          <w:tcPr>
            <w:tcW w:w="436" w:type="pct"/>
            <w:noWrap w:val="0"/>
            <w:vAlign w:val="top"/>
          </w:tcPr>
          <w:p w14:paraId="492C1B43">
            <w:pPr>
              <w:spacing w:line="400" w:lineRule="exact"/>
              <w:jc w:val="center"/>
              <w:rPr>
                <w:rFonts w:ascii="宋体" w:hAnsi="宋体"/>
                <w:color w:val="auto"/>
                <w:szCs w:val="21"/>
                <w:highlight w:val="none"/>
              </w:rPr>
            </w:pPr>
            <w:bookmarkStart w:id="558" w:name="_Toc221952096"/>
            <w:r>
              <w:rPr>
                <w:rFonts w:ascii="宋体" w:hAnsi="宋体"/>
                <w:color w:val="auto"/>
                <w:szCs w:val="21"/>
                <w:highlight w:val="none"/>
              </w:rPr>
              <w:t>制造</w:t>
            </w:r>
            <w:bookmarkEnd w:id="558"/>
          </w:p>
          <w:p w14:paraId="1AABEADC">
            <w:pPr>
              <w:spacing w:line="400" w:lineRule="exact"/>
              <w:jc w:val="center"/>
              <w:rPr>
                <w:rFonts w:ascii="宋体" w:hAnsi="宋体"/>
                <w:color w:val="auto"/>
                <w:szCs w:val="21"/>
                <w:highlight w:val="none"/>
              </w:rPr>
            </w:pPr>
            <w:bookmarkStart w:id="559" w:name="_Toc221952097"/>
            <w:r>
              <w:rPr>
                <w:rFonts w:ascii="宋体" w:hAnsi="宋体"/>
                <w:color w:val="auto"/>
                <w:szCs w:val="21"/>
                <w:highlight w:val="none"/>
              </w:rPr>
              <w:t>年份</w:t>
            </w:r>
            <w:bookmarkEnd w:id="559"/>
          </w:p>
        </w:tc>
        <w:tc>
          <w:tcPr>
            <w:tcW w:w="716" w:type="pct"/>
            <w:noWrap w:val="0"/>
            <w:vAlign w:val="top"/>
          </w:tcPr>
          <w:p w14:paraId="4DAC7800">
            <w:pPr>
              <w:spacing w:line="400" w:lineRule="exact"/>
              <w:jc w:val="center"/>
              <w:rPr>
                <w:rFonts w:ascii="宋体" w:hAnsi="宋体"/>
                <w:color w:val="auto"/>
                <w:szCs w:val="21"/>
                <w:highlight w:val="none"/>
              </w:rPr>
            </w:pPr>
            <w:bookmarkStart w:id="560" w:name="_Toc221952098"/>
            <w:r>
              <w:rPr>
                <w:rFonts w:ascii="宋体" w:hAnsi="宋体"/>
                <w:color w:val="auto"/>
                <w:szCs w:val="21"/>
                <w:highlight w:val="none"/>
              </w:rPr>
              <w:t>已使用台时数</w:t>
            </w:r>
            <w:bookmarkEnd w:id="560"/>
          </w:p>
        </w:tc>
        <w:tc>
          <w:tcPr>
            <w:tcW w:w="976" w:type="pct"/>
            <w:noWrap w:val="0"/>
            <w:vAlign w:val="top"/>
          </w:tcPr>
          <w:p w14:paraId="17E1E5D1">
            <w:pPr>
              <w:spacing w:line="400" w:lineRule="exact"/>
              <w:jc w:val="center"/>
              <w:rPr>
                <w:rFonts w:ascii="宋体" w:hAnsi="宋体"/>
                <w:color w:val="auto"/>
                <w:szCs w:val="21"/>
                <w:highlight w:val="none"/>
              </w:rPr>
            </w:pPr>
            <w:bookmarkStart w:id="561" w:name="_Toc221952099"/>
            <w:r>
              <w:rPr>
                <w:rFonts w:ascii="宋体" w:hAnsi="宋体"/>
                <w:color w:val="auto"/>
                <w:szCs w:val="21"/>
                <w:highlight w:val="none"/>
              </w:rPr>
              <w:t>用途</w:t>
            </w:r>
            <w:bookmarkEnd w:id="561"/>
          </w:p>
        </w:tc>
        <w:tc>
          <w:tcPr>
            <w:tcW w:w="404" w:type="pct"/>
            <w:noWrap w:val="0"/>
            <w:vAlign w:val="top"/>
          </w:tcPr>
          <w:p w14:paraId="1D164F02">
            <w:pPr>
              <w:spacing w:line="400" w:lineRule="exact"/>
              <w:jc w:val="center"/>
              <w:rPr>
                <w:rFonts w:ascii="宋体" w:hAnsi="宋体"/>
                <w:color w:val="auto"/>
                <w:szCs w:val="21"/>
                <w:highlight w:val="none"/>
              </w:rPr>
            </w:pPr>
            <w:bookmarkStart w:id="562" w:name="_Toc221952100"/>
            <w:r>
              <w:rPr>
                <w:rFonts w:ascii="宋体" w:hAnsi="宋体"/>
                <w:color w:val="auto"/>
                <w:szCs w:val="21"/>
                <w:highlight w:val="none"/>
              </w:rPr>
              <w:t>备注</w:t>
            </w:r>
            <w:bookmarkEnd w:id="562"/>
          </w:p>
        </w:tc>
      </w:tr>
      <w:tr w14:paraId="0BC4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7803CDFA">
            <w:pPr>
              <w:spacing w:line="400" w:lineRule="exact"/>
              <w:jc w:val="center"/>
              <w:rPr>
                <w:rFonts w:ascii="宋体" w:hAnsi="宋体"/>
                <w:color w:val="auto"/>
                <w:szCs w:val="21"/>
                <w:highlight w:val="none"/>
              </w:rPr>
            </w:pPr>
          </w:p>
        </w:tc>
        <w:tc>
          <w:tcPr>
            <w:tcW w:w="641" w:type="pct"/>
            <w:noWrap w:val="0"/>
            <w:vAlign w:val="top"/>
          </w:tcPr>
          <w:p w14:paraId="497CFF4B">
            <w:pPr>
              <w:spacing w:line="400" w:lineRule="exact"/>
              <w:jc w:val="center"/>
              <w:rPr>
                <w:rFonts w:ascii="宋体" w:hAnsi="宋体"/>
                <w:color w:val="auto"/>
                <w:szCs w:val="21"/>
                <w:highlight w:val="none"/>
              </w:rPr>
            </w:pPr>
          </w:p>
        </w:tc>
        <w:tc>
          <w:tcPr>
            <w:tcW w:w="516" w:type="pct"/>
            <w:noWrap w:val="0"/>
            <w:vAlign w:val="top"/>
          </w:tcPr>
          <w:p w14:paraId="7C7A24B2">
            <w:pPr>
              <w:spacing w:line="400" w:lineRule="exact"/>
              <w:jc w:val="center"/>
              <w:rPr>
                <w:rFonts w:ascii="宋体" w:hAnsi="宋体"/>
                <w:color w:val="auto"/>
                <w:szCs w:val="21"/>
                <w:highlight w:val="none"/>
              </w:rPr>
            </w:pPr>
          </w:p>
        </w:tc>
        <w:tc>
          <w:tcPr>
            <w:tcW w:w="516" w:type="pct"/>
            <w:noWrap w:val="0"/>
            <w:vAlign w:val="top"/>
          </w:tcPr>
          <w:p w14:paraId="3D8FB766">
            <w:pPr>
              <w:spacing w:line="400" w:lineRule="exact"/>
              <w:jc w:val="center"/>
              <w:rPr>
                <w:rFonts w:ascii="宋体" w:hAnsi="宋体"/>
                <w:color w:val="auto"/>
                <w:szCs w:val="21"/>
                <w:highlight w:val="none"/>
              </w:rPr>
            </w:pPr>
          </w:p>
        </w:tc>
        <w:tc>
          <w:tcPr>
            <w:tcW w:w="396" w:type="pct"/>
            <w:noWrap w:val="0"/>
            <w:vAlign w:val="top"/>
          </w:tcPr>
          <w:p w14:paraId="7CE16DF1">
            <w:pPr>
              <w:spacing w:line="400" w:lineRule="exact"/>
              <w:jc w:val="center"/>
              <w:rPr>
                <w:rFonts w:ascii="宋体" w:hAnsi="宋体"/>
                <w:color w:val="auto"/>
                <w:szCs w:val="21"/>
                <w:highlight w:val="none"/>
              </w:rPr>
            </w:pPr>
          </w:p>
        </w:tc>
        <w:tc>
          <w:tcPr>
            <w:tcW w:w="436" w:type="pct"/>
            <w:noWrap w:val="0"/>
            <w:vAlign w:val="top"/>
          </w:tcPr>
          <w:p w14:paraId="3FEEE00B">
            <w:pPr>
              <w:spacing w:line="400" w:lineRule="exact"/>
              <w:jc w:val="center"/>
              <w:rPr>
                <w:rFonts w:ascii="宋体" w:hAnsi="宋体"/>
                <w:color w:val="auto"/>
                <w:szCs w:val="21"/>
                <w:highlight w:val="none"/>
              </w:rPr>
            </w:pPr>
          </w:p>
        </w:tc>
        <w:tc>
          <w:tcPr>
            <w:tcW w:w="716" w:type="pct"/>
            <w:noWrap w:val="0"/>
            <w:vAlign w:val="top"/>
          </w:tcPr>
          <w:p w14:paraId="62F16ACD">
            <w:pPr>
              <w:spacing w:line="400" w:lineRule="exact"/>
              <w:jc w:val="center"/>
              <w:rPr>
                <w:rFonts w:ascii="宋体" w:hAnsi="宋体"/>
                <w:color w:val="auto"/>
                <w:szCs w:val="21"/>
                <w:highlight w:val="none"/>
              </w:rPr>
            </w:pPr>
          </w:p>
        </w:tc>
        <w:tc>
          <w:tcPr>
            <w:tcW w:w="976" w:type="pct"/>
            <w:noWrap w:val="0"/>
            <w:vAlign w:val="top"/>
          </w:tcPr>
          <w:p w14:paraId="767854B1">
            <w:pPr>
              <w:spacing w:line="400" w:lineRule="exact"/>
              <w:jc w:val="center"/>
              <w:rPr>
                <w:rFonts w:ascii="宋体" w:hAnsi="宋体"/>
                <w:color w:val="auto"/>
                <w:szCs w:val="21"/>
                <w:highlight w:val="none"/>
              </w:rPr>
            </w:pPr>
          </w:p>
        </w:tc>
        <w:tc>
          <w:tcPr>
            <w:tcW w:w="404" w:type="pct"/>
            <w:noWrap w:val="0"/>
            <w:vAlign w:val="top"/>
          </w:tcPr>
          <w:p w14:paraId="72DA0F01">
            <w:pPr>
              <w:spacing w:line="400" w:lineRule="exact"/>
              <w:jc w:val="center"/>
              <w:rPr>
                <w:rFonts w:ascii="宋体" w:hAnsi="宋体"/>
                <w:color w:val="auto"/>
                <w:szCs w:val="21"/>
                <w:highlight w:val="none"/>
              </w:rPr>
            </w:pPr>
          </w:p>
        </w:tc>
      </w:tr>
      <w:tr w14:paraId="4DC2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3A4B3EED">
            <w:pPr>
              <w:spacing w:line="400" w:lineRule="exact"/>
              <w:jc w:val="center"/>
              <w:rPr>
                <w:rFonts w:ascii="宋体" w:hAnsi="宋体"/>
                <w:color w:val="auto"/>
                <w:szCs w:val="21"/>
                <w:highlight w:val="none"/>
              </w:rPr>
            </w:pPr>
          </w:p>
        </w:tc>
        <w:tc>
          <w:tcPr>
            <w:tcW w:w="641" w:type="pct"/>
            <w:noWrap w:val="0"/>
            <w:vAlign w:val="top"/>
          </w:tcPr>
          <w:p w14:paraId="23B84A0F">
            <w:pPr>
              <w:spacing w:line="400" w:lineRule="exact"/>
              <w:jc w:val="center"/>
              <w:rPr>
                <w:rFonts w:ascii="宋体" w:hAnsi="宋体"/>
                <w:color w:val="auto"/>
                <w:szCs w:val="21"/>
                <w:highlight w:val="none"/>
              </w:rPr>
            </w:pPr>
          </w:p>
        </w:tc>
        <w:tc>
          <w:tcPr>
            <w:tcW w:w="516" w:type="pct"/>
            <w:noWrap w:val="0"/>
            <w:vAlign w:val="top"/>
          </w:tcPr>
          <w:p w14:paraId="769C1879">
            <w:pPr>
              <w:spacing w:line="400" w:lineRule="exact"/>
              <w:jc w:val="center"/>
              <w:rPr>
                <w:rFonts w:ascii="宋体" w:hAnsi="宋体"/>
                <w:color w:val="auto"/>
                <w:szCs w:val="21"/>
                <w:highlight w:val="none"/>
              </w:rPr>
            </w:pPr>
          </w:p>
        </w:tc>
        <w:tc>
          <w:tcPr>
            <w:tcW w:w="516" w:type="pct"/>
            <w:noWrap w:val="0"/>
            <w:vAlign w:val="top"/>
          </w:tcPr>
          <w:p w14:paraId="2FC70BAB">
            <w:pPr>
              <w:spacing w:line="400" w:lineRule="exact"/>
              <w:jc w:val="center"/>
              <w:rPr>
                <w:rFonts w:ascii="宋体" w:hAnsi="宋体"/>
                <w:color w:val="auto"/>
                <w:szCs w:val="21"/>
                <w:highlight w:val="none"/>
              </w:rPr>
            </w:pPr>
          </w:p>
        </w:tc>
        <w:tc>
          <w:tcPr>
            <w:tcW w:w="396" w:type="pct"/>
            <w:noWrap w:val="0"/>
            <w:vAlign w:val="top"/>
          </w:tcPr>
          <w:p w14:paraId="6CD2871D">
            <w:pPr>
              <w:spacing w:line="400" w:lineRule="exact"/>
              <w:jc w:val="center"/>
              <w:rPr>
                <w:rFonts w:ascii="宋体" w:hAnsi="宋体"/>
                <w:color w:val="auto"/>
                <w:szCs w:val="21"/>
                <w:highlight w:val="none"/>
              </w:rPr>
            </w:pPr>
          </w:p>
        </w:tc>
        <w:tc>
          <w:tcPr>
            <w:tcW w:w="436" w:type="pct"/>
            <w:noWrap w:val="0"/>
            <w:vAlign w:val="top"/>
          </w:tcPr>
          <w:p w14:paraId="0302A62D">
            <w:pPr>
              <w:spacing w:line="400" w:lineRule="exact"/>
              <w:jc w:val="center"/>
              <w:rPr>
                <w:rFonts w:ascii="宋体" w:hAnsi="宋体"/>
                <w:color w:val="auto"/>
                <w:szCs w:val="21"/>
                <w:highlight w:val="none"/>
              </w:rPr>
            </w:pPr>
          </w:p>
        </w:tc>
        <w:tc>
          <w:tcPr>
            <w:tcW w:w="716" w:type="pct"/>
            <w:noWrap w:val="0"/>
            <w:vAlign w:val="top"/>
          </w:tcPr>
          <w:p w14:paraId="5F6A132F">
            <w:pPr>
              <w:spacing w:line="400" w:lineRule="exact"/>
              <w:jc w:val="center"/>
              <w:rPr>
                <w:rFonts w:ascii="宋体" w:hAnsi="宋体"/>
                <w:color w:val="auto"/>
                <w:szCs w:val="21"/>
                <w:highlight w:val="none"/>
              </w:rPr>
            </w:pPr>
          </w:p>
        </w:tc>
        <w:tc>
          <w:tcPr>
            <w:tcW w:w="976" w:type="pct"/>
            <w:noWrap w:val="0"/>
            <w:vAlign w:val="top"/>
          </w:tcPr>
          <w:p w14:paraId="03F58E43">
            <w:pPr>
              <w:spacing w:line="400" w:lineRule="exact"/>
              <w:jc w:val="center"/>
              <w:rPr>
                <w:rFonts w:ascii="宋体" w:hAnsi="宋体"/>
                <w:color w:val="auto"/>
                <w:szCs w:val="21"/>
                <w:highlight w:val="none"/>
              </w:rPr>
            </w:pPr>
          </w:p>
        </w:tc>
        <w:tc>
          <w:tcPr>
            <w:tcW w:w="404" w:type="pct"/>
            <w:noWrap w:val="0"/>
            <w:vAlign w:val="top"/>
          </w:tcPr>
          <w:p w14:paraId="52BFE8CC">
            <w:pPr>
              <w:spacing w:line="400" w:lineRule="exact"/>
              <w:jc w:val="center"/>
              <w:rPr>
                <w:rFonts w:ascii="宋体" w:hAnsi="宋体"/>
                <w:color w:val="auto"/>
                <w:szCs w:val="21"/>
                <w:highlight w:val="none"/>
              </w:rPr>
            </w:pPr>
          </w:p>
        </w:tc>
      </w:tr>
      <w:tr w14:paraId="2871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06B079E9">
            <w:pPr>
              <w:spacing w:line="400" w:lineRule="exact"/>
              <w:jc w:val="center"/>
              <w:rPr>
                <w:rFonts w:ascii="宋体" w:hAnsi="宋体"/>
                <w:color w:val="auto"/>
                <w:szCs w:val="21"/>
                <w:highlight w:val="none"/>
              </w:rPr>
            </w:pPr>
          </w:p>
        </w:tc>
        <w:tc>
          <w:tcPr>
            <w:tcW w:w="641" w:type="pct"/>
            <w:noWrap w:val="0"/>
            <w:vAlign w:val="top"/>
          </w:tcPr>
          <w:p w14:paraId="06A56990">
            <w:pPr>
              <w:spacing w:line="400" w:lineRule="exact"/>
              <w:jc w:val="center"/>
              <w:rPr>
                <w:rFonts w:ascii="宋体" w:hAnsi="宋体"/>
                <w:color w:val="auto"/>
                <w:szCs w:val="21"/>
                <w:highlight w:val="none"/>
              </w:rPr>
            </w:pPr>
          </w:p>
        </w:tc>
        <w:tc>
          <w:tcPr>
            <w:tcW w:w="516" w:type="pct"/>
            <w:noWrap w:val="0"/>
            <w:vAlign w:val="top"/>
          </w:tcPr>
          <w:p w14:paraId="32BBEFDF">
            <w:pPr>
              <w:spacing w:line="400" w:lineRule="exact"/>
              <w:jc w:val="center"/>
              <w:rPr>
                <w:rFonts w:ascii="宋体" w:hAnsi="宋体"/>
                <w:color w:val="auto"/>
                <w:szCs w:val="21"/>
                <w:highlight w:val="none"/>
              </w:rPr>
            </w:pPr>
          </w:p>
        </w:tc>
        <w:tc>
          <w:tcPr>
            <w:tcW w:w="516" w:type="pct"/>
            <w:noWrap w:val="0"/>
            <w:vAlign w:val="top"/>
          </w:tcPr>
          <w:p w14:paraId="6BD381EE">
            <w:pPr>
              <w:spacing w:line="400" w:lineRule="exact"/>
              <w:jc w:val="center"/>
              <w:rPr>
                <w:rFonts w:ascii="宋体" w:hAnsi="宋体"/>
                <w:color w:val="auto"/>
                <w:szCs w:val="21"/>
                <w:highlight w:val="none"/>
              </w:rPr>
            </w:pPr>
          </w:p>
        </w:tc>
        <w:tc>
          <w:tcPr>
            <w:tcW w:w="396" w:type="pct"/>
            <w:noWrap w:val="0"/>
            <w:vAlign w:val="top"/>
          </w:tcPr>
          <w:p w14:paraId="09B555C8">
            <w:pPr>
              <w:spacing w:line="400" w:lineRule="exact"/>
              <w:jc w:val="center"/>
              <w:rPr>
                <w:rFonts w:ascii="宋体" w:hAnsi="宋体"/>
                <w:color w:val="auto"/>
                <w:szCs w:val="21"/>
                <w:highlight w:val="none"/>
              </w:rPr>
            </w:pPr>
          </w:p>
        </w:tc>
        <w:tc>
          <w:tcPr>
            <w:tcW w:w="436" w:type="pct"/>
            <w:noWrap w:val="0"/>
            <w:vAlign w:val="top"/>
          </w:tcPr>
          <w:p w14:paraId="15C5F3AA">
            <w:pPr>
              <w:spacing w:line="400" w:lineRule="exact"/>
              <w:jc w:val="center"/>
              <w:rPr>
                <w:rFonts w:ascii="宋体" w:hAnsi="宋体"/>
                <w:color w:val="auto"/>
                <w:szCs w:val="21"/>
                <w:highlight w:val="none"/>
              </w:rPr>
            </w:pPr>
          </w:p>
        </w:tc>
        <w:tc>
          <w:tcPr>
            <w:tcW w:w="716" w:type="pct"/>
            <w:noWrap w:val="0"/>
            <w:vAlign w:val="top"/>
          </w:tcPr>
          <w:p w14:paraId="4E4A3EE2">
            <w:pPr>
              <w:spacing w:line="400" w:lineRule="exact"/>
              <w:jc w:val="center"/>
              <w:rPr>
                <w:rFonts w:ascii="宋体" w:hAnsi="宋体"/>
                <w:color w:val="auto"/>
                <w:szCs w:val="21"/>
                <w:highlight w:val="none"/>
              </w:rPr>
            </w:pPr>
          </w:p>
        </w:tc>
        <w:tc>
          <w:tcPr>
            <w:tcW w:w="976" w:type="pct"/>
            <w:noWrap w:val="0"/>
            <w:vAlign w:val="top"/>
          </w:tcPr>
          <w:p w14:paraId="593347A7">
            <w:pPr>
              <w:spacing w:line="400" w:lineRule="exact"/>
              <w:jc w:val="center"/>
              <w:rPr>
                <w:rFonts w:ascii="宋体" w:hAnsi="宋体"/>
                <w:color w:val="auto"/>
                <w:szCs w:val="21"/>
                <w:highlight w:val="none"/>
              </w:rPr>
            </w:pPr>
          </w:p>
        </w:tc>
        <w:tc>
          <w:tcPr>
            <w:tcW w:w="404" w:type="pct"/>
            <w:noWrap w:val="0"/>
            <w:vAlign w:val="top"/>
          </w:tcPr>
          <w:p w14:paraId="2EE90103">
            <w:pPr>
              <w:spacing w:line="400" w:lineRule="exact"/>
              <w:jc w:val="center"/>
              <w:rPr>
                <w:rFonts w:ascii="宋体" w:hAnsi="宋体"/>
                <w:color w:val="auto"/>
                <w:szCs w:val="21"/>
                <w:highlight w:val="none"/>
              </w:rPr>
            </w:pPr>
          </w:p>
        </w:tc>
      </w:tr>
      <w:tr w14:paraId="12F9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4C80AC00">
            <w:pPr>
              <w:spacing w:line="400" w:lineRule="exact"/>
              <w:jc w:val="center"/>
              <w:rPr>
                <w:rFonts w:ascii="宋体" w:hAnsi="宋体"/>
                <w:color w:val="auto"/>
                <w:szCs w:val="21"/>
                <w:highlight w:val="none"/>
              </w:rPr>
            </w:pPr>
          </w:p>
        </w:tc>
        <w:tc>
          <w:tcPr>
            <w:tcW w:w="641" w:type="pct"/>
            <w:noWrap w:val="0"/>
            <w:vAlign w:val="top"/>
          </w:tcPr>
          <w:p w14:paraId="327220F0">
            <w:pPr>
              <w:spacing w:line="400" w:lineRule="exact"/>
              <w:jc w:val="center"/>
              <w:rPr>
                <w:rFonts w:ascii="宋体" w:hAnsi="宋体"/>
                <w:color w:val="auto"/>
                <w:szCs w:val="21"/>
                <w:highlight w:val="none"/>
              </w:rPr>
            </w:pPr>
          </w:p>
        </w:tc>
        <w:tc>
          <w:tcPr>
            <w:tcW w:w="516" w:type="pct"/>
            <w:noWrap w:val="0"/>
            <w:vAlign w:val="top"/>
          </w:tcPr>
          <w:p w14:paraId="44495D47">
            <w:pPr>
              <w:spacing w:line="400" w:lineRule="exact"/>
              <w:jc w:val="center"/>
              <w:rPr>
                <w:rFonts w:ascii="宋体" w:hAnsi="宋体"/>
                <w:color w:val="auto"/>
                <w:szCs w:val="21"/>
                <w:highlight w:val="none"/>
              </w:rPr>
            </w:pPr>
          </w:p>
        </w:tc>
        <w:tc>
          <w:tcPr>
            <w:tcW w:w="516" w:type="pct"/>
            <w:noWrap w:val="0"/>
            <w:vAlign w:val="top"/>
          </w:tcPr>
          <w:p w14:paraId="732C7CDF">
            <w:pPr>
              <w:spacing w:line="400" w:lineRule="exact"/>
              <w:jc w:val="center"/>
              <w:rPr>
                <w:rFonts w:ascii="宋体" w:hAnsi="宋体"/>
                <w:color w:val="auto"/>
                <w:szCs w:val="21"/>
                <w:highlight w:val="none"/>
              </w:rPr>
            </w:pPr>
          </w:p>
        </w:tc>
        <w:tc>
          <w:tcPr>
            <w:tcW w:w="396" w:type="pct"/>
            <w:noWrap w:val="0"/>
            <w:vAlign w:val="top"/>
          </w:tcPr>
          <w:p w14:paraId="2FD59429">
            <w:pPr>
              <w:spacing w:line="400" w:lineRule="exact"/>
              <w:jc w:val="center"/>
              <w:rPr>
                <w:rFonts w:ascii="宋体" w:hAnsi="宋体"/>
                <w:color w:val="auto"/>
                <w:szCs w:val="21"/>
                <w:highlight w:val="none"/>
              </w:rPr>
            </w:pPr>
          </w:p>
        </w:tc>
        <w:tc>
          <w:tcPr>
            <w:tcW w:w="436" w:type="pct"/>
            <w:noWrap w:val="0"/>
            <w:vAlign w:val="top"/>
          </w:tcPr>
          <w:p w14:paraId="78D7D9BA">
            <w:pPr>
              <w:spacing w:line="400" w:lineRule="exact"/>
              <w:jc w:val="center"/>
              <w:rPr>
                <w:rFonts w:ascii="宋体" w:hAnsi="宋体"/>
                <w:color w:val="auto"/>
                <w:szCs w:val="21"/>
                <w:highlight w:val="none"/>
              </w:rPr>
            </w:pPr>
          </w:p>
        </w:tc>
        <w:tc>
          <w:tcPr>
            <w:tcW w:w="716" w:type="pct"/>
            <w:noWrap w:val="0"/>
            <w:vAlign w:val="top"/>
          </w:tcPr>
          <w:p w14:paraId="21492E1D">
            <w:pPr>
              <w:spacing w:line="400" w:lineRule="exact"/>
              <w:jc w:val="center"/>
              <w:rPr>
                <w:rFonts w:ascii="宋体" w:hAnsi="宋体"/>
                <w:color w:val="auto"/>
                <w:szCs w:val="21"/>
                <w:highlight w:val="none"/>
              </w:rPr>
            </w:pPr>
          </w:p>
        </w:tc>
        <w:tc>
          <w:tcPr>
            <w:tcW w:w="976" w:type="pct"/>
            <w:noWrap w:val="0"/>
            <w:vAlign w:val="top"/>
          </w:tcPr>
          <w:p w14:paraId="68D8CB4B">
            <w:pPr>
              <w:spacing w:line="400" w:lineRule="exact"/>
              <w:jc w:val="center"/>
              <w:rPr>
                <w:rFonts w:ascii="宋体" w:hAnsi="宋体"/>
                <w:color w:val="auto"/>
                <w:szCs w:val="21"/>
                <w:highlight w:val="none"/>
              </w:rPr>
            </w:pPr>
          </w:p>
        </w:tc>
        <w:tc>
          <w:tcPr>
            <w:tcW w:w="404" w:type="pct"/>
            <w:noWrap w:val="0"/>
            <w:vAlign w:val="top"/>
          </w:tcPr>
          <w:p w14:paraId="4BD91264">
            <w:pPr>
              <w:spacing w:line="400" w:lineRule="exact"/>
              <w:jc w:val="center"/>
              <w:rPr>
                <w:rFonts w:ascii="宋体" w:hAnsi="宋体"/>
                <w:color w:val="auto"/>
                <w:szCs w:val="21"/>
                <w:highlight w:val="none"/>
              </w:rPr>
            </w:pPr>
          </w:p>
        </w:tc>
      </w:tr>
      <w:tr w14:paraId="35FE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47BBB110">
            <w:pPr>
              <w:spacing w:line="400" w:lineRule="exact"/>
              <w:jc w:val="center"/>
              <w:rPr>
                <w:rFonts w:ascii="宋体" w:hAnsi="宋体"/>
                <w:color w:val="auto"/>
                <w:szCs w:val="21"/>
                <w:highlight w:val="none"/>
              </w:rPr>
            </w:pPr>
          </w:p>
        </w:tc>
        <w:tc>
          <w:tcPr>
            <w:tcW w:w="641" w:type="pct"/>
            <w:noWrap w:val="0"/>
            <w:vAlign w:val="top"/>
          </w:tcPr>
          <w:p w14:paraId="007050DD">
            <w:pPr>
              <w:spacing w:line="400" w:lineRule="exact"/>
              <w:jc w:val="center"/>
              <w:rPr>
                <w:rFonts w:ascii="宋体" w:hAnsi="宋体"/>
                <w:color w:val="auto"/>
                <w:szCs w:val="21"/>
                <w:highlight w:val="none"/>
              </w:rPr>
            </w:pPr>
          </w:p>
        </w:tc>
        <w:tc>
          <w:tcPr>
            <w:tcW w:w="516" w:type="pct"/>
            <w:noWrap w:val="0"/>
            <w:vAlign w:val="top"/>
          </w:tcPr>
          <w:p w14:paraId="7D1500B7">
            <w:pPr>
              <w:spacing w:line="400" w:lineRule="exact"/>
              <w:jc w:val="center"/>
              <w:rPr>
                <w:rFonts w:ascii="宋体" w:hAnsi="宋体"/>
                <w:color w:val="auto"/>
                <w:szCs w:val="21"/>
                <w:highlight w:val="none"/>
              </w:rPr>
            </w:pPr>
          </w:p>
        </w:tc>
        <w:tc>
          <w:tcPr>
            <w:tcW w:w="516" w:type="pct"/>
            <w:noWrap w:val="0"/>
            <w:vAlign w:val="top"/>
          </w:tcPr>
          <w:p w14:paraId="51FA2342">
            <w:pPr>
              <w:spacing w:line="400" w:lineRule="exact"/>
              <w:jc w:val="center"/>
              <w:rPr>
                <w:rFonts w:ascii="宋体" w:hAnsi="宋体"/>
                <w:color w:val="auto"/>
                <w:szCs w:val="21"/>
                <w:highlight w:val="none"/>
              </w:rPr>
            </w:pPr>
          </w:p>
        </w:tc>
        <w:tc>
          <w:tcPr>
            <w:tcW w:w="396" w:type="pct"/>
            <w:noWrap w:val="0"/>
            <w:vAlign w:val="top"/>
          </w:tcPr>
          <w:p w14:paraId="316E5EEC">
            <w:pPr>
              <w:spacing w:line="400" w:lineRule="exact"/>
              <w:jc w:val="center"/>
              <w:rPr>
                <w:rFonts w:ascii="宋体" w:hAnsi="宋体"/>
                <w:color w:val="auto"/>
                <w:szCs w:val="21"/>
                <w:highlight w:val="none"/>
              </w:rPr>
            </w:pPr>
          </w:p>
        </w:tc>
        <w:tc>
          <w:tcPr>
            <w:tcW w:w="436" w:type="pct"/>
            <w:noWrap w:val="0"/>
            <w:vAlign w:val="top"/>
          </w:tcPr>
          <w:p w14:paraId="7E5F7B58">
            <w:pPr>
              <w:spacing w:line="400" w:lineRule="exact"/>
              <w:jc w:val="center"/>
              <w:rPr>
                <w:rFonts w:ascii="宋体" w:hAnsi="宋体"/>
                <w:color w:val="auto"/>
                <w:szCs w:val="21"/>
                <w:highlight w:val="none"/>
              </w:rPr>
            </w:pPr>
          </w:p>
        </w:tc>
        <w:tc>
          <w:tcPr>
            <w:tcW w:w="716" w:type="pct"/>
            <w:noWrap w:val="0"/>
            <w:vAlign w:val="top"/>
          </w:tcPr>
          <w:p w14:paraId="0898A62D">
            <w:pPr>
              <w:spacing w:line="400" w:lineRule="exact"/>
              <w:jc w:val="center"/>
              <w:rPr>
                <w:rFonts w:ascii="宋体" w:hAnsi="宋体"/>
                <w:color w:val="auto"/>
                <w:szCs w:val="21"/>
                <w:highlight w:val="none"/>
              </w:rPr>
            </w:pPr>
          </w:p>
        </w:tc>
        <w:tc>
          <w:tcPr>
            <w:tcW w:w="976" w:type="pct"/>
            <w:noWrap w:val="0"/>
            <w:vAlign w:val="top"/>
          </w:tcPr>
          <w:p w14:paraId="7C50DD97">
            <w:pPr>
              <w:spacing w:line="400" w:lineRule="exact"/>
              <w:jc w:val="center"/>
              <w:rPr>
                <w:rFonts w:ascii="宋体" w:hAnsi="宋体"/>
                <w:color w:val="auto"/>
                <w:szCs w:val="21"/>
                <w:highlight w:val="none"/>
              </w:rPr>
            </w:pPr>
          </w:p>
        </w:tc>
        <w:tc>
          <w:tcPr>
            <w:tcW w:w="404" w:type="pct"/>
            <w:noWrap w:val="0"/>
            <w:vAlign w:val="top"/>
          </w:tcPr>
          <w:p w14:paraId="37B56895">
            <w:pPr>
              <w:spacing w:line="400" w:lineRule="exact"/>
              <w:jc w:val="center"/>
              <w:rPr>
                <w:rFonts w:ascii="宋体" w:hAnsi="宋体"/>
                <w:color w:val="auto"/>
                <w:szCs w:val="21"/>
                <w:highlight w:val="none"/>
              </w:rPr>
            </w:pPr>
          </w:p>
        </w:tc>
      </w:tr>
      <w:tr w14:paraId="7C5D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60A4AF31">
            <w:pPr>
              <w:spacing w:line="400" w:lineRule="exact"/>
              <w:jc w:val="center"/>
              <w:rPr>
                <w:rFonts w:ascii="宋体" w:hAnsi="宋体"/>
                <w:color w:val="auto"/>
                <w:szCs w:val="21"/>
                <w:highlight w:val="none"/>
              </w:rPr>
            </w:pPr>
          </w:p>
        </w:tc>
        <w:tc>
          <w:tcPr>
            <w:tcW w:w="641" w:type="pct"/>
            <w:noWrap w:val="0"/>
            <w:vAlign w:val="top"/>
          </w:tcPr>
          <w:p w14:paraId="4F90E06E">
            <w:pPr>
              <w:spacing w:line="400" w:lineRule="exact"/>
              <w:jc w:val="center"/>
              <w:rPr>
                <w:rFonts w:ascii="宋体" w:hAnsi="宋体"/>
                <w:color w:val="auto"/>
                <w:szCs w:val="21"/>
                <w:highlight w:val="none"/>
              </w:rPr>
            </w:pPr>
          </w:p>
        </w:tc>
        <w:tc>
          <w:tcPr>
            <w:tcW w:w="516" w:type="pct"/>
            <w:noWrap w:val="0"/>
            <w:vAlign w:val="top"/>
          </w:tcPr>
          <w:p w14:paraId="088C51F7">
            <w:pPr>
              <w:spacing w:line="400" w:lineRule="exact"/>
              <w:jc w:val="center"/>
              <w:rPr>
                <w:rFonts w:ascii="宋体" w:hAnsi="宋体"/>
                <w:color w:val="auto"/>
                <w:szCs w:val="21"/>
                <w:highlight w:val="none"/>
              </w:rPr>
            </w:pPr>
          </w:p>
        </w:tc>
        <w:tc>
          <w:tcPr>
            <w:tcW w:w="516" w:type="pct"/>
            <w:noWrap w:val="0"/>
            <w:vAlign w:val="top"/>
          </w:tcPr>
          <w:p w14:paraId="70FA5ADE">
            <w:pPr>
              <w:spacing w:line="400" w:lineRule="exact"/>
              <w:jc w:val="center"/>
              <w:rPr>
                <w:rFonts w:ascii="宋体" w:hAnsi="宋体"/>
                <w:color w:val="auto"/>
                <w:szCs w:val="21"/>
                <w:highlight w:val="none"/>
              </w:rPr>
            </w:pPr>
          </w:p>
        </w:tc>
        <w:tc>
          <w:tcPr>
            <w:tcW w:w="396" w:type="pct"/>
            <w:noWrap w:val="0"/>
            <w:vAlign w:val="top"/>
          </w:tcPr>
          <w:p w14:paraId="2976450B">
            <w:pPr>
              <w:spacing w:line="400" w:lineRule="exact"/>
              <w:jc w:val="center"/>
              <w:rPr>
                <w:rFonts w:ascii="宋体" w:hAnsi="宋体"/>
                <w:color w:val="auto"/>
                <w:szCs w:val="21"/>
                <w:highlight w:val="none"/>
              </w:rPr>
            </w:pPr>
          </w:p>
        </w:tc>
        <w:tc>
          <w:tcPr>
            <w:tcW w:w="436" w:type="pct"/>
            <w:noWrap w:val="0"/>
            <w:vAlign w:val="top"/>
          </w:tcPr>
          <w:p w14:paraId="2DD79E92">
            <w:pPr>
              <w:spacing w:line="400" w:lineRule="exact"/>
              <w:jc w:val="center"/>
              <w:rPr>
                <w:rFonts w:ascii="宋体" w:hAnsi="宋体"/>
                <w:color w:val="auto"/>
                <w:szCs w:val="21"/>
                <w:highlight w:val="none"/>
              </w:rPr>
            </w:pPr>
          </w:p>
        </w:tc>
        <w:tc>
          <w:tcPr>
            <w:tcW w:w="716" w:type="pct"/>
            <w:noWrap w:val="0"/>
            <w:vAlign w:val="top"/>
          </w:tcPr>
          <w:p w14:paraId="03AB7717">
            <w:pPr>
              <w:spacing w:line="400" w:lineRule="exact"/>
              <w:jc w:val="center"/>
              <w:rPr>
                <w:rFonts w:ascii="宋体" w:hAnsi="宋体"/>
                <w:color w:val="auto"/>
                <w:szCs w:val="21"/>
                <w:highlight w:val="none"/>
              </w:rPr>
            </w:pPr>
          </w:p>
        </w:tc>
        <w:tc>
          <w:tcPr>
            <w:tcW w:w="976" w:type="pct"/>
            <w:noWrap w:val="0"/>
            <w:vAlign w:val="top"/>
          </w:tcPr>
          <w:p w14:paraId="2C03C80B">
            <w:pPr>
              <w:spacing w:line="400" w:lineRule="exact"/>
              <w:jc w:val="center"/>
              <w:rPr>
                <w:rFonts w:ascii="宋体" w:hAnsi="宋体"/>
                <w:color w:val="auto"/>
                <w:szCs w:val="21"/>
                <w:highlight w:val="none"/>
              </w:rPr>
            </w:pPr>
          </w:p>
        </w:tc>
        <w:tc>
          <w:tcPr>
            <w:tcW w:w="404" w:type="pct"/>
            <w:noWrap w:val="0"/>
            <w:vAlign w:val="top"/>
          </w:tcPr>
          <w:p w14:paraId="364787D1">
            <w:pPr>
              <w:spacing w:line="400" w:lineRule="exact"/>
              <w:jc w:val="center"/>
              <w:rPr>
                <w:rFonts w:ascii="宋体" w:hAnsi="宋体"/>
                <w:color w:val="auto"/>
                <w:szCs w:val="21"/>
                <w:highlight w:val="none"/>
              </w:rPr>
            </w:pPr>
          </w:p>
        </w:tc>
      </w:tr>
      <w:tr w14:paraId="6D6A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5D4E0D84">
            <w:pPr>
              <w:spacing w:line="400" w:lineRule="exact"/>
              <w:jc w:val="center"/>
              <w:rPr>
                <w:rFonts w:ascii="宋体" w:hAnsi="宋体"/>
                <w:color w:val="auto"/>
                <w:szCs w:val="21"/>
                <w:highlight w:val="none"/>
              </w:rPr>
            </w:pPr>
          </w:p>
        </w:tc>
        <w:tc>
          <w:tcPr>
            <w:tcW w:w="641" w:type="pct"/>
            <w:noWrap w:val="0"/>
            <w:vAlign w:val="top"/>
          </w:tcPr>
          <w:p w14:paraId="43107E1E">
            <w:pPr>
              <w:spacing w:line="400" w:lineRule="exact"/>
              <w:jc w:val="center"/>
              <w:rPr>
                <w:rFonts w:ascii="宋体" w:hAnsi="宋体"/>
                <w:color w:val="auto"/>
                <w:szCs w:val="21"/>
                <w:highlight w:val="none"/>
              </w:rPr>
            </w:pPr>
          </w:p>
        </w:tc>
        <w:tc>
          <w:tcPr>
            <w:tcW w:w="516" w:type="pct"/>
            <w:noWrap w:val="0"/>
            <w:vAlign w:val="top"/>
          </w:tcPr>
          <w:p w14:paraId="6CB84494">
            <w:pPr>
              <w:spacing w:line="400" w:lineRule="exact"/>
              <w:jc w:val="center"/>
              <w:rPr>
                <w:rFonts w:ascii="宋体" w:hAnsi="宋体"/>
                <w:color w:val="auto"/>
                <w:szCs w:val="21"/>
                <w:highlight w:val="none"/>
              </w:rPr>
            </w:pPr>
          </w:p>
        </w:tc>
        <w:tc>
          <w:tcPr>
            <w:tcW w:w="516" w:type="pct"/>
            <w:noWrap w:val="0"/>
            <w:vAlign w:val="top"/>
          </w:tcPr>
          <w:p w14:paraId="449545F2">
            <w:pPr>
              <w:spacing w:line="400" w:lineRule="exact"/>
              <w:jc w:val="center"/>
              <w:rPr>
                <w:rFonts w:ascii="宋体" w:hAnsi="宋体"/>
                <w:color w:val="auto"/>
                <w:szCs w:val="21"/>
                <w:highlight w:val="none"/>
              </w:rPr>
            </w:pPr>
          </w:p>
        </w:tc>
        <w:tc>
          <w:tcPr>
            <w:tcW w:w="396" w:type="pct"/>
            <w:noWrap w:val="0"/>
            <w:vAlign w:val="top"/>
          </w:tcPr>
          <w:p w14:paraId="26123EED">
            <w:pPr>
              <w:spacing w:line="400" w:lineRule="exact"/>
              <w:jc w:val="center"/>
              <w:rPr>
                <w:rFonts w:ascii="宋体" w:hAnsi="宋体"/>
                <w:color w:val="auto"/>
                <w:szCs w:val="21"/>
                <w:highlight w:val="none"/>
              </w:rPr>
            </w:pPr>
          </w:p>
        </w:tc>
        <w:tc>
          <w:tcPr>
            <w:tcW w:w="436" w:type="pct"/>
            <w:noWrap w:val="0"/>
            <w:vAlign w:val="top"/>
          </w:tcPr>
          <w:p w14:paraId="52BB2FB8">
            <w:pPr>
              <w:spacing w:line="400" w:lineRule="exact"/>
              <w:jc w:val="center"/>
              <w:rPr>
                <w:rFonts w:ascii="宋体" w:hAnsi="宋体"/>
                <w:color w:val="auto"/>
                <w:szCs w:val="21"/>
                <w:highlight w:val="none"/>
              </w:rPr>
            </w:pPr>
          </w:p>
        </w:tc>
        <w:tc>
          <w:tcPr>
            <w:tcW w:w="716" w:type="pct"/>
            <w:noWrap w:val="0"/>
            <w:vAlign w:val="top"/>
          </w:tcPr>
          <w:p w14:paraId="0BD0769A">
            <w:pPr>
              <w:spacing w:line="400" w:lineRule="exact"/>
              <w:jc w:val="center"/>
              <w:rPr>
                <w:rFonts w:ascii="宋体" w:hAnsi="宋体"/>
                <w:color w:val="auto"/>
                <w:szCs w:val="21"/>
                <w:highlight w:val="none"/>
              </w:rPr>
            </w:pPr>
          </w:p>
        </w:tc>
        <w:tc>
          <w:tcPr>
            <w:tcW w:w="976" w:type="pct"/>
            <w:noWrap w:val="0"/>
            <w:vAlign w:val="top"/>
          </w:tcPr>
          <w:p w14:paraId="4596459D">
            <w:pPr>
              <w:spacing w:line="400" w:lineRule="exact"/>
              <w:jc w:val="center"/>
              <w:rPr>
                <w:rFonts w:ascii="宋体" w:hAnsi="宋体"/>
                <w:color w:val="auto"/>
                <w:szCs w:val="21"/>
                <w:highlight w:val="none"/>
              </w:rPr>
            </w:pPr>
          </w:p>
        </w:tc>
        <w:tc>
          <w:tcPr>
            <w:tcW w:w="404" w:type="pct"/>
            <w:noWrap w:val="0"/>
            <w:vAlign w:val="top"/>
          </w:tcPr>
          <w:p w14:paraId="55A1304E">
            <w:pPr>
              <w:spacing w:line="400" w:lineRule="exact"/>
              <w:jc w:val="center"/>
              <w:rPr>
                <w:rFonts w:ascii="宋体" w:hAnsi="宋体"/>
                <w:color w:val="auto"/>
                <w:szCs w:val="21"/>
                <w:highlight w:val="none"/>
              </w:rPr>
            </w:pPr>
          </w:p>
        </w:tc>
      </w:tr>
      <w:tr w14:paraId="6294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7944ED54">
            <w:pPr>
              <w:spacing w:line="400" w:lineRule="exact"/>
              <w:jc w:val="center"/>
              <w:rPr>
                <w:rFonts w:ascii="宋体" w:hAnsi="宋体"/>
                <w:color w:val="auto"/>
                <w:szCs w:val="21"/>
                <w:highlight w:val="none"/>
              </w:rPr>
            </w:pPr>
          </w:p>
        </w:tc>
        <w:tc>
          <w:tcPr>
            <w:tcW w:w="641" w:type="pct"/>
            <w:noWrap w:val="0"/>
            <w:vAlign w:val="top"/>
          </w:tcPr>
          <w:p w14:paraId="5379F3E3">
            <w:pPr>
              <w:spacing w:line="400" w:lineRule="exact"/>
              <w:jc w:val="center"/>
              <w:rPr>
                <w:rFonts w:ascii="宋体" w:hAnsi="宋体"/>
                <w:color w:val="auto"/>
                <w:szCs w:val="21"/>
                <w:highlight w:val="none"/>
              </w:rPr>
            </w:pPr>
          </w:p>
        </w:tc>
        <w:tc>
          <w:tcPr>
            <w:tcW w:w="516" w:type="pct"/>
            <w:noWrap w:val="0"/>
            <w:vAlign w:val="top"/>
          </w:tcPr>
          <w:p w14:paraId="507E0D60">
            <w:pPr>
              <w:spacing w:line="400" w:lineRule="exact"/>
              <w:jc w:val="center"/>
              <w:rPr>
                <w:rFonts w:ascii="宋体" w:hAnsi="宋体"/>
                <w:color w:val="auto"/>
                <w:szCs w:val="21"/>
                <w:highlight w:val="none"/>
              </w:rPr>
            </w:pPr>
          </w:p>
        </w:tc>
        <w:tc>
          <w:tcPr>
            <w:tcW w:w="516" w:type="pct"/>
            <w:noWrap w:val="0"/>
            <w:vAlign w:val="top"/>
          </w:tcPr>
          <w:p w14:paraId="3B124846">
            <w:pPr>
              <w:spacing w:line="400" w:lineRule="exact"/>
              <w:jc w:val="center"/>
              <w:rPr>
                <w:rFonts w:ascii="宋体" w:hAnsi="宋体"/>
                <w:color w:val="auto"/>
                <w:szCs w:val="21"/>
                <w:highlight w:val="none"/>
              </w:rPr>
            </w:pPr>
          </w:p>
        </w:tc>
        <w:tc>
          <w:tcPr>
            <w:tcW w:w="396" w:type="pct"/>
            <w:noWrap w:val="0"/>
            <w:vAlign w:val="top"/>
          </w:tcPr>
          <w:p w14:paraId="03583B15">
            <w:pPr>
              <w:spacing w:line="400" w:lineRule="exact"/>
              <w:jc w:val="center"/>
              <w:rPr>
                <w:rFonts w:ascii="宋体" w:hAnsi="宋体"/>
                <w:color w:val="auto"/>
                <w:szCs w:val="21"/>
                <w:highlight w:val="none"/>
              </w:rPr>
            </w:pPr>
          </w:p>
        </w:tc>
        <w:tc>
          <w:tcPr>
            <w:tcW w:w="436" w:type="pct"/>
            <w:noWrap w:val="0"/>
            <w:vAlign w:val="top"/>
          </w:tcPr>
          <w:p w14:paraId="5B2A03C9">
            <w:pPr>
              <w:spacing w:line="400" w:lineRule="exact"/>
              <w:jc w:val="center"/>
              <w:rPr>
                <w:rFonts w:ascii="宋体" w:hAnsi="宋体"/>
                <w:color w:val="auto"/>
                <w:szCs w:val="21"/>
                <w:highlight w:val="none"/>
              </w:rPr>
            </w:pPr>
          </w:p>
        </w:tc>
        <w:tc>
          <w:tcPr>
            <w:tcW w:w="716" w:type="pct"/>
            <w:noWrap w:val="0"/>
            <w:vAlign w:val="top"/>
          </w:tcPr>
          <w:p w14:paraId="75376758">
            <w:pPr>
              <w:spacing w:line="400" w:lineRule="exact"/>
              <w:jc w:val="center"/>
              <w:rPr>
                <w:rFonts w:ascii="宋体" w:hAnsi="宋体"/>
                <w:color w:val="auto"/>
                <w:szCs w:val="21"/>
                <w:highlight w:val="none"/>
              </w:rPr>
            </w:pPr>
          </w:p>
        </w:tc>
        <w:tc>
          <w:tcPr>
            <w:tcW w:w="976" w:type="pct"/>
            <w:noWrap w:val="0"/>
            <w:vAlign w:val="top"/>
          </w:tcPr>
          <w:p w14:paraId="402BA834">
            <w:pPr>
              <w:spacing w:line="400" w:lineRule="exact"/>
              <w:jc w:val="center"/>
              <w:rPr>
                <w:rFonts w:ascii="宋体" w:hAnsi="宋体"/>
                <w:color w:val="auto"/>
                <w:szCs w:val="21"/>
                <w:highlight w:val="none"/>
              </w:rPr>
            </w:pPr>
          </w:p>
        </w:tc>
        <w:tc>
          <w:tcPr>
            <w:tcW w:w="404" w:type="pct"/>
            <w:noWrap w:val="0"/>
            <w:vAlign w:val="top"/>
          </w:tcPr>
          <w:p w14:paraId="79A47BEE">
            <w:pPr>
              <w:spacing w:line="400" w:lineRule="exact"/>
              <w:jc w:val="center"/>
              <w:rPr>
                <w:rFonts w:ascii="宋体" w:hAnsi="宋体"/>
                <w:color w:val="auto"/>
                <w:szCs w:val="21"/>
                <w:highlight w:val="none"/>
              </w:rPr>
            </w:pPr>
          </w:p>
        </w:tc>
      </w:tr>
      <w:tr w14:paraId="6B1D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04C063C8">
            <w:pPr>
              <w:spacing w:line="400" w:lineRule="exact"/>
              <w:jc w:val="center"/>
              <w:rPr>
                <w:rFonts w:ascii="宋体" w:hAnsi="宋体"/>
                <w:color w:val="auto"/>
                <w:szCs w:val="21"/>
                <w:highlight w:val="none"/>
              </w:rPr>
            </w:pPr>
          </w:p>
        </w:tc>
        <w:tc>
          <w:tcPr>
            <w:tcW w:w="641" w:type="pct"/>
            <w:noWrap w:val="0"/>
            <w:vAlign w:val="top"/>
          </w:tcPr>
          <w:p w14:paraId="5EE628F0">
            <w:pPr>
              <w:spacing w:line="400" w:lineRule="exact"/>
              <w:jc w:val="center"/>
              <w:rPr>
                <w:rFonts w:ascii="宋体" w:hAnsi="宋体"/>
                <w:color w:val="auto"/>
                <w:szCs w:val="21"/>
                <w:highlight w:val="none"/>
              </w:rPr>
            </w:pPr>
          </w:p>
        </w:tc>
        <w:tc>
          <w:tcPr>
            <w:tcW w:w="516" w:type="pct"/>
            <w:noWrap w:val="0"/>
            <w:vAlign w:val="top"/>
          </w:tcPr>
          <w:p w14:paraId="5EC102C8">
            <w:pPr>
              <w:spacing w:line="400" w:lineRule="exact"/>
              <w:jc w:val="center"/>
              <w:rPr>
                <w:rFonts w:ascii="宋体" w:hAnsi="宋体"/>
                <w:color w:val="auto"/>
                <w:szCs w:val="21"/>
                <w:highlight w:val="none"/>
              </w:rPr>
            </w:pPr>
          </w:p>
        </w:tc>
        <w:tc>
          <w:tcPr>
            <w:tcW w:w="516" w:type="pct"/>
            <w:noWrap w:val="0"/>
            <w:vAlign w:val="top"/>
          </w:tcPr>
          <w:p w14:paraId="2A81D631">
            <w:pPr>
              <w:spacing w:line="400" w:lineRule="exact"/>
              <w:jc w:val="center"/>
              <w:rPr>
                <w:rFonts w:ascii="宋体" w:hAnsi="宋体"/>
                <w:color w:val="auto"/>
                <w:szCs w:val="21"/>
                <w:highlight w:val="none"/>
              </w:rPr>
            </w:pPr>
          </w:p>
        </w:tc>
        <w:tc>
          <w:tcPr>
            <w:tcW w:w="396" w:type="pct"/>
            <w:noWrap w:val="0"/>
            <w:vAlign w:val="top"/>
          </w:tcPr>
          <w:p w14:paraId="59B43EE9">
            <w:pPr>
              <w:spacing w:line="400" w:lineRule="exact"/>
              <w:jc w:val="center"/>
              <w:rPr>
                <w:rFonts w:ascii="宋体" w:hAnsi="宋体"/>
                <w:color w:val="auto"/>
                <w:szCs w:val="21"/>
                <w:highlight w:val="none"/>
              </w:rPr>
            </w:pPr>
          </w:p>
        </w:tc>
        <w:tc>
          <w:tcPr>
            <w:tcW w:w="436" w:type="pct"/>
            <w:noWrap w:val="0"/>
            <w:vAlign w:val="top"/>
          </w:tcPr>
          <w:p w14:paraId="3691776B">
            <w:pPr>
              <w:spacing w:line="400" w:lineRule="exact"/>
              <w:jc w:val="center"/>
              <w:rPr>
                <w:rFonts w:ascii="宋体" w:hAnsi="宋体"/>
                <w:color w:val="auto"/>
                <w:szCs w:val="21"/>
                <w:highlight w:val="none"/>
              </w:rPr>
            </w:pPr>
          </w:p>
        </w:tc>
        <w:tc>
          <w:tcPr>
            <w:tcW w:w="716" w:type="pct"/>
            <w:noWrap w:val="0"/>
            <w:vAlign w:val="top"/>
          </w:tcPr>
          <w:p w14:paraId="61C7BC8B">
            <w:pPr>
              <w:spacing w:line="400" w:lineRule="exact"/>
              <w:jc w:val="center"/>
              <w:rPr>
                <w:rFonts w:ascii="宋体" w:hAnsi="宋体"/>
                <w:color w:val="auto"/>
                <w:szCs w:val="21"/>
                <w:highlight w:val="none"/>
              </w:rPr>
            </w:pPr>
          </w:p>
        </w:tc>
        <w:tc>
          <w:tcPr>
            <w:tcW w:w="976" w:type="pct"/>
            <w:noWrap w:val="0"/>
            <w:vAlign w:val="top"/>
          </w:tcPr>
          <w:p w14:paraId="1696E83D">
            <w:pPr>
              <w:spacing w:line="400" w:lineRule="exact"/>
              <w:jc w:val="center"/>
              <w:rPr>
                <w:rFonts w:ascii="宋体" w:hAnsi="宋体"/>
                <w:color w:val="auto"/>
                <w:szCs w:val="21"/>
                <w:highlight w:val="none"/>
              </w:rPr>
            </w:pPr>
          </w:p>
        </w:tc>
        <w:tc>
          <w:tcPr>
            <w:tcW w:w="404" w:type="pct"/>
            <w:noWrap w:val="0"/>
            <w:vAlign w:val="top"/>
          </w:tcPr>
          <w:p w14:paraId="1C945990">
            <w:pPr>
              <w:spacing w:line="400" w:lineRule="exact"/>
              <w:jc w:val="center"/>
              <w:rPr>
                <w:rFonts w:ascii="宋体" w:hAnsi="宋体"/>
                <w:color w:val="auto"/>
                <w:szCs w:val="21"/>
                <w:highlight w:val="none"/>
              </w:rPr>
            </w:pPr>
          </w:p>
        </w:tc>
      </w:tr>
      <w:tr w14:paraId="1962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1A2BAAEA">
            <w:pPr>
              <w:spacing w:line="400" w:lineRule="exact"/>
              <w:jc w:val="center"/>
              <w:rPr>
                <w:rFonts w:ascii="宋体" w:hAnsi="宋体"/>
                <w:color w:val="auto"/>
                <w:szCs w:val="21"/>
                <w:highlight w:val="none"/>
              </w:rPr>
            </w:pPr>
          </w:p>
        </w:tc>
        <w:tc>
          <w:tcPr>
            <w:tcW w:w="641" w:type="pct"/>
            <w:noWrap w:val="0"/>
            <w:vAlign w:val="top"/>
          </w:tcPr>
          <w:p w14:paraId="6FD26877">
            <w:pPr>
              <w:spacing w:line="400" w:lineRule="exact"/>
              <w:jc w:val="center"/>
              <w:rPr>
                <w:rFonts w:ascii="宋体" w:hAnsi="宋体"/>
                <w:color w:val="auto"/>
                <w:szCs w:val="21"/>
                <w:highlight w:val="none"/>
              </w:rPr>
            </w:pPr>
          </w:p>
        </w:tc>
        <w:tc>
          <w:tcPr>
            <w:tcW w:w="516" w:type="pct"/>
            <w:noWrap w:val="0"/>
            <w:vAlign w:val="top"/>
          </w:tcPr>
          <w:p w14:paraId="244E2132">
            <w:pPr>
              <w:spacing w:line="400" w:lineRule="exact"/>
              <w:jc w:val="center"/>
              <w:rPr>
                <w:rFonts w:ascii="宋体" w:hAnsi="宋体"/>
                <w:color w:val="auto"/>
                <w:szCs w:val="21"/>
                <w:highlight w:val="none"/>
              </w:rPr>
            </w:pPr>
          </w:p>
        </w:tc>
        <w:tc>
          <w:tcPr>
            <w:tcW w:w="516" w:type="pct"/>
            <w:noWrap w:val="0"/>
            <w:vAlign w:val="top"/>
          </w:tcPr>
          <w:p w14:paraId="312E7B0A">
            <w:pPr>
              <w:spacing w:line="400" w:lineRule="exact"/>
              <w:jc w:val="center"/>
              <w:rPr>
                <w:rFonts w:ascii="宋体" w:hAnsi="宋体"/>
                <w:color w:val="auto"/>
                <w:szCs w:val="21"/>
                <w:highlight w:val="none"/>
              </w:rPr>
            </w:pPr>
          </w:p>
        </w:tc>
        <w:tc>
          <w:tcPr>
            <w:tcW w:w="396" w:type="pct"/>
            <w:noWrap w:val="0"/>
            <w:vAlign w:val="top"/>
          </w:tcPr>
          <w:p w14:paraId="087F4467">
            <w:pPr>
              <w:spacing w:line="400" w:lineRule="exact"/>
              <w:jc w:val="center"/>
              <w:rPr>
                <w:rFonts w:ascii="宋体" w:hAnsi="宋体"/>
                <w:color w:val="auto"/>
                <w:szCs w:val="21"/>
                <w:highlight w:val="none"/>
              </w:rPr>
            </w:pPr>
          </w:p>
        </w:tc>
        <w:tc>
          <w:tcPr>
            <w:tcW w:w="436" w:type="pct"/>
            <w:noWrap w:val="0"/>
            <w:vAlign w:val="top"/>
          </w:tcPr>
          <w:p w14:paraId="6613EBB0">
            <w:pPr>
              <w:spacing w:line="400" w:lineRule="exact"/>
              <w:jc w:val="center"/>
              <w:rPr>
                <w:rFonts w:ascii="宋体" w:hAnsi="宋体"/>
                <w:color w:val="auto"/>
                <w:szCs w:val="21"/>
                <w:highlight w:val="none"/>
              </w:rPr>
            </w:pPr>
          </w:p>
        </w:tc>
        <w:tc>
          <w:tcPr>
            <w:tcW w:w="716" w:type="pct"/>
            <w:noWrap w:val="0"/>
            <w:vAlign w:val="top"/>
          </w:tcPr>
          <w:p w14:paraId="39B9B143">
            <w:pPr>
              <w:spacing w:line="400" w:lineRule="exact"/>
              <w:jc w:val="center"/>
              <w:rPr>
                <w:rFonts w:ascii="宋体" w:hAnsi="宋体"/>
                <w:color w:val="auto"/>
                <w:szCs w:val="21"/>
                <w:highlight w:val="none"/>
              </w:rPr>
            </w:pPr>
          </w:p>
        </w:tc>
        <w:tc>
          <w:tcPr>
            <w:tcW w:w="976" w:type="pct"/>
            <w:noWrap w:val="0"/>
            <w:vAlign w:val="top"/>
          </w:tcPr>
          <w:p w14:paraId="3971F5F3">
            <w:pPr>
              <w:spacing w:line="400" w:lineRule="exact"/>
              <w:jc w:val="center"/>
              <w:rPr>
                <w:rFonts w:ascii="宋体" w:hAnsi="宋体"/>
                <w:color w:val="auto"/>
                <w:szCs w:val="21"/>
                <w:highlight w:val="none"/>
              </w:rPr>
            </w:pPr>
          </w:p>
        </w:tc>
        <w:tc>
          <w:tcPr>
            <w:tcW w:w="404" w:type="pct"/>
            <w:noWrap w:val="0"/>
            <w:vAlign w:val="top"/>
          </w:tcPr>
          <w:p w14:paraId="5D8F97DF">
            <w:pPr>
              <w:spacing w:line="400" w:lineRule="exact"/>
              <w:jc w:val="center"/>
              <w:rPr>
                <w:rFonts w:ascii="宋体" w:hAnsi="宋体"/>
                <w:color w:val="auto"/>
                <w:szCs w:val="21"/>
                <w:highlight w:val="none"/>
              </w:rPr>
            </w:pPr>
          </w:p>
        </w:tc>
      </w:tr>
      <w:tr w14:paraId="260B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7B4C6F09">
            <w:pPr>
              <w:spacing w:line="400" w:lineRule="exact"/>
              <w:jc w:val="center"/>
              <w:rPr>
                <w:rFonts w:ascii="宋体" w:hAnsi="宋体"/>
                <w:color w:val="auto"/>
                <w:szCs w:val="21"/>
                <w:highlight w:val="none"/>
              </w:rPr>
            </w:pPr>
          </w:p>
        </w:tc>
        <w:tc>
          <w:tcPr>
            <w:tcW w:w="641" w:type="pct"/>
            <w:noWrap w:val="0"/>
            <w:vAlign w:val="top"/>
          </w:tcPr>
          <w:p w14:paraId="1E2AF2C8">
            <w:pPr>
              <w:spacing w:line="400" w:lineRule="exact"/>
              <w:jc w:val="center"/>
              <w:rPr>
                <w:rFonts w:ascii="宋体" w:hAnsi="宋体"/>
                <w:color w:val="auto"/>
                <w:szCs w:val="21"/>
                <w:highlight w:val="none"/>
              </w:rPr>
            </w:pPr>
          </w:p>
        </w:tc>
        <w:tc>
          <w:tcPr>
            <w:tcW w:w="516" w:type="pct"/>
            <w:noWrap w:val="0"/>
            <w:vAlign w:val="top"/>
          </w:tcPr>
          <w:p w14:paraId="245A977F">
            <w:pPr>
              <w:spacing w:line="400" w:lineRule="exact"/>
              <w:jc w:val="center"/>
              <w:rPr>
                <w:rFonts w:ascii="宋体" w:hAnsi="宋体"/>
                <w:color w:val="auto"/>
                <w:szCs w:val="21"/>
                <w:highlight w:val="none"/>
              </w:rPr>
            </w:pPr>
          </w:p>
        </w:tc>
        <w:tc>
          <w:tcPr>
            <w:tcW w:w="516" w:type="pct"/>
            <w:noWrap w:val="0"/>
            <w:vAlign w:val="top"/>
          </w:tcPr>
          <w:p w14:paraId="5F7011BD">
            <w:pPr>
              <w:spacing w:line="400" w:lineRule="exact"/>
              <w:jc w:val="center"/>
              <w:rPr>
                <w:rFonts w:ascii="宋体" w:hAnsi="宋体"/>
                <w:color w:val="auto"/>
                <w:szCs w:val="21"/>
                <w:highlight w:val="none"/>
              </w:rPr>
            </w:pPr>
          </w:p>
        </w:tc>
        <w:tc>
          <w:tcPr>
            <w:tcW w:w="396" w:type="pct"/>
            <w:noWrap w:val="0"/>
            <w:vAlign w:val="top"/>
          </w:tcPr>
          <w:p w14:paraId="1B640AC7">
            <w:pPr>
              <w:spacing w:line="400" w:lineRule="exact"/>
              <w:jc w:val="center"/>
              <w:rPr>
                <w:rFonts w:ascii="宋体" w:hAnsi="宋体"/>
                <w:color w:val="auto"/>
                <w:szCs w:val="21"/>
                <w:highlight w:val="none"/>
              </w:rPr>
            </w:pPr>
          </w:p>
        </w:tc>
        <w:tc>
          <w:tcPr>
            <w:tcW w:w="436" w:type="pct"/>
            <w:noWrap w:val="0"/>
            <w:vAlign w:val="top"/>
          </w:tcPr>
          <w:p w14:paraId="32360FEA">
            <w:pPr>
              <w:spacing w:line="400" w:lineRule="exact"/>
              <w:jc w:val="center"/>
              <w:rPr>
                <w:rFonts w:ascii="宋体" w:hAnsi="宋体"/>
                <w:color w:val="auto"/>
                <w:szCs w:val="21"/>
                <w:highlight w:val="none"/>
              </w:rPr>
            </w:pPr>
          </w:p>
        </w:tc>
        <w:tc>
          <w:tcPr>
            <w:tcW w:w="716" w:type="pct"/>
            <w:noWrap w:val="0"/>
            <w:vAlign w:val="top"/>
          </w:tcPr>
          <w:p w14:paraId="4355DC04">
            <w:pPr>
              <w:spacing w:line="400" w:lineRule="exact"/>
              <w:jc w:val="center"/>
              <w:rPr>
                <w:rFonts w:ascii="宋体" w:hAnsi="宋体"/>
                <w:color w:val="auto"/>
                <w:szCs w:val="21"/>
                <w:highlight w:val="none"/>
              </w:rPr>
            </w:pPr>
          </w:p>
        </w:tc>
        <w:tc>
          <w:tcPr>
            <w:tcW w:w="976" w:type="pct"/>
            <w:noWrap w:val="0"/>
            <w:vAlign w:val="top"/>
          </w:tcPr>
          <w:p w14:paraId="567D74D2">
            <w:pPr>
              <w:spacing w:line="400" w:lineRule="exact"/>
              <w:jc w:val="center"/>
              <w:rPr>
                <w:rFonts w:ascii="宋体" w:hAnsi="宋体"/>
                <w:color w:val="auto"/>
                <w:szCs w:val="21"/>
                <w:highlight w:val="none"/>
              </w:rPr>
            </w:pPr>
          </w:p>
        </w:tc>
        <w:tc>
          <w:tcPr>
            <w:tcW w:w="404" w:type="pct"/>
            <w:noWrap w:val="0"/>
            <w:vAlign w:val="top"/>
          </w:tcPr>
          <w:p w14:paraId="389AA5BD">
            <w:pPr>
              <w:spacing w:line="400" w:lineRule="exact"/>
              <w:jc w:val="center"/>
              <w:rPr>
                <w:rFonts w:ascii="宋体" w:hAnsi="宋体"/>
                <w:color w:val="auto"/>
                <w:szCs w:val="21"/>
                <w:highlight w:val="none"/>
              </w:rPr>
            </w:pPr>
          </w:p>
        </w:tc>
      </w:tr>
      <w:tr w14:paraId="5C59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260E17DD">
            <w:pPr>
              <w:spacing w:line="400" w:lineRule="exact"/>
              <w:jc w:val="center"/>
              <w:rPr>
                <w:rFonts w:ascii="宋体" w:hAnsi="宋体"/>
                <w:color w:val="auto"/>
                <w:szCs w:val="21"/>
                <w:highlight w:val="none"/>
              </w:rPr>
            </w:pPr>
          </w:p>
        </w:tc>
        <w:tc>
          <w:tcPr>
            <w:tcW w:w="641" w:type="pct"/>
            <w:noWrap w:val="0"/>
            <w:vAlign w:val="top"/>
          </w:tcPr>
          <w:p w14:paraId="1FDC6B6C">
            <w:pPr>
              <w:spacing w:line="400" w:lineRule="exact"/>
              <w:jc w:val="center"/>
              <w:rPr>
                <w:rFonts w:ascii="宋体" w:hAnsi="宋体"/>
                <w:color w:val="auto"/>
                <w:szCs w:val="21"/>
                <w:highlight w:val="none"/>
              </w:rPr>
            </w:pPr>
          </w:p>
        </w:tc>
        <w:tc>
          <w:tcPr>
            <w:tcW w:w="516" w:type="pct"/>
            <w:noWrap w:val="0"/>
            <w:vAlign w:val="top"/>
          </w:tcPr>
          <w:p w14:paraId="6104CE35">
            <w:pPr>
              <w:spacing w:line="400" w:lineRule="exact"/>
              <w:jc w:val="center"/>
              <w:rPr>
                <w:rFonts w:ascii="宋体" w:hAnsi="宋体"/>
                <w:color w:val="auto"/>
                <w:szCs w:val="21"/>
                <w:highlight w:val="none"/>
              </w:rPr>
            </w:pPr>
          </w:p>
        </w:tc>
        <w:tc>
          <w:tcPr>
            <w:tcW w:w="516" w:type="pct"/>
            <w:noWrap w:val="0"/>
            <w:vAlign w:val="top"/>
          </w:tcPr>
          <w:p w14:paraId="057F9DF4">
            <w:pPr>
              <w:spacing w:line="400" w:lineRule="exact"/>
              <w:jc w:val="center"/>
              <w:rPr>
                <w:rFonts w:ascii="宋体" w:hAnsi="宋体"/>
                <w:color w:val="auto"/>
                <w:szCs w:val="21"/>
                <w:highlight w:val="none"/>
              </w:rPr>
            </w:pPr>
          </w:p>
        </w:tc>
        <w:tc>
          <w:tcPr>
            <w:tcW w:w="396" w:type="pct"/>
            <w:noWrap w:val="0"/>
            <w:vAlign w:val="top"/>
          </w:tcPr>
          <w:p w14:paraId="0DF6CDED">
            <w:pPr>
              <w:spacing w:line="400" w:lineRule="exact"/>
              <w:jc w:val="center"/>
              <w:rPr>
                <w:rFonts w:ascii="宋体" w:hAnsi="宋体"/>
                <w:color w:val="auto"/>
                <w:szCs w:val="21"/>
                <w:highlight w:val="none"/>
              </w:rPr>
            </w:pPr>
          </w:p>
        </w:tc>
        <w:tc>
          <w:tcPr>
            <w:tcW w:w="436" w:type="pct"/>
            <w:noWrap w:val="0"/>
            <w:vAlign w:val="top"/>
          </w:tcPr>
          <w:p w14:paraId="79172DD8">
            <w:pPr>
              <w:spacing w:line="400" w:lineRule="exact"/>
              <w:jc w:val="center"/>
              <w:rPr>
                <w:rFonts w:ascii="宋体" w:hAnsi="宋体"/>
                <w:color w:val="auto"/>
                <w:szCs w:val="21"/>
                <w:highlight w:val="none"/>
              </w:rPr>
            </w:pPr>
          </w:p>
        </w:tc>
        <w:tc>
          <w:tcPr>
            <w:tcW w:w="716" w:type="pct"/>
            <w:noWrap w:val="0"/>
            <w:vAlign w:val="top"/>
          </w:tcPr>
          <w:p w14:paraId="5F46173B">
            <w:pPr>
              <w:spacing w:line="400" w:lineRule="exact"/>
              <w:jc w:val="center"/>
              <w:rPr>
                <w:rFonts w:ascii="宋体" w:hAnsi="宋体"/>
                <w:color w:val="auto"/>
                <w:szCs w:val="21"/>
                <w:highlight w:val="none"/>
              </w:rPr>
            </w:pPr>
          </w:p>
        </w:tc>
        <w:tc>
          <w:tcPr>
            <w:tcW w:w="976" w:type="pct"/>
            <w:noWrap w:val="0"/>
            <w:vAlign w:val="top"/>
          </w:tcPr>
          <w:p w14:paraId="4D622A94">
            <w:pPr>
              <w:spacing w:line="400" w:lineRule="exact"/>
              <w:jc w:val="center"/>
              <w:rPr>
                <w:rFonts w:ascii="宋体" w:hAnsi="宋体"/>
                <w:color w:val="auto"/>
                <w:szCs w:val="21"/>
                <w:highlight w:val="none"/>
              </w:rPr>
            </w:pPr>
          </w:p>
        </w:tc>
        <w:tc>
          <w:tcPr>
            <w:tcW w:w="404" w:type="pct"/>
            <w:noWrap w:val="0"/>
            <w:vAlign w:val="top"/>
          </w:tcPr>
          <w:p w14:paraId="152B6564">
            <w:pPr>
              <w:spacing w:line="400" w:lineRule="exact"/>
              <w:jc w:val="center"/>
              <w:rPr>
                <w:rFonts w:ascii="宋体" w:hAnsi="宋体"/>
                <w:color w:val="auto"/>
                <w:szCs w:val="21"/>
                <w:highlight w:val="none"/>
              </w:rPr>
            </w:pPr>
          </w:p>
        </w:tc>
      </w:tr>
      <w:tr w14:paraId="4552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18DDF88D">
            <w:pPr>
              <w:spacing w:line="400" w:lineRule="exact"/>
              <w:jc w:val="center"/>
              <w:rPr>
                <w:rFonts w:ascii="宋体" w:hAnsi="宋体"/>
                <w:color w:val="auto"/>
                <w:szCs w:val="21"/>
                <w:highlight w:val="none"/>
              </w:rPr>
            </w:pPr>
          </w:p>
        </w:tc>
        <w:tc>
          <w:tcPr>
            <w:tcW w:w="641" w:type="pct"/>
            <w:noWrap w:val="0"/>
            <w:vAlign w:val="top"/>
          </w:tcPr>
          <w:p w14:paraId="47F24F70">
            <w:pPr>
              <w:spacing w:line="400" w:lineRule="exact"/>
              <w:jc w:val="center"/>
              <w:rPr>
                <w:rFonts w:ascii="宋体" w:hAnsi="宋体"/>
                <w:color w:val="auto"/>
                <w:szCs w:val="21"/>
                <w:highlight w:val="none"/>
              </w:rPr>
            </w:pPr>
          </w:p>
        </w:tc>
        <w:tc>
          <w:tcPr>
            <w:tcW w:w="516" w:type="pct"/>
            <w:noWrap w:val="0"/>
            <w:vAlign w:val="top"/>
          </w:tcPr>
          <w:p w14:paraId="254CFEBA">
            <w:pPr>
              <w:spacing w:line="400" w:lineRule="exact"/>
              <w:jc w:val="center"/>
              <w:rPr>
                <w:rFonts w:ascii="宋体" w:hAnsi="宋体"/>
                <w:color w:val="auto"/>
                <w:szCs w:val="21"/>
                <w:highlight w:val="none"/>
              </w:rPr>
            </w:pPr>
          </w:p>
        </w:tc>
        <w:tc>
          <w:tcPr>
            <w:tcW w:w="516" w:type="pct"/>
            <w:noWrap w:val="0"/>
            <w:vAlign w:val="top"/>
          </w:tcPr>
          <w:p w14:paraId="1FBE82F1">
            <w:pPr>
              <w:spacing w:line="400" w:lineRule="exact"/>
              <w:jc w:val="center"/>
              <w:rPr>
                <w:rFonts w:ascii="宋体" w:hAnsi="宋体"/>
                <w:color w:val="auto"/>
                <w:szCs w:val="21"/>
                <w:highlight w:val="none"/>
              </w:rPr>
            </w:pPr>
          </w:p>
        </w:tc>
        <w:tc>
          <w:tcPr>
            <w:tcW w:w="396" w:type="pct"/>
            <w:noWrap w:val="0"/>
            <w:vAlign w:val="top"/>
          </w:tcPr>
          <w:p w14:paraId="409BDE57">
            <w:pPr>
              <w:spacing w:line="400" w:lineRule="exact"/>
              <w:jc w:val="center"/>
              <w:rPr>
                <w:rFonts w:ascii="宋体" w:hAnsi="宋体"/>
                <w:color w:val="auto"/>
                <w:szCs w:val="21"/>
                <w:highlight w:val="none"/>
              </w:rPr>
            </w:pPr>
          </w:p>
        </w:tc>
        <w:tc>
          <w:tcPr>
            <w:tcW w:w="436" w:type="pct"/>
            <w:noWrap w:val="0"/>
            <w:vAlign w:val="top"/>
          </w:tcPr>
          <w:p w14:paraId="1A48CC8D">
            <w:pPr>
              <w:spacing w:line="400" w:lineRule="exact"/>
              <w:jc w:val="center"/>
              <w:rPr>
                <w:rFonts w:ascii="宋体" w:hAnsi="宋体"/>
                <w:color w:val="auto"/>
                <w:szCs w:val="21"/>
                <w:highlight w:val="none"/>
              </w:rPr>
            </w:pPr>
          </w:p>
        </w:tc>
        <w:tc>
          <w:tcPr>
            <w:tcW w:w="716" w:type="pct"/>
            <w:noWrap w:val="0"/>
            <w:vAlign w:val="top"/>
          </w:tcPr>
          <w:p w14:paraId="3483B996">
            <w:pPr>
              <w:spacing w:line="400" w:lineRule="exact"/>
              <w:jc w:val="center"/>
              <w:rPr>
                <w:rFonts w:ascii="宋体" w:hAnsi="宋体"/>
                <w:color w:val="auto"/>
                <w:szCs w:val="21"/>
                <w:highlight w:val="none"/>
              </w:rPr>
            </w:pPr>
          </w:p>
        </w:tc>
        <w:tc>
          <w:tcPr>
            <w:tcW w:w="976" w:type="pct"/>
            <w:noWrap w:val="0"/>
            <w:vAlign w:val="top"/>
          </w:tcPr>
          <w:p w14:paraId="23F2EBEB">
            <w:pPr>
              <w:spacing w:line="400" w:lineRule="exact"/>
              <w:jc w:val="center"/>
              <w:rPr>
                <w:rFonts w:ascii="宋体" w:hAnsi="宋体"/>
                <w:color w:val="auto"/>
                <w:szCs w:val="21"/>
                <w:highlight w:val="none"/>
              </w:rPr>
            </w:pPr>
          </w:p>
        </w:tc>
        <w:tc>
          <w:tcPr>
            <w:tcW w:w="404" w:type="pct"/>
            <w:noWrap w:val="0"/>
            <w:vAlign w:val="top"/>
          </w:tcPr>
          <w:p w14:paraId="75054479">
            <w:pPr>
              <w:spacing w:line="400" w:lineRule="exact"/>
              <w:jc w:val="center"/>
              <w:rPr>
                <w:rFonts w:ascii="宋体" w:hAnsi="宋体"/>
                <w:color w:val="auto"/>
                <w:szCs w:val="21"/>
                <w:highlight w:val="none"/>
              </w:rPr>
            </w:pPr>
          </w:p>
        </w:tc>
      </w:tr>
      <w:tr w14:paraId="24E7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1CD6363D">
            <w:pPr>
              <w:spacing w:line="400" w:lineRule="exact"/>
              <w:jc w:val="center"/>
              <w:rPr>
                <w:rFonts w:ascii="宋体" w:hAnsi="宋体"/>
                <w:color w:val="auto"/>
                <w:szCs w:val="21"/>
                <w:highlight w:val="none"/>
              </w:rPr>
            </w:pPr>
          </w:p>
        </w:tc>
        <w:tc>
          <w:tcPr>
            <w:tcW w:w="641" w:type="pct"/>
            <w:noWrap w:val="0"/>
            <w:vAlign w:val="top"/>
          </w:tcPr>
          <w:p w14:paraId="2B474984">
            <w:pPr>
              <w:spacing w:line="400" w:lineRule="exact"/>
              <w:jc w:val="center"/>
              <w:rPr>
                <w:rFonts w:ascii="宋体" w:hAnsi="宋体"/>
                <w:color w:val="auto"/>
                <w:szCs w:val="21"/>
                <w:highlight w:val="none"/>
              </w:rPr>
            </w:pPr>
          </w:p>
        </w:tc>
        <w:tc>
          <w:tcPr>
            <w:tcW w:w="516" w:type="pct"/>
            <w:noWrap w:val="0"/>
            <w:vAlign w:val="top"/>
          </w:tcPr>
          <w:p w14:paraId="3C4004BE">
            <w:pPr>
              <w:spacing w:line="400" w:lineRule="exact"/>
              <w:jc w:val="center"/>
              <w:rPr>
                <w:rFonts w:ascii="宋体" w:hAnsi="宋体"/>
                <w:color w:val="auto"/>
                <w:szCs w:val="21"/>
                <w:highlight w:val="none"/>
              </w:rPr>
            </w:pPr>
          </w:p>
        </w:tc>
        <w:tc>
          <w:tcPr>
            <w:tcW w:w="516" w:type="pct"/>
            <w:noWrap w:val="0"/>
            <w:vAlign w:val="top"/>
          </w:tcPr>
          <w:p w14:paraId="6C73AB4A">
            <w:pPr>
              <w:spacing w:line="400" w:lineRule="exact"/>
              <w:jc w:val="center"/>
              <w:rPr>
                <w:rFonts w:ascii="宋体" w:hAnsi="宋体"/>
                <w:color w:val="auto"/>
                <w:szCs w:val="21"/>
                <w:highlight w:val="none"/>
              </w:rPr>
            </w:pPr>
          </w:p>
        </w:tc>
        <w:tc>
          <w:tcPr>
            <w:tcW w:w="396" w:type="pct"/>
            <w:noWrap w:val="0"/>
            <w:vAlign w:val="top"/>
          </w:tcPr>
          <w:p w14:paraId="755B699C">
            <w:pPr>
              <w:spacing w:line="400" w:lineRule="exact"/>
              <w:jc w:val="center"/>
              <w:rPr>
                <w:rFonts w:ascii="宋体" w:hAnsi="宋体"/>
                <w:color w:val="auto"/>
                <w:szCs w:val="21"/>
                <w:highlight w:val="none"/>
              </w:rPr>
            </w:pPr>
          </w:p>
        </w:tc>
        <w:tc>
          <w:tcPr>
            <w:tcW w:w="436" w:type="pct"/>
            <w:noWrap w:val="0"/>
            <w:vAlign w:val="top"/>
          </w:tcPr>
          <w:p w14:paraId="3BC88360">
            <w:pPr>
              <w:spacing w:line="400" w:lineRule="exact"/>
              <w:jc w:val="center"/>
              <w:rPr>
                <w:rFonts w:ascii="宋体" w:hAnsi="宋体"/>
                <w:color w:val="auto"/>
                <w:szCs w:val="21"/>
                <w:highlight w:val="none"/>
              </w:rPr>
            </w:pPr>
          </w:p>
        </w:tc>
        <w:tc>
          <w:tcPr>
            <w:tcW w:w="716" w:type="pct"/>
            <w:noWrap w:val="0"/>
            <w:vAlign w:val="top"/>
          </w:tcPr>
          <w:p w14:paraId="43C73313">
            <w:pPr>
              <w:spacing w:line="400" w:lineRule="exact"/>
              <w:jc w:val="center"/>
              <w:rPr>
                <w:rFonts w:ascii="宋体" w:hAnsi="宋体"/>
                <w:color w:val="auto"/>
                <w:szCs w:val="21"/>
                <w:highlight w:val="none"/>
              </w:rPr>
            </w:pPr>
          </w:p>
        </w:tc>
        <w:tc>
          <w:tcPr>
            <w:tcW w:w="976" w:type="pct"/>
            <w:noWrap w:val="0"/>
            <w:vAlign w:val="top"/>
          </w:tcPr>
          <w:p w14:paraId="6994955B">
            <w:pPr>
              <w:spacing w:line="400" w:lineRule="exact"/>
              <w:jc w:val="center"/>
              <w:rPr>
                <w:rFonts w:ascii="宋体" w:hAnsi="宋体"/>
                <w:color w:val="auto"/>
                <w:szCs w:val="21"/>
                <w:highlight w:val="none"/>
              </w:rPr>
            </w:pPr>
          </w:p>
        </w:tc>
        <w:tc>
          <w:tcPr>
            <w:tcW w:w="404" w:type="pct"/>
            <w:noWrap w:val="0"/>
            <w:vAlign w:val="top"/>
          </w:tcPr>
          <w:p w14:paraId="51373EE2">
            <w:pPr>
              <w:spacing w:line="400" w:lineRule="exact"/>
              <w:jc w:val="center"/>
              <w:rPr>
                <w:rFonts w:ascii="宋体" w:hAnsi="宋体"/>
                <w:color w:val="auto"/>
                <w:szCs w:val="21"/>
                <w:highlight w:val="none"/>
              </w:rPr>
            </w:pPr>
          </w:p>
        </w:tc>
      </w:tr>
      <w:tr w14:paraId="1A94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219960AB">
            <w:pPr>
              <w:spacing w:line="400" w:lineRule="exact"/>
              <w:jc w:val="center"/>
              <w:rPr>
                <w:rFonts w:ascii="宋体" w:hAnsi="宋体"/>
                <w:color w:val="auto"/>
                <w:szCs w:val="21"/>
                <w:highlight w:val="none"/>
              </w:rPr>
            </w:pPr>
          </w:p>
        </w:tc>
        <w:tc>
          <w:tcPr>
            <w:tcW w:w="641" w:type="pct"/>
            <w:noWrap w:val="0"/>
            <w:vAlign w:val="top"/>
          </w:tcPr>
          <w:p w14:paraId="58A69390">
            <w:pPr>
              <w:spacing w:line="400" w:lineRule="exact"/>
              <w:jc w:val="center"/>
              <w:rPr>
                <w:rFonts w:ascii="宋体" w:hAnsi="宋体"/>
                <w:color w:val="auto"/>
                <w:szCs w:val="21"/>
                <w:highlight w:val="none"/>
              </w:rPr>
            </w:pPr>
          </w:p>
        </w:tc>
        <w:tc>
          <w:tcPr>
            <w:tcW w:w="516" w:type="pct"/>
            <w:noWrap w:val="0"/>
            <w:vAlign w:val="top"/>
          </w:tcPr>
          <w:p w14:paraId="1DAE0646">
            <w:pPr>
              <w:spacing w:line="400" w:lineRule="exact"/>
              <w:jc w:val="center"/>
              <w:rPr>
                <w:rFonts w:ascii="宋体" w:hAnsi="宋体"/>
                <w:color w:val="auto"/>
                <w:szCs w:val="21"/>
                <w:highlight w:val="none"/>
              </w:rPr>
            </w:pPr>
          </w:p>
        </w:tc>
        <w:tc>
          <w:tcPr>
            <w:tcW w:w="516" w:type="pct"/>
            <w:noWrap w:val="0"/>
            <w:vAlign w:val="top"/>
          </w:tcPr>
          <w:p w14:paraId="1490E610">
            <w:pPr>
              <w:spacing w:line="400" w:lineRule="exact"/>
              <w:jc w:val="center"/>
              <w:rPr>
                <w:rFonts w:ascii="宋体" w:hAnsi="宋体"/>
                <w:color w:val="auto"/>
                <w:szCs w:val="21"/>
                <w:highlight w:val="none"/>
              </w:rPr>
            </w:pPr>
          </w:p>
        </w:tc>
        <w:tc>
          <w:tcPr>
            <w:tcW w:w="396" w:type="pct"/>
            <w:noWrap w:val="0"/>
            <w:vAlign w:val="top"/>
          </w:tcPr>
          <w:p w14:paraId="16C36CCB">
            <w:pPr>
              <w:spacing w:line="400" w:lineRule="exact"/>
              <w:jc w:val="center"/>
              <w:rPr>
                <w:rFonts w:ascii="宋体" w:hAnsi="宋体"/>
                <w:color w:val="auto"/>
                <w:szCs w:val="21"/>
                <w:highlight w:val="none"/>
              </w:rPr>
            </w:pPr>
          </w:p>
        </w:tc>
        <w:tc>
          <w:tcPr>
            <w:tcW w:w="436" w:type="pct"/>
            <w:noWrap w:val="0"/>
            <w:vAlign w:val="top"/>
          </w:tcPr>
          <w:p w14:paraId="2FFDC38C">
            <w:pPr>
              <w:spacing w:line="400" w:lineRule="exact"/>
              <w:jc w:val="center"/>
              <w:rPr>
                <w:rFonts w:ascii="宋体" w:hAnsi="宋体"/>
                <w:color w:val="auto"/>
                <w:szCs w:val="21"/>
                <w:highlight w:val="none"/>
              </w:rPr>
            </w:pPr>
          </w:p>
        </w:tc>
        <w:tc>
          <w:tcPr>
            <w:tcW w:w="716" w:type="pct"/>
            <w:noWrap w:val="0"/>
            <w:vAlign w:val="top"/>
          </w:tcPr>
          <w:p w14:paraId="2E11E784">
            <w:pPr>
              <w:spacing w:line="400" w:lineRule="exact"/>
              <w:jc w:val="center"/>
              <w:rPr>
                <w:rFonts w:ascii="宋体" w:hAnsi="宋体"/>
                <w:color w:val="auto"/>
                <w:szCs w:val="21"/>
                <w:highlight w:val="none"/>
              </w:rPr>
            </w:pPr>
          </w:p>
        </w:tc>
        <w:tc>
          <w:tcPr>
            <w:tcW w:w="976" w:type="pct"/>
            <w:noWrap w:val="0"/>
            <w:vAlign w:val="top"/>
          </w:tcPr>
          <w:p w14:paraId="3C85B908">
            <w:pPr>
              <w:spacing w:line="400" w:lineRule="exact"/>
              <w:jc w:val="center"/>
              <w:rPr>
                <w:rFonts w:ascii="宋体" w:hAnsi="宋体"/>
                <w:color w:val="auto"/>
                <w:szCs w:val="21"/>
                <w:highlight w:val="none"/>
              </w:rPr>
            </w:pPr>
          </w:p>
        </w:tc>
        <w:tc>
          <w:tcPr>
            <w:tcW w:w="404" w:type="pct"/>
            <w:noWrap w:val="0"/>
            <w:vAlign w:val="top"/>
          </w:tcPr>
          <w:p w14:paraId="5B329325">
            <w:pPr>
              <w:spacing w:line="400" w:lineRule="exact"/>
              <w:jc w:val="center"/>
              <w:rPr>
                <w:rFonts w:ascii="宋体" w:hAnsi="宋体"/>
                <w:color w:val="auto"/>
                <w:szCs w:val="21"/>
                <w:highlight w:val="none"/>
              </w:rPr>
            </w:pPr>
          </w:p>
        </w:tc>
      </w:tr>
      <w:tr w14:paraId="71AC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1EAA20CD">
            <w:pPr>
              <w:spacing w:line="400" w:lineRule="exact"/>
              <w:jc w:val="center"/>
              <w:rPr>
                <w:rFonts w:ascii="宋体" w:hAnsi="宋体"/>
                <w:color w:val="auto"/>
                <w:szCs w:val="21"/>
                <w:highlight w:val="none"/>
              </w:rPr>
            </w:pPr>
          </w:p>
        </w:tc>
        <w:tc>
          <w:tcPr>
            <w:tcW w:w="641" w:type="pct"/>
            <w:noWrap w:val="0"/>
            <w:vAlign w:val="top"/>
          </w:tcPr>
          <w:p w14:paraId="16F4B9DF">
            <w:pPr>
              <w:spacing w:line="400" w:lineRule="exact"/>
              <w:jc w:val="center"/>
              <w:rPr>
                <w:rFonts w:ascii="宋体" w:hAnsi="宋体"/>
                <w:color w:val="auto"/>
                <w:szCs w:val="21"/>
                <w:highlight w:val="none"/>
              </w:rPr>
            </w:pPr>
          </w:p>
        </w:tc>
        <w:tc>
          <w:tcPr>
            <w:tcW w:w="516" w:type="pct"/>
            <w:noWrap w:val="0"/>
            <w:vAlign w:val="top"/>
          </w:tcPr>
          <w:p w14:paraId="34407313">
            <w:pPr>
              <w:spacing w:line="400" w:lineRule="exact"/>
              <w:jc w:val="center"/>
              <w:rPr>
                <w:rFonts w:ascii="宋体" w:hAnsi="宋体"/>
                <w:color w:val="auto"/>
                <w:szCs w:val="21"/>
                <w:highlight w:val="none"/>
              </w:rPr>
            </w:pPr>
          </w:p>
        </w:tc>
        <w:tc>
          <w:tcPr>
            <w:tcW w:w="516" w:type="pct"/>
            <w:noWrap w:val="0"/>
            <w:vAlign w:val="top"/>
          </w:tcPr>
          <w:p w14:paraId="24A07058">
            <w:pPr>
              <w:spacing w:line="400" w:lineRule="exact"/>
              <w:jc w:val="center"/>
              <w:rPr>
                <w:rFonts w:ascii="宋体" w:hAnsi="宋体"/>
                <w:color w:val="auto"/>
                <w:szCs w:val="21"/>
                <w:highlight w:val="none"/>
              </w:rPr>
            </w:pPr>
          </w:p>
        </w:tc>
        <w:tc>
          <w:tcPr>
            <w:tcW w:w="396" w:type="pct"/>
            <w:noWrap w:val="0"/>
            <w:vAlign w:val="top"/>
          </w:tcPr>
          <w:p w14:paraId="3C1FAB69">
            <w:pPr>
              <w:spacing w:line="400" w:lineRule="exact"/>
              <w:jc w:val="center"/>
              <w:rPr>
                <w:rFonts w:ascii="宋体" w:hAnsi="宋体"/>
                <w:color w:val="auto"/>
                <w:szCs w:val="21"/>
                <w:highlight w:val="none"/>
              </w:rPr>
            </w:pPr>
          </w:p>
        </w:tc>
        <w:tc>
          <w:tcPr>
            <w:tcW w:w="436" w:type="pct"/>
            <w:noWrap w:val="0"/>
            <w:vAlign w:val="top"/>
          </w:tcPr>
          <w:p w14:paraId="5CB460D1">
            <w:pPr>
              <w:spacing w:line="400" w:lineRule="exact"/>
              <w:jc w:val="center"/>
              <w:rPr>
                <w:rFonts w:ascii="宋体" w:hAnsi="宋体"/>
                <w:color w:val="auto"/>
                <w:szCs w:val="21"/>
                <w:highlight w:val="none"/>
              </w:rPr>
            </w:pPr>
          </w:p>
        </w:tc>
        <w:tc>
          <w:tcPr>
            <w:tcW w:w="716" w:type="pct"/>
            <w:noWrap w:val="0"/>
            <w:vAlign w:val="top"/>
          </w:tcPr>
          <w:p w14:paraId="3A7B1C99">
            <w:pPr>
              <w:spacing w:line="400" w:lineRule="exact"/>
              <w:jc w:val="center"/>
              <w:rPr>
                <w:rFonts w:ascii="宋体" w:hAnsi="宋体"/>
                <w:color w:val="auto"/>
                <w:szCs w:val="21"/>
                <w:highlight w:val="none"/>
              </w:rPr>
            </w:pPr>
          </w:p>
        </w:tc>
        <w:tc>
          <w:tcPr>
            <w:tcW w:w="976" w:type="pct"/>
            <w:noWrap w:val="0"/>
            <w:vAlign w:val="top"/>
          </w:tcPr>
          <w:p w14:paraId="48A35EAD">
            <w:pPr>
              <w:spacing w:line="400" w:lineRule="exact"/>
              <w:jc w:val="center"/>
              <w:rPr>
                <w:rFonts w:ascii="宋体" w:hAnsi="宋体"/>
                <w:color w:val="auto"/>
                <w:szCs w:val="21"/>
                <w:highlight w:val="none"/>
              </w:rPr>
            </w:pPr>
          </w:p>
        </w:tc>
        <w:tc>
          <w:tcPr>
            <w:tcW w:w="404" w:type="pct"/>
            <w:noWrap w:val="0"/>
            <w:vAlign w:val="top"/>
          </w:tcPr>
          <w:p w14:paraId="6F8F5DAA">
            <w:pPr>
              <w:spacing w:line="400" w:lineRule="exact"/>
              <w:jc w:val="center"/>
              <w:rPr>
                <w:rFonts w:ascii="宋体" w:hAnsi="宋体"/>
                <w:color w:val="auto"/>
                <w:szCs w:val="21"/>
                <w:highlight w:val="none"/>
              </w:rPr>
            </w:pPr>
          </w:p>
        </w:tc>
      </w:tr>
      <w:tr w14:paraId="172F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20E87A01">
            <w:pPr>
              <w:spacing w:line="400" w:lineRule="exact"/>
              <w:jc w:val="center"/>
              <w:rPr>
                <w:rFonts w:ascii="宋体" w:hAnsi="宋体"/>
                <w:color w:val="auto"/>
                <w:szCs w:val="21"/>
                <w:highlight w:val="none"/>
              </w:rPr>
            </w:pPr>
          </w:p>
        </w:tc>
        <w:tc>
          <w:tcPr>
            <w:tcW w:w="641" w:type="pct"/>
            <w:noWrap w:val="0"/>
            <w:vAlign w:val="top"/>
          </w:tcPr>
          <w:p w14:paraId="6B6D12A1">
            <w:pPr>
              <w:spacing w:line="400" w:lineRule="exact"/>
              <w:jc w:val="center"/>
              <w:rPr>
                <w:rFonts w:ascii="宋体" w:hAnsi="宋体"/>
                <w:color w:val="auto"/>
                <w:szCs w:val="21"/>
                <w:highlight w:val="none"/>
              </w:rPr>
            </w:pPr>
          </w:p>
        </w:tc>
        <w:tc>
          <w:tcPr>
            <w:tcW w:w="516" w:type="pct"/>
            <w:noWrap w:val="0"/>
            <w:vAlign w:val="top"/>
          </w:tcPr>
          <w:p w14:paraId="75279679">
            <w:pPr>
              <w:spacing w:line="400" w:lineRule="exact"/>
              <w:jc w:val="center"/>
              <w:rPr>
                <w:rFonts w:ascii="宋体" w:hAnsi="宋体"/>
                <w:color w:val="auto"/>
                <w:szCs w:val="21"/>
                <w:highlight w:val="none"/>
              </w:rPr>
            </w:pPr>
          </w:p>
        </w:tc>
        <w:tc>
          <w:tcPr>
            <w:tcW w:w="516" w:type="pct"/>
            <w:noWrap w:val="0"/>
            <w:vAlign w:val="top"/>
          </w:tcPr>
          <w:p w14:paraId="34BE31DE">
            <w:pPr>
              <w:spacing w:line="400" w:lineRule="exact"/>
              <w:jc w:val="center"/>
              <w:rPr>
                <w:rFonts w:ascii="宋体" w:hAnsi="宋体"/>
                <w:color w:val="auto"/>
                <w:szCs w:val="21"/>
                <w:highlight w:val="none"/>
              </w:rPr>
            </w:pPr>
          </w:p>
        </w:tc>
        <w:tc>
          <w:tcPr>
            <w:tcW w:w="396" w:type="pct"/>
            <w:noWrap w:val="0"/>
            <w:vAlign w:val="top"/>
          </w:tcPr>
          <w:p w14:paraId="2C93A6B8">
            <w:pPr>
              <w:spacing w:line="400" w:lineRule="exact"/>
              <w:jc w:val="center"/>
              <w:rPr>
                <w:rFonts w:ascii="宋体" w:hAnsi="宋体"/>
                <w:color w:val="auto"/>
                <w:szCs w:val="21"/>
                <w:highlight w:val="none"/>
              </w:rPr>
            </w:pPr>
          </w:p>
        </w:tc>
        <w:tc>
          <w:tcPr>
            <w:tcW w:w="436" w:type="pct"/>
            <w:noWrap w:val="0"/>
            <w:vAlign w:val="top"/>
          </w:tcPr>
          <w:p w14:paraId="2A5499B6">
            <w:pPr>
              <w:spacing w:line="400" w:lineRule="exact"/>
              <w:jc w:val="center"/>
              <w:rPr>
                <w:rFonts w:ascii="宋体" w:hAnsi="宋体"/>
                <w:color w:val="auto"/>
                <w:szCs w:val="21"/>
                <w:highlight w:val="none"/>
              </w:rPr>
            </w:pPr>
          </w:p>
        </w:tc>
        <w:tc>
          <w:tcPr>
            <w:tcW w:w="716" w:type="pct"/>
            <w:noWrap w:val="0"/>
            <w:vAlign w:val="top"/>
          </w:tcPr>
          <w:p w14:paraId="237D5883">
            <w:pPr>
              <w:spacing w:line="400" w:lineRule="exact"/>
              <w:jc w:val="center"/>
              <w:rPr>
                <w:rFonts w:ascii="宋体" w:hAnsi="宋体"/>
                <w:color w:val="auto"/>
                <w:szCs w:val="21"/>
                <w:highlight w:val="none"/>
              </w:rPr>
            </w:pPr>
          </w:p>
        </w:tc>
        <w:tc>
          <w:tcPr>
            <w:tcW w:w="976" w:type="pct"/>
            <w:noWrap w:val="0"/>
            <w:vAlign w:val="top"/>
          </w:tcPr>
          <w:p w14:paraId="34EE4296">
            <w:pPr>
              <w:spacing w:line="400" w:lineRule="exact"/>
              <w:jc w:val="center"/>
              <w:rPr>
                <w:rFonts w:ascii="宋体" w:hAnsi="宋体"/>
                <w:color w:val="auto"/>
                <w:szCs w:val="21"/>
                <w:highlight w:val="none"/>
              </w:rPr>
            </w:pPr>
          </w:p>
        </w:tc>
        <w:tc>
          <w:tcPr>
            <w:tcW w:w="404" w:type="pct"/>
            <w:noWrap w:val="0"/>
            <w:vAlign w:val="top"/>
          </w:tcPr>
          <w:p w14:paraId="6296F3CC">
            <w:pPr>
              <w:spacing w:line="400" w:lineRule="exact"/>
              <w:jc w:val="center"/>
              <w:rPr>
                <w:rFonts w:ascii="宋体" w:hAnsi="宋体"/>
                <w:color w:val="auto"/>
                <w:szCs w:val="21"/>
                <w:highlight w:val="none"/>
              </w:rPr>
            </w:pPr>
          </w:p>
        </w:tc>
      </w:tr>
      <w:tr w14:paraId="6750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6F624CEF">
            <w:pPr>
              <w:spacing w:line="400" w:lineRule="exact"/>
              <w:jc w:val="center"/>
              <w:rPr>
                <w:rFonts w:ascii="宋体" w:hAnsi="宋体"/>
                <w:color w:val="auto"/>
                <w:szCs w:val="21"/>
                <w:highlight w:val="none"/>
              </w:rPr>
            </w:pPr>
          </w:p>
        </w:tc>
        <w:tc>
          <w:tcPr>
            <w:tcW w:w="641" w:type="pct"/>
            <w:noWrap w:val="0"/>
            <w:vAlign w:val="top"/>
          </w:tcPr>
          <w:p w14:paraId="43DCCD5E">
            <w:pPr>
              <w:spacing w:line="400" w:lineRule="exact"/>
              <w:jc w:val="center"/>
              <w:rPr>
                <w:rFonts w:ascii="宋体" w:hAnsi="宋体"/>
                <w:color w:val="auto"/>
                <w:szCs w:val="21"/>
                <w:highlight w:val="none"/>
              </w:rPr>
            </w:pPr>
          </w:p>
        </w:tc>
        <w:tc>
          <w:tcPr>
            <w:tcW w:w="516" w:type="pct"/>
            <w:noWrap w:val="0"/>
            <w:vAlign w:val="top"/>
          </w:tcPr>
          <w:p w14:paraId="24A1E561">
            <w:pPr>
              <w:spacing w:line="400" w:lineRule="exact"/>
              <w:jc w:val="center"/>
              <w:rPr>
                <w:rFonts w:ascii="宋体" w:hAnsi="宋体"/>
                <w:color w:val="auto"/>
                <w:szCs w:val="21"/>
                <w:highlight w:val="none"/>
              </w:rPr>
            </w:pPr>
          </w:p>
        </w:tc>
        <w:tc>
          <w:tcPr>
            <w:tcW w:w="516" w:type="pct"/>
            <w:noWrap w:val="0"/>
            <w:vAlign w:val="top"/>
          </w:tcPr>
          <w:p w14:paraId="16697177">
            <w:pPr>
              <w:spacing w:line="400" w:lineRule="exact"/>
              <w:jc w:val="center"/>
              <w:rPr>
                <w:rFonts w:ascii="宋体" w:hAnsi="宋体"/>
                <w:color w:val="auto"/>
                <w:szCs w:val="21"/>
                <w:highlight w:val="none"/>
              </w:rPr>
            </w:pPr>
          </w:p>
        </w:tc>
        <w:tc>
          <w:tcPr>
            <w:tcW w:w="396" w:type="pct"/>
            <w:noWrap w:val="0"/>
            <w:vAlign w:val="top"/>
          </w:tcPr>
          <w:p w14:paraId="4A089EF5">
            <w:pPr>
              <w:spacing w:line="400" w:lineRule="exact"/>
              <w:jc w:val="center"/>
              <w:rPr>
                <w:rFonts w:ascii="宋体" w:hAnsi="宋体"/>
                <w:color w:val="auto"/>
                <w:szCs w:val="21"/>
                <w:highlight w:val="none"/>
              </w:rPr>
            </w:pPr>
          </w:p>
        </w:tc>
        <w:tc>
          <w:tcPr>
            <w:tcW w:w="436" w:type="pct"/>
            <w:noWrap w:val="0"/>
            <w:vAlign w:val="top"/>
          </w:tcPr>
          <w:p w14:paraId="7DFA4C54">
            <w:pPr>
              <w:spacing w:line="400" w:lineRule="exact"/>
              <w:jc w:val="center"/>
              <w:rPr>
                <w:rFonts w:ascii="宋体" w:hAnsi="宋体"/>
                <w:color w:val="auto"/>
                <w:szCs w:val="21"/>
                <w:highlight w:val="none"/>
              </w:rPr>
            </w:pPr>
          </w:p>
        </w:tc>
        <w:tc>
          <w:tcPr>
            <w:tcW w:w="716" w:type="pct"/>
            <w:noWrap w:val="0"/>
            <w:vAlign w:val="top"/>
          </w:tcPr>
          <w:p w14:paraId="3059F122">
            <w:pPr>
              <w:spacing w:line="400" w:lineRule="exact"/>
              <w:jc w:val="center"/>
              <w:rPr>
                <w:rFonts w:ascii="宋体" w:hAnsi="宋体"/>
                <w:color w:val="auto"/>
                <w:szCs w:val="21"/>
                <w:highlight w:val="none"/>
              </w:rPr>
            </w:pPr>
          </w:p>
        </w:tc>
        <w:tc>
          <w:tcPr>
            <w:tcW w:w="976" w:type="pct"/>
            <w:noWrap w:val="0"/>
            <w:vAlign w:val="top"/>
          </w:tcPr>
          <w:p w14:paraId="07B79CB3">
            <w:pPr>
              <w:spacing w:line="400" w:lineRule="exact"/>
              <w:jc w:val="center"/>
              <w:rPr>
                <w:rFonts w:ascii="宋体" w:hAnsi="宋体"/>
                <w:color w:val="auto"/>
                <w:szCs w:val="21"/>
                <w:highlight w:val="none"/>
              </w:rPr>
            </w:pPr>
          </w:p>
        </w:tc>
        <w:tc>
          <w:tcPr>
            <w:tcW w:w="404" w:type="pct"/>
            <w:noWrap w:val="0"/>
            <w:vAlign w:val="top"/>
          </w:tcPr>
          <w:p w14:paraId="3E5D4F4A">
            <w:pPr>
              <w:spacing w:line="400" w:lineRule="exact"/>
              <w:jc w:val="center"/>
              <w:rPr>
                <w:rFonts w:ascii="宋体" w:hAnsi="宋体"/>
                <w:color w:val="auto"/>
                <w:szCs w:val="21"/>
                <w:highlight w:val="none"/>
              </w:rPr>
            </w:pPr>
          </w:p>
        </w:tc>
      </w:tr>
      <w:tr w14:paraId="040D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6CC8EFE1">
            <w:pPr>
              <w:spacing w:line="400" w:lineRule="exact"/>
              <w:jc w:val="center"/>
              <w:rPr>
                <w:rFonts w:ascii="宋体" w:hAnsi="宋体"/>
                <w:color w:val="auto"/>
                <w:szCs w:val="21"/>
                <w:highlight w:val="none"/>
              </w:rPr>
            </w:pPr>
          </w:p>
        </w:tc>
        <w:tc>
          <w:tcPr>
            <w:tcW w:w="641" w:type="pct"/>
            <w:noWrap w:val="0"/>
            <w:vAlign w:val="top"/>
          </w:tcPr>
          <w:p w14:paraId="567088FF">
            <w:pPr>
              <w:spacing w:line="400" w:lineRule="exact"/>
              <w:jc w:val="center"/>
              <w:rPr>
                <w:rFonts w:ascii="宋体" w:hAnsi="宋体"/>
                <w:color w:val="auto"/>
                <w:szCs w:val="21"/>
                <w:highlight w:val="none"/>
              </w:rPr>
            </w:pPr>
          </w:p>
        </w:tc>
        <w:tc>
          <w:tcPr>
            <w:tcW w:w="516" w:type="pct"/>
            <w:noWrap w:val="0"/>
            <w:vAlign w:val="top"/>
          </w:tcPr>
          <w:p w14:paraId="3A35A5E7">
            <w:pPr>
              <w:spacing w:line="400" w:lineRule="exact"/>
              <w:jc w:val="center"/>
              <w:rPr>
                <w:rFonts w:ascii="宋体" w:hAnsi="宋体"/>
                <w:color w:val="auto"/>
                <w:szCs w:val="21"/>
                <w:highlight w:val="none"/>
              </w:rPr>
            </w:pPr>
          </w:p>
        </w:tc>
        <w:tc>
          <w:tcPr>
            <w:tcW w:w="516" w:type="pct"/>
            <w:noWrap w:val="0"/>
            <w:vAlign w:val="top"/>
          </w:tcPr>
          <w:p w14:paraId="4DB896D4">
            <w:pPr>
              <w:spacing w:line="400" w:lineRule="exact"/>
              <w:jc w:val="center"/>
              <w:rPr>
                <w:rFonts w:ascii="宋体" w:hAnsi="宋体"/>
                <w:color w:val="auto"/>
                <w:szCs w:val="21"/>
                <w:highlight w:val="none"/>
              </w:rPr>
            </w:pPr>
          </w:p>
        </w:tc>
        <w:tc>
          <w:tcPr>
            <w:tcW w:w="396" w:type="pct"/>
            <w:noWrap w:val="0"/>
            <w:vAlign w:val="top"/>
          </w:tcPr>
          <w:p w14:paraId="2910FF39">
            <w:pPr>
              <w:spacing w:line="400" w:lineRule="exact"/>
              <w:jc w:val="center"/>
              <w:rPr>
                <w:rFonts w:ascii="宋体" w:hAnsi="宋体"/>
                <w:color w:val="auto"/>
                <w:szCs w:val="21"/>
                <w:highlight w:val="none"/>
              </w:rPr>
            </w:pPr>
          </w:p>
        </w:tc>
        <w:tc>
          <w:tcPr>
            <w:tcW w:w="436" w:type="pct"/>
            <w:noWrap w:val="0"/>
            <w:vAlign w:val="top"/>
          </w:tcPr>
          <w:p w14:paraId="77E51CA7">
            <w:pPr>
              <w:spacing w:line="400" w:lineRule="exact"/>
              <w:jc w:val="center"/>
              <w:rPr>
                <w:rFonts w:ascii="宋体" w:hAnsi="宋体"/>
                <w:color w:val="auto"/>
                <w:szCs w:val="21"/>
                <w:highlight w:val="none"/>
              </w:rPr>
            </w:pPr>
          </w:p>
        </w:tc>
        <w:tc>
          <w:tcPr>
            <w:tcW w:w="716" w:type="pct"/>
            <w:noWrap w:val="0"/>
            <w:vAlign w:val="top"/>
          </w:tcPr>
          <w:p w14:paraId="3407BB3C">
            <w:pPr>
              <w:spacing w:line="400" w:lineRule="exact"/>
              <w:jc w:val="center"/>
              <w:rPr>
                <w:rFonts w:ascii="宋体" w:hAnsi="宋体"/>
                <w:color w:val="auto"/>
                <w:szCs w:val="21"/>
                <w:highlight w:val="none"/>
              </w:rPr>
            </w:pPr>
          </w:p>
        </w:tc>
        <w:tc>
          <w:tcPr>
            <w:tcW w:w="976" w:type="pct"/>
            <w:noWrap w:val="0"/>
            <w:vAlign w:val="top"/>
          </w:tcPr>
          <w:p w14:paraId="7377C4E7">
            <w:pPr>
              <w:spacing w:line="400" w:lineRule="exact"/>
              <w:jc w:val="center"/>
              <w:rPr>
                <w:rFonts w:ascii="宋体" w:hAnsi="宋体"/>
                <w:color w:val="auto"/>
                <w:szCs w:val="21"/>
                <w:highlight w:val="none"/>
              </w:rPr>
            </w:pPr>
          </w:p>
        </w:tc>
        <w:tc>
          <w:tcPr>
            <w:tcW w:w="404" w:type="pct"/>
            <w:noWrap w:val="0"/>
            <w:vAlign w:val="top"/>
          </w:tcPr>
          <w:p w14:paraId="62A66198">
            <w:pPr>
              <w:spacing w:line="400" w:lineRule="exact"/>
              <w:jc w:val="center"/>
              <w:rPr>
                <w:rFonts w:ascii="宋体" w:hAnsi="宋体"/>
                <w:color w:val="auto"/>
                <w:szCs w:val="21"/>
                <w:highlight w:val="none"/>
              </w:rPr>
            </w:pPr>
          </w:p>
        </w:tc>
      </w:tr>
      <w:tr w14:paraId="63C7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49471CEB">
            <w:pPr>
              <w:spacing w:line="400" w:lineRule="exact"/>
              <w:jc w:val="center"/>
              <w:rPr>
                <w:rFonts w:ascii="宋体" w:hAnsi="宋体"/>
                <w:color w:val="auto"/>
                <w:szCs w:val="21"/>
                <w:highlight w:val="none"/>
              </w:rPr>
            </w:pPr>
          </w:p>
        </w:tc>
        <w:tc>
          <w:tcPr>
            <w:tcW w:w="641" w:type="pct"/>
            <w:noWrap w:val="0"/>
            <w:vAlign w:val="top"/>
          </w:tcPr>
          <w:p w14:paraId="47C1AE50">
            <w:pPr>
              <w:spacing w:line="400" w:lineRule="exact"/>
              <w:jc w:val="center"/>
              <w:rPr>
                <w:rFonts w:ascii="宋体" w:hAnsi="宋体"/>
                <w:color w:val="auto"/>
                <w:szCs w:val="21"/>
                <w:highlight w:val="none"/>
              </w:rPr>
            </w:pPr>
          </w:p>
        </w:tc>
        <w:tc>
          <w:tcPr>
            <w:tcW w:w="516" w:type="pct"/>
            <w:noWrap w:val="0"/>
            <w:vAlign w:val="top"/>
          </w:tcPr>
          <w:p w14:paraId="1083902E">
            <w:pPr>
              <w:spacing w:line="400" w:lineRule="exact"/>
              <w:jc w:val="center"/>
              <w:rPr>
                <w:rFonts w:ascii="宋体" w:hAnsi="宋体"/>
                <w:color w:val="auto"/>
                <w:szCs w:val="21"/>
                <w:highlight w:val="none"/>
              </w:rPr>
            </w:pPr>
          </w:p>
        </w:tc>
        <w:tc>
          <w:tcPr>
            <w:tcW w:w="516" w:type="pct"/>
            <w:noWrap w:val="0"/>
            <w:vAlign w:val="top"/>
          </w:tcPr>
          <w:p w14:paraId="4F046802">
            <w:pPr>
              <w:spacing w:line="400" w:lineRule="exact"/>
              <w:jc w:val="center"/>
              <w:rPr>
                <w:rFonts w:ascii="宋体" w:hAnsi="宋体"/>
                <w:color w:val="auto"/>
                <w:szCs w:val="21"/>
                <w:highlight w:val="none"/>
              </w:rPr>
            </w:pPr>
          </w:p>
        </w:tc>
        <w:tc>
          <w:tcPr>
            <w:tcW w:w="396" w:type="pct"/>
            <w:noWrap w:val="0"/>
            <w:vAlign w:val="top"/>
          </w:tcPr>
          <w:p w14:paraId="7992D0C8">
            <w:pPr>
              <w:spacing w:line="400" w:lineRule="exact"/>
              <w:jc w:val="center"/>
              <w:rPr>
                <w:rFonts w:ascii="宋体" w:hAnsi="宋体"/>
                <w:color w:val="auto"/>
                <w:szCs w:val="21"/>
                <w:highlight w:val="none"/>
              </w:rPr>
            </w:pPr>
          </w:p>
        </w:tc>
        <w:tc>
          <w:tcPr>
            <w:tcW w:w="436" w:type="pct"/>
            <w:noWrap w:val="0"/>
            <w:vAlign w:val="top"/>
          </w:tcPr>
          <w:p w14:paraId="111C3F22">
            <w:pPr>
              <w:spacing w:line="400" w:lineRule="exact"/>
              <w:jc w:val="center"/>
              <w:rPr>
                <w:rFonts w:ascii="宋体" w:hAnsi="宋体"/>
                <w:color w:val="auto"/>
                <w:szCs w:val="21"/>
                <w:highlight w:val="none"/>
              </w:rPr>
            </w:pPr>
          </w:p>
        </w:tc>
        <w:tc>
          <w:tcPr>
            <w:tcW w:w="716" w:type="pct"/>
            <w:noWrap w:val="0"/>
            <w:vAlign w:val="top"/>
          </w:tcPr>
          <w:p w14:paraId="37B8A7DD">
            <w:pPr>
              <w:spacing w:line="400" w:lineRule="exact"/>
              <w:jc w:val="center"/>
              <w:rPr>
                <w:rFonts w:ascii="宋体" w:hAnsi="宋体"/>
                <w:color w:val="auto"/>
                <w:szCs w:val="21"/>
                <w:highlight w:val="none"/>
              </w:rPr>
            </w:pPr>
          </w:p>
        </w:tc>
        <w:tc>
          <w:tcPr>
            <w:tcW w:w="976" w:type="pct"/>
            <w:noWrap w:val="0"/>
            <w:vAlign w:val="top"/>
          </w:tcPr>
          <w:p w14:paraId="25A96C31">
            <w:pPr>
              <w:spacing w:line="400" w:lineRule="exact"/>
              <w:jc w:val="center"/>
              <w:rPr>
                <w:rFonts w:ascii="宋体" w:hAnsi="宋体"/>
                <w:color w:val="auto"/>
                <w:szCs w:val="21"/>
                <w:highlight w:val="none"/>
              </w:rPr>
            </w:pPr>
          </w:p>
        </w:tc>
        <w:tc>
          <w:tcPr>
            <w:tcW w:w="404" w:type="pct"/>
            <w:noWrap w:val="0"/>
            <w:vAlign w:val="top"/>
          </w:tcPr>
          <w:p w14:paraId="7CC69B6C">
            <w:pPr>
              <w:spacing w:line="400" w:lineRule="exact"/>
              <w:jc w:val="center"/>
              <w:rPr>
                <w:rFonts w:ascii="宋体" w:hAnsi="宋体"/>
                <w:color w:val="auto"/>
                <w:szCs w:val="21"/>
                <w:highlight w:val="none"/>
              </w:rPr>
            </w:pPr>
          </w:p>
        </w:tc>
      </w:tr>
      <w:tr w14:paraId="2082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039E663C">
            <w:pPr>
              <w:spacing w:line="400" w:lineRule="exact"/>
              <w:jc w:val="center"/>
              <w:rPr>
                <w:rFonts w:ascii="宋体" w:hAnsi="宋体"/>
                <w:color w:val="auto"/>
                <w:szCs w:val="21"/>
                <w:highlight w:val="none"/>
              </w:rPr>
            </w:pPr>
          </w:p>
        </w:tc>
        <w:tc>
          <w:tcPr>
            <w:tcW w:w="641" w:type="pct"/>
            <w:noWrap w:val="0"/>
            <w:vAlign w:val="top"/>
          </w:tcPr>
          <w:p w14:paraId="00C2CD1B">
            <w:pPr>
              <w:spacing w:line="400" w:lineRule="exact"/>
              <w:jc w:val="center"/>
              <w:rPr>
                <w:rFonts w:ascii="宋体" w:hAnsi="宋体"/>
                <w:color w:val="auto"/>
                <w:szCs w:val="21"/>
                <w:highlight w:val="none"/>
              </w:rPr>
            </w:pPr>
          </w:p>
        </w:tc>
        <w:tc>
          <w:tcPr>
            <w:tcW w:w="516" w:type="pct"/>
            <w:noWrap w:val="0"/>
            <w:vAlign w:val="top"/>
          </w:tcPr>
          <w:p w14:paraId="637F5A33">
            <w:pPr>
              <w:spacing w:line="400" w:lineRule="exact"/>
              <w:jc w:val="center"/>
              <w:rPr>
                <w:rFonts w:ascii="宋体" w:hAnsi="宋体"/>
                <w:color w:val="auto"/>
                <w:szCs w:val="21"/>
                <w:highlight w:val="none"/>
              </w:rPr>
            </w:pPr>
          </w:p>
        </w:tc>
        <w:tc>
          <w:tcPr>
            <w:tcW w:w="516" w:type="pct"/>
            <w:noWrap w:val="0"/>
            <w:vAlign w:val="top"/>
          </w:tcPr>
          <w:p w14:paraId="26510211">
            <w:pPr>
              <w:spacing w:line="400" w:lineRule="exact"/>
              <w:jc w:val="center"/>
              <w:rPr>
                <w:rFonts w:ascii="宋体" w:hAnsi="宋体"/>
                <w:color w:val="auto"/>
                <w:szCs w:val="21"/>
                <w:highlight w:val="none"/>
              </w:rPr>
            </w:pPr>
          </w:p>
        </w:tc>
        <w:tc>
          <w:tcPr>
            <w:tcW w:w="396" w:type="pct"/>
            <w:noWrap w:val="0"/>
            <w:vAlign w:val="top"/>
          </w:tcPr>
          <w:p w14:paraId="4A05EB74">
            <w:pPr>
              <w:spacing w:line="400" w:lineRule="exact"/>
              <w:jc w:val="center"/>
              <w:rPr>
                <w:rFonts w:ascii="宋体" w:hAnsi="宋体"/>
                <w:color w:val="auto"/>
                <w:szCs w:val="21"/>
                <w:highlight w:val="none"/>
              </w:rPr>
            </w:pPr>
          </w:p>
        </w:tc>
        <w:tc>
          <w:tcPr>
            <w:tcW w:w="436" w:type="pct"/>
            <w:noWrap w:val="0"/>
            <w:vAlign w:val="top"/>
          </w:tcPr>
          <w:p w14:paraId="63BE11F7">
            <w:pPr>
              <w:spacing w:line="400" w:lineRule="exact"/>
              <w:jc w:val="center"/>
              <w:rPr>
                <w:rFonts w:ascii="宋体" w:hAnsi="宋体"/>
                <w:color w:val="auto"/>
                <w:szCs w:val="21"/>
                <w:highlight w:val="none"/>
              </w:rPr>
            </w:pPr>
          </w:p>
        </w:tc>
        <w:tc>
          <w:tcPr>
            <w:tcW w:w="716" w:type="pct"/>
            <w:noWrap w:val="0"/>
            <w:vAlign w:val="top"/>
          </w:tcPr>
          <w:p w14:paraId="28E20E5B">
            <w:pPr>
              <w:spacing w:line="400" w:lineRule="exact"/>
              <w:jc w:val="center"/>
              <w:rPr>
                <w:rFonts w:ascii="宋体" w:hAnsi="宋体"/>
                <w:color w:val="auto"/>
                <w:szCs w:val="21"/>
                <w:highlight w:val="none"/>
              </w:rPr>
            </w:pPr>
          </w:p>
        </w:tc>
        <w:tc>
          <w:tcPr>
            <w:tcW w:w="976" w:type="pct"/>
            <w:noWrap w:val="0"/>
            <w:vAlign w:val="top"/>
          </w:tcPr>
          <w:p w14:paraId="3B45B288">
            <w:pPr>
              <w:spacing w:line="400" w:lineRule="exact"/>
              <w:jc w:val="center"/>
              <w:rPr>
                <w:rFonts w:ascii="宋体" w:hAnsi="宋体"/>
                <w:color w:val="auto"/>
                <w:szCs w:val="21"/>
                <w:highlight w:val="none"/>
              </w:rPr>
            </w:pPr>
          </w:p>
        </w:tc>
        <w:tc>
          <w:tcPr>
            <w:tcW w:w="404" w:type="pct"/>
            <w:noWrap w:val="0"/>
            <w:vAlign w:val="top"/>
          </w:tcPr>
          <w:p w14:paraId="6C39D38B">
            <w:pPr>
              <w:spacing w:line="400" w:lineRule="exact"/>
              <w:jc w:val="center"/>
              <w:rPr>
                <w:rFonts w:ascii="宋体" w:hAnsi="宋体"/>
                <w:color w:val="auto"/>
                <w:szCs w:val="21"/>
                <w:highlight w:val="none"/>
              </w:rPr>
            </w:pPr>
          </w:p>
        </w:tc>
      </w:tr>
      <w:tr w14:paraId="02A4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3402B7CF">
            <w:pPr>
              <w:spacing w:line="400" w:lineRule="exact"/>
              <w:jc w:val="center"/>
              <w:rPr>
                <w:rFonts w:ascii="宋体" w:hAnsi="宋体"/>
                <w:color w:val="auto"/>
                <w:szCs w:val="21"/>
                <w:highlight w:val="none"/>
              </w:rPr>
            </w:pPr>
          </w:p>
        </w:tc>
        <w:tc>
          <w:tcPr>
            <w:tcW w:w="641" w:type="pct"/>
            <w:noWrap w:val="0"/>
            <w:vAlign w:val="top"/>
          </w:tcPr>
          <w:p w14:paraId="259B7B14">
            <w:pPr>
              <w:spacing w:line="400" w:lineRule="exact"/>
              <w:jc w:val="center"/>
              <w:rPr>
                <w:rFonts w:ascii="宋体" w:hAnsi="宋体"/>
                <w:color w:val="auto"/>
                <w:szCs w:val="21"/>
                <w:highlight w:val="none"/>
              </w:rPr>
            </w:pPr>
          </w:p>
        </w:tc>
        <w:tc>
          <w:tcPr>
            <w:tcW w:w="516" w:type="pct"/>
            <w:noWrap w:val="0"/>
            <w:vAlign w:val="top"/>
          </w:tcPr>
          <w:p w14:paraId="3D6A7DCB">
            <w:pPr>
              <w:spacing w:line="400" w:lineRule="exact"/>
              <w:jc w:val="center"/>
              <w:rPr>
                <w:rFonts w:ascii="宋体" w:hAnsi="宋体"/>
                <w:color w:val="auto"/>
                <w:szCs w:val="21"/>
                <w:highlight w:val="none"/>
              </w:rPr>
            </w:pPr>
          </w:p>
        </w:tc>
        <w:tc>
          <w:tcPr>
            <w:tcW w:w="516" w:type="pct"/>
            <w:noWrap w:val="0"/>
            <w:vAlign w:val="top"/>
          </w:tcPr>
          <w:p w14:paraId="0D10E1F2">
            <w:pPr>
              <w:spacing w:line="400" w:lineRule="exact"/>
              <w:jc w:val="center"/>
              <w:rPr>
                <w:rFonts w:ascii="宋体" w:hAnsi="宋体"/>
                <w:color w:val="auto"/>
                <w:szCs w:val="21"/>
                <w:highlight w:val="none"/>
              </w:rPr>
            </w:pPr>
          </w:p>
        </w:tc>
        <w:tc>
          <w:tcPr>
            <w:tcW w:w="396" w:type="pct"/>
            <w:noWrap w:val="0"/>
            <w:vAlign w:val="top"/>
          </w:tcPr>
          <w:p w14:paraId="64851FE0">
            <w:pPr>
              <w:spacing w:line="400" w:lineRule="exact"/>
              <w:jc w:val="center"/>
              <w:rPr>
                <w:rFonts w:ascii="宋体" w:hAnsi="宋体"/>
                <w:color w:val="auto"/>
                <w:szCs w:val="21"/>
                <w:highlight w:val="none"/>
              </w:rPr>
            </w:pPr>
          </w:p>
        </w:tc>
        <w:tc>
          <w:tcPr>
            <w:tcW w:w="436" w:type="pct"/>
            <w:noWrap w:val="0"/>
            <w:vAlign w:val="top"/>
          </w:tcPr>
          <w:p w14:paraId="1AEBAE45">
            <w:pPr>
              <w:spacing w:line="400" w:lineRule="exact"/>
              <w:jc w:val="center"/>
              <w:rPr>
                <w:rFonts w:ascii="宋体" w:hAnsi="宋体"/>
                <w:color w:val="auto"/>
                <w:szCs w:val="21"/>
                <w:highlight w:val="none"/>
              </w:rPr>
            </w:pPr>
          </w:p>
        </w:tc>
        <w:tc>
          <w:tcPr>
            <w:tcW w:w="716" w:type="pct"/>
            <w:noWrap w:val="0"/>
            <w:vAlign w:val="top"/>
          </w:tcPr>
          <w:p w14:paraId="44462417">
            <w:pPr>
              <w:spacing w:line="400" w:lineRule="exact"/>
              <w:jc w:val="center"/>
              <w:rPr>
                <w:rFonts w:ascii="宋体" w:hAnsi="宋体"/>
                <w:color w:val="auto"/>
                <w:szCs w:val="21"/>
                <w:highlight w:val="none"/>
              </w:rPr>
            </w:pPr>
          </w:p>
        </w:tc>
        <w:tc>
          <w:tcPr>
            <w:tcW w:w="976" w:type="pct"/>
            <w:noWrap w:val="0"/>
            <w:vAlign w:val="top"/>
          </w:tcPr>
          <w:p w14:paraId="66A3960E">
            <w:pPr>
              <w:spacing w:line="400" w:lineRule="exact"/>
              <w:jc w:val="center"/>
              <w:rPr>
                <w:rFonts w:ascii="宋体" w:hAnsi="宋体"/>
                <w:color w:val="auto"/>
                <w:szCs w:val="21"/>
                <w:highlight w:val="none"/>
              </w:rPr>
            </w:pPr>
          </w:p>
        </w:tc>
        <w:tc>
          <w:tcPr>
            <w:tcW w:w="404" w:type="pct"/>
            <w:noWrap w:val="0"/>
            <w:vAlign w:val="top"/>
          </w:tcPr>
          <w:p w14:paraId="672949B1">
            <w:pPr>
              <w:spacing w:line="400" w:lineRule="exact"/>
              <w:jc w:val="center"/>
              <w:rPr>
                <w:rFonts w:ascii="宋体" w:hAnsi="宋体"/>
                <w:color w:val="auto"/>
                <w:szCs w:val="21"/>
                <w:highlight w:val="none"/>
              </w:rPr>
            </w:pPr>
          </w:p>
        </w:tc>
      </w:tr>
      <w:tr w14:paraId="48A8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noWrap w:val="0"/>
            <w:vAlign w:val="top"/>
          </w:tcPr>
          <w:p w14:paraId="2E8E2DDD">
            <w:pPr>
              <w:spacing w:line="400" w:lineRule="exact"/>
              <w:jc w:val="center"/>
              <w:rPr>
                <w:rFonts w:ascii="宋体" w:hAnsi="宋体"/>
                <w:color w:val="auto"/>
                <w:szCs w:val="21"/>
                <w:highlight w:val="none"/>
              </w:rPr>
            </w:pPr>
          </w:p>
        </w:tc>
        <w:tc>
          <w:tcPr>
            <w:tcW w:w="641" w:type="pct"/>
            <w:noWrap w:val="0"/>
            <w:vAlign w:val="top"/>
          </w:tcPr>
          <w:p w14:paraId="294AA7E7">
            <w:pPr>
              <w:spacing w:line="400" w:lineRule="exact"/>
              <w:jc w:val="center"/>
              <w:rPr>
                <w:rFonts w:ascii="宋体" w:hAnsi="宋体"/>
                <w:color w:val="auto"/>
                <w:szCs w:val="21"/>
                <w:highlight w:val="none"/>
              </w:rPr>
            </w:pPr>
          </w:p>
        </w:tc>
        <w:tc>
          <w:tcPr>
            <w:tcW w:w="516" w:type="pct"/>
            <w:noWrap w:val="0"/>
            <w:vAlign w:val="top"/>
          </w:tcPr>
          <w:p w14:paraId="040697F1">
            <w:pPr>
              <w:spacing w:line="400" w:lineRule="exact"/>
              <w:jc w:val="center"/>
              <w:rPr>
                <w:rFonts w:ascii="宋体" w:hAnsi="宋体"/>
                <w:color w:val="auto"/>
                <w:szCs w:val="21"/>
                <w:highlight w:val="none"/>
              </w:rPr>
            </w:pPr>
          </w:p>
        </w:tc>
        <w:tc>
          <w:tcPr>
            <w:tcW w:w="516" w:type="pct"/>
            <w:noWrap w:val="0"/>
            <w:vAlign w:val="top"/>
          </w:tcPr>
          <w:p w14:paraId="1F4665EE">
            <w:pPr>
              <w:spacing w:line="400" w:lineRule="exact"/>
              <w:jc w:val="center"/>
              <w:rPr>
                <w:rFonts w:ascii="宋体" w:hAnsi="宋体"/>
                <w:color w:val="auto"/>
                <w:szCs w:val="21"/>
                <w:highlight w:val="none"/>
              </w:rPr>
            </w:pPr>
          </w:p>
        </w:tc>
        <w:tc>
          <w:tcPr>
            <w:tcW w:w="396" w:type="pct"/>
            <w:noWrap w:val="0"/>
            <w:vAlign w:val="top"/>
          </w:tcPr>
          <w:p w14:paraId="20532CE9">
            <w:pPr>
              <w:spacing w:line="400" w:lineRule="exact"/>
              <w:jc w:val="center"/>
              <w:rPr>
                <w:rFonts w:ascii="宋体" w:hAnsi="宋体"/>
                <w:color w:val="auto"/>
                <w:szCs w:val="21"/>
                <w:highlight w:val="none"/>
              </w:rPr>
            </w:pPr>
          </w:p>
        </w:tc>
        <w:tc>
          <w:tcPr>
            <w:tcW w:w="436" w:type="pct"/>
            <w:noWrap w:val="0"/>
            <w:vAlign w:val="top"/>
          </w:tcPr>
          <w:p w14:paraId="23A492A6">
            <w:pPr>
              <w:spacing w:line="400" w:lineRule="exact"/>
              <w:jc w:val="center"/>
              <w:rPr>
                <w:rFonts w:ascii="宋体" w:hAnsi="宋体"/>
                <w:color w:val="auto"/>
                <w:szCs w:val="21"/>
                <w:highlight w:val="none"/>
              </w:rPr>
            </w:pPr>
          </w:p>
        </w:tc>
        <w:tc>
          <w:tcPr>
            <w:tcW w:w="716" w:type="pct"/>
            <w:noWrap w:val="0"/>
            <w:vAlign w:val="top"/>
          </w:tcPr>
          <w:p w14:paraId="5DB5F1BC">
            <w:pPr>
              <w:spacing w:line="400" w:lineRule="exact"/>
              <w:jc w:val="center"/>
              <w:rPr>
                <w:rFonts w:ascii="宋体" w:hAnsi="宋体"/>
                <w:color w:val="auto"/>
                <w:szCs w:val="21"/>
                <w:highlight w:val="none"/>
              </w:rPr>
            </w:pPr>
          </w:p>
        </w:tc>
        <w:tc>
          <w:tcPr>
            <w:tcW w:w="976" w:type="pct"/>
            <w:noWrap w:val="0"/>
            <w:vAlign w:val="top"/>
          </w:tcPr>
          <w:p w14:paraId="7CB08524">
            <w:pPr>
              <w:spacing w:line="400" w:lineRule="exact"/>
              <w:jc w:val="center"/>
              <w:rPr>
                <w:rFonts w:ascii="宋体" w:hAnsi="宋体"/>
                <w:color w:val="auto"/>
                <w:szCs w:val="21"/>
                <w:highlight w:val="none"/>
              </w:rPr>
            </w:pPr>
          </w:p>
        </w:tc>
        <w:tc>
          <w:tcPr>
            <w:tcW w:w="404" w:type="pct"/>
            <w:noWrap w:val="0"/>
            <w:vAlign w:val="top"/>
          </w:tcPr>
          <w:p w14:paraId="0D3BB3D7">
            <w:pPr>
              <w:spacing w:line="400" w:lineRule="exact"/>
              <w:jc w:val="center"/>
              <w:rPr>
                <w:rFonts w:ascii="宋体" w:hAnsi="宋体"/>
                <w:color w:val="auto"/>
                <w:szCs w:val="21"/>
                <w:highlight w:val="none"/>
              </w:rPr>
            </w:pPr>
          </w:p>
        </w:tc>
      </w:tr>
    </w:tbl>
    <w:p w14:paraId="3468EFA2">
      <w:pPr>
        <w:spacing w:line="400" w:lineRule="exact"/>
        <w:rPr>
          <w:rFonts w:eastAsia="黑体"/>
          <w:color w:val="auto"/>
          <w:sz w:val="19"/>
          <w:szCs w:val="19"/>
          <w:highlight w:val="none"/>
        </w:rPr>
      </w:pPr>
      <w:r>
        <w:rPr>
          <w:rFonts w:eastAsia="黑体"/>
          <w:color w:val="auto"/>
          <w:sz w:val="19"/>
          <w:szCs w:val="19"/>
          <w:highlight w:val="none"/>
        </w:rPr>
        <w:br w:type="page"/>
      </w:r>
    </w:p>
    <w:p w14:paraId="65923480">
      <w:pPr>
        <w:spacing w:line="400" w:lineRule="exact"/>
        <w:jc w:val="center"/>
        <w:outlineLvl w:val="3"/>
        <w:rPr>
          <w:rFonts w:ascii="宋体" w:hAnsi="宋体"/>
          <w:b/>
          <w:color w:val="auto"/>
          <w:sz w:val="24"/>
          <w:szCs w:val="31"/>
          <w:highlight w:val="none"/>
        </w:rPr>
      </w:pPr>
      <w:bookmarkStart w:id="563" w:name="_Toc168476329"/>
      <w:bookmarkStart w:id="564" w:name="_Toc168475926"/>
      <w:bookmarkStart w:id="565" w:name="_Toc144974867"/>
      <w:bookmarkStart w:id="566" w:name="_Toc221952101"/>
      <w:r>
        <w:rPr>
          <w:rFonts w:ascii="宋体" w:hAnsi="宋体"/>
          <w:b/>
          <w:color w:val="auto"/>
          <w:sz w:val="24"/>
          <w:szCs w:val="31"/>
          <w:highlight w:val="none"/>
        </w:rPr>
        <w:t>附表三：</w:t>
      </w:r>
      <w:r>
        <w:rPr>
          <w:rFonts w:hint="eastAsia" w:ascii="宋体" w:hAnsi="宋体"/>
          <w:b/>
          <w:color w:val="auto"/>
          <w:sz w:val="24"/>
          <w:szCs w:val="31"/>
          <w:highlight w:val="none"/>
        </w:rPr>
        <w:t>拟投入本标段的</w:t>
      </w:r>
      <w:r>
        <w:rPr>
          <w:rFonts w:ascii="宋体" w:hAnsi="宋体"/>
          <w:b/>
          <w:color w:val="auto"/>
          <w:sz w:val="24"/>
          <w:szCs w:val="31"/>
          <w:highlight w:val="none"/>
        </w:rPr>
        <w:t>劳动力计划表</w:t>
      </w:r>
      <w:bookmarkEnd w:id="563"/>
      <w:bookmarkEnd w:id="564"/>
      <w:bookmarkEnd w:id="565"/>
      <w:bookmarkEnd w:id="566"/>
    </w:p>
    <w:p w14:paraId="7B88E258">
      <w:pPr>
        <w:spacing w:line="400" w:lineRule="exact"/>
        <w:ind w:right="200"/>
        <w:jc w:val="right"/>
        <w:rPr>
          <w:rFonts w:ascii="宋体" w:hAnsi="宋体"/>
          <w:color w:val="auto"/>
          <w:szCs w:val="21"/>
          <w:highlight w:val="none"/>
        </w:rPr>
      </w:pPr>
      <w:bookmarkStart w:id="567" w:name="_Toc221952102"/>
      <w:r>
        <w:rPr>
          <w:rFonts w:ascii="宋体" w:hAnsi="宋体"/>
          <w:color w:val="auto"/>
          <w:szCs w:val="21"/>
          <w:highlight w:val="none"/>
        </w:rPr>
        <w:t>单位：人</w:t>
      </w:r>
      <w:bookmarkEnd w:id="567"/>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414"/>
        <w:gridCol w:w="1153"/>
        <w:gridCol w:w="1153"/>
        <w:gridCol w:w="1153"/>
        <w:gridCol w:w="1153"/>
        <w:gridCol w:w="1154"/>
        <w:gridCol w:w="1164"/>
      </w:tblGrid>
      <w:tr w14:paraId="6704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308118AA">
            <w:pPr>
              <w:spacing w:line="400" w:lineRule="exact"/>
              <w:jc w:val="center"/>
              <w:rPr>
                <w:rFonts w:ascii="宋体" w:hAnsi="宋体"/>
                <w:color w:val="auto"/>
                <w:szCs w:val="21"/>
                <w:highlight w:val="none"/>
              </w:rPr>
            </w:pPr>
            <w:bookmarkStart w:id="568" w:name="_Toc221952103"/>
            <w:r>
              <w:rPr>
                <w:rFonts w:ascii="宋体" w:hAnsi="宋体"/>
                <w:color w:val="auto"/>
                <w:szCs w:val="21"/>
                <w:highlight w:val="none"/>
              </w:rPr>
              <w:t>工种</w:t>
            </w:r>
            <w:bookmarkEnd w:id="568"/>
          </w:p>
        </w:tc>
        <w:tc>
          <w:tcPr>
            <w:tcW w:w="4514" w:type="pct"/>
            <w:gridSpan w:val="7"/>
            <w:noWrap w:val="0"/>
            <w:vAlign w:val="top"/>
          </w:tcPr>
          <w:p w14:paraId="64C58A23">
            <w:pPr>
              <w:spacing w:line="400" w:lineRule="exact"/>
              <w:jc w:val="center"/>
              <w:rPr>
                <w:rFonts w:ascii="宋体" w:hAnsi="宋体"/>
                <w:color w:val="auto"/>
                <w:szCs w:val="21"/>
                <w:highlight w:val="none"/>
              </w:rPr>
            </w:pPr>
            <w:bookmarkStart w:id="569" w:name="_Toc221952104"/>
            <w:r>
              <w:rPr>
                <w:rFonts w:ascii="宋体" w:hAnsi="宋体"/>
                <w:color w:val="auto"/>
                <w:szCs w:val="21"/>
                <w:highlight w:val="none"/>
              </w:rPr>
              <w:t>按工程施工阶段投入劳动力情况</w:t>
            </w:r>
            <w:bookmarkEnd w:id="569"/>
          </w:p>
        </w:tc>
      </w:tr>
      <w:tr w14:paraId="1226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4F72C964">
            <w:pPr>
              <w:spacing w:line="400" w:lineRule="exact"/>
              <w:jc w:val="center"/>
              <w:rPr>
                <w:rFonts w:ascii="宋体" w:hAnsi="宋体"/>
                <w:color w:val="auto"/>
                <w:szCs w:val="21"/>
                <w:highlight w:val="none"/>
              </w:rPr>
            </w:pPr>
          </w:p>
        </w:tc>
        <w:tc>
          <w:tcPr>
            <w:tcW w:w="765" w:type="pct"/>
            <w:noWrap w:val="0"/>
            <w:vAlign w:val="top"/>
          </w:tcPr>
          <w:p w14:paraId="6C9DBF7F">
            <w:pPr>
              <w:spacing w:line="400" w:lineRule="exact"/>
              <w:jc w:val="center"/>
              <w:rPr>
                <w:rFonts w:ascii="宋体" w:hAnsi="宋体"/>
                <w:color w:val="auto"/>
                <w:szCs w:val="21"/>
                <w:highlight w:val="none"/>
              </w:rPr>
            </w:pPr>
          </w:p>
        </w:tc>
        <w:tc>
          <w:tcPr>
            <w:tcW w:w="624" w:type="pct"/>
            <w:noWrap w:val="0"/>
            <w:vAlign w:val="top"/>
          </w:tcPr>
          <w:p w14:paraId="5AB04836">
            <w:pPr>
              <w:spacing w:line="400" w:lineRule="exact"/>
              <w:jc w:val="center"/>
              <w:rPr>
                <w:rFonts w:ascii="宋体" w:hAnsi="宋体"/>
                <w:color w:val="auto"/>
                <w:szCs w:val="21"/>
                <w:highlight w:val="none"/>
              </w:rPr>
            </w:pPr>
          </w:p>
        </w:tc>
        <w:tc>
          <w:tcPr>
            <w:tcW w:w="624" w:type="pct"/>
            <w:noWrap w:val="0"/>
            <w:vAlign w:val="top"/>
          </w:tcPr>
          <w:p w14:paraId="5FA25E4E">
            <w:pPr>
              <w:spacing w:line="400" w:lineRule="exact"/>
              <w:jc w:val="center"/>
              <w:rPr>
                <w:rFonts w:ascii="宋体" w:hAnsi="宋体"/>
                <w:color w:val="auto"/>
                <w:szCs w:val="21"/>
                <w:highlight w:val="none"/>
              </w:rPr>
            </w:pPr>
          </w:p>
        </w:tc>
        <w:tc>
          <w:tcPr>
            <w:tcW w:w="624" w:type="pct"/>
            <w:noWrap w:val="0"/>
            <w:vAlign w:val="top"/>
          </w:tcPr>
          <w:p w14:paraId="14EF30B7">
            <w:pPr>
              <w:spacing w:line="400" w:lineRule="exact"/>
              <w:jc w:val="center"/>
              <w:rPr>
                <w:rFonts w:ascii="宋体" w:hAnsi="宋体"/>
                <w:color w:val="auto"/>
                <w:szCs w:val="21"/>
                <w:highlight w:val="none"/>
              </w:rPr>
            </w:pPr>
          </w:p>
        </w:tc>
        <w:tc>
          <w:tcPr>
            <w:tcW w:w="624" w:type="pct"/>
            <w:noWrap w:val="0"/>
            <w:vAlign w:val="top"/>
          </w:tcPr>
          <w:p w14:paraId="142290B7">
            <w:pPr>
              <w:spacing w:line="400" w:lineRule="exact"/>
              <w:jc w:val="center"/>
              <w:rPr>
                <w:rFonts w:ascii="宋体" w:hAnsi="宋体"/>
                <w:color w:val="auto"/>
                <w:szCs w:val="21"/>
                <w:highlight w:val="none"/>
              </w:rPr>
            </w:pPr>
          </w:p>
        </w:tc>
        <w:tc>
          <w:tcPr>
            <w:tcW w:w="624" w:type="pct"/>
            <w:noWrap w:val="0"/>
            <w:vAlign w:val="top"/>
          </w:tcPr>
          <w:p w14:paraId="42CE7F92">
            <w:pPr>
              <w:spacing w:line="400" w:lineRule="exact"/>
              <w:jc w:val="center"/>
              <w:rPr>
                <w:rFonts w:ascii="宋体" w:hAnsi="宋体"/>
                <w:color w:val="auto"/>
                <w:szCs w:val="21"/>
                <w:highlight w:val="none"/>
              </w:rPr>
            </w:pPr>
          </w:p>
        </w:tc>
        <w:tc>
          <w:tcPr>
            <w:tcW w:w="624" w:type="pct"/>
            <w:noWrap w:val="0"/>
            <w:vAlign w:val="top"/>
          </w:tcPr>
          <w:p w14:paraId="226ECDA8">
            <w:pPr>
              <w:spacing w:line="400" w:lineRule="exact"/>
              <w:jc w:val="center"/>
              <w:rPr>
                <w:rFonts w:ascii="宋体" w:hAnsi="宋体"/>
                <w:color w:val="auto"/>
                <w:szCs w:val="21"/>
                <w:highlight w:val="none"/>
              </w:rPr>
            </w:pPr>
          </w:p>
        </w:tc>
      </w:tr>
      <w:tr w14:paraId="45B5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0F86FE8A">
            <w:pPr>
              <w:spacing w:line="400" w:lineRule="exact"/>
              <w:jc w:val="center"/>
              <w:rPr>
                <w:rFonts w:ascii="宋体" w:hAnsi="宋体"/>
                <w:color w:val="auto"/>
                <w:szCs w:val="21"/>
                <w:highlight w:val="none"/>
              </w:rPr>
            </w:pPr>
          </w:p>
        </w:tc>
        <w:tc>
          <w:tcPr>
            <w:tcW w:w="765" w:type="pct"/>
            <w:noWrap w:val="0"/>
            <w:vAlign w:val="top"/>
          </w:tcPr>
          <w:p w14:paraId="3AC9D450">
            <w:pPr>
              <w:spacing w:line="400" w:lineRule="exact"/>
              <w:jc w:val="center"/>
              <w:rPr>
                <w:rFonts w:ascii="宋体" w:hAnsi="宋体"/>
                <w:color w:val="auto"/>
                <w:szCs w:val="21"/>
                <w:highlight w:val="none"/>
              </w:rPr>
            </w:pPr>
          </w:p>
        </w:tc>
        <w:tc>
          <w:tcPr>
            <w:tcW w:w="624" w:type="pct"/>
            <w:noWrap w:val="0"/>
            <w:vAlign w:val="top"/>
          </w:tcPr>
          <w:p w14:paraId="07B76244">
            <w:pPr>
              <w:spacing w:line="400" w:lineRule="exact"/>
              <w:jc w:val="center"/>
              <w:rPr>
                <w:rFonts w:ascii="宋体" w:hAnsi="宋体"/>
                <w:color w:val="auto"/>
                <w:szCs w:val="21"/>
                <w:highlight w:val="none"/>
              </w:rPr>
            </w:pPr>
          </w:p>
        </w:tc>
        <w:tc>
          <w:tcPr>
            <w:tcW w:w="624" w:type="pct"/>
            <w:noWrap w:val="0"/>
            <w:vAlign w:val="top"/>
          </w:tcPr>
          <w:p w14:paraId="0FDCD0FD">
            <w:pPr>
              <w:spacing w:line="400" w:lineRule="exact"/>
              <w:jc w:val="center"/>
              <w:rPr>
                <w:rFonts w:ascii="宋体" w:hAnsi="宋体"/>
                <w:color w:val="auto"/>
                <w:szCs w:val="21"/>
                <w:highlight w:val="none"/>
              </w:rPr>
            </w:pPr>
          </w:p>
        </w:tc>
        <w:tc>
          <w:tcPr>
            <w:tcW w:w="624" w:type="pct"/>
            <w:noWrap w:val="0"/>
            <w:vAlign w:val="top"/>
          </w:tcPr>
          <w:p w14:paraId="58C10777">
            <w:pPr>
              <w:spacing w:line="400" w:lineRule="exact"/>
              <w:jc w:val="center"/>
              <w:rPr>
                <w:rFonts w:ascii="宋体" w:hAnsi="宋体"/>
                <w:color w:val="auto"/>
                <w:szCs w:val="21"/>
                <w:highlight w:val="none"/>
              </w:rPr>
            </w:pPr>
          </w:p>
        </w:tc>
        <w:tc>
          <w:tcPr>
            <w:tcW w:w="624" w:type="pct"/>
            <w:noWrap w:val="0"/>
            <w:vAlign w:val="top"/>
          </w:tcPr>
          <w:p w14:paraId="3F5C45AF">
            <w:pPr>
              <w:spacing w:line="400" w:lineRule="exact"/>
              <w:jc w:val="center"/>
              <w:rPr>
                <w:rFonts w:ascii="宋体" w:hAnsi="宋体"/>
                <w:color w:val="auto"/>
                <w:szCs w:val="21"/>
                <w:highlight w:val="none"/>
              </w:rPr>
            </w:pPr>
          </w:p>
        </w:tc>
        <w:tc>
          <w:tcPr>
            <w:tcW w:w="624" w:type="pct"/>
            <w:noWrap w:val="0"/>
            <w:vAlign w:val="top"/>
          </w:tcPr>
          <w:p w14:paraId="41B447C8">
            <w:pPr>
              <w:spacing w:line="400" w:lineRule="exact"/>
              <w:jc w:val="center"/>
              <w:rPr>
                <w:rFonts w:ascii="宋体" w:hAnsi="宋体"/>
                <w:color w:val="auto"/>
                <w:szCs w:val="21"/>
                <w:highlight w:val="none"/>
              </w:rPr>
            </w:pPr>
          </w:p>
        </w:tc>
        <w:tc>
          <w:tcPr>
            <w:tcW w:w="624" w:type="pct"/>
            <w:noWrap w:val="0"/>
            <w:vAlign w:val="top"/>
          </w:tcPr>
          <w:p w14:paraId="69F7F879">
            <w:pPr>
              <w:spacing w:line="400" w:lineRule="exact"/>
              <w:jc w:val="center"/>
              <w:rPr>
                <w:rFonts w:ascii="宋体" w:hAnsi="宋体"/>
                <w:color w:val="auto"/>
                <w:szCs w:val="21"/>
                <w:highlight w:val="none"/>
              </w:rPr>
            </w:pPr>
          </w:p>
        </w:tc>
      </w:tr>
      <w:tr w14:paraId="3A4D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310C8D5A">
            <w:pPr>
              <w:spacing w:line="400" w:lineRule="exact"/>
              <w:jc w:val="center"/>
              <w:rPr>
                <w:rFonts w:ascii="宋体" w:hAnsi="宋体"/>
                <w:color w:val="auto"/>
                <w:szCs w:val="21"/>
                <w:highlight w:val="none"/>
              </w:rPr>
            </w:pPr>
          </w:p>
        </w:tc>
        <w:tc>
          <w:tcPr>
            <w:tcW w:w="765" w:type="pct"/>
            <w:noWrap w:val="0"/>
            <w:vAlign w:val="top"/>
          </w:tcPr>
          <w:p w14:paraId="0BEA6D78">
            <w:pPr>
              <w:spacing w:line="400" w:lineRule="exact"/>
              <w:jc w:val="center"/>
              <w:rPr>
                <w:rFonts w:ascii="宋体" w:hAnsi="宋体"/>
                <w:color w:val="auto"/>
                <w:szCs w:val="21"/>
                <w:highlight w:val="none"/>
              </w:rPr>
            </w:pPr>
          </w:p>
        </w:tc>
        <w:tc>
          <w:tcPr>
            <w:tcW w:w="624" w:type="pct"/>
            <w:noWrap w:val="0"/>
            <w:vAlign w:val="top"/>
          </w:tcPr>
          <w:p w14:paraId="0E288CD6">
            <w:pPr>
              <w:spacing w:line="400" w:lineRule="exact"/>
              <w:jc w:val="center"/>
              <w:rPr>
                <w:rFonts w:ascii="宋体" w:hAnsi="宋体"/>
                <w:color w:val="auto"/>
                <w:szCs w:val="21"/>
                <w:highlight w:val="none"/>
              </w:rPr>
            </w:pPr>
          </w:p>
        </w:tc>
        <w:tc>
          <w:tcPr>
            <w:tcW w:w="624" w:type="pct"/>
            <w:noWrap w:val="0"/>
            <w:vAlign w:val="top"/>
          </w:tcPr>
          <w:p w14:paraId="0B7A6062">
            <w:pPr>
              <w:spacing w:line="400" w:lineRule="exact"/>
              <w:jc w:val="center"/>
              <w:rPr>
                <w:rFonts w:ascii="宋体" w:hAnsi="宋体"/>
                <w:color w:val="auto"/>
                <w:szCs w:val="21"/>
                <w:highlight w:val="none"/>
              </w:rPr>
            </w:pPr>
          </w:p>
        </w:tc>
        <w:tc>
          <w:tcPr>
            <w:tcW w:w="624" w:type="pct"/>
            <w:noWrap w:val="0"/>
            <w:vAlign w:val="top"/>
          </w:tcPr>
          <w:p w14:paraId="0D3CE462">
            <w:pPr>
              <w:spacing w:line="400" w:lineRule="exact"/>
              <w:jc w:val="center"/>
              <w:rPr>
                <w:rFonts w:ascii="宋体" w:hAnsi="宋体"/>
                <w:color w:val="auto"/>
                <w:szCs w:val="21"/>
                <w:highlight w:val="none"/>
              </w:rPr>
            </w:pPr>
          </w:p>
        </w:tc>
        <w:tc>
          <w:tcPr>
            <w:tcW w:w="624" w:type="pct"/>
            <w:noWrap w:val="0"/>
            <w:vAlign w:val="top"/>
          </w:tcPr>
          <w:p w14:paraId="26DC2470">
            <w:pPr>
              <w:spacing w:line="400" w:lineRule="exact"/>
              <w:jc w:val="center"/>
              <w:rPr>
                <w:rFonts w:ascii="宋体" w:hAnsi="宋体"/>
                <w:color w:val="auto"/>
                <w:szCs w:val="21"/>
                <w:highlight w:val="none"/>
              </w:rPr>
            </w:pPr>
          </w:p>
        </w:tc>
        <w:tc>
          <w:tcPr>
            <w:tcW w:w="624" w:type="pct"/>
            <w:noWrap w:val="0"/>
            <w:vAlign w:val="top"/>
          </w:tcPr>
          <w:p w14:paraId="5083F4F4">
            <w:pPr>
              <w:spacing w:line="400" w:lineRule="exact"/>
              <w:jc w:val="center"/>
              <w:rPr>
                <w:rFonts w:ascii="宋体" w:hAnsi="宋体"/>
                <w:color w:val="auto"/>
                <w:szCs w:val="21"/>
                <w:highlight w:val="none"/>
              </w:rPr>
            </w:pPr>
          </w:p>
        </w:tc>
        <w:tc>
          <w:tcPr>
            <w:tcW w:w="624" w:type="pct"/>
            <w:noWrap w:val="0"/>
            <w:vAlign w:val="top"/>
          </w:tcPr>
          <w:p w14:paraId="662980CF">
            <w:pPr>
              <w:spacing w:line="400" w:lineRule="exact"/>
              <w:jc w:val="center"/>
              <w:rPr>
                <w:rFonts w:ascii="宋体" w:hAnsi="宋体"/>
                <w:color w:val="auto"/>
                <w:szCs w:val="21"/>
                <w:highlight w:val="none"/>
              </w:rPr>
            </w:pPr>
          </w:p>
        </w:tc>
      </w:tr>
      <w:tr w14:paraId="7602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5D4AFE3B">
            <w:pPr>
              <w:spacing w:line="400" w:lineRule="exact"/>
              <w:jc w:val="center"/>
              <w:rPr>
                <w:rFonts w:ascii="宋体" w:hAnsi="宋体"/>
                <w:color w:val="auto"/>
                <w:szCs w:val="21"/>
                <w:highlight w:val="none"/>
              </w:rPr>
            </w:pPr>
          </w:p>
        </w:tc>
        <w:tc>
          <w:tcPr>
            <w:tcW w:w="765" w:type="pct"/>
            <w:noWrap w:val="0"/>
            <w:vAlign w:val="top"/>
          </w:tcPr>
          <w:p w14:paraId="1AD6B889">
            <w:pPr>
              <w:spacing w:line="400" w:lineRule="exact"/>
              <w:jc w:val="center"/>
              <w:rPr>
                <w:rFonts w:ascii="宋体" w:hAnsi="宋体"/>
                <w:color w:val="auto"/>
                <w:szCs w:val="21"/>
                <w:highlight w:val="none"/>
              </w:rPr>
            </w:pPr>
          </w:p>
        </w:tc>
        <w:tc>
          <w:tcPr>
            <w:tcW w:w="624" w:type="pct"/>
            <w:noWrap w:val="0"/>
            <w:vAlign w:val="top"/>
          </w:tcPr>
          <w:p w14:paraId="74F7575C">
            <w:pPr>
              <w:spacing w:line="400" w:lineRule="exact"/>
              <w:jc w:val="center"/>
              <w:rPr>
                <w:rFonts w:ascii="宋体" w:hAnsi="宋体"/>
                <w:color w:val="auto"/>
                <w:szCs w:val="21"/>
                <w:highlight w:val="none"/>
              </w:rPr>
            </w:pPr>
          </w:p>
        </w:tc>
        <w:tc>
          <w:tcPr>
            <w:tcW w:w="624" w:type="pct"/>
            <w:noWrap w:val="0"/>
            <w:vAlign w:val="top"/>
          </w:tcPr>
          <w:p w14:paraId="460B3515">
            <w:pPr>
              <w:spacing w:line="400" w:lineRule="exact"/>
              <w:jc w:val="center"/>
              <w:rPr>
                <w:rFonts w:ascii="宋体" w:hAnsi="宋体"/>
                <w:color w:val="auto"/>
                <w:szCs w:val="21"/>
                <w:highlight w:val="none"/>
              </w:rPr>
            </w:pPr>
          </w:p>
        </w:tc>
        <w:tc>
          <w:tcPr>
            <w:tcW w:w="624" w:type="pct"/>
            <w:noWrap w:val="0"/>
            <w:vAlign w:val="top"/>
          </w:tcPr>
          <w:p w14:paraId="68B5F8A4">
            <w:pPr>
              <w:spacing w:line="400" w:lineRule="exact"/>
              <w:jc w:val="center"/>
              <w:rPr>
                <w:rFonts w:ascii="宋体" w:hAnsi="宋体"/>
                <w:color w:val="auto"/>
                <w:szCs w:val="21"/>
                <w:highlight w:val="none"/>
              </w:rPr>
            </w:pPr>
          </w:p>
        </w:tc>
        <w:tc>
          <w:tcPr>
            <w:tcW w:w="624" w:type="pct"/>
            <w:noWrap w:val="0"/>
            <w:vAlign w:val="top"/>
          </w:tcPr>
          <w:p w14:paraId="73561C49">
            <w:pPr>
              <w:spacing w:line="400" w:lineRule="exact"/>
              <w:jc w:val="center"/>
              <w:rPr>
                <w:rFonts w:ascii="宋体" w:hAnsi="宋体"/>
                <w:color w:val="auto"/>
                <w:szCs w:val="21"/>
                <w:highlight w:val="none"/>
              </w:rPr>
            </w:pPr>
          </w:p>
        </w:tc>
        <w:tc>
          <w:tcPr>
            <w:tcW w:w="624" w:type="pct"/>
            <w:noWrap w:val="0"/>
            <w:vAlign w:val="top"/>
          </w:tcPr>
          <w:p w14:paraId="5CDC94DA">
            <w:pPr>
              <w:spacing w:line="400" w:lineRule="exact"/>
              <w:jc w:val="center"/>
              <w:rPr>
                <w:rFonts w:ascii="宋体" w:hAnsi="宋体"/>
                <w:color w:val="auto"/>
                <w:szCs w:val="21"/>
                <w:highlight w:val="none"/>
              </w:rPr>
            </w:pPr>
          </w:p>
        </w:tc>
        <w:tc>
          <w:tcPr>
            <w:tcW w:w="624" w:type="pct"/>
            <w:noWrap w:val="0"/>
            <w:vAlign w:val="top"/>
          </w:tcPr>
          <w:p w14:paraId="7C894033">
            <w:pPr>
              <w:spacing w:line="400" w:lineRule="exact"/>
              <w:jc w:val="center"/>
              <w:rPr>
                <w:rFonts w:ascii="宋体" w:hAnsi="宋体"/>
                <w:color w:val="auto"/>
                <w:szCs w:val="21"/>
                <w:highlight w:val="none"/>
              </w:rPr>
            </w:pPr>
          </w:p>
        </w:tc>
      </w:tr>
      <w:tr w14:paraId="324C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5FFC18D2">
            <w:pPr>
              <w:spacing w:line="400" w:lineRule="exact"/>
              <w:jc w:val="center"/>
              <w:rPr>
                <w:rFonts w:ascii="宋体" w:hAnsi="宋体"/>
                <w:color w:val="auto"/>
                <w:szCs w:val="21"/>
                <w:highlight w:val="none"/>
              </w:rPr>
            </w:pPr>
          </w:p>
        </w:tc>
        <w:tc>
          <w:tcPr>
            <w:tcW w:w="765" w:type="pct"/>
            <w:noWrap w:val="0"/>
            <w:vAlign w:val="top"/>
          </w:tcPr>
          <w:p w14:paraId="51488BD3">
            <w:pPr>
              <w:spacing w:line="400" w:lineRule="exact"/>
              <w:jc w:val="center"/>
              <w:rPr>
                <w:rFonts w:ascii="宋体" w:hAnsi="宋体"/>
                <w:color w:val="auto"/>
                <w:szCs w:val="21"/>
                <w:highlight w:val="none"/>
              </w:rPr>
            </w:pPr>
          </w:p>
        </w:tc>
        <w:tc>
          <w:tcPr>
            <w:tcW w:w="624" w:type="pct"/>
            <w:noWrap w:val="0"/>
            <w:vAlign w:val="top"/>
          </w:tcPr>
          <w:p w14:paraId="21217B63">
            <w:pPr>
              <w:spacing w:line="400" w:lineRule="exact"/>
              <w:jc w:val="center"/>
              <w:rPr>
                <w:rFonts w:ascii="宋体" w:hAnsi="宋体"/>
                <w:color w:val="auto"/>
                <w:szCs w:val="21"/>
                <w:highlight w:val="none"/>
              </w:rPr>
            </w:pPr>
          </w:p>
        </w:tc>
        <w:tc>
          <w:tcPr>
            <w:tcW w:w="624" w:type="pct"/>
            <w:noWrap w:val="0"/>
            <w:vAlign w:val="top"/>
          </w:tcPr>
          <w:p w14:paraId="49E1001A">
            <w:pPr>
              <w:spacing w:line="400" w:lineRule="exact"/>
              <w:jc w:val="center"/>
              <w:rPr>
                <w:rFonts w:ascii="宋体" w:hAnsi="宋体"/>
                <w:color w:val="auto"/>
                <w:szCs w:val="21"/>
                <w:highlight w:val="none"/>
              </w:rPr>
            </w:pPr>
          </w:p>
        </w:tc>
        <w:tc>
          <w:tcPr>
            <w:tcW w:w="624" w:type="pct"/>
            <w:noWrap w:val="0"/>
            <w:vAlign w:val="top"/>
          </w:tcPr>
          <w:p w14:paraId="6632FFCE">
            <w:pPr>
              <w:spacing w:line="400" w:lineRule="exact"/>
              <w:jc w:val="center"/>
              <w:rPr>
                <w:rFonts w:ascii="宋体" w:hAnsi="宋体"/>
                <w:color w:val="auto"/>
                <w:szCs w:val="21"/>
                <w:highlight w:val="none"/>
              </w:rPr>
            </w:pPr>
          </w:p>
        </w:tc>
        <w:tc>
          <w:tcPr>
            <w:tcW w:w="624" w:type="pct"/>
            <w:noWrap w:val="0"/>
            <w:vAlign w:val="top"/>
          </w:tcPr>
          <w:p w14:paraId="26A396B4">
            <w:pPr>
              <w:spacing w:line="400" w:lineRule="exact"/>
              <w:jc w:val="center"/>
              <w:rPr>
                <w:rFonts w:ascii="宋体" w:hAnsi="宋体"/>
                <w:color w:val="auto"/>
                <w:szCs w:val="21"/>
                <w:highlight w:val="none"/>
              </w:rPr>
            </w:pPr>
          </w:p>
        </w:tc>
        <w:tc>
          <w:tcPr>
            <w:tcW w:w="624" w:type="pct"/>
            <w:noWrap w:val="0"/>
            <w:vAlign w:val="top"/>
          </w:tcPr>
          <w:p w14:paraId="2084D040">
            <w:pPr>
              <w:spacing w:line="400" w:lineRule="exact"/>
              <w:jc w:val="center"/>
              <w:rPr>
                <w:rFonts w:ascii="宋体" w:hAnsi="宋体"/>
                <w:color w:val="auto"/>
                <w:szCs w:val="21"/>
                <w:highlight w:val="none"/>
              </w:rPr>
            </w:pPr>
          </w:p>
        </w:tc>
        <w:tc>
          <w:tcPr>
            <w:tcW w:w="624" w:type="pct"/>
            <w:noWrap w:val="0"/>
            <w:vAlign w:val="top"/>
          </w:tcPr>
          <w:p w14:paraId="0BBC6EA1">
            <w:pPr>
              <w:spacing w:line="400" w:lineRule="exact"/>
              <w:jc w:val="center"/>
              <w:rPr>
                <w:rFonts w:ascii="宋体" w:hAnsi="宋体"/>
                <w:color w:val="auto"/>
                <w:szCs w:val="21"/>
                <w:highlight w:val="none"/>
              </w:rPr>
            </w:pPr>
          </w:p>
        </w:tc>
      </w:tr>
      <w:tr w14:paraId="60DE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143DFFBB">
            <w:pPr>
              <w:spacing w:line="400" w:lineRule="exact"/>
              <w:jc w:val="center"/>
              <w:rPr>
                <w:rFonts w:ascii="宋体" w:hAnsi="宋体"/>
                <w:color w:val="auto"/>
                <w:szCs w:val="21"/>
                <w:highlight w:val="none"/>
              </w:rPr>
            </w:pPr>
          </w:p>
        </w:tc>
        <w:tc>
          <w:tcPr>
            <w:tcW w:w="765" w:type="pct"/>
            <w:noWrap w:val="0"/>
            <w:vAlign w:val="top"/>
          </w:tcPr>
          <w:p w14:paraId="5F1B2D3D">
            <w:pPr>
              <w:spacing w:line="400" w:lineRule="exact"/>
              <w:jc w:val="center"/>
              <w:rPr>
                <w:rFonts w:ascii="宋体" w:hAnsi="宋体"/>
                <w:color w:val="auto"/>
                <w:szCs w:val="21"/>
                <w:highlight w:val="none"/>
              </w:rPr>
            </w:pPr>
          </w:p>
        </w:tc>
        <w:tc>
          <w:tcPr>
            <w:tcW w:w="624" w:type="pct"/>
            <w:noWrap w:val="0"/>
            <w:vAlign w:val="top"/>
          </w:tcPr>
          <w:p w14:paraId="47A3B4D6">
            <w:pPr>
              <w:spacing w:line="400" w:lineRule="exact"/>
              <w:jc w:val="center"/>
              <w:rPr>
                <w:rFonts w:ascii="宋体" w:hAnsi="宋体"/>
                <w:color w:val="auto"/>
                <w:szCs w:val="21"/>
                <w:highlight w:val="none"/>
              </w:rPr>
            </w:pPr>
          </w:p>
        </w:tc>
        <w:tc>
          <w:tcPr>
            <w:tcW w:w="624" w:type="pct"/>
            <w:noWrap w:val="0"/>
            <w:vAlign w:val="top"/>
          </w:tcPr>
          <w:p w14:paraId="7FD01D9F">
            <w:pPr>
              <w:spacing w:line="400" w:lineRule="exact"/>
              <w:jc w:val="center"/>
              <w:rPr>
                <w:rFonts w:ascii="宋体" w:hAnsi="宋体"/>
                <w:color w:val="auto"/>
                <w:szCs w:val="21"/>
                <w:highlight w:val="none"/>
              </w:rPr>
            </w:pPr>
          </w:p>
        </w:tc>
        <w:tc>
          <w:tcPr>
            <w:tcW w:w="624" w:type="pct"/>
            <w:noWrap w:val="0"/>
            <w:vAlign w:val="top"/>
          </w:tcPr>
          <w:p w14:paraId="2242552A">
            <w:pPr>
              <w:spacing w:line="400" w:lineRule="exact"/>
              <w:jc w:val="center"/>
              <w:rPr>
                <w:rFonts w:ascii="宋体" w:hAnsi="宋体"/>
                <w:color w:val="auto"/>
                <w:szCs w:val="21"/>
                <w:highlight w:val="none"/>
              </w:rPr>
            </w:pPr>
          </w:p>
        </w:tc>
        <w:tc>
          <w:tcPr>
            <w:tcW w:w="624" w:type="pct"/>
            <w:noWrap w:val="0"/>
            <w:vAlign w:val="top"/>
          </w:tcPr>
          <w:p w14:paraId="5CE5F8AB">
            <w:pPr>
              <w:spacing w:line="400" w:lineRule="exact"/>
              <w:jc w:val="center"/>
              <w:rPr>
                <w:rFonts w:ascii="宋体" w:hAnsi="宋体"/>
                <w:color w:val="auto"/>
                <w:szCs w:val="21"/>
                <w:highlight w:val="none"/>
              </w:rPr>
            </w:pPr>
          </w:p>
        </w:tc>
        <w:tc>
          <w:tcPr>
            <w:tcW w:w="624" w:type="pct"/>
            <w:noWrap w:val="0"/>
            <w:vAlign w:val="top"/>
          </w:tcPr>
          <w:p w14:paraId="419FB2DD">
            <w:pPr>
              <w:spacing w:line="400" w:lineRule="exact"/>
              <w:jc w:val="center"/>
              <w:rPr>
                <w:rFonts w:ascii="宋体" w:hAnsi="宋体"/>
                <w:color w:val="auto"/>
                <w:szCs w:val="21"/>
                <w:highlight w:val="none"/>
              </w:rPr>
            </w:pPr>
          </w:p>
        </w:tc>
        <w:tc>
          <w:tcPr>
            <w:tcW w:w="624" w:type="pct"/>
            <w:noWrap w:val="0"/>
            <w:vAlign w:val="top"/>
          </w:tcPr>
          <w:p w14:paraId="27543D12">
            <w:pPr>
              <w:spacing w:line="400" w:lineRule="exact"/>
              <w:jc w:val="center"/>
              <w:rPr>
                <w:rFonts w:ascii="宋体" w:hAnsi="宋体"/>
                <w:color w:val="auto"/>
                <w:szCs w:val="21"/>
                <w:highlight w:val="none"/>
              </w:rPr>
            </w:pPr>
          </w:p>
        </w:tc>
      </w:tr>
      <w:tr w14:paraId="0519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019A7AF6">
            <w:pPr>
              <w:spacing w:line="400" w:lineRule="exact"/>
              <w:jc w:val="center"/>
              <w:rPr>
                <w:rFonts w:ascii="宋体" w:hAnsi="宋体"/>
                <w:color w:val="auto"/>
                <w:szCs w:val="21"/>
                <w:highlight w:val="none"/>
              </w:rPr>
            </w:pPr>
          </w:p>
        </w:tc>
        <w:tc>
          <w:tcPr>
            <w:tcW w:w="765" w:type="pct"/>
            <w:noWrap w:val="0"/>
            <w:vAlign w:val="top"/>
          </w:tcPr>
          <w:p w14:paraId="3034BF6C">
            <w:pPr>
              <w:spacing w:line="400" w:lineRule="exact"/>
              <w:jc w:val="center"/>
              <w:rPr>
                <w:rFonts w:ascii="宋体" w:hAnsi="宋体"/>
                <w:color w:val="auto"/>
                <w:szCs w:val="21"/>
                <w:highlight w:val="none"/>
              </w:rPr>
            </w:pPr>
          </w:p>
        </w:tc>
        <w:tc>
          <w:tcPr>
            <w:tcW w:w="624" w:type="pct"/>
            <w:noWrap w:val="0"/>
            <w:vAlign w:val="top"/>
          </w:tcPr>
          <w:p w14:paraId="115038FB">
            <w:pPr>
              <w:spacing w:line="400" w:lineRule="exact"/>
              <w:jc w:val="center"/>
              <w:rPr>
                <w:rFonts w:ascii="宋体" w:hAnsi="宋体"/>
                <w:color w:val="auto"/>
                <w:szCs w:val="21"/>
                <w:highlight w:val="none"/>
              </w:rPr>
            </w:pPr>
          </w:p>
        </w:tc>
        <w:tc>
          <w:tcPr>
            <w:tcW w:w="624" w:type="pct"/>
            <w:noWrap w:val="0"/>
            <w:vAlign w:val="top"/>
          </w:tcPr>
          <w:p w14:paraId="6A1C054C">
            <w:pPr>
              <w:spacing w:line="400" w:lineRule="exact"/>
              <w:jc w:val="center"/>
              <w:rPr>
                <w:rFonts w:ascii="宋体" w:hAnsi="宋体"/>
                <w:color w:val="auto"/>
                <w:szCs w:val="21"/>
                <w:highlight w:val="none"/>
              </w:rPr>
            </w:pPr>
          </w:p>
        </w:tc>
        <w:tc>
          <w:tcPr>
            <w:tcW w:w="624" w:type="pct"/>
            <w:noWrap w:val="0"/>
            <w:vAlign w:val="top"/>
          </w:tcPr>
          <w:p w14:paraId="734131AB">
            <w:pPr>
              <w:spacing w:line="400" w:lineRule="exact"/>
              <w:jc w:val="center"/>
              <w:rPr>
                <w:rFonts w:ascii="宋体" w:hAnsi="宋体"/>
                <w:color w:val="auto"/>
                <w:szCs w:val="21"/>
                <w:highlight w:val="none"/>
              </w:rPr>
            </w:pPr>
          </w:p>
        </w:tc>
        <w:tc>
          <w:tcPr>
            <w:tcW w:w="624" w:type="pct"/>
            <w:noWrap w:val="0"/>
            <w:vAlign w:val="top"/>
          </w:tcPr>
          <w:p w14:paraId="3F7F53CC">
            <w:pPr>
              <w:spacing w:line="400" w:lineRule="exact"/>
              <w:jc w:val="center"/>
              <w:rPr>
                <w:rFonts w:ascii="宋体" w:hAnsi="宋体"/>
                <w:color w:val="auto"/>
                <w:szCs w:val="21"/>
                <w:highlight w:val="none"/>
              </w:rPr>
            </w:pPr>
          </w:p>
        </w:tc>
        <w:tc>
          <w:tcPr>
            <w:tcW w:w="624" w:type="pct"/>
            <w:noWrap w:val="0"/>
            <w:vAlign w:val="top"/>
          </w:tcPr>
          <w:p w14:paraId="4EB22BD1">
            <w:pPr>
              <w:spacing w:line="400" w:lineRule="exact"/>
              <w:jc w:val="center"/>
              <w:rPr>
                <w:rFonts w:ascii="宋体" w:hAnsi="宋体"/>
                <w:color w:val="auto"/>
                <w:szCs w:val="21"/>
                <w:highlight w:val="none"/>
              </w:rPr>
            </w:pPr>
          </w:p>
        </w:tc>
        <w:tc>
          <w:tcPr>
            <w:tcW w:w="624" w:type="pct"/>
            <w:noWrap w:val="0"/>
            <w:vAlign w:val="top"/>
          </w:tcPr>
          <w:p w14:paraId="09AD9B7C">
            <w:pPr>
              <w:spacing w:line="400" w:lineRule="exact"/>
              <w:jc w:val="center"/>
              <w:rPr>
                <w:rFonts w:ascii="宋体" w:hAnsi="宋体"/>
                <w:color w:val="auto"/>
                <w:szCs w:val="21"/>
                <w:highlight w:val="none"/>
              </w:rPr>
            </w:pPr>
          </w:p>
        </w:tc>
      </w:tr>
      <w:tr w14:paraId="7059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18677516">
            <w:pPr>
              <w:spacing w:line="400" w:lineRule="exact"/>
              <w:jc w:val="center"/>
              <w:rPr>
                <w:rFonts w:ascii="宋体" w:hAnsi="宋体"/>
                <w:color w:val="auto"/>
                <w:szCs w:val="21"/>
                <w:highlight w:val="none"/>
              </w:rPr>
            </w:pPr>
          </w:p>
        </w:tc>
        <w:tc>
          <w:tcPr>
            <w:tcW w:w="765" w:type="pct"/>
            <w:noWrap w:val="0"/>
            <w:vAlign w:val="top"/>
          </w:tcPr>
          <w:p w14:paraId="591FCCC8">
            <w:pPr>
              <w:spacing w:line="400" w:lineRule="exact"/>
              <w:jc w:val="center"/>
              <w:rPr>
                <w:rFonts w:ascii="宋体" w:hAnsi="宋体"/>
                <w:color w:val="auto"/>
                <w:szCs w:val="21"/>
                <w:highlight w:val="none"/>
              </w:rPr>
            </w:pPr>
          </w:p>
        </w:tc>
        <w:tc>
          <w:tcPr>
            <w:tcW w:w="624" w:type="pct"/>
            <w:noWrap w:val="0"/>
            <w:vAlign w:val="top"/>
          </w:tcPr>
          <w:p w14:paraId="7B5FAA39">
            <w:pPr>
              <w:spacing w:line="400" w:lineRule="exact"/>
              <w:jc w:val="center"/>
              <w:rPr>
                <w:rFonts w:ascii="宋体" w:hAnsi="宋体"/>
                <w:color w:val="auto"/>
                <w:szCs w:val="21"/>
                <w:highlight w:val="none"/>
              </w:rPr>
            </w:pPr>
          </w:p>
        </w:tc>
        <w:tc>
          <w:tcPr>
            <w:tcW w:w="624" w:type="pct"/>
            <w:noWrap w:val="0"/>
            <w:vAlign w:val="top"/>
          </w:tcPr>
          <w:p w14:paraId="346AE652">
            <w:pPr>
              <w:spacing w:line="400" w:lineRule="exact"/>
              <w:jc w:val="center"/>
              <w:rPr>
                <w:rFonts w:ascii="宋体" w:hAnsi="宋体"/>
                <w:color w:val="auto"/>
                <w:szCs w:val="21"/>
                <w:highlight w:val="none"/>
              </w:rPr>
            </w:pPr>
          </w:p>
        </w:tc>
        <w:tc>
          <w:tcPr>
            <w:tcW w:w="624" w:type="pct"/>
            <w:noWrap w:val="0"/>
            <w:vAlign w:val="top"/>
          </w:tcPr>
          <w:p w14:paraId="2574C109">
            <w:pPr>
              <w:spacing w:line="400" w:lineRule="exact"/>
              <w:jc w:val="center"/>
              <w:rPr>
                <w:rFonts w:ascii="宋体" w:hAnsi="宋体"/>
                <w:color w:val="auto"/>
                <w:szCs w:val="21"/>
                <w:highlight w:val="none"/>
              </w:rPr>
            </w:pPr>
          </w:p>
        </w:tc>
        <w:tc>
          <w:tcPr>
            <w:tcW w:w="624" w:type="pct"/>
            <w:noWrap w:val="0"/>
            <w:vAlign w:val="top"/>
          </w:tcPr>
          <w:p w14:paraId="4652F5C1">
            <w:pPr>
              <w:spacing w:line="400" w:lineRule="exact"/>
              <w:jc w:val="center"/>
              <w:rPr>
                <w:rFonts w:ascii="宋体" w:hAnsi="宋体"/>
                <w:color w:val="auto"/>
                <w:szCs w:val="21"/>
                <w:highlight w:val="none"/>
              </w:rPr>
            </w:pPr>
          </w:p>
        </w:tc>
        <w:tc>
          <w:tcPr>
            <w:tcW w:w="624" w:type="pct"/>
            <w:noWrap w:val="0"/>
            <w:vAlign w:val="top"/>
          </w:tcPr>
          <w:p w14:paraId="2B8EFB6A">
            <w:pPr>
              <w:spacing w:line="400" w:lineRule="exact"/>
              <w:jc w:val="center"/>
              <w:rPr>
                <w:rFonts w:ascii="宋体" w:hAnsi="宋体"/>
                <w:color w:val="auto"/>
                <w:szCs w:val="21"/>
                <w:highlight w:val="none"/>
              </w:rPr>
            </w:pPr>
          </w:p>
        </w:tc>
        <w:tc>
          <w:tcPr>
            <w:tcW w:w="624" w:type="pct"/>
            <w:noWrap w:val="0"/>
            <w:vAlign w:val="top"/>
          </w:tcPr>
          <w:p w14:paraId="385052AF">
            <w:pPr>
              <w:spacing w:line="400" w:lineRule="exact"/>
              <w:jc w:val="center"/>
              <w:rPr>
                <w:rFonts w:ascii="宋体" w:hAnsi="宋体"/>
                <w:color w:val="auto"/>
                <w:szCs w:val="21"/>
                <w:highlight w:val="none"/>
              </w:rPr>
            </w:pPr>
          </w:p>
        </w:tc>
      </w:tr>
      <w:tr w14:paraId="458F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11DA4E01">
            <w:pPr>
              <w:spacing w:line="400" w:lineRule="exact"/>
              <w:jc w:val="center"/>
              <w:rPr>
                <w:rFonts w:ascii="宋体" w:hAnsi="宋体"/>
                <w:color w:val="auto"/>
                <w:szCs w:val="21"/>
                <w:highlight w:val="none"/>
              </w:rPr>
            </w:pPr>
          </w:p>
        </w:tc>
        <w:tc>
          <w:tcPr>
            <w:tcW w:w="765" w:type="pct"/>
            <w:noWrap w:val="0"/>
            <w:vAlign w:val="top"/>
          </w:tcPr>
          <w:p w14:paraId="6B099AA8">
            <w:pPr>
              <w:spacing w:line="400" w:lineRule="exact"/>
              <w:jc w:val="center"/>
              <w:rPr>
                <w:rFonts w:ascii="宋体" w:hAnsi="宋体"/>
                <w:color w:val="auto"/>
                <w:szCs w:val="21"/>
                <w:highlight w:val="none"/>
              </w:rPr>
            </w:pPr>
          </w:p>
        </w:tc>
        <w:tc>
          <w:tcPr>
            <w:tcW w:w="624" w:type="pct"/>
            <w:noWrap w:val="0"/>
            <w:vAlign w:val="top"/>
          </w:tcPr>
          <w:p w14:paraId="7462F918">
            <w:pPr>
              <w:spacing w:line="400" w:lineRule="exact"/>
              <w:jc w:val="center"/>
              <w:rPr>
                <w:rFonts w:ascii="宋体" w:hAnsi="宋体"/>
                <w:color w:val="auto"/>
                <w:szCs w:val="21"/>
                <w:highlight w:val="none"/>
              </w:rPr>
            </w:pPr>
          </w:p>
        </w:tc>
        <w:tc>
          <w:tcPr>
            <w:tcW w:w="624" w:type="pct"/>
            <w:noWrap w:val="0"/>
            <w:vAlign w:val="top"/>
          </w:tcPr>
          <w:p w14:paraId="62CCE934">
            <w:pPr>
              <w:spacing w:line="400" w:lineRule="exact"/>
              <w:jc w:val="center"/>
              <w:rPr>
                <w:rFonts w:ascii="宋体" w:hAnsi="宋体"/>
                <w:color w:val="auto"/>
                <w:szCs w:val="21"/>
                <w:highlight w:val="none"/>
              </w:rPr>
            </w:pPr>
          </w:p>
        </w:tc>
        <w:tc>
          <w:tcPr>
            <w:tcW w:w="624" w:type="pct"/>
            <w:noWrap w:val="0"/>
            <w:vAlign w:val="top"/>
          </w:tcPr>
          <w:p w14:paraId="213E4C07">
            <w:pPr>
              <w:spacing w:line="400" w:lineRule="exact"/>
              <w:jc w:val="center"/>
              <w:rPr>
                <w:rFonts w:ascii="宋体" w:hAnsi="宋体"/>
                <w:color w:val="auto"/>
                <w:szCs w:val="21"/>
                <w:highlight w:val="none"/>
              </w:rPr>
            </w:pPr>
          </w:p>
        </w:tc>
        <w:tc>
          <w:tcPr>
            <w:tcW w:w="624" w:type="pct"/>
            <w:noWrap w:val="0"/>
            <w:vAlign w:val="top"/>
          </w:tcPr>
          <w:p w14:paraId="582046D1">
            <w:pPr>
              <w:spacing w:line="400" w:lineRule="exact"/>
              <w:jc w:val="center"/>
              <w:rPr>
                <w:rFonts w:ascii="宋体" w:hAnsi="宋体"/>
                <w:color w:val="auto"/>
                <w:szCs w:val="21"/>
                <w:highlight w:val="none"/>
              </w:rPr>
            </w:pPr>
          </w:p>
        </w:tc>
        <w:tc>
          <w:tcPr>
            <w:tcW w:w="624" w:type="pct"/>
            <w:noWrap w:val="0"/>
            <w:vAlign w:val="top"/>
          </w:tcPr>
          <w:p w14:paraId="63359DF5">
            <w:pPr>
              <w:spacing w:line="400" w:lineRule="exact"/>
              <w:jc w:val="center"/>
              <w:rPr>
                <w:rFonts w:ascii="宋体" w:hAnsi="宋体"/>
                <w:color w:val="auto"/>
                <w:szCs w:val="21"/>
                <w:highlight w:val="none"/>
              </w:rPr>
            </w:pPr>
          </w:p>
        </w:tc>
        <w:tc>
          <w:tcPr>
            <w:tcW w:w="624" w:type="pct"/>
            <w:noWrap w:val="0"/>
            <w:vAlign w:val="top"/>
          </w:tcPr>
          <w:p w14:paraId="3E762295">
            <w:pPr>
              <w:spacing w:line="400" w:lineRule="exact"/>
              <w:jc w:val="center"/>
              <w:rPr>
                <w:rFonts w:ascii="宋体" w:hAnsi="宋体"/>
                <w:color w:val="auto"/>
                <w:szCs w:val="21"/>
                <w:highlight w:val="none"/>
              </w:rPr>
            </w:pPr>
          </w:p>
        </w:tc>
      </w:tr>
      <w:tr w14:paraId="3471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7A52B210">
            <w:pPr>
              <w:spacing w:line="400" w:lineRule="exact"/>
              <w:jc w:val="center"/>
              <w:rPr>
                <w:rFonts w:ascii="宋体" w:hAnsi="宋体"/>
                <w:color w:val="auto"/>
                <w:szCs w:val="21"/>
                <w:highlight w:val="none"/>
              </w:rPr>
            </w:pPr>
          </w:p>
        </w:tc>
        <w:tc>
          <w:tcPr>
            <w:tcW w:w="765" w:type="pct"/>
            <w:noWrap w:val="0"/>
            <w:vAlign w:val="top"/>
          </w:tcPr>
          <w:p w14:paraId="38482F3E">
            <w:pPr>
              <w:spacing w:line="400" w:lineRule="exact"/>
              <w:jc w:val="center"/>
              <w:rPr>
                <w:rFonts w:ascii="宋体" w:hAnsi="宋体"/>
                <w:color w:val="auto"/>
                <w:szCs w:val="21"/>
                <w:highlight w:val="none"/>
              </w:rPr>
            </w:pPr>
          </w:p>
        </w:tc>
        <w:tc>
          <w:tcPr>
            <w:tcW w:w="624" w:type="pct"/>
            <w:noWrap w:val="0"/>
            <w:vAlign w:val="top"/>
          </w:tcPr>
          <w:p w14:paraId="36353040">
            <w:pPr>
              <w:spacing w:line="400" w:lineRule="exact"/>
              <w:jc w:val="center"/>
              <w:rPr>
                <w:rFonts w:ascii="宋体" w:hAnsi="宋体"/>
                <w:color w:val="auto"/>
                <w:szCs w:val="21"/>
                <w:highlight w:val="none"/>
              </w:rPr>
            </w:pPr>
          </w:p>
        </w:tc>
        <w:tc>
          <w:tcPr>
            <w:tcW w:w="624" w:type="pct"/>
            <w:noWrap w:val="0"/>
            <w:vAlign w:val="top"/>
          </w:tcPr>
          <w:p w14:paraId="378D0308">
            <w:pPr>
              <w:spacing w:line="400" w:lineRule="exact"/>
              <w:jc w:val="center"/>
              <w:rPr>
                <w:rFonts w:ascii="宋体" w:hAnsi="宋体"/>
                <w:color w:val="auto"/>
                <w:szCs w:val="21"/>
                <w:highlight w:val="none"/>
              </w:rPr>
            </w:pPr>
          </w:p>
        </w:tc>
        <w:tc>
          <w:tcPr>
            <w:tcW w:w="624" w:type="pct"/>
            <w:noWrap w:val="0"/>
            <w:vAlign w:val="top"/>
          </w:tcPr>
          <w:p w14:paraId="474C7101">
            <w:pPr>
              <w:spacing w:line="400" w:lineRule="exact"/>
              <w:jc w:val="center"/>
              <w:rPr>
                <w:rFonts w:ascii="宋体" w:hAnsi="宋体"/>
                <w:color w:val="auto"/>
                <w:szCs w:val="21"/>
                <w:highlight w:val="none"/>
              </w:rPr>
            </w:pPr>
          </w:p>
        </w:tc>
        <w:tc>
          <w:tcPr>
            <w:tcW w:w="624" w:type="pct"/>
            <w:noWrap w:val="0"/>
            <w:vAlign w:val="top"/>
          </w:tcPr>
          <w:p w14:paraId="514EA0BE">
            <w:pPr>
              <w:spacing w:line="400" w:lineRule="exact"/>
              <w:jc w:val="center"/>
              <w:rPr>
                <w:rFonts w:ascii="宋体" w:hAnsi="宋体"/>
                <w:color w:val="auto"/>
                <w:szCs w:val="21"/>
                <w:highlight w:val="none"/>
              </w:rPr>
            </w:pPr>
          </w:p>
        </w:tc>
        <w:tc>
          <w:tcPr>
            <w:tcW w:w="624" w:type="pct"/>
            <w:noWrap w:val="0"/>
            <w:vAlign w:val="top"/>
          </w:tcPr>
          <w:p w14:paraId="0D55D85D">
            <w:pPr>
              <w:spacing w:line="400" w:lineRule="exact"/>
              <w:jc w:val="center"/>
              <w:rPr>
                <w:rFonts w:ascii="宋体" w:hAnsi="宋体"/>
                <w:color w:val="auto"/>
                <w:szCs w:val="21"/>
                <w:highlight w:val="none"/>
              </w:rPr>
            </w:pPr>
          </w:p>
        </w:tc>
        <w:tc>
          <w:tcPr>
            <w:tcW w:w="624" w:type="pct"/>
            <w:noWrap w:val="0"/>
            <w:vAlign w:val="top"/>
          </w:tcPr>
          <w:p w14:paraId="2EE582E2">
            <w:pPr>
              <w:spacing w:line="400" w:lineRule="exact"/>
              <w:jc w:val="center"/>
              <w:rPr>
                <w:rFonts w:ascii="宋体" w:hAnsi="宋体"/>
                <w:color w:val="auto"/>
                <w:szCs w:val="21"/>
                <w:highlight w:val="none"/>
              </w:rPr>
            </w:pPr>
          </w:p>
        </w:tc>
      </w:tr>
      <w:tr w14:paraId="255E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716642F0">
            <w:pPr>
              <w:spacing w:line="400" w:lineRule="exact"/>
              <w:jc w:val="center"/>
              <w:rPr>
                <w:rFonts w:ascii="宋体" w:hAnsi="宋体"/>
                <w:color w:val="auto"/>
                <w:szCs w:val="21"/>
                <w:highlight w:val="none"/>
              </w:rPr>
            </w:pPr>
          </w:p>
        </w:tc>
        <w:tc>
          <w:tcPr>
            <w:tcW w:w="765" w:type="pct"/>
            <w:noWrap w:val="0"/>
            <w:vAlign w:val="top"/>
          </w:tcPr>
          <w:p w14:paraId="722B4485">
            <w:pPr>
              <w:spacing w:line="400" w:lineRule="exact"/>
              <w:jc w:val="center"/>
              <w:rPr>
                <w:rFonts w:ascii="宋体" w:hAnsi="宋体"/>
                <w:color w:val="auto"/>
                <w:szCs w:val="21"/>
                <w:highlight w:val="none"/>
              </w:rPr>
            </w:pPr>
          </w:p>
        </w:tc>
        <w:tc>
          <w:tcPr>
            <w:tcW w:w="624" w:type="pct"/>
            <w:noWrap w:val="0"/>
            <w:vAlign w:val="top"/>
          </w:tcPr>
          <w:p w14:paraId="07A51008">
            <w:pPr>
              <w:spacing w:line="400" w:lineRule="exact"/>
              <w:jc w:val="center"/>
              <w:rPr>
                <w:rFonts w:ascii="宋体" w:hAnsi="宋体"/>
                <w:color w:val="auto"/>
                <w:szCs w:val="21"/>
                <w:highlight w:val="none"/>
              </w:rPr>
            </w:pPr>
          </w:p>
        </w:tc>
        <w:tc>
          <w:tcPr>
            <w:tcW w:w="624" w:type="pct"/>
            <w:noWrap w:val="0"/>
            <w:vAlign w:val="top"/>
          </w:tcPr>
          <w:p w14:paraId="0C1FB98E">
            <w:pPr>
              <w:spacing w:line="400" w:lineRule="exact"/>
              <w:jc w:val="center"/>
              <w:rPr>
                <w:rFonts w:ascii="宋体" w:hAnsi="宋体"/>
                <w:color w:val="auto"/>
                <w:szCs w:val="21"/>
                <w:highlight w:val="none"/>
              </w:rPr>
            </w:pPr>
          </w:p>
        </w:tc>
        <w:tc>
          <w:tcPr>
            <w:tcW w:w="624" w:type="pct"/>
            <w:noWrap w:val="0"/>
            <w:vAlign w:val="top"/>
          </w:tcPr>
          <w:p w14:paraId="0C6F81E8">
            <w:pPr>
              <w:spacing w:line="400" w:lineRule="exact"/>
              <w:jc w:val="center"/>
              <w:rPr>
                <w:rFonts w:ascii="宋体" w:hAnsi="宋体"/>
                <w:color w:val="auto"/>
                <w:szCs w:val="21"/>
                <w:highlight w:val="none"/>
              </w:rPr>
            </w:pPr>
          </w:p>
        </w:tc>
        <w:tc>
          <w:tcPr>
            <w:tcW w:w="624" w:type="pct"/>
            <w:noWrap w:val="0"/>
            <w:vAlign w:val="top"/>
          </w:tcPr>
          <w:p w14:paraId="20221853">
            <w:pPr>
              <w:spacing w:line="400" w:lineRule="exact"/>
              <w:jc w:val="center"/>
              <w:rPr>
                <w:rFonts w:ascii="宋体" w:hAnsi="宋体"/>
                <w:color w:val="auto"/>
                <w:szCs w:val="21"/>
                <w:highlight w:val="none"/>
              </w:rPr>
            </w:pPr>
          </w:p>
        </w:tc>
        <w:tc>
          <w:tcPr>
            <w:tcW w:w="624" w:type="pct"/>
            <w:noWrap w:val="0"/>
            <w:vAlign w:val="top"/>
          </w:tcPr>
          <w:p w14:paraId="261D4E4E">
            <w:pPr>
              <w:spacing w:line="400" w:lineRule="exact"/>
              <w:jc w:val="center"/>
              <w:rPr>
                <w:rFonts w:ascii="宋体" w:hAnsi="宋体"/>
                <w:color w:val="auto"/>
                <w:szCs w:val="21"/>
                <w:highlight w:val="none"/>
              </w:rPr>
            </w:pPr>
          </w:p>
        </w:tc>
        <w:tc>
          <w:tcPr>
            <w:tcW w:w="624" w:type="pct"/>
            <w:noWrap w:val="0"/>
            <w:vAlign w:val="top"/>
          </w:tcPr>
          <w:p w14:paraId="7BBF4C5D">
            <w:pPr>
              <w:spacing w:line="400" w:lineRule="exact"/>
              <w:jc w:val="center"/>
              <w:rPr>
                <w:rFonts w:ascii="宋体" w:hAnsi="宋体"/>
                <w:color w:val="auto"/>
                <w:szCs w:val="21"/>
                <w:highlight w:val="none"/>
              </w:rPr>
            </w:pPr>
          </w:p>
        </w:tc>
      </w:tr>
      <w:tr w14:paraId="7664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7B5AA10B">
            <w:pPr>
              <w:spacing w:line="400" w:lineRule="exact"/>
              <w:jc w:val="center"/>
              <w:rPr>
                <w:rFonts w:ascii="宋体" w:hAnsi="宋体"/>
                <w:color w:val="auto"/>
                <w:szCs w:val="21"/>
                <w:highlight w:val="none"/>
              </w:rPr>
            </w:pPr>
          </w:p>
        </w:tc>
        <w:tc>
          <w:tcPr>
            <w:tcW w:w="765" w:type="pct"/>
            <w:noWrap w:val="0"/>
            <w:vAlign w:val="top"/>
          </w:tcPr>
          <w:p w14:paraId="2E1C9388">
            <w:pPr>
              <w:spacing w:line="400" w:lineRule="exact"/>
              <w:jc w:val="center"/>
              <w:rPr>
                <w:rFonts w:ascii="宋体" w:hAnsi="宋体"/>
                <w:color w:val="auto"/>
                <w:szCs w:val="21"/>
                <w:highlight w:val="none"/>
              </w:rPr>
            </w:pPr>
          </w:p>
        </w:tc>
        <w:tc>
          <w:tcPr>
            <w:tcW w:w="624" w:type="pct"/>
            <w:noWrap w:val="0"/>
            <w:vAlign w:val="top"/>
          </w:tcPr>
          <w:p w14:paraId="125FD5FE">
            <w:pPr>
              <w:spacing w:line="400" w:lineRule="exact"/>
              <w:jc w:val="center"/>
              <w:rPr>
                <w:rFonts w:ascii="宋体" w:hAnsi="宋体"/>
                <w:color w:val="auto"/>
                <w:szCs w:val="21"/>
                <w:highlight w:val="none"/>
              </w:rPr>
            </w:pPr>
          </w:p>
        </w:tc>
        <w:tc>
          <w:tcPr>
            <w:tcW w:w="624" w:type="pct"/>
            <w:noWrap w:val="0"/>
            <w:vAlign w:val="top"/>
          </w:tcPr>
          <w:p w14:paraId="77A2D944">
            <w:pPr>
              <w:spacing w:line="400" w:lineRule="exact"/>
              <w:jc w:val="center"/>
              <w:rPr>
                <w:rFonts w:ascii="宋体" w:hAnsi="宋体"/>
                <w:color w:val="auto"/>
                <w:szCs w:val="21"/>
                <w:highlight w:val="none"/>
              </w:rPr>
            </w:pPr>
          </w:p>
        </w:tc>
        <w:tc>
          <w:tcPr>
            <w:tcW w:w="624" w:type="pct"/>
            <w:noWrap w:val="0"/>
            <w:vAlign w:val="top"/>
          </w:tcPr>
          <w:p w14:paraId="6AA9A72E">
            <w:pPr>
              <w:spacing w:line="400" w:lineRule="exact"/>
              <w:jc w:val="center"/>
              <w:rPr>
                <w:rFonts w:ascii="宋体" w:hAnsi="宋体"/>
                <w:color w:val="auto"/>
                <w:szCs w:val="21"/>
                <w:highlight w:val="none"/>
              </w:rPr>
            </w:pPr>
          </w:p>
        </w:tc>
        <w:tc>
          <w:tcPr>
            <w:tcW w:w="624" w:type="pct"/>
            <w:noWrap w:val="0"/>
            <w:vAlign w:val="top"/>
          </w:tcPr>
          <w:p w14:paraId="1E0D377B">
            <w:pPr>
              <w:spacing w:line="400" w:lineRule="exact"/>
              <w:jc w:val="center"/>
              <w:rPr>
                <w:rFonts w:ascii="宋体" w:hAnsi="宋体"/>
                <w:color w:val="auto"/>
                <w:szCs w:val="21"/>
                <w:highlight w:val="none"/>
              </w:rPr>
            </w:pPr>
          </w:p>
        </w:tc>
        <w:tc>
          <w:tcPr>
            <w:tcW w:w="624" w:type="pct"/>
            <w:noWrap w:val="0"/>
            <w:vAlign w:val="top"/>
          </w:tcPr>
          <w:p w14:paraId="235C90C0">
            <w:pPr>
              <w:spacing w:line="400" w:lineRule="exact"/>
              <w:jc w:val="center"/>
              <w:rPr>
                <w:rFonts w:ascii="宋体" w:hAnsi="宋体"/>
                <w:color w:val="auto"/>
                <w:szCs w:val="21"/>
                <w:highlight w:val="none"/>
              </w:rPr>
            </w:pPr>
          </w:p>
        </w:tc>
        <w:tc>
          <w:tcPr>
            <w:tcW w:w="624" w:type="pct"/>
            <w:noWrap w:val="0"/>
            <w:vAlign w:val="top"/>
          </w:tcPr>
          <w:p w14:paraId="6A3A96B4">
            <w:pPr>
              <w:spacing w:line="400" w:lineRule="exact"/>
              <w:jc w:val="center"/>
              <w:rPr>
                <w:rFonts w:ascii="宋体" w:hAnsi="宋体"/>
                <w:color w:val="auto"/>
                <w:szCs w:val="21"/>
                <w:highlight w:val="none"/>
              </w:rPr>
            </w:pPr>
          </w:p>
        </w:tc>
      </w:tr>
      <w:tr w14:paraId="46CD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10A081E3">
            <w:pPr>
              <w:spacing w:line="400" w:lineRule="exact"/>
              <w:jc w:val="center"/>
              <w:rPr>
                <w:rFonts w:ascii="宋体" w:hAnsi="宋体"/>
                <w:color w:val="auto"/>
                <w:szCs w:val="21"/>
                <w:highlight w:val="none"/>
              </w:rPr>
            </w:pPr>
          </w:p>
        </w:tc>
        <w:tc>
          <w:tcPr>
            <w:tcW w:w="765" w:type="pct"/>
            <w:noWrap w:val="0"/>
            <w:vAlign w:val="top"/>
          </w:tcPr>
          <w:p w14:paraId="044B4C19">
            <w:pPr>
              <w:spacing w:line="400" w:lineRule="exact"/>
              <w:jc w:val="center"/>
              <w:rPr>
                <w:rFonts w:ascii="宋体" w:hAnsi="宋体"/>
                <w:color w:val="auto"/>
                <w:szCs w:val="21"/>
                <w:highlight w:val="none"/>
              </w:rPr>
            </w:pPr>
          </w:p>
        </w:tc>
        <w:tc>
          <w:tcPr>
            <w:tcW w:w="624" w:type="pct"/>
            <w:noWrap w:val="0"/>
            <w:vAlign w:val="top"/>
          </w:tcPr>
          <w:p w14:paraId="362205CC">
            <w:pPr>
              <w:spacing w:line="400" w:lineRule="exact"/>
              <w:jc w:val="center"/>
              <w:rPr>
                <w:rFonts w:ascii="宋体" w:hAnsi="宋体"/>
                <w:color w:val="auto"/>
                <w:szCs w:val="21"/>
                <w:highlight w:val="none"/>
              </w:rPr>
            </w:pPr>
          </w:p>
        </w:tc>
        <w:tc>
          <w:tcPr>
            <w:tcW w:w="624" w:type="pct"/>
            <w:noWrap w:val="0"/>
            <w:vAlign w:val="top"/>
          </w:tcPr>
          <w:p w14:paraId="4C07BDB0">
            <w:pPr>
              <w:spacing w:line="400" w:lineRule="exact"/>
              <w:jc w:val="center"/>
              <w:rPr>
                <w:rFonts w:ascii="宋体" w:hAnsi="宋体"/>
                <w:color w:val="auto"/>
                <w:szCs w:val="21"/>
                <w:highlight w:val="none"/>
              </w:rPr>
            </w:pPr>
          </w:p>
        </w:tc>
        <w:tc>
          <w:tcPr>
            <w:tcW w:w="624" w:type="pct"/>
            <w:noWrap w:val="0"/>
            <w:vAlign w:val="top"/>
          </w:tcPr>
          <w:p w14:paraId="213B2745">
            <w:pPr>
              <w:spacing w:line="400" w:lineRule="exact"/>
              <w:jc w:val="center"/>
              <w:rPr>
                <w:rFonts w:ascii="宋体" w:hAnsi="宋体"/>
                <w:color w:val="auto"/>
                <w:szCs w:val="21"/>
                <w:highlight w:val="none"/>
              </w:rPr>
            </w:pPr>
          </w:p>
        </w:tc>
        <w:tc>
          <w:tcPr>
            <w:tcW w:w="624" w:type="pct"/>
            <w:noWrap w:val="0"/>
            <w:vAlign w:val="top"/>
          </w:tcPr>
          <w:p w14:paraId="42B86335">
            <w:pPr>
              <w:spacing w:line="400" w:lineRule="exact"/>
              <w:jc w:val="center"/>
              <w:rPr>
                <w:rFonts w:ascii="宋体" w:hAnsi="宋体"/>
                <w:color w:val="auto"/>
                <w:szCs w:val="21"/>
                <w:highlight w:val="none"/>
              </w:rPr>
            </w:pPr>
          </w:p>
        </w:tc>
        <w:tc>
          <w:tcPr>
            <w:tcW w:w="624" w:type="pct"/>
            <w:noWrap w:val="0"/>
            <w:vAlign w:val="top"/>
          </w:tcPr>
          <w:p w14:paraId="4979EF22">
            <w:pPr>
              <w:spacing w:line="400" w:lineRule="exact"/>
              <w:jc w:val="center"/>
              <w:rPr>
                <w:rFonts w:ascii="宋体" w:hAnsi="宋体"/>
                <w:color w:val="auto"/>
                <w:szCs w:val="21"/>
                <w:highlight w:val="none"/>
              </w:rPr>
            </w:pPr>
          </w:p>
        </w:tc>
        <w:tc>
          <w:tcPr>
            <w:tcW w:w="624" w:type="pct"/>
            <w:noWrap w:val="0"/>
            <w:vAlign w:val="top"/>
          </w:tcPr>
          <w:p w14:paraId="6F699D42">
            <w:pPr>
              <w:spacing w:line="400" w:lineRule="exact"/>
              <w:jc w:val="center"/>
              <w:rPr>
                <w:rFonts w:ascii="宋体" w:hAnsi="宋体"/>
                <w:color w:val="auto"/>
                <w:szCs w:val="21"/>
                <w:highlight w:val="none"/>
              </w:rPr>
            </w:pPr>
          </w:p>
        </w:tc>
      </w:tr>
      <w:tr w14:paraId="0E76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6FCD6B8E">
            <w:pPr>
              <w:spacing w:line="400" w:lineRule="exact"/>
              <w:jc w:val="center"/>
              <w:rPr>
                <w:rFonts w:ascii="宋体" w:hAnsi="宋体"/>
                <w:color w:val="auto"/>
                <w:szCs w:val="21"/>
                <w:highlight w:val="none"/>
              </w:rPr>
            </w:pPr>
          </w:p>
        </w:tc>
        <w:tc>
          <w:tcPr>
            <w:tcW w:w="765" w:type="pct"/>
            <w:noWrap w:val="0"/>
            <w:vAlign w:val="top"/>
          </w:tcPr>
          <w:p w14:paraId="5EDF1883">
            <w:pPr>
              <w:spacing w:line="400" w:lineRule="exact"/>
              <w:jc w:val="center"/>
              <w:rPr>
                <w:rFonts w:ascii="宋体" w:hAnsi="宋体"/>
                <w:color w:val="auto"/>
                <w:szCs w:val="21"/>
                <w:highlight w:val="none"/>
              </w:rPr>
            </w:pPr>
          </w:p>
        </w:tc>
        <w:tc>
          <w:tcPr>
            <w:tcW w:w="624" w:type="pct"/>
            <w:noWrap w:val="0"/>
            <w:vAlign w:val="top"/>
          </w:tcPr>
          <w:p w14:paraId="042B3FD6">
            <w:pPr>
              <w:spacing w:line="400" w:lineRule="exact"/>
              <w:jc w:val="center"/>
              <w:rPr>
                <w:rFonts w:ascii="宋体" w:hAnsi="宋体"/>
                <w:color w:val="auto"/>
                <w:szCs w:val="21"/>
                <w:highlight w:val="none"/>
              </w:rPr>
            </w:pPr>
          </w:p>
        </w:tc>
        <w:tc>
          <w:tcPr>
            <w:tcW w:w="624" w:type="pct"/>
            <w:noWrap w:val="0"/>
            <w:vAlign w:val="top"/>
          </w:tcPr>
          <w:p w14:paraId="42C873D0">
            <w:pPr>
              <w:spacing w:line="400" w:lineRule="exact"/>
              <w:jc w:val="center"/>
              <w:rPr>
                <w:rFonts w:ascii="宋体" w:hAnsi="宋体"/>
                <w:color w:val="auto"/>
                <w:szCs w:val="21"/>
                <w:highlight w:val="none"/>
              </w:rPr>
            </w:pPr>
          </w:p>
        </w:tc>
        <w:tc>
          <w:tcPr>
            <w:tcW w:w="624" w:type="pct"/>
            <w:noWrap w:val="0"/>
            <w:vAlign w:val="top"/>
          </w:tcPr>
          <w:p w14:paraId="31400651">
            <w:pPr>
              <w:spacing w:line="400" w:lineRule="exact"/>
              <w:jc w:val="center"/>
              <w:rPr>
                <w:rFonts w:ascii="宋体" w:hAnsi="宋体"/>
                <w:color w:val="auto"/>
                <w:szCs w:val="21"/>
                <w:highlight w:val="none"/>
              </w:rPr>
            </w:pPr>
          </w:p>
        </w:tc>
        <w:tc>
          <w:tcPr>
            <w:tcW w:w="624" w:type="pct"/>
            <w:noWrap w:val="0"/>
            <w:vAlign w:val="top"/>
          </w:tcPr>
          <w:p w14:paraId="0A3FAD93">
            <w:pPr>
              <w:spacing w:line="400" w:lineRule="exact"/>
              <w:jc w:val="center"/>
              <w:rPr>
                <w:rFonts w:ascii="宋体" w:hAnsi="宋体"/>
                <w:color w:val="auto"/>
                <w:szCs w:val="21"/>
                <w:highlight w:val="none"/>
              </w:rPr>
            </w:pPr>
          </w:p>
        </w:tc>
        <w:tc>
          <w:tcPr>
            <w:tcW w:w="624" w:type="pct"/>
            <w:noWrap w:val="0"/>
            <w:vAlign w:val="top"/>
          </w:tcPr>
          <w:p w14:paraId="716276B2">
            <w:pPr>
              <w:spacing w:line="400" w:lineRule="exact"/>
              <w:jc w:val="center"/>
              <w:rPr>
                <w:rFonts w:ascii="宋体" w:hAnsi="宋体"/>
                <w:color w:val="auto"/>
                <w:szCs w:val="21"/>
                <w:highlight w:val="none"/>
              </w:rPr>
            </w:pPr>
          </w:p>
        </w:tc>
        <w:tc>
          <w:tcPr>
            <w:tcW w:w="624" w:type="pct"/>
            <w:noWrap w:val="0"/>
            <w:vAlign w:val="top"/>
          </w:tcPr>
          <w:p w14:paraId="7EA1DF11">
            <w:pPr>
              <w:spacing w:line="400" w:lineRule="exact"/>
              <w:jc w:val="center"/>
              <w:rPr>
                <w:rFonts w:ascii="宋体" w:hAnsi="宋体"/>
                <w:color w:val="auto"/>
                <w:szCs w:val="21"/>
                <w:highlight w:val="none"/>
              </w:rPr>
            </w:pPr>
          </w:p>
        </w:tc>
      </w:tr>
      <w:tr w14:paraId="5049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0F92F06F">
            <w:pPr>
              <w:spacing w:line="400" w:lineRule="exact"/>
              <w:jc w:val="center"/>
              <w:rPr>
                <w:rFonts w:ascii="宋体" w:hAnsi="宋体"/>
                <w:color w:val="auto"/>
                <w:szCs w:val="21"/>
                <w:highlight w:val="none"/>
              </w:rPr>
            </w:pPr>
          </w:p>
        </w:tc>
        <w:tc>
          <w:tcPr>
            <w:tcW w:w="765" w:type="pct"/>
            <w:noWrap w:val="0"/>
            <w:vAlign w:val="top"/>
          </w:tcPr>
          <w:p w14:paraId="2CA9E683">
            <w:pPr>
              <w:spacing w:line="400" w:lineRule="exact"/>
              <w:jc w:val="center"/>
              <w:rPr>
                <w:rFonts w:ascii="宋体" w:hAnsi="宋体"/>
                <w:color w:val="auto"/>
                <w:szCs w:val="21"/>
                <w:highlight w:val="none"/>
              </w:rPr>
            </w:pPr>
          </w:p>
        </w:tc>
        <w:tc>
          <w:tcPr>
            <w:tcW w:w="624" w:type="pct"/>
            <w:noWrap w:val="0"/>
            <w:vAlign w:val="top"/>
          </w:tcPr>
          <w:p w14:paraId="0F7B7F21">
            <w:pPr>
              <w:spacing w:line="400" w:lineRule="exact"/>
              <w:jc w:val="center"/>
              <w:rPr>
                <w:rFonts w:ascii="宋体" w:hAnsi="宋体"/>
                <w:color w:val="auto"/>
                <w:szCs w:val="21"/>
                <w:highlight w:val="none"/>
              </w:rPr>
            </w:pPr>
          </w:p>
        </w:tc>
        <w:tc>
          <w:tcPr>
            <w:tcW w:w="624" w:type="pct"/>
            <w:noWrap w:val="0"/>
            <w:vAlign w:val="top"/>
          </w:tcPr>
          <w:p w14:paraId="7D41ED7B">
            <w:pPr>
              <w:spacing w:line="400" w:lineRule="exact"/>
              <w:jc w:val="center"/>
              <w:rPr>
                <w:rFonts w:ascii="宋体" w:hAnsi="宋体"/>
                <w:color w:val="auto"/>
                <w:szCs w:val="21"/>
                <w:highlight w:val="none"/>
              </w:rPr>
            </w:pPr>
          </w:p>
        </w:tc>
        <w:tc>
          <w:tcPr>
            <w:tcW w:w="624" w:type="pct"/>
            <w:noWrap w:val="0"/>
            <w:vAlign w:val="top"/>
          </w:tcPr>
          <w:p w14:paraId="2FA5540C">
            <w:pPr>
              <w:spacing w:line="400" w:lineRule="exact"/>
              <w:jc w:val="center"/>
              <w:rPr>
                <w:rFonts w:ascii="宋体" w:hAnsi="宋体"/>
                <w:color w:val="auto"/>
                <w:szCs w:val="21"/>
                <w:highlight w:val="none"/>
              </w:rPr>
            </w:pPr>
          </w:p>
        </w:tc>
        <w:tc>
          <w:tcPr>
            <w:tcW w:w="624" w:type="pct"/>
            <w:noWrap w:val="0"/>
            <w:vAlign w:val="top"/>
          </w:tcPr>
          <w:p w14:paraId="60553EFF">
            <w:pPr>
              <w:spacing w:line="400" w:lineRule="exact"/>
              <w:jc w:val="center"/>
              <w:rPr>
                <w:rFonts w:ascii="宋体" w:hAnsi="宋体"/>
                <w:color w:val="auto"/>
                <w:szCs w:val="21"/>
                <w:highlight w:val="none"/>
              </w:rPr>
            </w:pPr>
          </w:p>
        </w:tc>
        <w:tc>
          <w:tcPr>
            <w:tcW w:w="624" w:type="pct"/>
            <w:noWrap w:val="0"/>
            <w:vAlign w:val="top"/>
          </w:tcPr>
          <w:p w14:paraId="43AE57FE">
            <w:pPr>
              <w:spacing w:line="400" w:lineRule="exact"/>
              <w:jc w:val="center"/>
              <w:rPr>
                <w:rFonts w:ascii="宋体" w:hAnsi="宋体"/>
                <w:color w:val="auto"/>
                <w:szCs w:val="21"/>
                <w:highlight w:val="none"/>
              </w:rPr>
            </w:pPr>
          </w:p>
        </w:tc>
        <w:tc>
          <w:tcPr>
            <w:tcW w:w="624" w:type="pct"/>
            <w:noWrap w:val="0"/>
            <w:vAlign w:val="top"/>
          </w:tcPr>
          <w:p w14:paraId="643F12CD">
            <w:pPr>
              <w:spacing w:line="400" w:lineRule="exact"/>
              <w:jc w:val="center"/>
              <w:rPr>
                <w:rFonts w:ascii="宋体" w:hAnsi="宋体"/>
                <w:color w:val="auto"/>
                <w:szCs w:val="21"/>
                <w:highlight w:val="none"/>
              </w:rPr>
            </w:pPr>
          </w:p>
        </w:tc>
      </w:tr>
      <w:tr w14:paraId="4F65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123E545D">
            <w:pPr>
              <w:spacing w:line="400" w:lineRule="exact"/>
              <w:jc w:val="center"/>
              <w:rPr>
                <w:rFonts w:ascii="宋体" w:hAnsi="宋体"/>
                <w:color w:val="auto"/>
                <w:szCs w:val="21"/>
                <w:highlight w:val="none"/>
              </w:rPr>
            </w:pPr>
          </w:p>
        </w:tc>
        <w:tc>
          <w:tcPr>
            <w:tcW w:w="765" w:type="pct"/>
            <w:noWrap w:val="0"/>
            <w:vAlign w:val="top"/>
          </w:tcPr>
          <w:p w14:paraId="30A0688D">
            <w:pPr>
              <w:spacing w:line="400" w:lineRule="exact"/>
              <w:jc w:val="center"/>
              <w:rPr>
                <w:rFonts w:ascii="宋体" w:hAnsi="宋体"/>
                <w:color w:val="auto"/>
                <w:szCs w:val="21"/>
                <w:highlight w:val="none"/>
              </w:rPr>
            </w:pPr>
          </w:p>
        </w:tc>
        <w:tc>
          <w:tcPr>
            <w:tcW w:w="624" w:type="pct"/>
            <w:noWrap w:val="0"/>
            <w:vAlign w:val="top"/>
          </w:tcPr>
          <w:p w14:paraId="64978DD1">
            <w:pPr>
              <w:spacing w:line="400" w:lineRule="exact"/>
              <w:jc w:val="center"/>
              <w:rPr>
                <w:rFonts w:ascii="宋体" w:hAnsi="宋体"/>
                <w:color w:val="auto"/>
                <w:szCs w:val="21"/>
                <w:highlight w:val="none"/>
              </w:rPr>
            </w:pPr>
          </w:p>
        </w:tc>
        <w:tc>
          <w:tcPr>
            <w:tcW w:w="624" w:type="pct"/>
            <w:noWrap w:val="0"/>
            <w:vAlign w:val="top"/>
          </w:tcPr>
          <w:p w14:paraId="72896164">
            <w:pPr>
              <w:spacing w:line="400" w:lineRule="exact"/>
              <w:jc w:val="center"/>
              <w:rPr>
                <w:rFonts w:ascii="宋体" w:hAnsi="宋体"/>
                <w:color w:val="auto"/>
                <w:szCs w:val="21"/>
                <w:highlight w:val="none"/>
              </w:rPr>
            </w:pPr>
          </w:p>
        </w:tc>
        <w:tc>
          <w:tcPr>
            <w:tcW w:w="624" w:type="pct"/>
            <w:noWrap w:val="0"/>
            <w:vAlign w:val="top"/>
          </w:tcPr>
          <w:p w14:paraId="450C5ECC">
            <w:pPr>
              <w:spacing w:line="400" w:lineRule="exact"/>
              <w:jc w:val="center"/>
              <w:rPr>
                <w:rFonts w:ascii="宋体" w:hAnsi="宋体"/>
                <w:color w:val="auto"/>
                <w:szCs w:val="21"/>
                <w:highlight w:val="none"/>
              </w:rPr>
            </w:pPr>
          </w:p>
        </w:tc>
        <w:tc>
          <w:tcPr>
            <w:tcW w:w="624" w:type="pct"/>
            <w:noWrap w:val="0"/>
            <w:vAlign w:val="top"/>
          </w:tcPr>
          <w:p w14:paraId="0ADBC0A7">
            <w:pPr>
              <w:spacing w:line="400" w:lineRule="exact"/>
              <w:jc w:val="center"/>
              <w:rPr>
                <w:rFonts w:ascii="宋体" w:hAnsi="宋体"/>
                <w:color w:val="auto"/>
                <w:szCs w:val="21"/>
                <w:highlight w:val="none"/>
              </w:rPr>
            </w:pPr>
          </w:p>
        </w:tc>
        <w:tc>
          <w:tcPr>
            <w:tcW w:w="624" w:type="pct"/>
            <w:noWrap w:val="0"/>
            <w:vAlign w:val="top"/>
          </w:tcPr>
          <w:p w14:paraId="047A3062">
            <w:pPr>
              <w:spacing w:line="400" w:lineRule="exact"/>
              <w:jc w:val="center"/>
              <w:rPr>
                <w:rFonts w:ascii="宋体" w:hAnsi="宋体"/>
                <w:color w:val="auto"/>
                <w:szCs w:val="21"/>
                <w:highlight w:val="none"/>
              </w:rPr>
            </w:pPr>
          </w:p>
        </w:tc>
        <w:tc>
          <w:tcPr>
            <w:tcW w:w="624" w:type="pct"/>
            <w:noWrap w:val="0"/>
            <w:vAlign w:val="top"/>
          </w:tcPr>
          <w:p w14:paraId="0DC80B27">
            <w:pPr>
              <w:spacing w:line="400" w:lineRule="exact"/>
              <w:jc w:val="center"/>
              <w:rPr>
                <w:rFonts w:ascii="宋体" w:hAnsi="宋体"/>
                <w:color w:val="auto"/>
                <w:szCs w:val="21"/>
                <w:highlight w:val="none"/>
              </w:rPr>
            </w:pPr>
          </w:p>
        </w:tc>
      </w:tr>
      <w:tr w14:paraId="6600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47FD5F75">
            <w:pPr>
              <w:spacing w:line="400" w:lineRule="exact"/>
              <w:jc w:val="center"/>
              <w:rPr>
                <w:rFonts w:ascii="宋体" w:hAnsi="宋体"/>
                <w:color w:val="auto"/>
                <w:szCs w:val="21"/>
                <w:highlight w:val="none"/>
              </w:rPr>
            </w:pPr>
          </w:p>
        </w:tc>
        <w:tc>
          <w:tcPr>
            <w:tcW w:w="765" w:type="pct"/>
            <w:noWrap w:val="0"/>
            <w:vAlign w:val="top"/>
          </w:tcPr>
          <w:p w14:paraId="207F10C4">
            <w:pPr>
              <w:spacing w:line="400" w:lineRule="exact"/>
              <w:jc w:val="center"/>
              <w:rPr>
                <w:rFonts w:ascii="宋体" w:hAnsi="宋体"/>
                <w:color w:val="auto"/>
                <w:szCs w:val="21"/>
                <w:highlight w:val="none"/>
              </w:rPr>
            </w:pPr>
          </w:p>
        </w:tc>
        <w:tc>
          <w:tcPr>
            <w:tcW w:w="624" w:type="pct"/>
            <w:noWrap w:val="0"/>
            <w:vAlign w:val="top"/>
          </w:tcPr>
          <w:p w14:paraId="7EC5CE4E">
            <w:pPr>
              <w:spacing w:line="400" w:lineRule="exact"/>
              <w:jc w:val="center"/>
              <w:rPr>
                <w:rFonts w:ascii="宋体" w:hAnsi="宋体"/>
                <w:color w:val="auto"/>
                <w:szCs w:val="21"/>
                <w:highlight w:val="none"/>
              </w:rPr>
            </w:pPr>
          </w:p>
        </w:tc>
        <w:tc>
          <w:tcPr>
            <w:tcW w:w="624" w:type="pct"/>
            <w:noWrap w:val="0"/>
            <w:vAlign w:val="top"/>
          </w:tcPr>
          <w:p w14:paraId="40356171">
            <w:pPr>
              <w:spacing w:line="400" w:lineRule="exact"/>
              <w:jc w:val="center"/>
              <w:rPr>
                <w:rFonts w:ascii="宋体" w:hAnsi="宋体"/>
                <w:color w:val="auto"/>
                <w:szCs w:val="21"/>
                <w:highlight w:val="none"/>
              </w:rPr>
            </w:pPr>
          </w:p>
        </w:tc>
        <w:tc>
          <w:tcPr>
            <w:tcW w:w="624" w:type="pct"/>
            <w:noWrap w:val="0"/>
            <w:vAlign w:val="top"/>
          </w:tcPr>
          <w:p w14:paraId="786D1EE5">
            <w:pPr>
              <w:spacing w:line="400" w:lineRule="exact"/>
              <w:jc w:val="center"/>
              <w:rPr>
                <w:rFonts w:ascii="宋体" w:hAnsi="宋体"/>
                <w:color w:val="auto"/>
                <w:szCs w:val="21"/>
                <w:highlight w:val="none"/>
              </w:rPr>
            </w:pPr>
          </w:p>
        </w:tc>
        <w:tc>
          <w:tcPr>
            <w:tcW w:w="624" w:type="pct"/>
            <w:noWrap w:val="0"/>
            <w:vAlign w:val="top"/>
          </w:tcPr>
          <w:p w14:paraId="351F2A3C">
            <w:pPr>
              <w:spacing w:line="400" w:lineRule="exact"/>
              <w:jc w:val="center"/>
              <w:rPr>
                <w:rFonts w:ascii="宋体" w:hAnsi="宋体"/>
                <w:color w:val="auto"/>
                <w:szCs w:val="21"/>
                <w:highlight w:val="none"/>
              </w:rPr>
            </w:pPr>
          </w:p>
        </w:tc>
        <w:tc>
          <w:tcPr>
            <w:tcW w:w="624" w:type="pct"/>
            <w:noWrap w:val="0"/>
            <w:vAlign w:val="top"/>
          </w:tcPr>
          <w:p w14:paraId="62D1A191">
            <w:pPr>
              <w:spacing w:line="400" w:lineRule="exact"/>
              <w:jc w:val="center"/>
              <w:rPr>
                <w:rFonts w:ascii="宋体" w:hAnsi="宋体"/>
                <w:color w:val="auto"/>
                <w:szCs w:val="21"/>
                <w:highlight w:val="none"/>
              </w:rPr>
            </w:pPr>
          </w:p>
        </w:tc>
        <w:tc>
          <w:tcPr>
            <w:tcW w:w="624" w:type="pct"/>
            <w:noWrap w:val="0"/>
            <w:vAlign w:val="top"/>
          </w:tcPr>
          <w:p w14:paraId="63450C86">
            <w:pPr>
              <w:spacing w:line="400" w:lineRule="exact"/>
              <w:jc w:val="center"/>
              <w:rPr>
                <w:rFonts w:ascii="宋体" w:hAnsi="宋体"/>
                <w:color w:val="auto"/>
                <w:szCs w:val="21"/>
                <w:highlight w:val="none"/>
              </w:rPr>
            </w:pPr>
          </w:p>
        </w:tc>
      </w:tr>
      <w:tr w14:paraId="26F1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54433CD6">
            <w:pPr>
              <w:spacing w:line="400" w:lineRule="exact"/>
              <w:jc w:val="center"/>
              <w:rPr>
                <w:rFonts w:ascii="宋体" w:hAnsi="宋体"/>
                <w:color w:val="auto"/>
                <w:szCs w:val="21"/>
                <w:highlight w:val="none"/>
              </w:rPr>
            </w:pPr>
          </w:p>
        </w:tc>
        <w:tc>
          <w:tcPr>
            <w:tcW w:w="765" w:type="pct"/>
            <w:noWrap w:val="0"/>
            <w:vAlign w:val="top"/>
          </w:tcPr>
          <w:p w14:paraId="3F850905">
            <w:pPr>
              <w:spacing w:line="400" w:lineRule="exact"/>
              <w:jc w:val="center"/>
              <w:rPr>
                <w:rFonts w:ascii="宋体" w:hAnsi="宋体"/>
                <w:color w:val="auto"/>
                <w:szCs w:val="21"/>
                <w:highlight w:val="none"/>
              </w:rPr>
            </w:pPr>
          </w:p>
        </w:tc>
        <w:tc>
          <w:tcPr>
            <w:tcW w:w="624" w:type="pct"/>
            <w:noWrap w:val="0"/>
            <w:vAlign w:val="top"/>
          </w:tcPr>
          <w:p w14:paraId="6402CC82">
            <w:pPr>
              <w:spacing w:line="400" w:lineRule="exact"/>
              <w:jc w:val="center"/>
              <w:rPr>
                <w:rFonts w:ascii="宋体" w:hAnsi="宋体"/>
                <w:color w:val="auto"/>
                <w:szCs w:val="21"/>
                <w:highlight w:val="none"/>
              </w:rPr>
            </w:pPr>
          </w:p>
        </w:tc>
        <w:tc>
          <w:tcPr>
            <w:tcW w:w="624" w:type="pct"/>
            <w:noWrap w:val="0"/>
            <w:vAlign w:val="top"/>
          </w:tcPr>
          <w:p w14:paraId="5D6A21F8">
            <w:pPr>
              <w:spacing w:line="400" w:lineRule="exact"/>
              <w:jc w:val="center"/>
              <w:rPr>
                <w:rFonts w:ascii="宋体" w:hAnsi="宋体"/>
                <w:color w:val="auto"/>
                <w:szCs w:val="21"/>
                <w:highlight w:val="none"/>
              </w:rPr>
            </w:pPr>
          </w:p>
        </w:tc>
        <w:tc>
          <w:tcPr>
            <w:tcW w:w="624" w:type="pct"/>
            <w:noWrap w:val="0"/>
            <w:vAlign w:val="top"/>
          </w:tcPr>
          <w:p w14:paraId="29231033">
            <w:pPr>
              <w:spacing w:line="400" w:lineRule="exact"/>
              <w:jc w:val="center"/>
              <w:rPr>
                <w:rFonts w:ascii="宋体" w:hAnsi="宋体"/>
                <w:color w:val="auto"/>
                <w:szCs w:val="21"/>
                <w:highlight w:val="none"/>
              </w:rPr>
            </w:pPr>
          </w:p>
        </w:tc>
        <w:tc>
          <w:tcPr>
            <w:tcW w:w="624" w:type="pct"/>
            <w:noWrap w:val="0"/>
            <w:vAlign w:val="top"/>
          </w:tcPr>
          <w:p w14:paraId="12BFB207">
            <w:pPr>
              <w:spacing w:line="400" w:lineRule="exact"/>
              <w:jc w:val="center"/>
              <w:rPr>
                <w:rFonts w:ascii="宋体" w:hAnsi="宋体"/>
                <w:color w:val="auto"/>
                <w:szCs w:val="21"/>
                <w:highlight w:val="none"/>
              </w:rPr>
            </w:pPr>
          </w:p>
        </w:tc>
        <w:tc>
          <w:tcPr>
            <w:tcW w:w="624" w:type="pct"/>
            <w:noWrap w:val="0"/>
            <w:vAlign w:val="top"/>
          </w:tcPr>
          <w:p w14:paraId="08A450D3">
            <w:pPr>
              <w:spacing w:line="400" w:lineRule="exact"/>
              <w:jc w:val="center"/>
              <w:rPr>
                <w:rFonts w:ascii="宋体" w:hAnsi="宋体"/>
                <w:color w:val="auto"/>
                <w:szCs w:val="21"/>
                <w:highlight w:val="none"/>
              </w:rPr>
            </w:pPr>
          </w:p>
        </w:tc>
        <w:tc>
          <w:tcPr>
            <w:tcW w:w="624" w:type="pct"/>
            <w:noWrap w:val="0"/>
            <w:vAlign w:val="top"/>
          </w:tcPr>
          <w:p w14:paraId="2B47060D">
            <w:pPr>
              <w:spacing w:line="400" w:lineRule="exact"/>
              <w:jc w:val="center"/>
              <w:rPr>
                <w:rFonts w:ascii="宋体" w:hAnsi="宋体"/>
                <w:color w:val="auto"/>
                <w:szCs w:val="21"/>
                <w:highlight w:val="none"/>
              </w:rPr>
            </w:pPr>
          </w:p>
        </w:tc>
      </w:tr>
      <w:tr w14:paraId="1822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6B225536">
            <w:pPr>
              <w:spacing w:line="400" w:lineRule="exact"/>
              <w:jc w:val="center"/>
              <w:rPr>
                <w:rFonts w:ascii="宋体" w:hAnsi="宋体"/>
                <w:color w:val="auto"/>
                <w:szCs w:val="21"/>
                <w:highlight w:val="none"/>
              </w:rPr>
            </w:pPr>
          </w:p>
        </w:tc>
        <w:tc>
          <w:tcPr>
            <w:tcW w:w="765" w:type="pct"/>
            <w:noWrap w:val="0"/>
            <w:vAlign w:val="top"/>
          </w:tcPr>
          <w:p w14:paraId="03D330B2">
            <w:pPr>
              <w:spacing w:line="400" w:lineRule="exact"/>
              <w:jc w:val="center"/>
              <w:rPr>
                <w:rFonts w:ascii="宋体" w:hAnsi="宋体"/>
                <w:color w:val="auto"/>
                <w:szCs w:val="21"/>
                <w:highlight w:val="none"/>
              </w:rPr>
            </w:pPr>
          </w:p>
        </w:tc>
        <w:tc>
          <w:tcPr>
            <w:tcW w:w="624" w:type="pct"/>
            <w:noWrap w:val="0"/>
            <w:vAlign w:val="top"/>
          </w:tcPr>
          <w:p w14:paraId="56ACE694">
            <w:pPr>
              <w:spacing w:line="400" w:lineRule="exact"/>
              <w:jc w:val="center"/>
              <w:rPr>
                <w:rFonts w:ascii="宋体" w:hAnsi="宋体"/>
                <w:color w:val="auto"/>
                <w:szCs w:val="21"/>
                <w:highlight w:val="none"/>
              </w:rPr>
            </w:pPr>
          </w:p>
        </w:tc>
        <w:tc>
          <w:tcPr>
            <w:tcW w:w="624" w:type="pct"/>
            <w:noWrap w:val="0"/>
            <w:vAlign w:val="top"/>
          </w:tcPr>
          <w:p w14:paraId="63F8CFCC">
            <w:pPr>
              <w:spacing w:line="400" w:lineRule="exact"/>
              <w:jc w:val="center"/>
              <w:rPr>
                <w:rFonts w:ascii="宋体" w:hAnsi="宋体"/>
                <w:color w:val="auto"/>
                <w:szCs w:val="21"/>
                <w:highlight w:val="none"/>
              </w:rPr>
            </w:pPr>
          </w:p>
        </w:tc>
        <w:tc>
          <w:tcPr>
            <w:tcW w:w="624" w:type="pct"/>
            <w:noWrap w:val="0"/>
            <w:vAlign w:val="top"/>
          </w:tcPr>
          <w:p w14:paraId="56BABCC2">
            <w:pPr>
              <w:spacing w:line="400" w:lineRule="exact"/>
              <w:jc w:val="center"/>
              <w:rPr>
                <w:rFonts w:ascii="宋体" w:hAnsi="宋体"/>
                <w:color w:val="auto"/>
                <w:szCs w:val="21"/>
                <w:highlight w:val="none"/>
              </w:rPr>
            </w:pPr>
          </w:p>
        </w:tc>
        <w:tc>
          <w:tcPr>
            <w:tcW w:w="624" w:type="pct"/>
            <w:noWrap w:val="0"/>
            <w:vAlign w:val="top"/>
          </w:tcPr>
          <w:p w14:paraId="280551B6">
            <w:pPr>
              <w:spacing w:line="400" w:lineRule="exact"/>
              <w:jc w:val="center"/>
              <w:rPr>
                <w:rFonts w:ascii="宋体" w:hAnsi="宋体"/>
                <w:color w:val="auto"/>
                <w:szCs w:val="21"/>
                <w:highlight w:val="none"/>
              </w:rPr>
            </w:pPr>
          </w:p>
        </w:tc>
        <w:tc>
          <w:tcPr>
            <w:tcW w:w="624" w:type="pct"/>
            <w:noWrap w:val="0"/>
            <w:vAlign w:val="top"/>
          </w:tcPr>
          <w:p w14:paraId="3C65D08A">
            <w:pPr>
              <w:spacing w:line="400" w:lineRule="exact"/>
              <w:jc w:val="center"/>
              <w:rPr>
                <w:rFonts w:ascii="宋体" w:hAnsi="宋体"/>
                <w:color w:val="auto"/>
                <w:szCs w:val="21"/>
                <w:highlight w:val="none"/>
              </w:rPr>
            </w:pPr>
          </w:p>
        </w:tc>
        <w:tc>
          <w:tcPr>
            <w:tcW w:w="624" w:type="pct"/>
            <w:noWrap w:val="0"/>
            <w:vAlign w:val="top"/>
          </w:tcPr>
          <w:p w14:paraId="35A81F00">
            <w:pPr>
              <w:spacing w:line="400" w:lineRule="exact"/>
              <w:jc w:val="center"/>
              <w:rPr>
                <w:rFonts w:ascii="宋体" w:hAnsi="宋体"/>
                <w:color w:val="auto"/>
                <w:szCs w:val="21"/>
                <w:highlight w:val="none"/>
              </w:rPr>
            </w:pPr>
          </w:p>
        </w:tc>
      </w:tr>
      <w:tr w14:paraId="6CAA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507AA48F">
            <w:pPr>
              <w:spacing w:line="400" w:lineRule="exact"/>
              <w:jc w:val="center"/>
              <w:rPr>
                <w:rFonts w:ascii="宋体" w:hAnsi="宋体"/>
                <w:color w:val="auto"/>
                <w:szCs w:val="21"/>
                <w:highlight w:val="none"/>
              </w:rPr>
            </w:pPr>
          </w:p>
        </w:tc>
        <w:tc>
          <w:tcPr>
            <w:tcW w:w="765" w:type="pct"/>
            <w:noWrap w:val="0"/>
            <w:vAlign w:val="top"/>
          </w:tcPr>
          <w:p w14:paraId="141753DA">
            <w:pPr>
              <w:spacing w:line="400" w:lineRule="exact"/>
              <w:jc w:val="center"/>
              <w:rPr>
                <w:rFonts w:ascii="宋体" w:hAnsi="宋体"/>
                <w:color w:val="auto"/>
                <w:szCs w:val="21"/>
                <w:highlight w:val="none"/>
              </w:rPr>
            </w:pPr>
          </w:p>
        </w:tc>
        <w:tc>
          <w:tcPr>
            <w:tcW w:w="624" w:type="pct"/>
            <w:noWrap w:val="0"/>
            <w:vAlign w:val="top"/>
          </w:tcPr>
          <w:p w14:paraId="6AD8FDF0">
            <w:pPr>
              <w:spacing w:line="400" w:lineRule="exact"/>
              <w:jc w:val="center"/>
              <w:rPr>
                <w:rFonts w:ascii="宋体" w:hAnsi="宋体"/>
                <w:color w:val="auto"/>
                <w:szCs w:val="21"/>
                <w:highlight w:val="none"/>
              </w:rPr>
            </w:pPr>
          </w:p>
        </w:tc>
        <w:tc>
          <w:tcPr>
            <w:tcW w:w="624" w:type="pct"/>
            <w:noWrap w:val="0"/>
            <w:vAlign w:val="top"/>
          </w:tcPr>
          <w:p w14:paraId="58AEC2A1">
            <w:pPr>
              <w:spacing w:line="400" w:lineRule="exact"/>
              <w:jc w:val="center"/>
              <w:rPr>
                <w:rFonts w:ascii="宋体" w:hAnsi="宋体"/>
                <w:color w:val="auto"/>
                <w:szCs w:val="21"/>
                <w:highlight w:val="none"/>
              </w:rPr>
            </w:pPr>
          </w:p>
        </w:tc>
        <w:tc>
          <w:tcPr>
            <w:tcW w:w="624" w:type="pct"/>
            <w:noWrap w:val="0"/>
            <w:vAlign w:val="top"/>
          </w:tcPr>
          <w:p w14:paraId="37F597AF">
            <w:pPr>
              <w:spacing w:line="400" w:lineRule="exact"/>
              <w:jc w:val="center"/>
              <w:rPr>
                <w:rFonts w:ascii="宋体" w:hAnsi="宋体"/>
                <w:color w:val="auto"/>
                <w:szCs w:val="21"/>
                <w:highlight w:val="none"/>
              </w:rPr>
            </w:pPr>
          </w:p>
        </w:tc>
        <w:tc>
          <w:tcPr>
            <w:tcW w:w="624" w:type="pct"/>
            <w:noWrap w:val="0"/>
            <w:vAlign w:val="top"/>
          </w:tcPr>
          <w:p w14:paraId="1DAE4B92">
            <w:pPr>
              <w:spacing w:line="400" w:lineRule="exact"/>
              <w:jc w:val="center"/>
              <w:rPr>
                <w:rFonts w:ascii="宋体" w:hAnsi="宋体"/>
                <w:color w:val="auto"/>
                <w:szCs w:val="21"/>
                <w:highlight w:val="none"/>
              </w:rPr>
            </w:pPr>
          </w:p>
        </w:tc>
        <w:tc>
          <w:tcPr>
            <w:tcW w:w="624" w:type="pct"/>
            <w:noWrap w:val="0"/>
            <w:vAlign w:val="top"/>
          </w:tcPr>
          <w:p w14:paraId="39C164D3">
            <w:pPr>
              <w:spacing w:line="400" w:lineRule="exact"/>
              <w:jc w:val="center"/>
              <w:rPr>
                <w:rFonts w:ascii="宋体" w:hAnsi="宋体"/>
                <w:color w:val="auto"/>
                <w:szCs w:val="21"/>
                <w:highlight w:val="none"/>
              </w:rPr>
            </w:pPr>
          </w:p>
        </w:tc>
        <w:tc>
          <w:tcPr>
            <w:tcW w:w="624" w:type="pct"/>
            <w:noWrap w:val="0"/>
            <w:vAlign w:val="top"/>
          </w:tcPr>
          <w:p w14:paraId="630E5395">
            <w:pPr>
              <w:spacing w:line="400" w:lineRule="exact"/>
              <w:jc w:val="center"/>
              <w:rPr>
                <w:rFonts w:ascii="宋体" w:hAnsi="宋体"/>
                <w:color w:val="auto"/>
                <w:szCs w:val="21"/>
                <w:highlight w:val="none"/>
              </w:rPr>
            </w:pPr>
          </w:p>
        </w:tc>
      </w:tr>
      <w:tr w14:paraId="622E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02B85D9B">
            <w:pPr>
              <w:spacing w:line="400" w:lineRule="exact"/>
              <w:jc w:val="center"/>
              <w:rPr>
                <w:rFonts w:ascii="宋体" w:hAnsi="宋体"/>
                <w:color w:val="auto"/>
                <w:szCs w:val="21"/>
                <w:highlight w:val="none"/>
              </w:rPr>
            </w:pPr>
          </w:p>
        </w:tc>
        <w:tc>
          <w:tcPr>
            <w:tcW w:w="765" w:type="pct"/>
            <w:noWrap w:val="0"/>
            <w:vAlign w:val="top"/>
          </w:tcPr>
          <w:p w14:paraId="6FDA03B0">
            <w:pPr>
              <w:spacing w:line="400" w:lineRule="exact"/>
              <w:jc w:val="center"/>
              <w:rPr>
                <w:rFonts w:ascii="宋体" w:hAnsi="宋体"/>
                <w:color w:val="auto"/>
                <w:szCs w:val="21"/>
                <w:highlight w:val="none"/>
              </w:rPr>
            </w:pPr>
          </w:p>
        </w:tc>
        <w:tc>
          <w:tcPr>
            <w:tcW w:w="624" w:type="pct"/>
            <w:noWrap w:val="0"/>
            <w:vAlign w:val="top"/>
          </w:tcPr>
          <w:p w14:paraId="35A7539A">
            <w:pPr>
              <w:spacing w:line="400" w:lineRule="exact"/>
              <w:jc w:val="center"/>
              <w:rPr>
                <w:rFonts w:ascii="宋体" w:hAnsi="宋体"/>
                <w:color w:val="auto"/>
                <w:szCs w:val="21"/>
                <w:highlight w:val="none"/>
              </w:rPr>
            </w:pPr>
          </w:p>
        </w:tc>
        <w:tc>
          <w:tcPr>
            <w:tcW w:w="624" w:type="pct"/>
            <w:noWrap w:val="0"/>
            <w:vAlign w:val="top"/>
          </w:tcPr>
          <w:p w14:paraId="25CAFB80">
            <w:pPr>
              <w:spacing w:line="400" w:lineRule="exact"/>
              <w:jc w:val="center"/>
              <w:rPr>
                <w:rFonts w:ascii="宋体" w:hAnsi="宋体"/>
                <w:color w:val="auto"/>
                <w:szCs w:val="21"/>
                <w:highlight w:val="none"/>
              </w:rPr>
            </w:pPr>
          </w:p>
        </w:tc>
        <w:tc>
          <w:tcPr>
            <w:tcW w:w="624" w:type="pct"/>
            <w:noWrap w:val="0"/>
            <w:vAlign w:val="top"/>
          </w:tcPr>
          <w:p w14:paraId="666F3CCC">
            <w:pPr>
              <w:spacing w:line="400" w:lineRule="exact"/>
              <w:jc w:val="center"/>
              <w:rPr>
                <w:rFonts w:ascii="宋体" w:hAnsi="宋体"/>
                <w:color w:val="auto"/>
                <w:szCs w:val="21"/>
                <w:highlight w:val="none"/>
              </w:rPr>
            </w:pPr>
          </w:p>
        </w:tc>
        <w:tc>
          <w:tcPr>
            <w:tcW w:w="624" w:type="pct"/>
            <w:noWrap w:val="0"/>
            <w:vAlign w:val="top"/>
          </w:tcPr>
          <w:p w14:paraId="09A1C1D9">
            <w:pPr>
              <w:spacing w:line="400" w:lineRule="exact"/>
              <w:jc w:val="center"/>
              <w:rPr>
                <w:rFonts w:ascii="宋体" w:hAnsi="宋体"/>
                <w:color w:val="auto"/>
                <w:szCs w:val="21"/>
                <w:highlight w:val="none"/>
              </w:rPr>
            </w:pPr>
          </w:p>
        </w:tc>
        <w:tc>
          <w:tcPr>
            <w:tcW w:w="624" w:type="pct"/>
            <w:noWrap w:val="0"/>
            <w:vAlign w:val="top"/>
          </w:tcPr>
          <w:p w14:paraId="5C219391">
            <w:pPr>
              <w:spacing w:line="400" w:lineRule="exact"/>
              <w:jc w:val="center"/>
              <w:rPr>
                <w:rFonts w:ascii="宋体" w:hAnsi="宋体"/>
                <w:color w:val="auto"/>
                <w:szCs w:val="21"/>
                <w:highlight w:val="none"/>
              </w:rPr>
            </w:pPr>
          </w:p>
        </w:tc>
        <w:tc>
          <w:tcPr>
            <w:tcW w:w="624" w:type="pct"/>
            <w:noWrap w:val="0"/>
            <w:vAlign w:val="top"/>
          </w:tcPr>
          <w:p w14:paraId="5B1CCD6D">
            <w:pPr>
              <w:spacing w:line="400" w:lineRule="exact"/>
              <w:jc w:val="center"/>
              <w:rPr>
                <w:rFonts w:ascii="宋体" w:hAnsi="宋体"/>
                <w:color w:val="auto"/>
                <w:szCs w:val="21"/>
                <w:highlight w:val="none"/>
              </w:rPr>
            </w:pPr>
          </w:p>
        </w:tc>
      </w:tr>
      <w:tr w14:paraId="2A92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1BCADBFA">
            <w:pPr>
              <w:spacing w:line="400" w:lineRule="exact"/>
              <w:jc w:val="center"/>
              <w:rPr>
                <w:rFonts w:ascii="宋体" w:hAnsi="宋体"/>
                <w:color w:val="auto"/>
                <w:szCs w:val="21"/>
                <w:highlight w:val="none"/>
              </w:rPr>
            </w:pPr>
          </w:p>
        </w:tc>
        <w:tc>
          <w:tcPr>
            <w:tcW w:w="765" w:type="pct"/>
            <w:noWrap w:val="0"/>
            <w:vAlign w:val="top"/>
          </w:tcPr>
          <w:p w14:paraId="5660A18F">
            <w:pPr>
              <w:spacing w:line="400" w:lineRule="exact"/>
              <w:jc w:val="center"/>
              <w:rPr>
                <w:rFonts w:ascii="宋体" w:hAnsi="宋体"/>
                <w:color w:val="auto"/>
                <w:szCs w:val="21"/>
                <w:highlight w:val="none"/>
              </w:rPr>
            </w:pPr>
          </w:p>
        </w:tc>
        <w:tc>
          <w:tcPr>
            <w:tcW w:w="624" w:type="pct"/>
            <w:noWrap w:val="0"/>
            <w:vAlign w:val="top"/>
          </w:tcPr>
          <w:p w14:paraId="1BFDFC71">
            <w:pPr>
              <w:spacing w:line="400" w:lineRule="exact"/>
              <w:jc w:val="center"/>
              <w:rPr>
                <w:rFonts w:ascii="宋体" w:hAnsi="宋体"/>
                <w:color w:val="auto"/>
                <w:szCs w:val="21"/>
                <w:highlight w:val="none"/>
              </w:rPr>
            </w:pPr>
          </w:p>
        </w:tc>
        <w:tc>
          <w:tcPr>
            <w:tcW w:w="624" w:type="pct"/>
            <w:noWrap w:val="0"/>
            <w:vAlign w:val="top"/>
          </w:tcPr>
          <w:p w14:paraId="61908EB1">
            <w:pPr>
              <w:spacing w:line="400" w:lineRule="exact"/>
              <w:jc w:val="center"/>
              <w:rPr>
                <w:rFonts w:ascii="宋体" w:hAnsi="宋体"/>
                <w:color w:val="auto"/>
                <w:szCs w:val="21"/>
                <w:highlight w:val="none"/>
              </w:rPr>
            </w:pPr>
          </w:p>
        </w:tc>
        <w:tc>
          <w:tcPr>
            <w:tcW w:w="624" w:type="pct"/>
            <w:noWrap w:val="0"/>
            <w:vAlign w:val="top"/>
          </w:tcPr>
          <w:p w14:paraId="2504747A">
            <w:pPr>
              <w:spacing w:line="400" w:lineRule="exact"/>
              <w:jc w:val="center"/>
              <w:rPr>
                <w:rFonts w:ascii="宋体" w:hAnsi="宋体"/>
                <w:color w:val="auto"/>
                <w:szCs w:val="21"/>
                <w:highlight w:val="none"/>
              </w:rPr>
            </w:pPr>
          </w:p>
        </w:tc>
        <w:tc>
          <w:tcPr>
            <w:tcW w:w="624" w:type="pct"/>
            <w:noWrap w:val="0"/>
            <w:vAlign w:val="top"/>
          </w:tcPr>
          <w:p w14:paraId="35B2E975">
            <w:pPr>
              <w:spacing w:line="400" w:lineRule="exact"/>
              <w:jc w:val="center"/>
              <w:rPr>
                <w:rFonts w:ascii="宋体" w:hAnsi="宋体"/>
                <w:color w:val="auto"/>
                <w:szCs w:val="21"/>
                <w:highlight w:val="none"/>
              </w:rPr>
            </w:pPr>
          </w:p>
        </w:tc>
        <w:tc>
          <w:tcPr>
            <w:tcW w:w="624" w:type="pct"/>
            <w:noWrap w:val="0"/>
            <w:vAlign w:val="top"/>
          </w:tcPr>
          <w:p w14:paraId="0FD601FD">
            <w:pPr>
              <w:spacing w:line="400" w:lineRule="exact"/>
              <w:jc w:val="center"/>
              <w:rPr>
                <w:rFonts w:ascii="宋体" w:hAnsi="宋体"/>
                <w:color w:val="auto"/>
                <w:szCs w:val="21"/>
                <w:highlight w:val="none"/>
              </w:rPr>
            </w:pPr>
          </w:p>
        </w:tc>
        <w:tc>
          <w:tcPr>
            <w:tcW w:w="624" w:type="pct"/>
            <w:noWrap w:val="0"/>
            <w:vAlign w:val="top"/>
          </w:tcPr>
          <w:p w14:paraId="71A6426E">
            <w:pPr>
              <w:spacing w:line="400" w:lineRule="exact"/>
              <w:jc w:val="center"/>
              <w:rPr>
                <w:rFonts w:ascii="宋体" w:hAnsi="宋体"/>
                <w:color w:val="auto"/>
                <w:szCs w:val="21"/>
                <w:highlight w:val="none"/>
              </w:rPr>
            </w:pPr>
          </w:p>
        </w:tc>
      </w:tr>
      <w:tr w14:paraId="40F0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5" w:type="pct"/>
            <w:noWrap w:val="0"/>
            <w:vAlign w:val="top"/>
          </w:tcPr>
          <w:p w14:paraId="6F86A404">
            <w:pPr>
              <w:spacing w:line="400" w:lineRule="exact"/>
              <w:jc w:val="center"/>
              <w:rPr>
                <w:rFonts w:ascii="宋体" w:hAnsi="宋体"/>
                <w:color w:val="auto"/>
                <w:szCs w:val="21"/>
                <w:highlight w:val="none"/>
              </w:rPr>
            </w:pPr>
          </w:p>
        </w:tc>
        <w:tc>
          <w:tcPr>
            <w:tcW w:w="765" w:type="pct"/>
            <w:noWrap w:val="0"/>
            <w:vAlign w:val="top"/>
          </w:tcPr>
          <w:p w14:paraId="41A2559B">
            <w:pPr>
              <w:spacing w:line="400" w:lineRule="exact"/>
              <w:jc w:val="center"/>
              <w:rPr>
                <w:rFonts w:ascii="宋体" w:hAnsi="宋体"/>
                <w:color w:val="auto"/>
                <w:szCs w:val="21"/>
                <w:highlight w:val="none"/>
              </w:rPr>
            </w:pPr>
          </w:p>
        </w:tc>
        <w:tc>
          <w:tcPr>
            <w:tcW w:w="624" w:type="pct"/>
            <w:noWrap w:val="0"/>
            <w:vAlign w:val="top"/>
          </w:tcPr>
          <w:p w14:paraId="1F42930A">
            <w:pPr>
              <w:spacing w:line="400" w:lineRule="exact"/>
              <w:jc w:val="center"/>
              <w:rPr>
                <w:rFonts w:ascii="宋体" w:hAnsi="宋体"/>
                <w:color w:val="auto"/>
                <w:szCs w:val="21"/>
                <w:highlight w:val="none"/>
              </w:rPr>
            </w:pPr>
          </w:p>
        </w:tc>
        <w:tc>
          <w:tcPr>
            <w:tcW w:w="624" w:type="pct"/>
            <w:noWrap w:val="0"/>
            <w:vAlign w:val="top"/>
          </w:tcPr>
          <w:p w14:paraId="12D51977">
            <w:pPr>
              <w:spacing w:line="400" w:lineRule="exact"/>
              <w:jc w:val="center"/>
              <w:rPr>
                <w:rFonts w:ascii="宋体" w:hAnsi="宋体"/>
                <w:color w:val="auto"/>
                <w:szCs w:val="21"/>
                <w:highlight w:val="none"/>
              </w:rPr>
            </w:pPr>
          </w:p>
        </w:tc>
        <w:tc>
          <w:tcPr>
            <w:tcW w:w="624" w:type="pct"/>
            <w:noWrap w:val="0"/>
            <w:vAlign w:val="top"/>
          </w:tcPr>
          <w:p w14:paraId="71F5DD5F">
            <w:pPr>
              <w:spacing w:line="400" w:lineRule="exact"/>
              <w:jc w:val="center"/>
              <w:rPr>
                <w:rFonts w:ascii="宋体" w:hAnsi="宋体"/>
                <w:color w:val="auto"/>
                <w:szCs w:val="21"/>
                <w:highlight w:val="none"/>
              </w:rPr>
            </w:pPr>
          </w:p>
        </w:tc>
        <w:tc>
          <w:tcPr>
            <w:tcW w:w="624" w:type="pct"/>
            <w:noWrap w:val="0"/>
            <w:vAlign w:val="top"/>
          </w:tcPr>
          <w:p w14:paraId="433289AB">
            <w:pPr>
              <w:spacing w:line="400" w:lineRule="exact"/>
              <w:jc w:val="center"/>
              <w:rPr>
                <w:rFonts w:ascii="宋体" w:hAnsi="宋体"/>
                <w:color w:val="auto"/>
                <w:szCs w:val="21"/>
                <w:highlight w:val="none"/>
              </w:rPr>
            </w:pPr>
          </w:p>
        </w:tc>
        <w:tc>
          <w:tcPr>
            <w:tcW w:w="624" w:type="pct"/>
            <w:noWrap w:val="0"/>
            <w:vAlign w:val="top"/>
          </w:tcPr>
          <w:p w14:paraId="5A2CB1A5">
            <w:pPr>
              <w:spacing w:line="400" w:lineRule="exact"/>
              <w:jc w:val="center"/>
              <w:rPr>
                <w:rFonts w:ascii="宋体" w:hAnsi="宋体"/>
                <w:color w:val="auto"/>
                <w:szCs w:val="21"/>
                <w:highlight w:val="none"/>
              </w:rPr>
            </w:pPr>
          </w:p>
        </w:tc>
        <w:tc>
          <w:tcPr>
            <w:tcW w:w="624" w:type="pct"/>
            <w:noWrap w:val="0"/>
            <w:vAlign w:val="top"/>
          </w:tcPr>
          <w:p w14:paraId="07C3BC28">
            <w:pPr>
              <w:spacing w:line="400" w:lineRule="exact"/>
              <w:jc w:val="center"/>
              <w:rPr>
                <w:rFonts w:ascii="宋体" w:hAnsi="宋体"/>
                <w:color w:val="auto"/>
                <w:szCs w:val="21"/>
                <w:highlight w:val="none"/>
              </w:rPr>
            </w:pPr>
          </w:p>
        </w:tc>
      </w:tr>
      <w:tr w14:paraId="0C2A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457C8044">
            <w:pPr>
              <w:spacing w:line="400" w:lineRule="exact"/>
              <w:jc w:val="center"/>
              <w:rPr>
                <w:rFonts w:ascii="宋体" w:hAnsi="宋体"/>
                <w:color w:val="auto"/>
                <w:szCs w:val="21"/>
                <w:highlight w:val="none"/>
              </w:rPr>
            </w:pPr>
          </w:p>
        </w:tc>
        <w:tc>
          <w:tcPr>
            <w:tcW w:w="765" w:type="pct"/>
            <w:noWrap w:val="0"/>
            <w:vAlign w:val="top"/>
          </w:tcPr>
          <w:p w14:paraId="509F38AF">
            <w:pPr>
              <w:spacing w:line="400" w:lineRule="exact"/>
              <w:jc w:val="center"/>
              <w:rPr>
                <w:rFonts w:ascii="宋体" w:hAnsi="宋体"/>
                <w:color w:val="auto"/>
                <w:szCs w:val="21"/>
                <w:highlight w:val="none"/>
              </w:rPr>
            </w:pPr>
          </w:p>
        </w:tc>
        <w:tc>
          <w:tcPr>
            <w:tcW w:w="624" w:type="pct"/>
            <w:noWrap w:val="0"/>
            <w:vAlign w:val="top"/>
          </w:tcPr>
          <w:p w14:paraId="7E6FC266">
            <w:pPr>
              <w:spacing w:line="400" w:lineRule="exact"/>
              <w:jc w:val="center"/>
              <w:rPr>
                <w:rFonts w:ascii="宋体" w:hAnsi="宋体"/>
                <w:color w:val="auto"/>
                <w:szCs w:val="21"/>
                <w:highlight w:val="none"/>
              </w:rPr>
            </w:pPr>
          </w:p>
        </w:tc>
        <w:tc>
          <w:tcPr>
            <w:tcW w:w="624" w:type="pct"/>
            <w:noWrap w:val="0"/>
            <w:vAlign w:val="top"/>
          </w:tcPr>
          <w:p w14:paraId="6BFDDE30">
            <w:pPr>
              <w:spacing w:line="400" w:lineRule="exact"/>
              <w:jc w:val="center"/>
              <w:rPr>
                <w:rFonts w:ascii="宋体" w:hAnsi="宋体"/>
                <w:color w:val="auto"/>
                <w:szCs w:val="21"/>
                <w:highlight w:val="none"/>
              </w:rPr>
            </w:pPr>
          </w:p>
        </w:tc>
        <w:tc>
          <w:tcPr>
            <w:tcW w:w="624" w:type="pct"/>
            <w:noWrap w:val="0"/>
            <w:vAlign w:val="top"/>
          </w:tcPr>
          <w:p w14:paraId="754F9FB8">
            <w:pPr>
              <w:spacing w:line="400" w:lineRule="exact"/>
              <w:jc w:val="center"/>
              <w:rPr>
                <w:rFonts w:ascii="宋体" w:hAnsi="宋体"/>
                <w:color w:val="auto"/>
                <w:szCs w:val="21"/>
                <w:highlight w:val="none"/>
              </w:rPr>
            </w:pPr>
          </w:p>
        </w:tc>
        <w:tc>
          <w:tcPr>
            <w:tcW w:w="624" w:type="pct"/>
            <w:noWrap w:val="0"/>
            <w:vAlign w:val="top"/>
          </w:tcPr>
          <w:p w14:paraId="6E2D99ED">
            <w:pPr>
              <w:spacing w:line="400" w:lineRule="exact"/>
              <w:jc w:val="center"/>
              <w:rPr>
                <w:rFonts w:ascii="宋体" w:hAnsi="宋体"/>
                <w:color w:val="auto"/>
                <w:szCs w:val="21"/>
                <w:highlight w:val="none"/>
              </w:rPr>
            </w:pPr>
          </w:p>
        </w:tc>
        <w:tc>
          <w:tcPr>
            <w:tcW w:w="624" w:type="pct"/>
            <w:noWrap w:val="0"/>
            <w:vAlign w:val="top"/>
          </w:tcPr>
          <w:p w14:paraId="3A80008F">
            <w:pPr>
              <w:spacing w:line="400" w:lineRule="exact"/>
              <w:jc w:val="center"/>
              <w:rPr>
                <w:rFonts w:ascii="宋体" w:hAnsi="宋体"/>
                <w:color w:val="auto"/>
                <w:szCs w:val="21"/>
                <w:highlight w:val="none"/>
              </w:rPr>
            </w:pPr>
          </w:p>
        </w:tc>
        <w:tc>
          <w:tcPr>
            <w:tcW w:w="624" w:type="pct"/>
            <w:noWrap w:val="0"/>
            <w:vAlign w:val="top"/>
          </w:tcPr>
          <w:p w14:paraId="04B030FF">
            <w:pPr>
              <w:spacing w:line="400" w:lineRule="exact"/>
              <w:jc w:val="center"/>
              <w:rPr>
                <w:rFonts w:ascii="宋体" w:hAnsi="宋体"/>
                <w:color w:val="auto"/>
                <w:szCs w:val="21"/>
                <w:highlight w:val="none"/>
              </w:rPr>
            </w:pPr>
          </w:p>
        </w:tc>
      </w:tr>
      <w:tr w14:paraId="38AB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top"/>
          </w:tcPr>
          <w:p w14:paraId="7BE40056">
            <w:pPr>
              <w:spacing w:line="400" w:lineRule="exact"/>
              <w:jc w:val="center"/>
              <w:rPr>
                <w:rFonts w:ascii="宋体" w:hAnsi="宋体"/>
                <w:color w:val="auto"/>
                <w:szCs w:val="21"/>
                <w:highlight w:val="none"/>
              </w:rPr>
            </w:pPr>
          </w:p>
        </w:tc>
        <w:tc>
          <w:tcPr>
            <w:tcW w:w="765" w:type="pct"/>
            <w:noWrap w:val="0"/>
            <w:vAlign w:val="top"/>
          </w:tcPr>
          <w:p w14:paraId="1CEB790E">
            <w:pPr>
              <w:spacing w:line="400" w:lineRule="exact"/>
              <w:jc w:val="center"/>
              <w:rPr>
                <w:rFonts w:ascii="宋体" w:hAnsi="宋体"/>
                <w:color w:val="auto"/>
                <w:szCs w:val="21"/>
                <w:highlight w:val="none"/>
              </w:rPr>
            </w:pPr>
          </w:p>
        </w:tc>
        <w:tc>
          <w:tcPr>
            <w:tcW w:w="624" w:type="pct"/>
            <w:noWrap w:val="0"/>
            <w:vAlign w:val="top"/>
          </w:tcPr>
          <w:p w14:paraId="0D0ADACF">
            <w:pPr>
              <w:spacing w:line="400" w:lineRule="exact"/>
              <w:jc w:val="center"/>
              <w:rPr>
                <w:rFonts w:ascii="宋体" w:hAnsi="宋体"/>
                <w:color w:val="auto"/>
                <w:szCs w:val="21"/>
                <w:highlight w:val="none"/>
              </w:rPr>
            </w:pPr>
          </w:p>
        </w:tc>
        <w:tc>
          <w:tcPr>
            <w:tcW w:w="624" w:type="pct"/>
            <w:noWrap w:val="0"/>
            <w:vAlign w:val="top"/>
          </w:tcPr>
          <w:p w14:paraId="1A570F71">
            <w:pPr>
              <w:spacing w:line="400" w:lineRule="exact"/>
              <w:jc w:val="center"/>
              <w:rPr>
                <w:rFonts w:ascii="宋体" w:hAnsi="宋体"/>
                <w:color w:val="auto"/>
                <w:szCs w:val="21"/>
                <w:highlight w:val="none"/>
              </w:rPr>
            </w:pPr>
          </w:p>
        </w:tc>
        <w:tc>
          <w:tcPr>
            <w:tcW w:w="624" w:type="pct"/>
            <w:noWrap w:val="0"/>
            <w:vAlign w:val="top"/>
          </w:tcPr>
          <w:p w14:paraId="70B3C5C6">
            <w:pPr>
              <w:spacing w:line="400" w:lineRule="exact"/>
              <w:jc w:val="center"/>
              <w:rPr>
                <w:rFonts w:ascii="宋体" w:hAnsi="宋体"/>
                <w:color w:val="auto"/>
                <w:szCs w:val="21"/>
                <w:highlight w:val="none"/>
              </w:rPr>
            </w:pPr>
          </w:p>
        </w:tc>
        <w:tc>
          <w:tcPr>
            <w:tcW w:w="624" w:type="pct"/>
            <w:noWrap w:val="0"/>
            <w:vAlign w:val="top"/>
          </w:tcPr>
          <w:p w14:paraId="63D5525B">
            <w:pPr>
              <w:spacing w:line="400" w:lineRule="exact"/>
              <w:jc w:val="center"/>
              <w:rPr>
                <w:rFonts w:ascii="宋体" w:hAnsi="宋体"/>
                <w:color w:val="auto"/>
                <w:szCs w:val="21"/>
                <w:highlight w:val="none"/>
              </w:rPr>
            </w:pPr>
          </w:p>
        </w:tc>
        <w:tc>
          <w:tcPr>
            <w:tcW w:w="624" w:type="pct"/>
            <w:noWrap w:val="0"/>
            <w:vAlign w:val="top"/>
          </w:tcPr>
          <w:p w14:paraId="172A7DBD">
            <w:pPr>
              <w:spacing w:line="400" w:lineRule="exact"/>
              <w:jc w:val="center"/>
              <w:rPr>
                <w:rFonts w:ascii="宋体" w:hAnsi="宋体"/>
                <w:color w:val="auto"/>
                <w:szCs w:val="21"/>
                <w:highlight w:val="none"/>
              </w:rPr>
            </w:pPr>
          </w:p>
        </w:tc>
        <w:tc>
          <w:tcPr>
            <w:tcW w:w="624" w:type="pct"/>
            <w:noWrap w:val="0"/>
            <w:vAlign w:val="top"/>
          </w:tcPr>
          <w:p w14:paraId="35CC4953">
            <w:pPr>
              <w:spacing w:line="400" w:lineRule="exact"/>
              <w:jc w:val="center"/>
              <w:rPr>
                <w:rFonts w:ascii="宋体" w:hAnsi="宋体"/>
                <w:color w:val="auto"/>
                <w:szCs w:val="21"/>
                <w:highlight w:val="none"/>
              </w:rPr>
            </w:pPr>
          </w:p>
        </w:tc>
      </w:tr>
    </w:tbl>
    <w:p w14:paraId="4CA59BFC">
      <w:pPr>
        <w:topLinePunct/>
        <w:spacing w:line="400" w:lineRule="exact"/>
        <w:rPr>
          <w:color w:val="auto"/>
          <w:sz w:val="20"/>
          <w:szCs w:val="20"/>
          <w:highlight w:val="none"/>
        </w:rPr>
      </w:pPr>
    </w:p>
    <w:p w14:paraId="1979EDF1">
      <w:pPr>
        <w:widowControl/>
        <w:jc w:val="left"/>
        <w:rPr>
          <w:rFonts w:ascii="宋体" w:hAnsi="宋体"/>
          <w:b/>
          <w:color w:val="auto"/>
          <w:sz w:val="24"/>
          <w:szCs w:val="31"/>
          <w:highlight w:val="none"/>
        </w:rPr>
      </w:pPr>
      <w:bookmarkStart w:id="570" w:name="_Toc144974868"/>
      <w:bookmarkStart w:id="571" w:name="_Toc168475927"/>
      <w:bookmarkStart w:id="572" w:name="_Toc168476330"/>
      <w:bookmarkStart w:id="573" w:name="_Toc221952105"/>
      <w:r>
        <w:rPr>
          <w:rFonts w:ascii="宋体" w:hAnsi="宋体"/>
          <w:b/>
          <w:color w:val="auto"/>
          <w:sz w:val="24"/>
          <w:szCs w:val="31"/>
          <w:highlight w:val="none"/>
        </w:rPr>
        <w:br w:type="page"/>
      </w:r>
    </w:p>
    <w:p w14:paraId="729B0B28">
      <w:pPr>
        <w:spacing w:line="400" w:lineRule="exact"/>
        <w:jc w:val="center"/>
        <w:outlineLvl w:val="3"/>
        <w:rPr>
          <w:rFonts w:ascii="宋体" w:hAnsi="宋体"/>
          <w:b/>
          <w:color w:val="auto"/>
          <w:sz w:val="24"/>
          <w:szCs w:val="31"/>
          <w:highlight w:val="none"/>
        </w:rPr>
      </w:pPr>
      <w:r>
        <w:rPr>
          <w:rFonts w:ascii="宋体" w:hAnsi="宋体"/>
          <w:b/>
          <w:color w:val="auto"/>
          <w:sz w:val="24"/>
          <w:szCs w:val="31"/>
          <w:highlight w:val="none"/>
        </w:rPr>
        <w:t>附表四：计划开</w:t>
      </w:r>
      <w:r>
        <w:rPr>
          <w:rFonts w:hint="eastAsia" w:ascii="宋体" w:hAnsi="宋体"/>
          <w:b/>
          <w:color w:val="auto"/>
          <w:sz w:val="24"/>
          <w:szCs w:val="31"/>
          <w:highlight w:val="none"/>
        </w:rPr>
        <w:t>工日期</w:t>
      </w:r>
      <w:r>
        <w:rPr>
          <w:rFonts w:ascii="宋体" w:hAnsi="宋体"/>
          <w:b/>
          <w:color w:val="auto"/>
          <w:sz w:val="24"/>
          <w:szCs w:val="31"/>
          <w:highlight w:val="none"/>
        </w:rPr>
        <w:t>、</w:t>
      </w:r>
      <w:r>
        <w:rPr>
          <w:rFonts w:hint="eastAsia" w:ascii="宋体" w:hAnsi="宋体"/>
          <w:b/>
          <w:color w:val="auto"/>
          <w:sz w:val="24"/>
          <w:szCs w:val="31"/>
          <w:highlight w:val="none"/>
        </w:rPr>
        <w:t>完工</w:t>
      </w:r>
      <w:r>
        <w:rPr>
          <w:rFonts w:ascii="宋体" w:hAnsi="宋体"/>
          <w:b/>
          <w:color w:val="auto"/>
          <w:sz w:val="24"/>
          <w:szCs w:val="31"/>
          <w:highlight w:val="none"/>
        </w:rPr>
        <w:t>日期和施工进度网络图</w:t>
      </w:r>
      <w:bookmarkEnd w:id="570"/>
      <w:bookmarkEnd w:id="571"/>
      <w:bookmarkEnd w:id="572"/>
      <w:bookmarkEnd w:id="573"/>
    </w:p>
    <w:p w14:paraId="7EA2303D">
      <w:pPr>
        <w:spacing w:line="400" w:lineRule="exact"/>
        <w:rPr>
          <w:rFonts w:eastAsia="黑体"/>
          <w:color w:val="auto"/>
          <w:sz w:val="19"/>
          <w:szCs w:val="19"/>
          <w:highlight w:val="none"/>
        </w:rPr>
      </w:pPr>
    </w:p>
    <w:p w14:paraId="4D04C2AE">
      <w:pPr>
        <w:spacing w:line="400" w:lineRule="exact"/>
        <w:ind w:firstLine="420" w:firstLineChars="200"/>
        <w:rPr>
          <w:rFonts w:ascii="宋体" w:hAnsi="宋体"/>
          <w:color w:val="auto"/>
          <w:szCs w:val="21"/>
          <w:highlight w:val="none"/>
        </w:rPr>
      </w:pPr>
      <w:bookmarkStart w:id="574" w:name="_Toc221952106"/>
      <w:r>
        <w:rPr>
          <w:rFonts w:ascii="宋体" w:hAnsi="宋体"/>
          <w:color w:val="auto"/>
          <w:szCs w:val="21"/>
          <w:highlight w:val="none"/>
        </w:rPr>
        <w:t>1. 投标人应递交施工进度网络图或施工进度表，说明按招标文件要求的计划工期进行施工的各个关键日期。</w:t>
      </w:r>
      <w:bookmarkEnd w:id="574"/>
    </w:p>
    <w:p w14:paraId="2F25FC94">
      <w:pPr>
        <w:spacing w:line="400" w:lineRule="exact"/>
        <w:ind w:firstLine="420" w:firstLineChars="200"/>
        <w:rPr>
          <w:rFonts w:ascii="宋体" w:hAnsi="宋体"/>
          <w:color w:val="auto"/>
          <w:szCs w:val="21"/>
          <w:highlight w:val="none"/>
        </w:rPr>
      </w:pPr>
      <w:bookmarkStart w:id="575" w:name="_Toc221952107"/>
      <w:r>
        <w:rPr>
          <w:rFonts w:ascii="宋体" w:hAnsi="宋体"/>
          <w:color w:val="auto"/>
          <w:szCs w:val="21"/>
          <w:highlight w:val="none"/>
        </w:rPr>
        <w:t>2. 施工进度表可采用</w:t>
      </w:r>
      <w:r>
        <w:rPr>
          <w:rFonts w:hint="eastAsia" w:ascii="宋体" w:hAnsi="宋体"/>
          <w:color w:val="auto"/>
          <w:szCs w:val="21"/>
          <w:highlight w:val="none"/>
          <w:u w:val="single"/>
        </w:rPr>
        <w:t xml:space="preserve">                 </w:t>
      </w:r>
      <w:r>
        <w:rPr>
          <w:rFonts w:ascii="宋体" w:hAnsi="宋体"/>
          <w:color w:val="auto"/>
          <w:szCs w:val="21"/>
          <w:highlight w:val="none"/>
        </w:rPr>
        <w:t>网络图（或横道图）表示。</w:t>
      </w:r>
      <w:bookmarkEnd w:id="575"/>
    </w:p>
    <w:p w14:paraId="5D8BE217">
      <w:pPr>
        <w:spacing w:line="400" w:lineRule="exact"/>
        <w:rPr>
          <w:color w:val="auto"/>
          <w:sz w:val="19"/>
          <w:szCs w:val="19"/>
          <w:highlight w:val="none"/>
        </w:rPr>
      </w:pPr>
    </w:p>
    <w:p w14:paraId="4AC476D2">
      <w:pPr>
        <w:spacing w:line="400" w:lineRule="exact"/>
        <w:rPr>
          <w:rFonts w:eastAsia="黑体"/>
          <w:color w:val="auto"/>
          <w:sz w:val="19"/>
          <w:szCs w:val="19"/>
          <w:highlight w:val="none"/>
        </w:rPr>
      </w:pPr>
    </w:p>
    <w:p w14:paraId="59FDAF9E">
      <w:pPr>
        <w:spacing w:line="400" w:lineRule="exact"/>
        <w:rPr>
          <w:rFonts w:eastAsia="黑体"/>
          <w:color w:val="auto"/>
          <w:sz w:val="19"/>
          <w:szCs w:val="19"/>
          <w:highlight w:val="none"/>
        </w:rPr>
      </w:pPr>
      <w:r>
        <w:rPr>
          <w:rFonts w:eastAsia="黑体"/>
          <w:color w:val="auto"/>
          <w:sz w:val="19"/>
          <w:szCs w:val="19"/>
          <w:highlight w:val="none"/>
        </w:rPr>
        <w:br w:type="page"/>
      </w:r>
    </w:p>
    <w:p w14:paraId="646EA492">
      <w:pPr>
        <w:spacing w:line="400" w:lineRule="exact"/>
        <w:jc w:val="center"/>
        <w:outlineLvl w:val="3"/>
        <w:rPr>
          <w:rFonts w:ascii="宋体" w:hAnsi="宋体"/>
          <w:b/>
          <w:color w:val="auto"/>
          <w:sz w:val="24"/>
          <w:szCs w:val="31"/>
          <w:highlight w:val="none"/>
        </w:rPr>
      </w:pPr>
      <w:bookmarkStart w:id="576" w:name="_Toc144974869"/>
      <w:bookmarkStart w:id="577" w:name="_Toc221952108"/>
      <w:bookmarkStart w:id="578" w:name="_Toc168476331"/>
      <w:bookmarkStart w:id="579" w:name="_Toc168475928"/>
      <w:r>
        <w:rPr>
          <w:rFonts w:ascii="宋体" w:hAnsi="宋体"/>
          <w:b/>
          <w:color w:val="auto"/>
          <w:sz w:val="24"/>
          <w:szCs w:val="31"/>
          <w:highlight w:val="none"/>
        </w:rPr>
        <w:t>附表五：施工总平面图</w:t>
      </w:r>
      <w:bookmarkEnd w:id="576"/>
      <w:bookmarkEnd w:id="577"/>
      <w:bookmarkEnd w:id="578"/>
      <w:bookmarkEnd w:id="579"/>
    </w:p>
    <w:p w14:paraId="1740CFD3">
      <w:pPr>
        <w:spacing w:line="400" w:lineRule="exact"/>
        <w:rPr>
          <w:rFonts w:eastAsia="黑体"/>
          <w:color w:val="auto"/>
          <w:sz w:val="19"/>
          <w:szCs w:val="19"/>
          <w:highlight w:val="none"/>
        </w:rPr>
      </w:pPr>
      <w:r>
        <w:rPr>
          <w:rFonts w:eastAsia="黑体"/>
          <w:color w:val="auto"/>
          <w:sz w:val="19"/>
          <w:szCs w:val="19"/>
          <w:highlight w:val="none"/>
        </w:rPr>
        <w:tab/>
      </w:r>
    </w:p>
    <w:p w14:paraId="08589DA1">
      <w:pPr>
        <w:spacing w:line="400" w:lineRule="exact"/>
        <w:ind w:firstLine="420" w:firstLineChars="200"/>
        <w:rPr>
          <w:color w:val="auto"/>
          <w:szCs w:val="21"/>
          <w:highlight w:val="none"/>
        </w:rPr>
      </w:pPr>
      <w:bookmarkStart w:id="580" w:name="_Toc221952109"/>
      <w:r>
        <w:rPr>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bookmarkEnd w:id="580"/>
    </w:p>
    <w:p w14:paraId="583982D0">
      <w:pPr>
        <w:spacing w:line="400" w:lineRule="exact"/>
        <w:rPr>
          <w:rFonts w:eastAsia="黑体"/>
          <w:color w:val="auto"/>
          <w:sz w:val="19"/>
          <w:szCs w:val="19"/>
          <w:highlight w:val="none"/>
        </w:rPr>
      </w:pPr>
    </w:p>
    <w:p w14:paraId="1FEC6A53">
      <w:pPr>
        <w:spacing w:line="400" w:lineRule="exact"/>
        <w:rPr>
          <w:rFonts w:eastAsia="黑体"/>
          <w:color w:val="auto"/>
          <w:sz w:val="19"/>
          <w:szCs w:val="19"/>
          <w:highlight w:val="none"/>
        </w:rPr>
      </w:pPr>
      <w:r>
        <w:rPr>
          <w:rFonts w:eastAsia="黑体"/>
          <w:color w:val="auto"/>
          <w:sz w:val="19"/>
          <w:szCs w:val="19"/>
          <w:highlight w:val="none"/>
        </w:rPr>
        <w:br w:type="page"/>
      </w:r>
    </w:p>
    <w:p w14:paraId="1CFFE086">
      <w:pPr>
        <w:spacing w:line="400" w:lineRule="exact"/>
        <w:jc w:val="center"/>
        <w:outlineLvl w:val="3"/>
        <w:rPr>
          <w:rFonts w:ascii="宋体" w:hAnsi="宋体"/>
          <w:b/>
          <w:color w:val="auto"/>
          <w:sz w:val="24"/>
          <w:szCs w:val="31"/>
          <w:highlight w:val="none"/>
        </w:rPr>
      </w:pPr>
      <w:bookmarkStart w:id="581" w:name="_Toc168476332"/>
      <w:bookmarkStart w:id="582" w:name="_Toc221952110"/>
      <w:bookmarkStart w:id="583" w:name="_Toc144974870"/>
      <w:bookmarkStart w:id="584" w:name="_Toc168475929"/>
      <w:r>
        <w:rPr>
          <w:rFonts w:ascii="宋体" w:hAnsi="宋体"/>
          <w:b/>
          <w:color w:val="auto"/>
          <w:sz w:val="24"/>
          <w:szCs w:val="31"/>
          <w:highlight w:val="none"/>
        </w:rPr>
        <w:t>附表六</w:t>
      </w:r>
      <w:r>
        <w:rPr>
          <w:rFonts w:hint="eastAsia" w:ascii="宋体" w:hAnsi="宋体"/>
          <w:b/>
          <w:color w:val="auto"/>
          <w:sz w:val="24"/>
          <w:szCs w:val="31"/>
          <w:highlight w:val="none"/>
        </w:rPr>
        <w:t>：</w:t>
      </w:r>
      <w:r>
        <w:rPr>
          <w:rFonts w:ascii="宋体" w:hAnsi="宋体"/>
          <w:b/>
          <w:color w:val="auto"/>
          <w:sz w:val="24"/>
          <w:szCs w:val="31"/>
          <w:highlight w:val="none"/>
        </w:rPr>
        <w:t>临时用地表</w:t>
      </w:r>
      <w:bookmarkEnd w:id="581"/>
      <w:bookmarkEnd w:id="582"/>
      <w:bookmarkEnd w:id="583"/>
      <w:bookmarkEnd w:id="584"/>
    </w:p>
    <w:p w14:paraId="44542A16">
      <w:pPr>
        <w:spacing w:line="400" w:lineRule="exact"/>
        <w:jc w:val="left"/>
        <w:rPr>
          <w:color w:val="auto"/>
          <w:sz w:val="22"/>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gridCol w:w="2132"/>
      </w:tblGrid>
      <w:tr w14:paraId="7166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62346055">
            <w:pPr>
              <w:spacing w:line="400" w:lineRule="exact"/>
              <w:jc w:val="center"/>
              <w:rPr>
                <w:rFonts w:ascii="宋体" w:hAnsi="宋体"/>
                <w:color w:val="auto"/>
                <w:szCs w:val="21"/>
                <w:highlight w:val="none"/>
              </w:rPr>
            </w:pPr>
            <w:bookmarkStart w:id="585" w:name="_Toc221952111"/>
            <w:r>
              <w:rPr>
                <w:rFonts w:ascii="宋体" w:hAnsi="宋体"/>
                <w:color w:val="auto"/>
                <w:szCs w:val="21"/>
                <w:highlight w:val="none"/>
              </w:rPr>
              <w:t>用 途</w:t>
            </w:r>
            <w:bookmarkEnd w:id="585"/>
          </w:p>
        </w:tc>
        <w:tc>
          <w:tcPr>
            <w:tcW w:w="2132" w:type="dxa"/>
            <w:noWrap w:val="0"/>
            <w:vAlign w:val="top"/>
          </w:tcPr>
          <w:p w14:paraId="14DF8F5A">
            <w:pPr>
              <w:spacing w:line="400" w:lineRule="exact"/>
              <w:jc w:val="center"/>
              <w:rPr>
                <w:rFonts w:ascii="宋体" w:hAnsi="宋体"/>
                <w:color w:val="auto"/>
                <w:szCs w:val="21"/>
                <w:highlight w:val="none"/>
              </w:rPr>
            </w:pPr>
            <w:bookmarkStart w:id="586" w:name="_Toc221952112"/>
            <w:r>
              <w:rPr>
                <w:rFonts w:ascii="宋体" w:hAnsi="宋体"/>
                <w:color w:val="auto"/>
                <w:szCs w:val="21"/>
                <w:highlight w:val="none"/>
              </w:rPr>
              <w:t>面 积（</w:t>
            </w:r>
            <w:r>
              <w:rPr>
                <w:rFonts w:hint="eastAsia" w:ascii="宋体" w:hAnsi="宋体"/>
                <w:color w:val="auto"/>
                <w:szCs w:val="21"/>
                <w:highlight w:val="none"/>
              </w:rPr>
              <w:t>㎡</w:t>
            </w:r>
            <w:r>
              <w:rPr>
                <w:rFonts w:ascii="宋体" w:hAnsi="宋体"/>
                <w:color w:val="auto"/>
                <w:szCs w:val="21"/>
                <w:highlight w:val="none"/>
              </w:rPr>
              <w:t>）</w:t>
            </w:r>
            <w:bookmarkEnd w:id="586"/>
          </w:p>
        </w:tc>
        <w:tc>
          <w:tcPr>
            <w:tcW w:w="2132" w:type="dxa"/>
            <w:noWrap w:val="0"/>
            <w:vAlign w:val="top"/>
          </w:tcPr>
          <w:p w14:paraId="54082FDF">
            <w:pPr>
              <w:spacing w:line="400" w:lineRule="exact"/>
              <w:jc w:val="center"/>
              <w:rPr>
                <w:rFonts w:ascii="宋体" w:hAnsi="宋体"/>
                <w:color w:val="auto"/>
                <w:szCs w:val="21"/>
                <w:highlight w:val="none"/>
              </w:rPr>
            </w:pPr>
            <w:bookmarkStart w:id="587" w:name="_Toc221952113"/>
            <w:r>
              <w:rPr>
                <w:rFonts w:ascii="宋体" w:hAnsi="宋体"/>
                <w:color w:val="auto"/>
                <w:szCs w:val="21"/>
                <w:highlight w:val="none"/>
              </w:rPr>
              <w:t>位 置</w:t>
            </w:r>
            <w:bookmarkEnd w:id="587"/>
          </w:p>
        </w:tc>
        <w:tc>
          <w:tcPr>
            <w:tcW w:w="2132" w:type="dxa"/>
            <w:noWrap w:val="0"/>
            <w:vAlign w:val="top"/>
          </w:tcPr>
          <w:p w14:paraId="5505740D">
            <w:pPr>
              <w:spacing w:line="400" w:lineRule="exact"/>
              <w:jc w:val="center"/>
              <w:rPr>
                <w:rFonts w:ascii="宋体" w:hAnsi="宋体"/>
                <w:color w:val="auto"/>
                <w:szCs w:val="21"/>
                <w:highlight w:val="none"/>
              </w:rPr>
            </w:pPr>
            <w:bookmarkStart w:id="588" w:name="_Toc221952114"/>
            <w:r>
              <w:rPr>
                <w:rFonts w:ascii="宋体" w:hAnsi="宋体"/>
                <w:color w:val="auto"/>
                <w:szCs w:val="21"/>
                <w:highlight w:val="none"/>
              </w:rPr>
              <w:t>需用时间</w:t>
            </w:r>
            <w:bookmarkEnd w:id="588"/>
          </w:p>
        </w:tc>
      </w:tr>
      <w:tr w14:paraId="69E4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7F52E60D">
            <w:pPr>
              <w:spacing w:line="400" w:lineRule="exact"/>
              <w:jc w:val="center"/>
              <w:rPr>
                <w:rFonts w:ascii="宋体" w:hAnsi="宋体"/>
                <w:color w:val="auto"/>
                <w:szCs w:val="21"/>
                <w:highlight w:val="none"/>
              </w:rPr>
            </w:pPr>
          </w:p>
        </w:tc>
        <w:tc>
          <w:tcPr>
            <w:tcW w:w="2132" w:type="dxa"/>
            <w:noWrap w:val="0"/>
            <w:vAlign w:val="top"/>
          </w:tcPr>
          <w:p w14:paraId="77F3BA57">
            <w:pPr>
              <w:spacing w:line="400" w:lineRule="exact"/>
              <w:jc w:val="center"/>
              <w:rPr>
                <w:rFonts w:ascii="宋体" w:hAnsi="宋体"/>
                <w:color w:val="auto"/>
                <w:szCs w:val="21"/>
                <w:highlight w:val="none"/>
              </w:rPr>
            </w:pPr>
          </w:p>
        </w:tc>
        <w:tc>
          <w:tcPr>
            <w:tcW w:w="2132" w:type="dxa"/>
            <w:noWrap w:val="0"/>
            <w:vAlign w:val="top"/>
          </w:tcPr>
          <w:p w14:paraId="6ABAB5FE">
            <w:pPr>
              <w:spacing w:line="400" w:lineRule="exact"/>
              <w:jc w:val="center"/>
              <w:rPr>
                <w:rFonts w:ascii="宋体" w:hAnsi="宋体"/>
                <w:color w:val="auto"/>
                <w:szCs w:val="21"/>
                <w:highlight w:val="none"/>
              </w:rPr>
            </w:pPr>
          </w:p>
        </w:tc>
        <w:tc>
          <w:tcPr>
            <w:tcW w:w="2132" w:type="dxa"/>
            <w:noWrap w:val="0"/>
            <w:vAlign w:val="top"/>
          </w:tcPr>
          <w:p w14:paraId="052324A6">
            <w:pPr>
              <w:spacing w:line="400" w:lineRule="exact"/>
              <w:jc w:val="center"/>
              <w:rPr>
                <w:rFonts w:ascii="宋体" w:hAnsi="宋体"/>
                <w:color w:val="auto"/>
                <w:szCs w:val="21"/>
                <w:highlight w:val="none"/>
              </w:rPr>
            </w:pPr>
          </w:p>
        </w:tc>
      </w:tr>
      <w:tr w14:paraId="0B68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noWrap w:val="0"/>
            <w:vAlign w:val="top"/>
          </w:tcPr>
          <w:p w14:paraId="2E0C3143">
            <w:pPr>
              <w:spacing w:line="400" w:lineRule="exact"/>
              <w:jc w:val="center"/>
              <w:rPr>
                <w:rFonts w:ascii="宋体" w:hAnsi="宋体"/>
                <w:color w:val="auto"/>
                <w:szCs w:val="21"/>
                <w:highlight w:val="none"/>
              </w:rPr>
            </w:pPr>
          </w:p>
        </w:tc>
        <w:tc>
          <w:tcPr>
            <w:tcW w:w="2132" w:type="dxa"/>
            <w:noWrap w:val="0"/>
            <w:vAlign w:val="top"/>
          </w:tcPr>
          <w:p w14:paraId="5BCEC1D6">
            <w:pPr>
              <w:spacing w:line="400" w:lineRule="exact"/>
              <w:jc w:val="center"/>
              <w:rPr>
                <w:rFonts w:ascii="宋体" w:hAnsi="宋体"/>
                <w:color w:val="auto"/>
                <w:szCs w:val="21"/>
                <w:highlight w:val="none"/>
              </w:rPr>
            </w:pPr>
          </w:p>
        </w:tc>
        <w:tc>
          <w:tcPr>
            <w:tcW w:w="2132" w:type="dxa"/>
            <w:noWrap w:val="0"/>
            <w:vAlign w:val="top"/>
          </w:tcPr>
          <w:p w14:paraId="0AB35647">
            <w:pPr>
              <w:spacing w:line="400" w:lineRule="exact"/>
              <w:jc w:val="center"/>
              <w:rPr>
                <w:rFonts w:ascii="宋体" w:hAnsi="宋体"/>
                <w:color w:val="auto"/>
                <w:szCs w:val="21"/>
                <w:highlight w:val="none"/>
              </w:rPr>
            </w:pPr>
          </w:p>
        </w:tc>
        <w:tc>
          <w:tcPr>
            <w:tcW w:w="2132" w:type="dxa"/>
            <w:noWrap w:val="0"/>
            <w:vAlign w:val="top"/>
          </w:tcPr>
          <w:p w14:paraId="18D693B5">
            <w:pPr>
              <w:spacing w:line="400" w:lineRule="exact"/>
              <w:jc w:val="center"/>
              <w:rPr>
                <w:rFonts w:ascii="宋体" w:hAnsi="宋体"/>
                <w:color w:val="auto"/>
                <w:szCs w:val="21"/>
                <w:highlight w:val="none"/>
              </w:rPr>
            </w:pPr>
          </w:p>
        </w:tc>
      </w:tr>
      <w:tr w14:paraId="13D0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49E3E1E3">
            <w:pPr>
              <w:spacing w:line="400" w:lineRule="exact"/>
              <w:jc w:val="center"/>
              <w:rPr>
                <w:rFonts w:ascii="宋体" w:hAnsi="宋体"/>
                <w:color w:val="auto"/>
                <w:szCs w:val="21"/>
                <w:highlight w:val="none"/>
              </w:rPr>
            </w:pPr>
          </w:p>
        </w:tc>
        <w:tc>
          <w:tcPr>
            <w:tcW w:w="2132" w:type="dxa"/>
            <w:noWrap w:val="0"/>
            <w:vAlign w:val="top"/>
          </w:tcPr>
          <w:p w14:paraId="3853040D">
            <w:pPr>
              <w:spacing w:line="400" w:lineRule="exact"/>
              <w:jc w:val="center"/>
              <w:rPr>
                <w:rFonts w:ascii="宋体" w:hAnsi="宋体"/>
                <w:color w:val="auto"/>
                <w:szCs w:val="21"/>
                <w:highlight w:val="none"/>
              </w:rPr>
            </w:pPr>
          </w:p>
        </w:tc>
        <w:tc>
          <w:tcPr>
            <w:tcW w:w="2132" w:type="dxa"/>
            <w:noWrap w:val="0"/>
            <w:vAlign w:val="top"/>
          </w:tcPr>
          <w:p w14:paraId="5D9AA799">
            <w:pPr>
              <w:spacing w:line="400" w:lineRule="exact"/>
              <w:jc w:val="center"/>
              <w:rPr>
                <w:rFonts w:ascii="宋体" w:hAnsi="宋体"/>
                <w:color w:val="auto"/>
                <w:szCs w:val="21"/>
                <w:highlight w:val="none"/>
              </w:rPr>
            </w:pPr>
          </w:p>
        </w:tc>
        <w:tc>
          <w:tcPr>
            <w:tcW w:w="2132" w:type="dxa"/>
            <w:noWrap w:val="0"/>
            <w:vAlign w:val="top"/>
          </w:tcPr>
          <w:p w14:paraId="7C78CC5A">
            <w:pPr>
              <w:spacing w:line="400" w:lineRule="exact"/>
              <w:jc w:val="center"/>
              <w:rPr>
                <w:rFonts w:ascii="宋体" w:hAnsi="宋体"/>
                <w:color w:val="auto"/>
                <w:szCs w:val="21"/>
                <w:highlight w:val="none"/>
              </w:rPr>
            </w:pPr>
          </w:p>
        </w:tc>
      </w:tr>
      <w:tr w14:paraId="7972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651594D4">
            <w:pPr>
              <w:spacing w:line="400" w:lineRule="exact"/>
              <w:jc w:val="center"/>
              <w:rPr>
                <w:rFonts w:ascii="宋体" w:hAnsi="宋体"/>
                <w:color w:val="auto"/>
                <w:szCs w:val="21"/>
                <w:highlight w:val="none"/>
              </w:rPr>
            </w:pPr>
          </w:p>
        </w:tc>
        <w:tc>
          <w:tcPr>
            <w:tcW w:w="2132" w:type="dxa"/>
            <w:noWrap w:val="0"/>
            <w:vAlign w:val="top"/>
          </w:tcPr>
          <w:p w14:paraId="44FC02D1">
            <w:pPr>
              <w:spacing w:line="400" w:lineRule="exact"/>
              <w:jc w:val="center"/>
              <w:rPr>
                <w:rFonts w:ascii="宋体" w:hAnsi="宋体"/>
                <w:color w:val="auto"/>
                <w:szCs w:val="21"/>
                <w:highlight w:val="none"/>
              </w:rPr>
            </w:pPr>
          </w:p>
        </w:tc>
        <w:tc>
          <w:tcPr>
            <w:tcW w:w="2132" w:type="dxa"/>
            <w:noWrap w:val="0"/>
            <w:vAlign w:val="top"/>
          </w:tcPr>
          <w:p w14:paraId="4D7CFF6A">
            <w:pPr>
              <w:spacing w:line="400" w:lineRule="exact"/>
              <w:jc w:val="center"/>
              <w:rPr>
                <w:rFonts w:ascii="宋体" w:hAnsi="宋体"/>
                <w:color w:val="auto"/>
                <w:szCs w:val="21"/>
                <w:highlight w:val="none"/>
              </w:rPr>
            </w:pPr>
          </w:p>
        </w:tc>
        <w:tc>
          <w:tcPr>
            <w:tcW w:w="2132" w:type="dxa"/>
            <w:noWrap w:val="0"/>
            <w:vAlign w:val="top"/>
          </w:tcPr>
          <w:p w14:paraId="408A97F6">
            <w:pPr>
              <w:spacing w:line="400" w:lineRule="exact"/>
              <w:jc w:val="center"/>
              <w:rPr>
                <w:rFonts w:ascii="宋体" w:hAnsi="宋体"/>
                <w:color w:val="auto"/>
                <w:szCs w:val="21"/>
                <w:highlight w:val="none"/>
              </w:rPr>
            </w:pPr>
          </w:p>
        </w:tc>
      </w:tr>
      <w:tr w14:paraId="2D0C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5D9BF7E0">
            <w:pPr>
              <w:spacing w:line="400" w:lineRule="exact"/>
              <w:jc w:val="center"/>
              <w:rPr>
                <w:rFonts w:ascii="宋体" w:hAnsi="宋体"/>
                <w:color w:val="auto"/>
                <w:szCs w:val="21"/>
                <w:highlight w:val="none"/>
              </w:rPr>
            </w:pPr>
          </w:p>
        </w:tc>
        <w:tc>
          <w:tcPr>
            <w:tcW w:w="2132" w:type="dxa"/>
            <w:noWrap w:val="0"/>
            <w:vAlign w:val="top"/>
          </w:tcPr>
          <w:p w14:paraId="24FC4AFB">
            <w:pPr>
              <w:spacing w:line="400" w:lineRule="exact"/>
              <w:jc w:val="center"/>
              <w:rPr>
                <w:rFonts w:ascii="宋体" w:hAnsi="宋体"/>
                <w:color w:val="auto"/>
                <w:szCs w:val="21"/>
                <w:highlight w:val="none"/>
              </w:rPr>
            </w:pPr>
          </w:p>
        </w:tc>
        <w:tc>
          <w:tcPr>
            <w:tcW w:w="2132" w:type="dxa"/>
            <w:noWrap w:val="0"/>
            <w:vAlign w:val="top"/>
          </w:tcPr>
          <w:p w14:paraId="1DA68520">
            <w:pPr>
              <w:spacing w:line="400" w:lineRule="exact"/>
              <w:jc w:val="center"/>
              <w:rPr>
                <w:rFonts w:ascii="宋体" w:hAnsi="宋体"/>
                <w:color w:val="auto"/>
                <w:szCs w:val="21"/>
                <w:highlight w:val="none"/>
              </w:rPr>
            </w:pPr>
          </w:p>
        </w:tc>
        <w:tc>
          <w:tcPr>
            <w:tcW w:w="2132" w:type="dxa"/>
            <w:noWrap w:val="0"/>
            <w:vAlign w:val="top"/>
          </w:tcPr>
          <w:p w14:paraId="3CEE4E4E">
            <w:pPr>
              <w:spacing w:line="400" w:lineRule="exact"/>
              <w:jc w:val="center"/>
              <w:rPr>
                <w:rFonts w:ascii="宋体" w:hAnsi="宋体"/>
                <w:color w:val="auto"/>
                <w:szCs w:val="21"/>
                <w:highlight w:val="none"/>
              </w:rPr>
            </w:pPr>
          </w:p>
        </w:tc>
      </w:tr>
      <w:tr w14:paraId="44BE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44D83D5E">
            <w:pPr>
              <w:spacing w:line="400" w:lineRule="exact"/>
              <w:jc w:val="center"/>
              <w:rPr>
                <w:rFonts w:ascii="宋体" w:hAnsi="宋体"/>
                <w:color w:val="auto"/>
                <w:szCs w:val="21"/>
                <w:highlight w:val="none"/>
              </w:rPr>
            </w:pPr>
          </w:p>
        </w:tc>
        <w:tc>
          <w:tcPr>
            <w:tcW w:w="2132" w:type="dxa"/>
            <w:noWrap w:val="0"/>
            <w:vAlign w:val="top"/>
          </w:tcPr>
          <w:p w14:paraId="4EA8407D">
            <w:pPr>
              <w:spacing w:line="400" w:lineRule="exact"/>
              <w:jc w:val="center"/>
              <w:rPr>
                <w:rFonts w:ascii="宋体" w:hAnsi="宋体"/>
                <w:color w:val="auto"/>
                <w:szCs w:val="21"/>
                <w:highlight w:val="none"/>
              </w:rPr>
            </w:pPr>
          </w:p>
        </w:tc>
        <w:tc>
          <w:tcPr>
            <w:tcW w:w="2132" w:type="dxa"/>
            <w:noWrap w:val="0"/>
            <w:vAlign w:val="top"/>
          </w:tcPr>
          <w:p w14:paraId="58E58B38">
            <w:pPr>
              <w:spacing w:line="400" w:lineRule="exact"/>
              <w:jc w:val="center"/>
              <w:rPr>
                <w:rFonts w:ascii="宋体" w:hAnsi="宋体"/>
                <w:color w:val="auto"/>
                <w:szCs w:val="21"/>
                <w:highlight w:val="none"/>
              </w:rPr>
            </w:pPr>
          </w:p>
        </w:tc>
        <w:tc>
          <w:tcPr>
            <w:tcW w:w="2132" w:type="dxa"/>
            <w:noWrap w:val="0"/>
            <w:vAlign w:val="top"/>
          </w:tcPr>
          <w:p w14:paraId="6DC9F54A">
            <w:pPr>
              <w:spacing w:line="400" w:lineRule="exact"/>
              <w:jc w:val="center"/>
              <w:rPr>
                <w:rFonts w:ascii="宋体" w:hAnsi="宋体"/>
                <w:color w:val="auto"/>
                <w:szCs w:val="21"/>
                <w:highlight w:val="none"/>
              </w:rPr>
            </w:pPr>
          </w:p>
        </w:tc>
      </w:tr>
      <w:tr w14:paraId="609F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4A5C861C">
            <w:pPr>
              <w:spacing w:line="400" w:lineRule="exact"/>
              <w:jc w:val="center"/>
              <w:rPr>
                <w:rFonts w:ascii="宋体" w:hAnsi="宋体"/>
                <w:color w:val="auto"/>
                <w:szCs w:val="21"/>
                <w:highlight w:val="none"/>
              </w:rPr>
            </w:pPr>
          </w:p>
        </w:tc>
        <w:tc>
          <w:tcPr>
            <w:tcW w:w="2132" w:type="dxa"/>
            <w:noWrap w:val="0"/>
            <w:vAlign w:val="top"/>
          </w:tcPr>
          <w:p w14:paraId="28390B5A">
            <w:pPr>
              <w:spacing w:line="400" w:lineRule="exact"/>
              <w:jc w:val="center"/>
              <w:rPr>
                <w:rFonts w:ascii="宋体" w:hAnsi="宋体"/>
                <w:color w:val="auto"/>
                <w:szCs w:val="21"/>
                <w:highlight w:val="none"/>
              </w:rPr>
            </w:pPr>
          </w:p>
        </w:tc>
        <w:tc>
          <w:tcPr>
            <w:tcW w:w="2132" w:type="dxa"/>
            <w:noWrap w:val="0"/>
            <w:vAlign w:val="top"/>
          </w:tcPr>
          <w:p w14:paraId="1743B14E">
            <w:pPr>
              <w:spacing w:line="400" w:lineRule="exact"/>
              <w:jc w:val="center"/>
              <w:rPr>
                <w:rFonts w:ascii="宋体" w:hAnsi="宋体"/>
                <w:color w:val="auto"/>
                <w:szCs w:val="21"/>
                <w:highlight w:val="none"/>
              </w:rPr>
            </w:pPr>
          </w:p>
        </w:tc>
        <w:tc>
          <w:tcPr>
            <w:tcW w:w="2132" w:type="dxa"/>
            <w:noWrap w:val="0"/>
            <w:vAlign w:val="top"/>
          </w:tcPr>
          <w:p w14:paraId="65C8532A">
            <w:pPr>
              <w:spacing w:line="400" w:lineRule="exact"/>
              <w:jc w:val="center"/>
              <w:rPr>
                <w:rFonts w:ascii="宋体" w:hAnsi="宋体"/>
                <w:color w:val="auto"/>
                <w:szCs w:val="21"/>
                <w:highlight w:val="none"/>
              </w:rPr>
            </w:pPr>
          </w:p>
        </w:tc>
      </w:tr>
      <w:tr w14:paraId="5D58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60F667C6">
            <w:pPr>
              <w:spacing w:line="400" w:lineRule="exact"/>
              <w:jc w:val="center"/>
              <w:rPr>
                <w:rFonts w:ascii="宋体" w:hAnsi="宋体"/>
                <w:color w:val="auto"/>
                <w:szCs w:val="21"/>
                <w:highlight w:val="none"/>
              </w:rPr>
            </w:pPr>
          </w:p>
        </w:tc>
        <w:tc>
          <w:tcPr>
            <w:tcW w:w="2132" w:type="dxa"/>
            <w:noWrap w:val="0"/>
            <w:vAlign w:val="top"/>
          </w:tcPr>
          <w:p w14:paraId="275244C9">
            <w:pPr>
              <w:spacing w:line="400" w:lineRule="exact"/>
              <w:jc w:val="center"/>
              <w:rPr>
                <w:rFonts w:ascii="宋体" w:hAnsi="宋体"/>
                <w:color w:val="auto"/>
                <w:szCs w:val="21"/>
                <w:highlight w:val="none"/>
              </w:rPr>
            </w:pPr>
          </w:p>
        </w:tc>
        <w:tc>
          <w:tcPr>
            <w:tcW w:w="2132" w:type="dxa"/>
            <w:noWrap w:val="0"/>
            <w:vAlign w:val="top"/>
          </w:tcPr>
          <w:p w14:paraId="187353AF">
            <w:pPr>
              <w:spacing w:line="400" w:lineRule="exact"/>
              <w:jc w:val="center"/>
              <w:rPr>
                <w:rFonts w:ascii="宋体" w:hAnsi="宋体"/>
                <w:color w:val="auto"/>
                <w:szCs w:val="21"/>
                <w:highlight w:val="none"/>
              </w:rPr>
            </w:pPr>
          </w:p>
        </w:tc>
        <w:tc>
          <w:tcPr>
            <w:tcW w:w="2132" w:type="dxa"/>
            <w:noWrap w:val="0"/>
            <w:vAlign w:val="top"/>
          </w:tcPr>
          <w:p w14:paraId="663042EB">
            <w:pPr>
              <w:spacing w:line="400" w:lineRule="exact"/>
              <w:jc w:val="center"/>
              <w:rPr>
                <w:rFonts w:ascii="宋体" w:hAnsi="宋体"/>
                <w:color w:val="auto"/>
                <w:szCs w:val="21"/>
                <w:highlight w:val="none"/>
              </w:rPr>
            </w:pPr>
          </w:p>
        </w:tc>
      </w:tr>
      <w:tr w14:paraId="6A54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1783E37A">
            <w:pPr>
              <w:spacing w:line="400" w:lineRule="exact"/>
              <w:jc w:val="center"/>
              <w:rPr>
                <w:rFonts w:ascii="宋体" w:hAnsi="宋体"/>
                <w:color w:val="auto"/>
                <w:szCs w:val="21"/>
                <w:highlight w:val="none"/>
              </w:rPr>
            </w:pPr>
          </w:p>
        </w:tc>
        <w:tc>
          <w:tcPr>
            <w:tcW w:w="2132" w:type="dxa"/>
            <w:noWrap w:val="0"/>
            <w:vAlign w:val="top"/>
          </w:tcPr>
          <w:p w14:paraId="5C865930">
            <w:pPr>
              <w:spacing w:line="400" w:lineRule="exact"/>
              <w:jc w:val="center"/>
              <w:rPr>
                <w:rFonts w:ascii="宋体" w:hAnsi="宋体"/>
                <w:color w:val="auto"/>
                <w:szCs w:val="21"/>
                <w:highlight w:val="none"/>
              </w:rPr>
            </w:pPr>
          </w:p>
        </w:tc>
        <w:tc>
          <w:tcPr>
            <w:tcW w:w="2132" w:type="dxa"/>
            <w:noWrap w:val="0"/>
            <w:vAlign w:val="top"/>
          </w:tcPr>
          <w:p w14:paraId="7FDC670A">
            <w:pPr>
              <w:spacing w:line="400" w:lineRule="exact"/>
              <w:jc w:val="center"/>
              <w:rPr>
                <w:rFonts w:ascii="宋体" w:hAnsi="宋体"/>
                <w:color w:val="auto"/>
                <w:szCs w:val="21"/>
                <w:highlight w:val="none"/>
              </w:rPr>
            </w:pPr>
          </w:p>
        </w:tc>
        <w:tc>
          <w:tcPr>
            <w:tcW w:w="2132" w:type="dxa"/>
            <w:noWrap w:val="0"/>
            <w:vAlign w:val="top"/>
          </w:tcPr>
          <w:p w14:paraId="4D89A525">
            <w:pPr>
              <w:spacing w:line="400" w:lineRule="exact"/>
              <w:jc w:val="center"/>
              <w:rPr>
                <w:rFonts w:ascii="宋体" w:hAnsi="宋体"/>
                <w:color w:val="auto"/>
                <w:szCs w:val="21"/>
                <w:highlight w:val="none"/>
              </w:rPr>
            </w:pPr>
          </w:p>
        </w:tc>
      </w:tr>
      <w:tr w14:paraId="57C4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6BEB1CD2">
            <w:pPr>
              <w:spacing w:line="400" w:lineRule="exact"/>
              <w:jc w:val="center"/>
              <w:rPr>
                <w:rFonts w:ascii="宋体" w:hAnsi="宋体"/>
                <w:color w:val="auto"/>
                <w:szCs w:val="21"/>
                <w:highlight w:val="none"/>
              </w:rPr>
            </w:pPr>
          </w:p>
        </w:tc>
        <w:tc>
          <w:tcPr>
            <w:tcW w:w="2132" w:type="dxa"/>
            <w:noWrap w:val="0"/>
            <w:vAlign w:val="top"/>
          </w:tcPr>
          <w:p w14:paraId="76FBE682">
            <w:pPr>
              <w:spacing w:line="400" w:lineRule="exact"/>
              <w:jc w:val="center"/>
              <w:rPr>
                <w:rFonts w:ascii="宋体" w:hAnsi="宋体"/>
                <w:color w:val="auto"/>
                <w:szCs w:val="21"/>
                <w:highlight w:val="none"/>
              </w:rPr>
            </w:pPr>
          </w:p>
        </w:tc>
        <w:tc>
          <w:tcPr>
            <w:tcW w:w="2132" w:type="dxa"/>
            <w:noWrap w:val="0"/>
            <w:vAlign w:val="top"/>
          </w:tcPr>
          <w:p w14:paraId="40149944">
            <w:pPr>
              <w:spacing w:line="400" w:lineRule="exact"/>
              <w:jc w:val="center"/>
              <w:rPr>
                <w:rFonts w:ascii="宋体" w:hAnsi="宋体"/>
                <w:color w:val="auto"/>
                <w:szCs w:val="21"/>
                <w:highlight w:val="none"/>
              </w:rPr>
            </w:pPr>
          </w:p>
        </w:tc>
        <w:tc>
          <w:tcPr>
            <w:tcW w:w="2132" w:type="dxa"/>
            <w:noWrap w:val="0"/>
            <w:vAlign w:val="top"/>
          </w:tcPr>
          <w:p w14:paraId="34F34B18">
            <w:pPr>
              <w:spacing w:line="400" w:lineRule="exact"/>
              <w:jc w:val="center"/>
              <w:rPr>
                <w:rFonts w:ascii="宋体" w:hAnsi="宋体"/>
                <w:color w:val="auto"/>
                <w:szCs w:val="21"/>
                <w:highlight w:val="none"/>
              </w:rPr>
            </w:pPr>
          </w:p>
        </w:tc>
      </w:tr>
      <w:tr w14:paraId="7FF6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78F39810">
            <w:pPr>
              <w:spacing w:line="400" w:lineRule="exact"/>
              <w:jc w:val="center"/>
              <w:rPr>
                <w:rFonts w:ascii="宋体" w:hAnsi="宋体"/>
                <w:color w:val="auto"/>
                <w:szCs w:val="21"/>
                <w:highlight w:val="none"/>
              </w:rPr>
            </w:pPr>
          </w:p>
        </w:tc>
        <w:tc>
          <w:tcPr>
            <w:tcW w:w="2132" w:type="dxa"/>
            <w:noWrap w:val="0"/>
            <w:vAlign w:val="top"/>
          </w:tcPr>
          <w:p w14:paraId="262F73C0">
            <w:pPr>
              <w:spacing w:line="400" w:lineRule="exact"/>
              <w:jc w:val="center"/>
              <w:rPr>
                <w:rFonts w:ascii="宋体" w:hAnsi="宋体"/>
                <w:color w:val="auto"/>
                <w:szCs w:val="21"/>
                <w:highlight w:val="none"/>
              </w:rPr>
            </w:pPr>
          </w:p>
        </w:tc>
        <w:tc>
          <w:tcPr>
            <w:tcW w:w="2132" w:type="dxa"/>
            <w:noWrap w:val="0"/>
            <w:vAlign w:val="top"/>
          </w:tcPr>
          <w:p w14:paraId="70473EDD">
            <w:pPr>
              <w:spacing w:line="400" w:lineRule="exact"/>
              <w:jc w:val="center"/>
              <w:rPr>
                <w:rFonts w:ascii="宋体" w:hAnsi="宋体"/>
                <w:color w:val="auto"/>
                <w:szCs w:val="21"/>
                <w:highlight w:val="none"/>
              </w:rPr>
            </w:pPr>
          </w:p>
        </w:tc>
        <w:tc>
          <w:tcPr>
            <w:tcW w:w="2132" w:type="dxa"/>
            <w:noWrap w:val="0"/>
            <w:vAlign w:val="top"/>
          </w:tcPr>
          <w:p w14:paraId="2C90748D">
            <w:pPr>
              <w:spacing w:line="400" w:lineRule="exact"/>
              <w:jc w:val="center"/>
              <w:rPr>
                <w:rFonts w:ascii="宋体" w:hAnsi="宋体"/>
                <w:color w:val="auto"/>
                <w:szCs w:val="21"/>
                <w:highlight w:val="none"/>
              </w:rPr>
            </w:pPr>
          </w:p>
        </w:tc>
      </w:tr>
      <w:tr w14:paraId="6AC8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6FA71214">
            <w:pPr>
              <w:spacing w:line="400" w:lineRule="exact"/>
              <w:jc w:val="center"/>
              <w:rPr>
                <w:rFonts w:ascii="宋体" w:hAnsi="宋体"/>
                <w:color w:val="auto"/>
                <w:szCs w:val="21"/>
                <w:highlight w:val="none"/>
              </w:rPr>
            </w:pPr>
          </w:p>
        </w:tc>
        <w:tc>
          <w:tcPr>
            <w:tcW w:w="2132" w:type="dxa"/>
            <w:noWrap w:val="0"/>
            <w:vAlign w:val="top"/>
          </w:tcPr>
          <w:p w14:paraId="71D35E0F">
            <w:pPr>
              <w:spacing w:line="400" w:lineRule="exact"/>
              <w:jc w:val="center"/>
              <w:rPr>
                <w:rFonts w:ascii="宋体" w:hAnsi="宋体"/>
                <w:color w:val="auto"/>
                <w:szCs w:val="21"/>
                <w:highlight w:val="none"/>
              </w:rPr>
            </w:pPr>
          </w:p>
        </w:tc>
        <w:tc>
          <w:tcPr>
            <w:tcW w:w="2132" w:type="dxa"/>
            <w:noWrap w:val="0"/>
            <w:vAlign w:val="top"/>
          </w:tcPr>
          <w:p w14:paraId="302165D7">
            <w:pPr>
              <w:spacing w:line="400" w:lineRule="exact"/>
              <w:jc w:val="center"/>
              <w:rPr>
                <w:rFonts w:ascii="宋体" w:hAnsi="宋体"/>
                <w:color w:val="auto"/>
                <w:szCs w:val="21"/>
                <w:highlight w:val="none"/>
              </w:rPr>
            </w:pPr>
          </w:p>
        </w:tc>
        <w:tc>
          <w:tcPr>
            <w:tcW w:w="2132" w:type="dxa"/>
            <w:noWrap w:val="0"/>
            <w:vAlign w:val="top"/>
          </w:tcPr>
          <w:p w14:paraId="7F02B8A0">
            <w:pPr>
              <w:spacing w:line="400" w:lineRule="exact"/>
              <w:jc w:val="center"/>
              <w:rPr>
                <w:rFonts w:ascii="宋体" w:hAnsi="宋体"/>
                <w:color w:val="auto"/>
                <w:szCs w:val="21"/>
                <w:highlight w:val="none"/>
              </w:rPr>
            </w:pPr>
          </w:p>
        </w:tc>
      </w:tr>
      <w:tr w14:paraId="116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310A9B22">
            <w:pPr>
              <w:spacing w:line="400" w:lineRule="exact"/>
              <w:jc w:val="center"/>
              <w:rPr>
                <w:rFonts w:ascii="宋体" w:hAnsi="宋体"/>
                <w:color w:val="auto"/>
                <w:szCs w:val="21"/>
                <w:highlight w:val="none"/>
              </w:rPr>
            </w:pPr>
          </w:p>
        </w:tc>
        <w:tc>
          <w:tcPr>
            <w:tcW w:w="2132" w:type="dxa"/>
            <w:noWrap w:val="0"/>
            <w:vAlign w:val="top"/>
          </w:tcPr>
          <w:p w14:paraId="4DB4B520">
            <w:pPr>
              <w:spacing w:line="400" w:lineRule="exact"/>
              <w:jc w:val="center"/>
              <w:rPr>
                <w:rFonts w:ascii="宋体" w:hAnsi="宋体"/>
                <w:color w:val="auto"/>
                <w:szCs w:val="21"/>
                <w:highlight w:val="none"/>
              </w:rPr>
            </w:pPr>
          </w:p>
        </w:tc>
        <w:tc>
          <w:tcPr>
            <w:tcW w:w="2132" w:type="dxa"/>
            <w:noWrap w:val="0"/>
            <w:vAlign w:val="top"/>
          </w:tcPr>
          <w:p w14:paraId="58FFDC0B">
            <w:pPr>
              <w:spacing w:line="400" w:lineRule="exact"/>
              <w:jc w:val="center"/>
              <w:rPr>
                <w:rFonts w:ascii="宋体" w:hAnsi="宋体"/>
                <w:color w:val="auto"/>
                <w:szCs w:val="21"/>
                <w:highlight w:val="none"/>
              </w:rPr>
            </w:pPr>
          </w:p>
        </w:tc>
        <w:tc>
          <w:tcPr>
            <w:tcW w:w="2132" w:type="dxa"/>
            <w:noWrap w:val="0"/>
            <w:vAlign w:val="top"/>
          </w:tcPr>
          <w:p w14:paraId="5D12962C">
            <w:pPr>
              <w:spacing w:line="400" w:lineRule="exact"/>
              <w:jc w:val="center"/>
              <w:rPr>
                <w:rFonts w:ascii="宋体" w:hAnsi="宋体"/>
                <w:color w:val="auto"/>
                <w:szCs w:val="21"/>
                <w:highlight w:val="none"/>
              </w:rPr>
            </w:pPr>
          </w:p>
        </w:tc>
      </w:tr>
      <w:tr w14:paraId="72BC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5D863186">
            <w:pPr>
              <w:spacing w:line="400" w:lineRule="exact"/>
              <w:jc w:val="center"/>
              <w:rPr>
                <w:rFonts w:ascii="宋体" w:hAnsi="宋体"/>
                <w:color w:val="auto"/>
                <w:szCs w:val="21"/>
                <w:highlight w:val="none"/>
              </w:rPr>
            </w:pPr>
          </w:p>
        </w:tc>
        <w:tc>
          <w:tcPr>
            <w:tcW w:w="2132" w:type="dxa"/>
            <w:noWrap w:val="0"/>
            <w:vAlign w:val="top"/>
          </w:tcPr>
          <w:p w14:paraId="06728197">
            <w:pPr>
              <w:spacing w:line="400" w:lineRule="exact"/>
              <w:jc w:val="center"/>
              <w:rPr>
                <w:rFonts w:ascii="宋体" w:hAnsi="宋体"/>
                <w:color w:val="auto"/>
                <w:szCs w:val="21"/>
                <w:highlight w:val="none"/>
              </w:rPr>
            </w:pPr>
          </w:p>
        </w:tc>
        <w:tc>
          <w:tcPr>
            <w:tcW w:w="2132" w:type="dxa"/>
            <w:noWrap w:val="0"/>
            <w:vAlign w:val="top"/>
          </w:tcPr>
          <w:p w14:paraId="170487D1">
            <w:pPr>
              <w:spacing w:line="400" w:lineRule="exact"/>
              <w:jc w:val="center"/>
              <w:rPr>
                <w:rFonts w:ascii="宋体" w:hAnsi="宋体"/>
                <w:color w:val="auto"/>
                <w:szCs w:val="21"/>
                <w:highlight w:val="none"/>
              </w:rPr>
            </w:pPr>
          </w:p>
        </w:tc>
        <w:tc>
          <w:tcPr>
            <w:tcW w:w="2132" w:type="dxa"/>
            <w:noWrap w:val="0"/>
            <w:vAlign w:val="top"/>
          </w:tcPr>
          <w:p w14:paraId="2C1C0AF3">
            <w:pPr>
              <w:spacing w:line="400" w:lineRule="exact"/>
              <w:jc w:val="center"/>
              <w:rPr>
                <w:rFonts w:ascii="宋体" w:hAnsi="宋体"/>
                <w:color w:val="auto"/>
                <w:szCs w:val="21"/>
                <w:highlight w:val="none"/>
              </w:rPr>
            </w:pPr>
          </w:p>
        </w:tc>
      </w:tr>
      <w:tr w14:paraId="11D8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48E40CE0">
            <w:pPr>
              <w:spacing w:line="400" w:lineRule="exact"/>
              <w:jc w:val="center"/>
              <w:rPr>
                <w:rFonts w:ascii="宋体" w:hAnsi="宋体"/>
                <w:color w:val="auto"/>
                <w:szCs w:val="21"/>
                <w:highlight w:val="none"/>
              </w:rPr>
            </w:pPr>
          </w:p>
        </w:tc>
        <w:tc>
          <w:tcPr>
            <w:tcW w:w="2132" w:type="dxa"/>
            <w:noWrap w:val="0"/>
            <w:vAlign w:val="top"/>
          </w:tcPr>
          <w:p w14:paraId="69E5D375">
            <w:pPr>
              <w:spacing w:line="400" w:lineRule="exact"/>
              <w:jc w:val="center"/>
              <w:rPr>
                <w:rFonts w:ascii="宋体" w:hAnsi="宋体"/>
                <w:color w:val="auto"/>
                <w:szCs w:val="21"/>
                <w:highlight w:val="none"/>
              </w:rPr>
            </w:pPr>
          </w:p>
        </w:tc>
        <w:tc>
          <w:tcPr>
            <w:tcW w:w="2132" w:type="dxa"/>
            <w:noWrap w:val="0"/>
            <w:vAlign w:val="top"/>
          </w:tcPr>
          <w:p w14:paraId="42F62BAC">
            <w:pPr>
              <w:spacing w:line="400" w:lineRule="exact"/>
              <w:jc w:val="center"/>
              <w:rPr>
                <w:rFonts w:ascii="宋体" w:hAnsi="宋体"/>
                <w:color w:val="auto"/>
                <w:szCs w:val="21"/>
                <w:highlight w:val="none"/>
              </w:rPr>
            </w:pPr>
          </w:p>
        </w:tc>
        <w:tc>
          <w:tcPr>
            <w:tcW w:w="2132" w:type="dxa"/>
            <w:noWrap w:val="0"/>
            <w:vAlign w:val="top"/>
          </w:tcPr>
          <w:p w14:paraId="35BF8F27">
            <w:pPr>
              <w:spacing w:line="400" w:lineRule="exact"/>
              <w:jc w:val="center"/>
              <w:rPr>
                <w:rFonts w:ascii="宋体" w:hAnsi="宋体"/>
                <w:color w:val="auto"/>
                <w:szCs w:val="21"/>
                <w:highlight w:val="none"/>
              </w:rPr>
            </w:pPr>
          </w:p>
        </w:tc>
      </w:tr>
      <w:tr w14:paraId="3E61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0CABE5DE">
            <w:pPr>
              <w:spacing w:line="400" w:lineRule="exact"/>
              <w:jc w:val="center"/>
              <w:rPr>
                <w:rFonts w:ascii="宋体" w:hAnsi="宋体"/>
                <w:color w:val="auto"/>
                <w:szCs w:val="21"/>
                <w:highlight w:val="none"/>
              </w:rPr>
            </w:pPr>
          </w:p>
        </w:tc>
        <w:tc>
          <w:tcPr>
            <w:tcW w:w="2132" w:type="dxa"/>
            <w:noWrap w:val="0"/>
            <w:vAlign w:val="top"/>
          </w:tcPr>
          <w:p w14:paraId="68936E46">
            <w:pPr>
              <w:spacing w:line="400" w:lineRule="exact"/>
              <w:jc w:val="center"/>
              <w:rPr>
                <w:rFonts w:ascii="宋体" w:hAnsi="宋体"/>
                <w:color w:val="auto"/>
                <w:szCs w:val="21"/>
                <w:highlight w:val="none"/>
              </w:rPr>
            </w:pPr>
          </w:p>
        </w:tc>
        <w:tc>
          <w:tcPr>
            <w:tcW w:w="2132" w:type="dxa"/>
            <w:noWrap w:val="0"/>
            <w:vAlign w:val="top"/>
          </w:tcPr>
          <w:p w14:paraId="1BA606BB">
            <w:pPr>
              <w:spacing w:line="400" w:lineRule="exact"/>
              <w:jc w:val="center"/>
              <w:rPr>
                <w:rFonts w:ascii="宋体" w:hAnsi="宋体"/>
                <w:color w:val="auto"/>
                <w:szCs w:val="21"/>
                <w:highlight w:val="none"/>
              </w:rPr>
            </w:pPr>
          </w:p>
        </w:tc>
        <w:tc>
          <w:tcPr>
            <w:tcW w:w="2132" w:type="dxa"/>
            <w:noWrap w:val="0"/>
            <w:vAlign w:val="top"/>
          </w:tcPr>
          <w:p w14:paraId="2A13C427">
            <w:pPr>
              <w:spacing w:line="400" w:lineRule="exact"/>
              <w:jc w:val="center"/>
              <w:rPr>
                <w:rFonts w:ascii="宋体" w:hAnsi="宋体"/>
                <w:color w:val="auto"/>
                <w:szCs w:val="21"/>
                <w:highlight w:val="none"/>
              </w:rPr>
            </w:pPr>
          </w:p>
        </w:tc>
      </w:tr>
      <w:tr w14:paraId="3570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5449CD93">
            <w:pPr>
              <w:spacing w:line="400" w:lineRule="exact"/>
              <w:jc w:val="center"/>
              <w:rPr>
                <w:rFonts w:ascii="宋体" w:hAnsi="宋体"/>
                <w:color w:val="auto"/>
                <w:szCs w:val="21"/>
                <w:highlight w:val="none"/>
              </w:rPr>
            </w:pPr>
          </w:p>
        </w:tc>
        <w:tc>
          <w:tcPr>
            <w:tcW w:w="2132" w:type="dxa"/>
            <w:noWrap w:val="0"/>
            <w:vAlign w:val="top"/>
          </w:tcPr>
          <w:p w14:paraId="75DD557B">
            <w:pPr>
              <w:spacing w:line="400" w:lineRule="exact"/>
              <w:jc w:val="center"/>
              <w:rPr>
                <w:rFonts w:ascii="宋体" w:hAnsi="宋体"/>
                <w:color w:val="auto"/>
                <w:szCs w:val="21"/>
                <w:highlight w:val="none"/>
              </w:rPr>
            </w:pPr>
          </w:p>
        </w:tc>
        <w:tc>
          <w:tcPr>
            <w:tcW w:w="2132" w:type="dxa"/>
            <w:noWrap w:val="0"/>
            <w:vAlign w:val="top"/>
          </w:tcPr>
          <w:p w14:paraId="46E7E0A3">
            <w:pPr>
              <w:spacing w:line="400" w:lineRule="exact"/>
              <w:jc w:val="center"/>
              <w:rPr>
                <w:rFonts w:ascii="宋体" w:hAnsi="宋体"/>
                <w:color w:val="auto"/>
                <w:szCs w:val="21"/>
                <w:highlight w:val="none"/>
              </w:rPr>
            </w:pPr>
          </w:p>
        </w:tc>
        <w:tc>
          <w:tcPr>
            <w:tcW w:w="2132" w:type="dxa"/>
            <w:noWrap w:val="0"/>
            <w:vAlign w:val="top"/>
          </w:tcPr>
          <w:p w14:paraId="22363149">
            <w:pPr>
              <w:spacing w:line="400" w:lineRule="exact"/>
              <w:jc w:val="center"/>
              <w:rPr>
                <w:rFonts w:ascii="宋体" w:hAnsi="宋体"/>
                <w:color w:val="auto"/>
                <w:szCs w:val="21"/>
                <w:highlight w:val="none"/>
              </w:rPr>
            </w:pPr>
          </w:p>
        </w:tc>
      </w:tr>
      <w:tr w14:paraId="453D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1B0771D9">
            <w:pPr>
              <w:spacing w:line="400" w:lineRule="exact"/>
              <w:jc w:val="center"/>
              <w:rPr>
                <w:rFonts w:ascii="宋体" w:hAnsi="宋体"/>
                <w:color w:val="auto"/>
                <w:szCs w:val="21"/>
                <w:highlight w:val="none"/>
              </w:rPr>
            </w:pPr>
          </w:p>
        </w:tc>
        <w:tc>
          <w:tcPr>
            <w:tcW w:w="2132" w:type="dxa"/>
            <w:noWrap w:val="0"/>
            <w:vAlign w:val="top"/>
          </w:tcPr>
          <w:p w14:paraId="7F28B5EE">
            <w:pPr>
              <w:spacing w:line="400" w:lineRule="exact"/>
              <w:jc w:val="center"/>
              <w:rPr>
                <w:rFonts w:ascii="宋体" w:hAnsi="宋体"/>
                <w:color w:val="auto"/>
                <w:szCs w:val="21"/>
                <w:highlight w:val="none"/>
              </w:rPr>
            </w:pPr>
          </w:p>
        </w:tc>
        <w:tc>
          <w:tcPr>
            <w:tcW w:w="2132" w:type="dxa"/>
            <w:noWrap w:val="0"/>
            <w:vAlign w:val="top"/>
          </w:tcPr>
          <w:p w14:paraId="3EB4749B">
            <w:pPr>
              <w:spacing w:line="400" w:lineRule="exact"/>
              <w:jc w:val="center"/>
              <w:rPr>
                <w:rFonts w:ascii="宋体" w:hAnsi="宋体"/>
                <w:color w:val="auto"/>
                <w:szCs w:val="21"/>
                <w:highlight w:val="none"/>
              </w:rPr>
            </w:pPr>
          </w:p>
        </w:tc>
        <w:tc>
          <w:tcPr>
            <w:tcW w:w="2132" w:type="dxa"/>
            <w:noWrap w:val="0"/>
            <w:vAlign w:val="top"/>
          </w:tcPr>
          <w:p w14:paraId="7E4ACFBC">
            <w:pPr>
              <w:spacing w:line="400" w:lineRule="exact"/>
              <w:jc w:val="center"/>
              <w:rPr>
                <w:rFonts w:ascii="宋体" w:hAnsi="宋体"/>
                <w:color w:val="auto"/>
                <w:szCs w:val="21"/>
                <w:highlight w:val="none"/>
              </w:rPr>
            </w:pPr>
          </w:p>
        </w:tc>
      </w:tr>
      <w:tr w14:paraId="53F9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02CEE413">
            <w:pPr>
              <w:spacing w:line="400" w:lineRule="exact"/>
              <w:jc w:val="center"/>
              <w:rPr>
                <w:rFonts w:ascii="宋体" w:hAnsi="宋体"/>
                <w:color w:val="auto"/>
                <w:szCs w:val="21"/>
                <w:highlight w:val="none"/>
              </w:rPr>
            </w:pPr>
          </w:p>
        </w:tc>
        <w:tc>
          <w:tcPr>
            <w:tcW w:w="2132" w:type="dxa"/>
            <w:noWrap w:val="0"/>
            <w:vAlign w:val="top"/>
          </w:tcPr>
          <w:p w14:paraId="29CE4A28">
            <w:pPr>
              <w:spacing w:line="400" w:lineRule="exact"/>
              <w:jc w:val="center"/>
              <w:rPr>
                <w:rFonts w:ascii="宋体" w:hAnsi="宋体"/>
                <w:color w:val="auto"/>
                <w:szCs w:val="21"/>
                <w:highlight w:val="none"/>
              </w:rPr>
            </w:pPr>
          </w:p>
        </w:tc>
        <w:tc>
          <w:tcPr>
            <w:tcW w:w="2132" w:type="dxa"/>
            <w:noWrap w:val="0"/>
            <w:vAlign w:val="top"/>
          </w:tcPr>
          <w:p w14:paraId="223DF24A">
            <w:pPr>
              <w:spacing w:line="400" w:lineRule="exact"/>
              <w:jc w:val="center"/>
              <w:rPr>
                <w:rFonts w:ascii="宋体" w:hAnsi="宋体"/>
                <w:color w:val="auto"/>
                <w:szCs w:val="21"/>
                <w:highlight w:val="none"/>
              </w:rPr>
            </w:pPr>
          </w:p>
        </w:tc>
        <w:tc>
          <w:tcPr>
            <w:tcW w:w="2132" w:type="dxa"/>
            <w:noWrap w:val="0"/>
            <w:vAlign w:val="top"/>
          </w:tcPr>
          <w:p w14:paraId="2DB08936">
            <w:pPr>
              <w:spacing w:line="400" w:lineRule="exact"/>
              <w:jc w:val="center"/>
              <w:rPr>
                <w:rFonts w:ascii="宋体" w:hAnsi="宋体"/>
                <w:color w:val="auto"/>
                <w:szCs w:val="21"/>
                <w:highlight w:val="none"/>
              </w:rPr>
            </w:pPr>
          </w:p>
        </w:tc>
      </w:tr>
      <w:tr w14:paraId="627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47DE3877">
            <w:pPr>
              <w:spacing w:line="400" w:lineRule="exact"/>
              <w:jc w:val="center"/>
              <w:rPr>
                <w:rFonts w:ascii="宋体" w:hAnsi="宋体"/>
                <w:color w:val="auto"/>
                <w:szCs w:val="21"/>
                <w:highlight w:val="none"/>
              </w:rPr>
            </w:pPr>
          </w:p>
        </w:tc>
        <w:tc>
          <w:tcPr>
            <w:tcW w:w="2132" w:type="dxa"/>
            <w:noWrap w:val="0"/>
            <w:vAlign w:val="top"/>
          </w:tcPr>
          <w:p w14:paraId="4EEBE1BA">
            <w:pPr>
              <w:spacing w:line="400" w:lineRule="exact"/>
              <w:jc w:val="center"/>
              <w:rPr>
                <w:rFonts w:ascii="宋体" w:hAnsi="宋体"/>
                <w:color w:val="auto"/>
                <w:szCs w:val="21"/>
                <w:highlight w:val="none"/>
              </w:rPr>
            </w:pPr>
          </w:p>
        </w:tc>
        <w:tc>
          <w:tcPr>
            <w:tcW w:w="2132" w:type="dxa"/>
            <w:noWrap w:val="0"/>
            <w:vAlign w:val="top"/>
          </w:tcPr>
          <w:p w14:paraId="6EA6B5F6">
            <w:pPr>
              <w:spacing w:line="400" w:lineRule="exact"/>
              <w:jc w:val="center"/>
              <w:rPr>
                <w:rFonts w:ascii="宋体" w:hAnsi="宋体"/>
                <w:color w:val="auto"/>
                <w:szCs w:val="21"/>
                <w:highlight w:val="none"/>
              </w:rPr>
            </w:pPr>
          </w:p>
        </w:tc>
        <w:tc>
          <w:tcPr>
            <w:tcW w:w="2132" w:type="dxa"/>
            <w:noWrap w:val="0"/>
            <w:vAlign w:val="top"/>
          </w:tcPr>
          <w:p w14:paraId="200CBF9D">
            <w:pPr>
              <w:spacing w:line="400" w:lineRule="exact"/>
              <w:jc w:val="center"/>
              <w:rPr>
                <w:rFonts w:ascii="宋体" w:hAnsi="宋体"/>
                <w:color w:val="auto"/>
                <w:szCs w:val="21"/>
                <w:highlight w:val="none"/>
              </w:rPr>
            </w:pPr>
          </w:p>
        </w:tc>
      </w:tr>
      <w:tr w14:paraId="5CF5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64A3DC8D">
            <w:pPr>
              <w:spacing w:line="400" w:lineRule="exact"/>
              <w:jc w:val="center"/>
              <w:rPr>
                <w:rFonts w:ascii="宋体" w:hAnsi="宋体"/>
                <w:color w:val="auto"/>
                <w:szCs w:val="21"/>
                <w:highlight w:val="none"/>
              </w:rPr>
            </w:pPr>
          </w:p>
        </w:tc>
        <w:tc>
          <w:tcPr>
            <w:tcW w:w="2132" w:type="dxa"/>
            <w:noWrap w:val="0"/>
            <w:vAlign w:val="top"/>
          </w:tcPr>
          <w:p w14:paraId="215E6CAD">
            <w:pPr>
              <w:spacing w:line="400" w:lineRule="exact"/>
              <w:jc w:val="center"/>
              <w:rPr>
                <w:rFonts w:ascii="宋体" w:hAnsi="宋体"/>
                <w:color w:val="auto"/>
                <w:szCs w:val="21"/>
                <w:highlight w:val="none"/>
              </w:rPr>
            </w:pPr>
          </w:p>
        </w:tc>
        <w:tc>
          <w:tcPr>
            <w:tcW w:w="2132" w:type="dxa"/>
            <w:noWrap w:val="0"/>
            <w:vAlign w:val="top"/>
          </w:tcPr>
          <w:p w14:paraId="52E8FCB1">
            <w:pPr>
              <w:spacing w:line="400" w:lineRule="exact"/>
              <w:jc w:val="center"/>
              <w:rPr>
                <w:rFonts w:ascii="宋体" w:hAnsi="宋体"/>
                <w:color w:val="auto"/>
                <w:szCs w:val="21"/>
                <w:highlight w:val="none"/>
              </w:rPr>
            </w:pPr>
          </w:p>
        </w:tc>
        <w:tc>
          <w:tcPr>
            <w:tcW w:w="2132" w:type="dxa"/>
            <w:noWrap w:val="0"/>
            <w:vAlign w:val="top"/>
          </w:tcPr>
          <w:p w14:paraId="69D590DC">
            <w:pPr>
              <w:spacing w:line="400" w:lineRule="exact"/>
              <w:jc w:val="center"/>
              <w:rPr>
                <w:rFonts w:ascii="宋体" w:hAnsi="宋体"/>
                <w:color w:val="auto"/>
                <w:szCs w:val="21"/>
                <w:highlight w:val="none"/>
              </w:rPr>
            </w:pPr>
          </w:p>
        </w:tc>
      </w:tr>
      <w:tr w14:paraId="20BD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39FC6EB3">
            <w:pPr>
              <w:spacing w:line="400" w:lineRule="exact"/>
              <w:jc w:val="center"/>
              <w:rPr>
                <w:rFonts w:ascii="宋体" w:hAnsi="宋体"/>
                <w:color w:val="auto"/>
                <w:szCs w:val="21"/>
                <w:highlight w:val="none"/>
              </w:rPr>
            </w:pPr>
          </w:p>
        </w:tc>
        <w:tc>
          <w:tcPr>
            <w:tcW w:w="2132" w:type="dxa"/>
            <w:noWrap w:val="0"/>
            <w:vAlign w:val="top"/>
          </w:tcPr>
          <w:p w14:paraId="178242A5">
            <w:pPr>
              <w:spacing w:line="400" w:lineRule="exact"/>
              <w:jc w:val="center"/>
              <w:rPr>
                <w:rFonts w:ascii="宋体" w:hAnsi="宋体"/>
                <w:color w:val="auto"/>
                <w:szCs w:val="21"/>
                <w:highlight w:val="none"/>
              </w:rPr>
            </w:pPr>
          </w:p>
        </w:tc>
        <w:tc>
          <w:tcPr>
            <w:tcW w:w="2132" w:type="dxa"/>
            <w:noWrap w:val="0"/>
            <w:vAlign w:val="top"/>
          </w:tcPr>
          <w:p w14:paraId="783D9E23">
            <w:pPr>
              <w:spacing w:line="400" w:lineRule="exact"/>
              <w:jc w:val="center"/>
              <w:rPr>
                <w:rFonts w:ascii="宋体" w:hAnsi="宋体"/>
                <w:color w:val="auto"/>
                <w:szCs w:val="21"/>
                <w:highlight w:val="none"/>
              </w:rPr>
            </w:pPr>
          </w:p>
        </w:tc>
        <w:tc>
          <w:tcPr>
            <w:tcW w:w="2132" w:type="dxa"/>
            <w:noWrap w:val="0"/>
            <w:vAlign w:val="top"/>
          </w:tcPr>
          <w:p w14:paraId="41A45E24">
            <w:pPr>
              <w:spacing w:line="400" w:lineRule="exact"/>
              <w:jc w:val="center"/>
              <w:rPr>
                <w:rFonts w:ascii="宋体" w:hAnsi="宋体"/>
                <w:color w:val="auto"/>
                <w:szCs w:val="21"/>
                <w:highlight w:val="none"/>
              </w:rPr>
            </w:pPr>
          </w:p>
        </w:tc>
      </w:tr>
      <w:tr w14:paraId="18AE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35E12F7E">
            <w:pPr>
              <w:spacing w:line="400" w:lineRule="exact"/>
              <w:jc w:val="center"/>
              <w:rPr>
                <w:rFonts w:ascii="宋体" w:hAnsi="宋体"/>
                <w:color w:val="auto"/>
                <w:szCs w:val="21"/>
                <w:highlight w:val="none"/>
              </w:rPr>
            </w:pPr>
          </w:p>
        </w:tc>
        <w:tc>
          <w:tcPr>
            <w:tcW w:w="2132" w:type="dxa"/>
            <w:noWrap w:val="0"/>
            <w:vAlign w:val="top"/>
          </w:tcPr>
          <w:p w14:paraId="13C8C479">
            <w:pPr>
              <w:spacing w:line="400" w:lineRule="exact"/>
              <w:jc w:val="center"/>
              <w:rPr>
                <w:rFonts w:ascii="宋体" w:hAnsi="宋体"/>
                <w:color w:val="auto"/>
                <w:szCs w:val="21"/>
                <w:highlight w:val="none"/>
              </w:rPr>
            </w:pPr>
          </w:p>
        </w:tc>
        <w:tc>
          <w:tcPr>
            <w:tcW w:w="2132" w:type="dxa"/>
            <w:noWrap w:val="0"/>
            <w:vAlign w:val="top"/>
          </w:tcPr>
          <w:p w14:paraId="48A4DF2C">
            <w:pPr>
              <w:spacing w:line="400" w:lineRule="exact"/>
              <w:jc w:val="center"/>
              <w:rPr>
                <w:rFonts w:ascii="宋体" w:hAnsi="宋体"/>
                <w:color w:val="auto"/>
                <w:szCs w:val="21"/>
                <w:highlight w:val="none"/>
              </w:rPr>
            </w:pPr>
          </w:p>
        </w:tc>
        <w:tc>
          <w:tcPr>
            <w:tcW w:w="2132" w:type="dxa"/>
            <w:noWrap w:val="0"/>
            <w:vAlign w:val="top"/>
          </w:tcPr>
          <w:p w14:paraId="05D8D08C">
            <w:pPr>
              <w:spacing w:line="400" w:lineRule="exact"/>
              <w:jc w:val="center"/>
              <w:rPr>
                <w:rFonts w:ascii="宋体" w:hAnsi="宋体"/>
                <w:color w:val="auto"/>
                <w:szCs w:val="21"/>
                <w:highlight w:val="none"/>
              </w:rPr>
            </w:pPr>
          </w:p>
        </w:tc>
      </w:tr>
      <w:tr w14:paraId="0D33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598156D1">
            <w:pPr>
              <w:spacing w:line="400" w:lineRule="exact"/>
              <w:jc w:val="center"/>
              <w:rPr>
                <w:rFonts w:ascii="宋体" w:hAnsi="宋体"/>
                <w:color w:val="auto"/>
                <w:szCs w:val="21"/>
                <w:highlight w:val="none"/>
              </w:rPr>
            </w:pPr>
          </w:p>
        </w:tc>
        <w:tc>
          <w:tcPr>
            <w:tcW w:w="2132" w:type="dxa"/>
            <w:noWrap w:val="0"/>
            <w:vAlign w:val="top"/>
          </w:tcPr>
          <w:p w14:paraId="0350E9A3">
            <w:pPr>
              <w:spacing w:line="400" w:lineRule="exact"/>
              <w:jc w:val="center"/>
              <w:rPr>
                <w:rFonts w:ascii="宋体" w:hAnsi="宋体"/>
                <w:color w:val="auto"/>
                <w:szCs w:val="21"/>
                <w:highlight w:val="none"/>
              </w:rPr>
            </w:pPr>
          </w:p>
        </w:tc>
        <w:tc>
          <w:tcPr>
            <w:tcW w:w="2132" w:type="dxa"/>
            <w:noWrap w:val="0"/>
            <w:vAlign w:val="top"/>
          </w:tcPr>
          <w:p w14:paraId="5F3D7788">
            <w:pPr>
              <w:spacing w:line="400" w:lineRule="exact"/>
              <w:jc w:val="center"/>
              <w:rPr>
                <w:rFonts w:ascii="宋体" w:hAnsi="宋体"/>
                <w:color w:val="auto"/>
                <w:szCs w:val="21"/>
                <w:highlight w:val="none"/>
              </w:rPr>
            </w:pPr>
          </w:p>
        </w:tc>
        <w:tc>
          <w:tcPr>
            <w:tcW w:w="2132" w:type="dxa"/>
            <w:noWrap w:val="0"/>
            <w:vAlign w:val="top"/>
          </w:tcPr>
          <w:p w14:paraId="1FE51D5D">
            <w:pPr>
              <w:spacing w:line="400" w:lineRule="exact"/>
              <w:jc w:val="center"/>
              <w:rPr>
                <w:rFonts w:ascii="宋体" w:hAnsi="宋体"/>
                <w:color w:val="auto"/>
                <w:szCs w:val="21"/>
                <w:highlight w:val="none"/>
              </w:rPr>
            </w:pPr>
          </w:p>
        </w:tc>
      </w:tr>
      <w:tr w14:paraId="2B0F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noWrap w:val="0"/>
            <w:vAlign w:val="top"/>
          </w:tcPr>
          <w:p w14:paraId="06E7F03A">
            <w:pPr>
              <w:spacing w:line="400" w:lineRule="exact"/>
              <w:jc w:val="center"/>
              <w:rPr>
                <w:rFonts w:ascii="宋体" w:hAnsi="宋体"/>
                <w:color w:val="auto"/>
                <w:szCs w:val="21"/>
                <w:highlight w:val="none"/>
              </w:rPr>
            </w:pPr>
          </w:p>
        </w:tc>
        <w:tc>
          <w:tcPr>
            <w:tcW w:w="2132" w:type="dxa"/>
            <w:noWrap w:val="0"/>
            <w:vAlign w:val="top"/>
          </w:tcPr>
          <w:p w14:paraId="318AA529">
            <w:pPr>
              <w:spacing w:line="400" w:lineRule="exact"/>
              <w:jc w:val="center"/>
              <w:rPr>
                <w:rFonts w:ascii="宋体" w:hAnsi="宋体"/>
                <w:color w:val="auto"/>
                <w:szCs w:val="21"/>
                <w:highlight w:val="none"/>
              </w:rPr>
            </w:pPr>
          </w:p>
        </w:tc>
        <w:tc>
          <w:tcPr>
            <w:tcW w:w="2132" w:type="dxa"/>
            <w:noWrap w:val="0"/>
            <w:vAlign w:val="top"/>
          </w:tcPr>
          <w:p w14:paraId="10F4E9CB">
            <w:pPr>
              <w:spacing w:line="400" w:lineRule="exact"/>
              <w:jc w:val="center"/>
              <w:rPr>
                <w:rFonts w:ascii="宋体" w:hAnsi="宋体"/>
                <w:color w:val="auto"/>
                <w:szCs w:val="21"/>
                <w:highlight w:val="none"/>
              </w:rPr>
            </w:pPr>
          </w:p>
        </w:tc>
        <w:tc>
          <w:tcPr>
            <w:tcW w:w="2132" w:type="dxa"/>
            <w:noWrap w:val="0"/>
            <w:vAlign w:val="top"/>
          </w:tcPr>
          <w:p w14:paraId="123C5F85">
            <w:pPr>
              <w:spacing w:line="400" w:lineRule="exact"/>
              <w:jc w:val="center"/>
              <w:rPr>
                <w:rFonts w:ascii="宋体" w:hAnsi="宋体"/>
                <w:color w:val="auto"/>
                <w:szCs w:val="21"/>
                <w:highlight w:val="none"/>
              </w:rPr>
            </w:pPr>
          </w:p>
        </w:tc>
      </w:tr>
    </w:tbl>
    <w:p w14:paraId="0FCBDDED">
      <w:pPr>
        <w:spacing w:line="360" w:lineRule="auto"/>
        <w:jc w:val="center"/>
        <w:outlineLvl w:val="2"/>
        <w:rPr>
          <w:rFonts w:hint="eastAsia" w:ascii="宋体" w:hAnsi="宋体" w:cs="宋体"/>
          <w:color w:val="auto"/>
          <w:sz w:val="28"/>
          <w:szCs w:val="27"/>
          <w:highlight w:val="none"/>
        </w:rPr>
        <w:sectPr>
          <w:headerReference r:id="rId21" w:type="default"/>
          <w:footerReference r:id="rId22"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6E83E85F">
      <w:pPr>
        <w:spacing w:line="360" w:lineRule="auto"/>
        <w:jc w:val="center"/>
        <w:outlineLvl w:val="2"/>
        <w:rPr>
          <w:rFonts w:hint="eastAsia" w:ascii="宋体" w:hAnsi="宋体" w:cs="宋体"/>
          <w:color w:val="auto"/>
          <w:sz w:val="28"/>
          <w:szCs w:val="27"/>
          <w:highlight w:val="none"/>
        </w:rPr>
      </w:pPr>
      <w:bookmarkStart w:id="589" w:name="_Toc32202"/>
      <w:r>
        <w:rPr>
          <w:rFonts w:hint="eastAsia" w:ascii="宋体" w:hAnsi="宋体" w:cs="宋体"/>
          <w:color w:val="auto"/>
          <w:sz w:val="28"/>
          <w:szCs w:val="27"/>
          <w:highlight w:val="none"/>
        </w:rPr>
        <w:t>八、项目管理机构</w:t>
      </w:r>
      <w:bookmarkEnd w:id="512"/>
      <w:bookmarkEnd w:id="513"/>
      <w:bookmarkEnd w:id="514"/>
      <w:bookmarkEnd w:id="515"/>
      <w:bookmarkEnd w:id="516"/>
      <w:bookmarkEnd w:id="517"/>
      <w:bookmarkEnd w:id="518"/>
      <w:bookmarkEnd w:id="519"/>
      <w:bookmarkEnd w:id="520"/>
      <w:bookmarkEnd w:id="521"/>
      <w:bookmarkEnd w:id="526"/>
      <w:bookmarkEnd w:id="527"/>
      <w:bookmarkEnd w:id="528"/>
      <w:bookmarkEnd w:id="529"/>
      <w:bookmarkEnd w:id="530"/>
      <w:bookmarkEnd w:id="531"/>
      <w:bookmarkEnd w:id="532"/>
      <w:bookmarkEnd w:id="589"/>
    </w:p>
    <w:p w14:paraId="37A74B7F">
      <w:pPr>
        <w:spacing w:line="400" w:lineRule="exact"/>
        <w:jc w:val="left"/>
        <w:outlineLvl w:val="3"/>
        <w:rPr>
          <w:rFonts w:hint="eastAsia" w:ascii="宋体" w:hAnsi="宋体" w:cs="宋体"/>
          <w:b/>
          <w:color w:val="auto"/>
          <w:sz w:val="24"/>
          <w:szCs w:val="31"/>
          <w:highlight w:val="none"/>
        </w:rPr>
      </w:pPr>
      <w:bookmarkStart w:id="590" w:name="_Toc144974872"/>
      <w:bookmarkStart w:id="591" w:name="_Toc221952116"/>
      <w:bookmarkStart w:id="592" w:name="_Toc168476334"/>
      <w:bookmarkStart w:id="593" w:name="_Toc168475931"/>
      <w:r>
        <w:rPr>
          <w:rFonts w:hint="eastAsia" w:ascii="宋体" w:hAnsi="宋体" w:cs="宋体"/>
          <w:b/>
          <w:color w:val="auto"/>
          <w:sz w:val="24"/>
          <w:szCs w:val="31"/>
          <w:highlight w:val="none"/>
        </w:rPr>
        <w:t>（一）项目管理机构组成表</w:t>
      </w:r>
      <w:bookmarkEnd w:id="590"/>
      <w:bookmarkEnd w:id="591"/>
      <w:bookmarkEnd w:id="592"/>
      <w:bookmarkEnd w:id="593"/>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82"/>
        <w:gridCol w:w="780"/>
        <w:gridCol w:w="1172"/>
        <w:gridCol w:w="780"/>
        <w:gridCol w:w="782"/>
        <w:gridCol w:w="780"/>
        <w:gridCol w:w="2736"/>
        <w:gridCol w:w="726"/>
      </w:tblGrid>
      <w:tr w14:paraId="4686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81" w:type="pct"/>
            <w:vMerge w:val="restart"/>
            <w:noWrap w:val="0"/>
            <w:vAlign w:val="center"/>
          </w:tcPr>
          <w:p w14:paraId="1E91A24A">
            <w:pPr>
              <w:spacing w:line="400" w:lineRule="exact"/>
              <w:jc w:val="center"/>
              <w:rPr>
                <w:rFonts w:hint="eastAsia" w:ascii="宋体" w:hAnsi="宋体" w:cs="宋体"/>
                <w:color w:val="auto"/>
                <w:szCs w:val="21"/>
                <w:highlight w:val="none"/>
              </w:rPr>
            </w:pPr>
            <w:bookmarkStart w:id="594" w:name="_Toc221952117"/>
            <w:r>
              <w:rPr>
                <w:rFonts w:hint="eastAsia" w:ascii="宋体" w:hAnsi="宋体" w:cs="宋体"/>
                <w:color w:val="auto"/>
                <w:szCs w:val="21"/>
                <w:highlight w:val="none"/>
              </w:rPr>
              <w:t>职务</w:t>
            </w:r>
            <w:bookmarkEnd w:id="594"/>
          </w:p>
        </w:tc>
        <w:tc>
          <w:tcPr>
            <w:tcW w:w="423" w:type="pct"/>
            <w:vMerge w:val="restart"/>
            <w:noWrap w:val="0"/>
            <w:vAlign w:val="center"/>
          </w:tcPr>
          <w:p w14:paraId="2D60208F">
            <w:pPr>
              <w:spacing w:line="400" w:lineRule="exact"/>
              <w:jc w:val="center"/>
              <w:rPr>
                <w:rFonts w:hint="eastAsia" w:ascii="宋体" w:hAnsi="宋体" w:cs="宋体"/>
                <w:color w:val="auto"/>
                <w:szCs w:val="21"/>
                <w:highlight w:val="none"/>
              </w:rPr>
            </w:pPr>
            <w:bookmarkStart w:id="595" w:name="_Toc221952118"/>
            <w:r>
              <w:rPr>
                <w:rFonts w:hint="eastAsia" w:ascii="宋体" w:hAnsi="宋体" w:cs="宋体"/>
                <w:color w:val="auto"/>
                <w:szCs w:val="21"/>
                <w:highlight w:val="none"/>
              </w:rPr>
              <w:t>姓名</w:t>
            </w:r>
            <w:bookmarkEnd w:id="595"/>
          </w:p>
        </w:tc>
        <w:tc>
          <w:tcPr>
            <w:tcW w:w="422" w:type="pct"/>
            <w:vMerge w:val="restart"/>
            <w:noWrap w:val="0"/>
            <w:vAlign w:val="center"/>
          </w:tcPr>
          <w:p w14:paraId="4914817E">
            <w:pPr>
              <w:spacing w:line="400" w:lineRule="exact"/>
              <w:jc w:val="center"/>
              <w:rPr>
                <w:rFonts w:hint="eastAsia" w:ascii="宋体" w:hAnsi="宋体" w:cs="宋体"/>
                <w:color w:val="auto"/>
                <w:szCs w:val="21"/>
                <w:highlight w:val="none"/>
              </w:rPr>
            </w:pPr>
            <w:bookmarkStart w:id="596" w:name="_Toc221952119"/>
            <w:r>
              <w:rPr>
                <w:rFonts w:hint="eastAsia" w:ascii="宋体" w:hAnsi="宋体" w:cs="宋体"/>
                <w:color w:val="auto"/>
                <w:szCs w:val="21"/>
                <w:highlight w:val="none"/>
              </w:rPr>
              <w:t>职称</w:t>
            </w:r>
            <w:bookmarkEnd w:id="596"/>
          </w:p>
        </w:tc>
        <w:tc>
          <w:tcPr>
            <w:tcW w:w="3381" w:type="pct"/>
            <w:gridSpan w:val="5"/>
            <w:noWrap w:val="0"/>
            <w:vAlign w:val="center"/>
          </w:tcPr>
          <w:p w14:paraId="75D060B3">
            <w:pPr>
              <w:spacing w:line="400" w:lineRule="exact"/>
              <w:jc w:val="center"/>
              <w:rPr>
                <w:rFonts w:hint="eastAsia" w:ascii="宋体" w:hAnsi="宋体" w:cs="宋体"/>
                <w:color w:val="auto"/>
                <w:szCs w:val="21"/>
                <w:highlight w:val="none"/>
              </w:rPr>
            </w:pPr>
            <w:bookmarkStart w:id="597" w:name="_Toc221952120"/>
            <w:r>
              <w:rPr>
                <w:rFonts w:hint="eastAsia" w:ascii="宋体" w:hAnsi="宋体" w:cs="宋体"/>
                <w:color w:val="auto"/>
                <w:szCs w:val="21"/>
                <w:highlight w:val="none"/>
              </w:rPr>
              <w:t>执业或职业资格证明</w:t>
            </w:r>
            <w:bookmarkEnd w:id="597"/>
          </w:p>
        </w:tc>
        <w:tc>
          <w:tcPr>
            <w:tcW w:w="394" w:type="pct"/>
            <w:noWrap w:val="0"/>
            <w:vAlign w:val="center"/>
          </w:tcPr>
          <w:p w14:paraId="1D9A6CB3">
            <w:pPr>
              <w:spacing w:line="400" w:lineRule="exact"/>
              <w:jc w:val="center"/>
              <w:rPr>
                <w:rFonts w:hint="eastAsia" w:ascii="宋体" w:hAnsi="宋体" w:cs="宋体"/>
                <w:color w:val="auto"/>
                <w:szCs w:val="21"/>
                <w:highlight w:val="none"/>
              </w:rPr>
            </w:pPr>
            <w:bookmarkStart w:id="598" w:name="_Toc221952121"/>
            <w:r>
              <w:rPr>
                <w:rFonts w:hint="eastAsia" w:ascii="宋体" w:hAnsi="宋体" w:cs="宋体"/>
                <w:color w:val="auto"/>
                <w:szCs w:val="21"/>
                <w:highlight w:val="none"/>
              </w:rPr>
              <w:t>备注</w:t>
            </w:r>
            <w:bookmarkEnd w:id="598"/>
          </w:p>
        </w:tc>
      </w:tr>
      <w:tr w14:paraId="74D2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81" w:type="pct"/>
            <w:vMerge w:val="continue"/>
            <w:noWrap w:val="0"/>
            <w:vAlign w:val="center"/>
          </w:tcPr>
          <w:p w14:paraId="4F99A3D2">
            <w:pPr>
              <w:spacing w:line="400" w:lineRule="exact"/>
              <w:jc w:val="center"/>
              <w:rPr>
                <w:rFonts w:hint="eastAsia" w:ascii="宋体" w:hAnsi="宋体" w:cs="宋体"/>
                <w:color w:val="auto"/>
                <w:szCs w:val="21"/>
                <w:highlight w:val="none"/>
              </w:rPr>
            </w:pPr>
          </w:p>
        </w:tc>
        <w:tc>
          <w:tcPr>
            <w:tcW w:w="423" w:type="pct"/>
            <w:vMerge w:val="continue"/>
            <w:noWrap w:val="0"/>
            <w:vAlign w:val="center"/>
          </w:tcPr>
          <w:p w14:paraId="05F46438">
            <w:pPr>
              <w:spacing w:line="400" w:lineRule="exact"/>
              <w:jc w:val="center"/>
              <w:rPr>
                <w:rFonts w:hint="eastAsia" w:ascii="宋体" w:hAnsi="宋体" w:cs="宋体"/>
                <w:color w:val="auto"/>
                <w:szCs w:val="21"/>
                <w:highlight w:val="none"/>
              </w:rPr>
            </w:pPr>
          </w:p>
        </w:tc>
        <w:tc>
          <w:tcPr>
            <w:tcW w:w="422" w:type="pct"/>
            <w:vMerge w:val="continue"/>
            <w:noWrap w:val="0"/>
            <w:vAlign w:val="center"/>
          </w:tcPr>
          <w:p w14:paraId="42B99D37">
            <w:pPr>
              <w:spacing w:line="400" w:lineRule="exact"/>
              <w:jc w:val="center"/>
              <w:rPr>
                <w:rFonts w:hint="eastAsia" w:ascii="宋体" w:hAnsi="宋体" w:cs="宋体"/>
                <w:color w:val="auto"/>
                <w:szCs w:val="21"/>
                <w:highlight w:val="none"/>
              </w:rPr>
            </w:pPr>
          </w:p>
        </w:tc>
        <w:tc>
          <w:tcPr>
            <w:tcW w:w="634" w:type="pct"/>
            <w:noWrap w:val="0"/>
            <w:vAlign w:val="center"/>
          </w:tcPr>
          <w:p w14:paraId="31971857">
            <w:pPr>
              <w:spacing w:line="400" w:lineRule="exact"/>
              <w:jc w:val="center"/>
              <w:rPr>
                <w:rFonts w:hint="eastAsia" w:ascii="宋体" w:hAnsi="宋体" w:cs="宋体"/>
                <w:color w:val="auto"/>
                <w:szCs w:val="21"/>
                <w:highlight w:val="none"/>
              </w:rPr>
            </w:pPr>
            <w:bookmarkStart w:id="599" w:name="_Toc221952122"/>
            <w:r>
              <w:rPr>
                <w:rFonts w:hint="eastAsia" w:ascii="宋体" w:hAnsi="宋体" w:cs="宋体"/>
                <w:color w:val="auto"/>
                <w:szCs w:val="21"/>
                <w:highlight w:val="none"/>
              </w:rPr>
              <w:t>证书名称</w:t>
            </w:r>
            <w:bookmarkEnd w:id="599"/>
          </w:p>
        </w:tc>
        <w:tc>
          <w:tcPr>
            <w:tcW w:w="422" w:type="pct"/>
            <w:noWrap w:val="0"/>
            <w:vAlign w:val="center"/>
          </w:tcPr>
          <w:p w14:paraId="0A434AF6">
            <w:pPr>
              <w:spacing w:line="400" w:lineRule="exact"/>
              <w:jc w:val="center"/>
              <w:rPr>
                <w:rFonts w:hint="eastAsia" w:ascii="宋体" w:hAnsi="宋体" w:cs="宋体"/>
                <w:color w:val="auto"/>
                <w:szCs w:val="21"/>
                <w:highlight w:val="none"/>
              </w:rPr>
            </w:pPr>
            <w:bookmarkStart w:id="600" w:name="_Toc221952123"/>
            <w:r>
              <w:rPr>
                <w:rFonts w:hint="eastAsia" w:ascii="宋体" w:hAnsi="宋体" w:cs="宋体"/>
                <w:color w:val="auto"/>
                <w:szCs w:val="21"/>
                <w:highlight w:val="none"/>
              </w:rPr>
              <w:t>级别</w:t>
            </w:r>
            <w:bookmarkEnd w:id="600"/>
          </w:p>
        </w:tc>
        <w:tc>
          <w:tcPr>
            <w:tcW w:w="423" w:type="pct"/>
            <w:noWrap w:val="0"/>
            <w:vAlign w:val="center"/>
          </w:tcPr>
          <w:p w14:paraId="280F0306">
            <w:pPr>
              <w:spacing w:line="400" w:lineRule="exact"/>
              <w:jc w:val="center"/>
              <w:rPr>
                <w:rFonts w:hint="eastAsia" w:ascii="宋体" w:hAnsi="宋体" w:cs="宋体"/>
                <w:color w:val="auto"/>
                <w:szCs w:val="21"/>
                <w:highlight w:val="none"/>
              </w:rPr>
            </w:pPr>
            <w:bookmarkStart w:id="601" w:name="_Toc221952124"/>
            <w:r>
              <w:rPr>
                <w:rFonts w:hint="eastAsia" w:ascii="宋体" w:hAnsi="宋体" w:cs="宋体"/>
                <w:color w:val="auto"/>
                <w:szCs w:val="21"/>
                <w:highlight w:val="none"/>
              </w:rPr>
              <w:t>证号</w:t>
            </w:r>
            <w:bookmarkEnd w:id="601"/>
          </w:p>
        </w:tc>
        <w:tc>
          <w:tcPr>
            <w:tcW w:w="422" w:type="pct"/>
            <w:noWrap w:val="0"/>
            <w:vAlign w:val="center"/>
          </w:tcPr>
          <w:p w14:paraId="68508810">
            <w:pPr>
              <w:spacing w:line="400" w:lineRule="exact"/>
              <w:jc w:val="center"/>
              <w:rPr>
                <w:rFonts w:hint="eastAsia" w:ascii="宋体" w:hAnsi="宋体" w:cs="宋体"/>
                <w:color w:val="auto"/>
                <w:szCs w:val="21"/>
                <w:highlight w:val="none"/>
              </w:rPr>
            </w:pPr>
            <w:bookmarkStart w:id="602" w:name="_Toc221952125"/>
            <w:r>
              <w:rPr>
                <w:rFonts w:hint="eastAsia" w:ascii="宋体" w:hAnsi="宋体" w:cs="宋体"/>
                <w:color w:val="auto"/>
                <w:szCs w:val="21"/>
                <w:highlight w:val="none"/>
              </w:rPr>
              <w:t>专业</w:t>
            </w:r>
            <w:bookmarkEnd w:id="602"/>
          </w:p>
        </w:tc>
        <w:tc>
          <w:tcPr>
            <w:tcW w:w="1480" w:type="pct"/>
            <w:noWrap w:val="0"/>
            <w:vAlign w:val="center"/>
          </w:tcPr>
          <w:p w14:paraId="090F6F59">
            <w:pPr>
              <w:spacing w:line="400" w:lineRule="exact"/>
              <w:jc w:val="center"/>
              <w:rPr>
                <w:rFonts w:hint="eastAsia" w:ascii="宋体" w:hAnsi="宋体" w:cs="宋体"/>
                <w:color w:val="auto"/>
                <w:szCs w:val="21"/>
                <w:highlight w:val="none"/>
              </w:rPr>
            </w:pPr>
            <w:bookmarkStart w:id="603" w:name="_Toc221952126"/>
            <w:r>
              <w:rPr>
                <w:rFonts w:hint="eastAsia" w:ascii="宋体" w:hAnsi="宋体" w:cs="宋体"/>
                <w:color w:val="auto"/>
                <w:szCs w:val="21"/>
                <w:highlight w:val="none"/>
              </w:rPr>
              <w:t>社会保险</w:t>
            </w:r>
            <w:bookmarkEnd w:id="603"/>
          </w:p>
        </w:tc>
        <w:tc>
          <w:tcPr>
            <w:tcW w:w="394" w:type="pct"/>
            <w:noWrap w:val="0"/>
            <w:vAlign w:val="center"/>
          </w:tcPr>
          <w:p w14:paraId="12C243FF">
            <w:pPr>
              <w:spacing w:line="400" w:lineRule="exact"/>
              <w:jc w:val="center"/>
              <w:rPr>
                <w:rFonts w:hint="eastAsia" w:ascii="宋体" w:hAnsi="宋体" w:cs="宋体"/>
                <w:color w:val="auto"/>
                <w:szCs w:val="21"/>
                <w:highlight w:val="none"/>
              </w:rPr>
            </w:pPr>
          </w:p>
        </w:tc>
      </w:tr>
      <w:tr w14:paraId="3B82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027E6F10">
            <w:pPr>
              <w:spacing w:line="400" w:lineRule="exact"/>
              <w:jc w:val="center"/>
              <w:rPr>
                <w:rFonts w:hint="eastAsia" w:ascii="宋体" w:hAnsi="宋体" w:cs="宋体"/>
                <w:color w:val="auto"/>
                <w:szCs w:val="21"/>
                <w:highlight w:val="none"/>
              </w:rPr>
            </w:pPr>
          </w:p>
        </w:tc>
        <w:tc>
          <w:tcPr>
            <w:tcW w:w="423" w:type="pct"/>
            <w:noWrap w:val="0"/>
            <w:vAlign w:val="center"/>
          </w:tcPr>
          <w:p w14:paraId="168F198E">
            <w:pPr>
              <w:spacing w:line="400" w:lineRule="exact"/>
              <w:jc w:val="center"/>
              <w:rPr>
                <w:rFonts w:hint="eastAsia" w:ascii="宋体" w:hAnsi="宋体" w:cs="宋体"/>
                <w:color w:val="auto"/>
                <w:szCs w:val="21"/>
                <w:highlight w:val="none"/>
              </w:rPr>
            </w:pPr>
          </w:p>
        </w:tc>
        <w:tc>
          <w:tcPr>
            <w:tcW w:w="422" w:type="pct"/>
            <w:noWrap w:val="0"/>
            <w:vAlign w:val="center"/>
          </w:tcPr>
          <w:p w14:paraId="606B9BCA">
            <w:pPr>
              <w:spacing w:line="400" w:lineRule="exact"/>
              <w:jc w:val="center"/>
              <w:rPr>
                <w:rFonts w:hint="eastAsia" w:ascii="宋体" w:hAnsi="宋体" w:cs="宋体"/>
                <w:color w:val="auto"/>
                <w:szCs w:val="21"/>
                <w:highlight w:val="none"/>
              </w:rPr>
            </w:pPr>
          </w:p>
        </w:tc>
        <w:tc>
          <w:tcPr>
            <w:tcW w:w="634" w:type="pct"/>
            <w:noWrap w:val="0"/>
            <w:vAlign w:val="center"/>
          </w:tcPr>
          <w:p w14:paraId="329327F1">
            <w:pPr>
              <w:spacing w:line="400" w:lineRule="exact"/>
              <w:jc w:val="center"/>
              <w:rPr>
                <w:rFonts w:hint="eastAsia" w:ascii="宋体" w:hAnsi="宋体" w:cs="宋体"/>
                <w:color w:val="auto"/>
                <w:szCs w:val="21"/>
                <w:highlight w:val="none"/>
              </w:rPr>
            </w:pPr>
          </w:p>
        </w:tc>
        <w:tc>
          <w:tcPr>
            <w:tcW w:w="422" w:type="pct"/>
            <w:noWrap w:val="0"/>
            <w:vAlign w:val="center"/>
          </w:tcPr>
          <w:p w14:paraId="7E8527A5">
            <w:pPr>
              <w:spacing w:line="400" w:lineRule="exact"/>
              <w:jc w:val="center"/>
              <w:rPr>
                <w:rFonts w:hint="eastAsia" w:ascii="宋体" w:hAnsi="宋体" w:cs="宋体"/>
                <w:color w:val="auto"/>
                <w:szCs w:val="21"/>
                <w:highlight w:val="none"/>
              </w:rPr>
            </w:pPr>
          </w:p>
        </w:tc>
        <w:tc>
          <w:tcPr>
            <w:tcW w:w="423" w:type="pct"/>
            <w:noWrap w:val="0"/>
            <w:vAlign w:val="center"/>
          </w:tcPr>
          <w:p w14:paraId="03BAB79B">
            <w:pPr>
              <w:spacing w:line="400" w:lineRule="exact"/>
              <w:jc w:val="center"/>
              <w:rPr>
                <w:rFonts w:hint="eastAsia" w:ascii="宋体" w:hAnsi="宋体" w:cs="宋体"/>
                <w:color w:val="auto"/>
                <w:szCs w:val="21"/>
                <w:highlight w:val="none"/>
              </w:rPr>
            </w:pPr>
          </w:p>
        </w:tc>
        <w:tc>
          <w:tcPr>
            <w:tcW w:w="422" w:type="pct"/>
            <w:noWrap w:val="0"/>
            <w:vAlign w:val="center"/>
          </w:tcPr>
          <w:p w14:paraId="294AB17E">
            <w:pPr>
              <w:spacing w:line="400" w:lineRule="exact"/>
              <w:jc w:val="center"/>
              <w:rPr>
                <w:rFonts w:hint="eastAsia" w:ascii="宋体" w:hAnsi="宋体" w:cs="宋体"/>
                <w:color w:val="auto"/>
                <w:szCs w:val="21"/>
                <w:highlight w:val="none"/>
              </w:rPr>
            </w:pPr>
          </w:p>
        </w:tc>
        <w:tc>
          <w:tcPr>
            <w:tcW w:w="1480" w:type="pct"/>
            <w:noWrap w:val="0"/>
            <w:vAlign w:val="center"/>
          </w:tcPr>
          <w:p w14:paraId="66075BA7">
            <w:pPr>
              <w:spacing w:line="400" w:lineRule="exact"/>
              <w:jc w:val="center"/>
              <w:rPr>
                <w:rFonts w:hint="eastAsia" w:ascii="宋体" w:hAnsi="宋体" w:cs="宋体"/>
                <w:color w:val="auto"/>
                <w:szCs w:val="21"/>
                <w:highlight w:val="none"/>
              </w:rPr>
            </w:pPr>
          </w:p>
        </w:tc>
        <w:tc>
          <w:tcPr>
            <w:tcW w:w="394" w:type="pct"/>
            <w:noWrap w:val="0"/>
            <w:vAlign w:val="center"/>
          </w:tcPr>
          <w:p w14:paraId="6226CF31">
            <w:pPr>
              <w:spacing w:line="400" w:lineRule="exact"/>
              <w:jc w:val="center"/>
              <w:rPr>
                <w:rFonts w:hint="eastAsia" w:ascii="宋体" w:hAnsi="宋体" w:cs="宋体"/>
                <w:color w:val="auto"/>
                <w:szCs w:val="21"/>
                <w:highlight w:val="none"/>
              </w:rPr>
            </w:pPr>
          </w:p>
        </w:tc>
      </w:tr>
      <w:tr w14:paraId="4E2D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68457DEB">
            <w:pPr>
              <w:spacing w:line="400" w:lineRule="exact"/>
              <w:jc w:val="center"/>
              <w:rPr>
                <w:rFonts w:hint="eastAsia" w:ascii="宋体" w:hAnsi="宋体" w:cs="宋体"/>
                <w:color w:val="auto"/>
                <w:szCs w:val="21"/>
                <w:highlight w:val="none"/>
              </w:rPr>
            </w:pPr>
          </w:p>
        </w:tc>
        <w:tc>
          <w:tcPr>
            <w:tcW w:w="423" w:type="pct"/>
            <w:noWrap w:val="0"/>
            <w:vAlign w:val="center"/>
          </w:tcPr>
          <w:p w14:paraId="03D6CA26">
            <w:pPr>
              <w:spacing w:line="400" w:lineRule="exact"/>
              <w:jc w:val="center"/>
              <w:rPr>
                <w:rFonts w:hint="eastAsia" w:ascii="宋体" w:hAnsi="宋体" w:cs="宋体"/>
                <w:color w:val="auto"/>
                <w:szCs w:val="21"/>
                <w:highlight w:val="none"/>
              </w:rPr>
            </w:pPr>
          </w:p>
        </w:tc>
        <w:tc>
          <w:tcPr>
            <w:tcW w:w="422" w:type="pct"/>
            <w:noWrap w:val="0"/>
            <w:vAlign w:val="center"/>
          </w:tcPr>
          <w:p w14:paraId="095351BC">
            <w:pPr>
              <w:spacing w:line="400" w:lineRule="exact"/>
              <w:jc w:val="center"/>
              <w:rPr>
                <w:rFonts w:hint="eastAsia" w:ascii="宋体" w:hAnsi="宋体" w:cs="宋体"/>
                <w:color w:val="auto"/>
                <w:szCs w:val="21"/>
                <w:highlight w:val="none"/>
              </w:rPr>
            </w:pPr>
          </w:p>
        </w:tc>
        <w:tc>
          <w:tcPr>
            <w:tcW w:w="634" w:type="pct"/>
            <w:noWrap w:val="0"/>
            <w:vAlign w:val="center"/>
          </w:tcPr>
          <w:p w14:paraId="17778028">
            <w:pPr>
              <w:spacing w:line="400" w:lineRule="exact"/>
              <w:jc w:val="center"/>
              <w:rPr>
                <w:rFonts w:hint="eastAsia" w:ascii="宋体" w:hAnsi="宋体" w:cs="宋体"/>
                <w:color w:val="auto"/>
                <w:szCs w:val="21"/>
                <w:highlight w:val="none"/>
              </w:rPr>
            </w:pPr>
          </w:p>
        </w:tc>
        <w:tc>
          <w:tcPr>
            <w:tcW w:w="422" w:type="pct"/>
            <w:noWrap w:val="0"/>
            <w:vAlign w:val="center"/>
          </w:tcPr>
          <w:p w14:paraId="1892545B">
            <w:pPr>
              <w:spacing w:line="400" w:lineRule="exact"/>
              <w:jc w:val="center"/>
              <w:rPr>
                <w:rFonts w:hint="eastAsia" w:ascii="宋体" w:hAnsi="宋体" w:cs="宋体"/>
                <w:color w:val="auto"/>
                <w:szCs w:val="21"/>
                <w:highlight w:val="none"/>
              </w:rPr>
            </w:pPr>
          </w:p>
        </w:tc>
        <w:tc>
          <w:tcPr>
            <w:tcW w:w="423" w:type="pct"/>
            <w:noWrap w:val="0"/>
            <w:vAlign w:val="center"/>
          </w:tcPr>
          <w:p w14:paraId="1F805981">
            <w:pPr>
              <w:spacing w:line="400" w:lineRule="exact"/>
              <w:jc w:val="center"/>
              <w:rPr>
                <w:rFonts w:hint="eastAsia" w:ascii="宋体" w:hAnsi="宋体" w:cs="宋体"/>
                <w:color w:val="auto"/>
                <w:szCs w:val="21"/>
                <w:highlight w:val="none"/>
              </w:rPr>
            </w:pPr>
          </w:p>
        </w:tc>
        <w:tc>
          <w:tcPr>
            <w:tcW w:w="422" w:type="pct"/>
            <w:noWrap w:val="0"/>
            <w:vAlign w:val="center"/>
          </w:tcPr>
          <w:p w14:paraId="2D49E17F">
            <w:pPr>
              <w:spacing w:line="400" w:lineRule="exact"/>
              <w:jc w:val="center"/>
              <w:rPr>
                <w:rFonts w:hint="eastAsia" w:ascii="宋体" w:hAnsi="宋体" w:cs="宋体"/>
                <w:color w:val="auto"/>
                <w:szCs w:val="21"/>
                <w:highlight w:val="none"/>
              </w:rPr>
            </w:pPr>
          </w:p>
        </w:tc>
        <w:tc>
          <w:tcPr>
            <w:tcW w:w="1480" w:type="pct"/>
            <w:noWrap w:val="0"/>
            <w:vAlign w:val="center"/>
          </w:tcPr>
          <w:p w14:paraId="2AABEB61">
            <w:pPr>
              <w:spacing w:line="400" w:lineRule="exact"/>
              <w:jc w:val="center"/>
              <w:rPr>
                <w:rFonts w:hint="eastAsia" w:ascii="宋体" w:hAnsi="宋体" w:cs="宋体"/>
                <w:color w:val="auto"/>
                <w:szCs w:val="21"/>
                <w:highlight w:val="none"/>
              </w:rPr>
            </w:pPr>
          </w:p>
        </w:tc>
        <w:tc>
          <w:tcPr>
            <w:tcW w:w="394" w:type="pct"/>
            <w:noWrap w:val="0"/>
            <w:vAlign w:val="center"/>
          </w:tcPr>
          <w:p w14:paraId="1BBC947C">
            <w:pPr>
              <w:spacing w:line="400" w:lineRule="exact"/>
              <w:jc w:val="center"/>
              <w:rPr>
                <w:rFonts w:hint="eastAsia" w:ascii="宋体" w:hAnsi="宋体" w:cs="宋体"/>
                <w:color w:val="auto"/>
                <w:szCs w:val="21"/>
                <w:highlight w:val="none"/>
              </w:rPr>
            </w:pPr>
          </w:p>
        </w:tc>
      </w:tr>
      <w:tr w14:paraId="63BA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0635649C">
            <w:pPr>
              <w:spacing w:line="400" w:lineRule="exact"/>
              <w:jc w:val="center"/>
              <w:rPr>
                <w:rFonts w:hint="eastAsia" w:ascii="宋体" w:hAnsi="宋体" w:cs="宋体"/>
                <w:color w:val="auto"/>
                <w:szCs w:val="21"/>
                <w:highlight w:val="none"/>
              </w:rPr>
            </w:pPr>
          </w:p>
        </w:tc>
        <w:tc>
          <w:tcPr>
            <w:tcW w:w="423" w:type="pct"/>
            <w:noWrap w:val="0"/>
            <w:vAlign w:val="center"/>
          </w:tcPr>
          <w:p w14:paraId="4F635431">
            <w:pPr>
              <w:spacing w:line="400" w:lineRule="exact"/>
              <w:jc w:val="center"/>
              <w:rPr>
                <w:rFonts w:hint="eastAsia" w:ascii="宋体" w:hAnsi="宋体" w:cs="宋体"/>
                <w:color w:val="auto"/>
                <w:szCs w:val="21"/>
                <w:highlight w:val="none"/>
              </w:rPr>
            </w:pPr>
          </w:p>
        </w:tc>
        <w:tc>
          <w:tcPr>
            <w:tcW w:w="422" w:type="pct"/>
            <w:noWrap w:val="0"/>
            <w:vAlign w:val="center"/>
          </w:tcPr>
          <w:p w14:paraId="1FCBD2AB">
            <w:pPr>
              <w:spacing w:line="400" w:lineRule="exact"/>
              <w:jc w:val="center"/>
              <w:rPr>
                <w:rFonts w:hint="eastAsia" w:ascii="宋体" w:hAnsi="宋体" w:cs="宋体"/>
                <w:color w:val="auto"/>
                <w:szCs w:val="21"/>
                <w:highlight w:val="none"/>
              </w:rPr>
            </w:pPr>
          </w:p>
        </w:tc>
        <w:tc>
          <w:tcPr>
            <w:tcW w:w="634" w:type="pct"/>
            <w:noWrap w:val="0"/>
            <w:vAlign w:val="center"/>
          </w:tcPr>
          <w:p w14:paraId="3B89F59E">
            <w:pPr>
              <w:spacing w:line="400" w:lineRule="exact"/>
              <w:jc w:val="center"/>
              <w:rPr>
                <w:rFonts w:hint="eastAsia" w:ascii="宋体" w:hAnsi="宋体" w:cs="宋体"/>
                <w:color w:val="auto"/>
                <w:szCs w:val="21"/>
                <w:highlight w:val="none"/>
              </w:rPr>
            </w:pPr>
          </w:p>
        </w:tc>
        <w:tc>
          <w:tcPr>
            <w:tcW w:w="422" w:type="pct"/>
            <w:noWrap w:val="0"/>
            <w:vAlign w:val="center"/>
          </w:tcPr>
          <w:p w14:paraId="50E2DB6F">
            <w:pPr>
              <w:spacing w:line="400" w:lineRule="exact"/>
              <w:jc w:val="center"/>
              <w:rPr>
                <w:rFonts w:hint="eastAsia" w:ascii="宋体" w:hAnsi="宋体" w:cs="宋体"/>
                <w:color w:val="auto"/>
                <w:szCs w:val="21"/>
                <w:highlight w:val="none"/>
              </w:rPr>
            </w:pPr>
          </w:p>
        </w:tc>
        <w:tc>
          <w:tcPr>
            <w:tcW w:w="423" w:type="pct"/>
            <w:noWrap w:val="0"/>
            <w:vAlign w:val="center"/>
          </w:tcPr>
          <w:p w14:paraId="1D6FAFA3">
            <w:pPr>
              <w:spacing w:line="400" w:lineRule="exact"/>
              <w:jc w:val="center"/>
              <w:rPr>
                <w:rFonts w:hint="eastAsia" w:ascii="宋体" w:hAnsi="宋体" w:cs="宋体"/>
                <w:color w:val="auto"/>
                <w:szCs w:val="21"/>
                <w:highlight w:val="none"/>
              </w:rPr>
            </w:pPr>
          </w:p>
        </w:tc>
        <w:tc>
          <w:tcPr>
            <w:tcW w:w="422" w:type="pct"/>
            <w:noWrap w:val="0"/>
            <w:vAlign w:val="center"/>
          </w:tcPr>
          <w:p w14:paraId="4D3A15BC">
            <w:pPr>
              <w:spacing w:line="400" w:lineRule="exact"/>
              <w:jc w:val="center"/>
              <w:rPr>
                <w:rFonts w:hint="eastAsia" w:ascii="宋体" w:hAnsi="宋体" w:cs="宋体"/>
                <w:color w:val="auto"/>
                <w:szCs w:val="21"/>
                <w:highlight w:val="none"/>
              </w:rPr>
            </w:pPr>
          </w:p>
        </w:tc>
        <w:tc>
          <w:tcPr>
            <w:tcW w:w="1480" w:type="pct"/>
            <w:noWrap w:val="0"/>
            <w:vAlign w:val="center"/>
          </w:tcPr>
          <w:p w14:paraId="0DDF8EB3">
            <w:pPr>
              <w:spacing w:line="400" w:lineRule="exact"/>
              <w:jc w:val="center"/>
              <w:rPr>
                <w:rFonts w:hint="eastAsia" w:ascii="宋体" w:hAnsi="宋体" w:cs="宋体"/>
                <w:color w:val="auto"/>
                <w:szCs w:val="21"/>
                <w:highlight w:val="none"/>
              </w:rPr>
            </w:pPr>
          </w:p>
        </w:tc>
        <w:tc>
          <w:tcPr>
            <w:tcW w:w="394" w:type="pct"/>
            <w:noWrap w:val="0"/>
            <w:vAlign w:val="center"/>
          </w:tcPr>
          <w:p w14:paraId="7A88F8F1">
            <w:pPr>
              <w:spacing w:line="400" w:lineRule="exact"/>
              <w:jc w:val="center"/>
              <w:rPr>
                <w:rFonts w:hint="eastAsia" w:ascii="宋体" w:hAnsi="宋体" w:cs="宋体"/>
                <w:color w:val="auto"/>
                <w:szCs w:val="21"/>
                <w:highlight w:val="none"/>
              </w:rPr>
            </w:pPr>
          </w:p>
        </w:tc>
      </w:tr>
      <w:tr w14:paraId="5295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5CE0596E">
            <w:pPr>
              <w:spacing w:line="400" w:lineRule="exact"/>
              <w:jc w:val="center"/>
              <w:rPr>
                <w:rFonts w:hint="eastAsia" w:ascii="宋体" w:hAnsi="宋体" w:cs="宋体"/>
                <w:color w:val="auto"/>
                <w:szCs w:val="21"/>
                <w:highlight w:val="none"/>
              </w:rPr>
            </w:pPr>
          </w:p>
        </w:tc>
        <w:tc>
          <w:tcPr>
            <w:tcW w:w="423" w:type="pct"/>
            <w:noWrap w:val="0"/>
            <w:vAlign w:val="center"/>
          </w:tcPr>
          <w:p w14:paraId="76BDAA50">
            <w:pPr>
              <w:spacing w:line="400" w:lineRule="exact"/>
              <w:jc w:val="center"/>
              <w:rPr>
                <w:rFonts w:hint="eastAsia" w:ascii="宋体" w:hAnsi="宋体" w:cs="宋体"/>
                <w:color w:val="auto"/>
                <w:szCs w:val="21"/>
                <w:highlight w:val="none"/>
              </w:rPr>
            </w:pPr>
          </w:p>
        </w:tc>
        <w:tc>
          <w:tcPr>
            <w:tcW w:w="422" w:type="pct"/>
            <w:noWrap w:val="0"/>
            <w:vAlign w:val="center"/>
          </w:tcPr>
          <w:p w14:paraId="2FC2D3E2">
            <w:pPr>
              <w:spacing w:line="400" w:lineRule="exact"/>
              <w:jc w:val="center"/>
              <w:rPr>
                <w:rFonts w:hint="eastAsia" w:ascii="宋体" w:hAnsi="宋体" w:cs="宋体"/>
                <w:color w:val="auto"/>
                <w:szCs w:val="21"/>
                <w:highlight w:val="none"/>
              </w:rPr>
            </w:pPr>
          </w:p>
        </w:tc>
        <w:tc>
          <w:tcPr>
            <w:tcW w:w="634" w:type="pct"/>
            <w:noWrap w:val="0"/>
            <w:vAlign w:val="center"/>
          </w:tcPr>
          <w:p w14:paraId="1BB3FF83">
            <w:pPr>
              <w:spacing w:line="400" w:lineRule="exact"/>
              <w:jc w:val="center"/>
              <w:rPr>
                <w:rFonts w:hint="eastAsia" w:ascii="宋体" w:hAnsi="宋体" w:cs="宋体"/>
                <w:color w:val="auto"/>
                <w:szCs w:val="21"/>
                <w:highlight w:val="none"/>
              </w:rPr>
            </w:pPr>
          </w:p>
        </w:tc>
        <w:tc>
          <w:tcPr>
            <w:tcW w:w="422" w:type="pct"/>
            <w:noWrap w:val="0"/>
            <w:vAlign w:val="center"/>
          </w:tcPr>
          <w:p w14:paraId="0F8C3853">
            <w:pPr>
              <w:spacing w:line="400" w:lineRule="exact"/>
              <w:jc w:val="center"/>
              <w:rPr>
                <w:rFonts w:hint="eastAsia" w:ascii="宋体" w:hAnsi="宋体" w:cs="宋体"/>
                <w:color w:val="auto"/>
                <w:szCs w:val="21"/>
                <w:highlight w:val="none"/>
              </w:rPr>
            </w:pPr>
          </w:p>
        </w:tc>
        <w:tc>
          <w:tcPr>
            <w:tcW w:w="423" w:type="pct"/>
            <w:noWrap w:val="0"/>
            <w:vAlign w:val="center"/>
          </w:tcPr>
          <w:p w14:paraId="1EE08E0F">
            <w:pPr>
              <w:spacing w:line="400" w:lineRule="exact"/>
              <w:jc w:val="center"/>
              <w:rPr>
                <w:rFonts w:hint="eastAsia" w:ascii="宋体" w:hAnsi="宋体" w:cs="宋体"/>
                <w:color w:val="auto"/>
                <w:szCs w:val="21"/>
                <w:highlight w:val="none"/>
              </w:rPr>
            </w:pPr>
          </w:p>
        </w:tc>
        <w:tc>
          <w:tcPr>
            <w:tcW w:w="422" w:type="pct"/>
            <w:noWrap w:val="0"/>
            <w:vAlign w:val="center"/>
          </w:tcPr>
          <w:p w14:paraId="4152866E">
            <w:pPr>
              <w:spacing w:line="400" w:lineRule="exact"/>
              <w:jc w:val="center"/>
              <w:rPr>
                <w:rFonts w:hint="eastAsia" w:ascii="宋体" w:hAnsi="宋体" w:cs="宋体"/>
                <w:color w:val="auto"/>
                <w:szCs w:val="21"/>
                <w:highlight w:val="none"/>
              </w:rPr>
            </w:pPr>
          </w:p>
        </w:tc>
        <w:tc>
          <w:tcPr>
            <w:tcW w:w="1480" w:type="pct"/>
            <w:noWrap w:val="0"/>
            <w:vAlign w:val="center"/>
          </w:tcPr>
          <w:p w14:paraId="43B62D1E">
            <w:pPr>
              <w:spacing w:line="400" w:lineRule="exact"/>
              <w:jc w:val="center"/>
              <w:rPr>
                <w:rFonts w:hint="eastAsia" w:ascii="宋体" w:hAnsi="宋体" w:cs="宋体"/>
                <w:color w:val="auto"/>
                <w:szCs w:val="21"/>
                <w:highlight w:val="none"/>
              </w:rPr>
            </w:pPr>
          </w:p>
        </w:tc>
        <w:tc>
          <w:tcPr>
            <w:tcW w:w="394" w:type="pct"/>
            <w:noWrap w:val="0"/>
            <w:vAlign w:val="center"/>
          </w:tcPr>
          <w:p w14:paraId="15AA4514">
            <w:pPr>
              <w:spacing w:line="400" w:lineRule="exact"/>
              <w:jc w:val="center"/>
              <w:rPr>
                <w:rFonts w:hint="eastAsia" w:ascii="宋体" w:hAnsi="宋体" w:cs="宋体"/>
                <w:color w:val="auto"/>
                <w:szCs w:val="21"/>
                <w:highlight w:val="none"/>
              </w:rPr>
            </w:pPr>
          </w:p>
        </w:tc>
      </w:tr>
      <w:tr w14:paraId="1029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20C2ECC4">
            <w:pPr>
              <w:spacing w:line="400" w:lineRule="exact"/>
              <w:jc w:val="center"/>
              <w:rPr>
                <w:rFonts w:hint="eastAsia" w:ascii="宋体" w:hAnsi="宋体" w:cs="宋体"/>
                <w:color w:val="auto"/>
                <w:szCs w:val="21"/>
                <w:highlight w:val="none"/>
              </w:rPr>
            </w:pPr>
          </w:p>
        </w:tc>
        <w:tc>
          <w:tcPr>
            <w:tcW w:w="423" w:type="pct"/>
            <w:noWrap w:val="0"/>
            <w:vAlign w:val="center"/>
          </w:tcPr>
          <w:p w14:paraId="500465B4">
            <w:pPr>
              <w:spacing w:line="400" w:lineRule="exact"/>
              <w:jc w:val="center"/>
              <w:rPr>
                <w:rFonts w:hint="eastAsia" w:ascii="宋体" w:hAnsi="宋体" w:cs="宋体"/>
                <w:color w:val="auto"/>
                <w:szCs w:val="21"/>
                <w:highlight w:val="none"/>
              </w:rPr>
            </w:pPr>
          </w:p>
        </w:tc>
        <w:tc>
          <w:tcPr>
            <w:tcW w:w="422" w:type="pct"/>
            <w:noWrap w:val="0"/>
            <w:vAlign w:val="center"/>
          </w:tcPr>
          <w:p w14:paraId="40F4A826">
            <w:pPr>
              <w:spacing w:line="400" w:lineRule="exact"/>
              <w:jc w:val="center"/>
              <w:rPr>
                <w:rFonts w:hint="eastAsia" w:ascii="宋体" w:hAnsi="宋体" w:cs="宋体"/>
                <w:color w:val="auto"/>
                <w:szCs w:val="21"/>
                <w:highlight w:val="none"/>
              </w:rPr>
            </w:pPr>
          </w:p>
        </w:tc>
        <w:tc>
          <w:tcPr>
            <w:tcW w:w="634" w:type="pct"/>
            <w:noWrap w:val="0"/>
            <w:vAlign w:val="center"/>
          </w:tcPr>
          <w:p w14:paraId="20170EA3">
            <w:pPr>
              <w:spacing w:line="400" w:lineRule="exact"/>
              <w:jc w:val="center"/>
              <w:rPr>
                <w:rFonts w:hint="eastAsia" w:ascii="宋体" w:hAnsi="宋体" w:cs="宋体"/>
                <w:color w:val="auto"/>
                <w:szCs w:val="21"/>
                <w:highlight w:val="none"/>
              </w:rPr>
            </w:pPr>
          </w:p>
        </w:tc>
        <w:tc>
          <w:tcPr>
            <w:tcW w:w="422" w:type="pct"/>
            <w:noWrap w:val="0"/>
            <w:vAlign w:val="center"/>
          </w:tcPr>
          <w:p w14:paraId="7D039FB4">
            <w:pPr>
              <w:spacing w:line="400" w:lineRule="exact"/>
              <w:jc w:val="center"/>
              <w:rPr>
                <w:rFonts w:hint="eastAsia" w:ascii="宋体" w:hAnsi="宋体" w:cs="宋体"/>
                <w:color w:val="auto"/>
                <w:szCs w:val="21"/>
                <w:highlight w:val="none"/>
              </w:rPr>
            </w:pPr>
          </w:p>
        </w:tc>
        <w:tc>
          <w:tcPr>
            <w:tcW w:w="423" w:type="pct"/>
            <w:noWrap w:val="0"/>
            <w:vAlign w:val="center"/>
          </w:tcPr>
          <w:p w14:paraId="4632D312">
            <w:pPr>
              <w:spacing w:line="400" w:lineRule="exact"/>
              <w:jc w:val="center"/>
              <w:rPr>
                <w:rFonts w:hint="eastAsia" w:ascii="宋体" w:hAnsi="宋体" w:cs="宋体"/>
                <w:color w:val="auto"/>
                <w:szCs w:val="21"/>
                <w:highlight w:val="none"/>
              </w:rPr>
            </w:pPr>
          </w:p>
        </w:tc>
        <w:tc>
          <w:tcPr>
            <w:tcW w:w="422" w:type="pct"/>
            <w:noWrap w:val="0"/>
            <w:vAlign w:val="center"/>
          </w:tcPr>
          <w:p w14:paraId="118624D0">
            <w:pPr>
              <w:spacing w:line="400" w:lineRule="exact"/>
              <w:jc w:val="center"/>
              <w:rPr>
                <w:rFonts w:hint="eastAsia" w:ascii="宋体" w:hAnsi="宋体" w:cs="宋体"/>
                <w:color w:val="auto"/>
                <w:szCs w:val="21"/>
                <w:highlight w:val="none"/>
              </w:rPr>
            </w:pPr>
          </w:p>
        </w:tc>
        <w:tc>
          <w:tcPr>
            <w:tcW w:w="1480" w:type="pct"/>
            <w:noWrap w:val="0"/>
            <w:vAlign w:val="center"/>
          </w:tcPr>
          <w:p w14:paraId="1C6504B0">
            <w:pPr>
              <w:spacing w:line="400" w:lineRule="exact"/>
              <w:jc w:val="center"/>
              <w:rPr>
                <w:rFonts w:hint="eastAsia" w:ascii="宋体" w:hAnsi="宋体" w:cs="宋体"/>
                <w:color w:val="auto"/>
                <w:szCs w:val="21"/>
                <w:highlight w:val="none"/>
              </w:rPr>
            </w:pPr>
          </w:p>
        </w:tc>
        <w:tc>
          <w:tcPr>
            <w:tcW w:w="394" w:type="pct"/>
            <w:noWrap w:val="0"/>
            <w:vAlign w:val="center"/>
          </w:tcPr>
          <w:p w14:paraId="63CDDA2C">
            <w:pPr>
              <w:spacing w:line="400" w:lineRule="exact"/>
              <w:jc w:val="center"/>
              <w:rPr>
                <w:rFonts w:hint="eastAsia" w:ascii="宋体" w:hAnsi="宋体" w:cs="宋体"/>
                <w:color w:val="auto"/>
                <w:szCs w:val="21"/>
                <w:highlight w:val="none"/>
              </w:rPr>
            </w:pPr>
          </w:p>
        </w:tc>
      </w:tr>
      <w:tr w14:paraId="2C5C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537860B2">
            <w:pPr>
              <w:spacing w:line="400" w:lineRule="exact"/>
              <w:jc w:val="center"/>
              <w:rPr>
                <w:rFonts w:hint="eastAsia" w:ascii="宋体" w:hAnsi="宋体" w:cs="宋体"/>
                <w:color w:val="auto"/>
                <w:szCs w:val="21"/>
                <w:highlight w:val="none"/>
              </w:rPr>
            </w:pPr>
          </w:p>
        </w:tc>
        <w:tc>
          <w:tcPr>
            <w:tcW w:w="423" w:type="pct"/>
            <w:noWrap w:val="0"/>
            <w:vAlign w:val="center"/>
          </w:tcPr>
          <w:p w14:paraId="56DD640A">
            <w:pPr>
              <w:spacing w:line="400" w:lineRule="exact"/>
              <w:jc w:val="center"/>
              <w:rPr>
                <w:rFonts w:hint="eastAsia" w:ascii="宋体" w:hAnsi="宋体" w:cs="宋体"/>
                <w:color w:val="auto"/>
                <w:szCs w:val="21"/>
                <w:highlight w:val="none"/>
              </w:rPr>
            </w:pPr>
          </w:p>
        </w:tc>
        <w:tc>
          <w:tcPr>
            <w:tcW w:w="422" w:type="pct"/>
            <w:noWrap w:val="0"/>
            <w:vAlign w:val="center"/>
          </w:tcPr>
          <w:p w14:paraId="5A243F57">
            <w:pPr>
              <w:spacing w:line="400" w:lineRule="exact"/>
              <w:jc w:val="center"/>
              <w:rPr>
                <w:rFonts w:hint="eastAsia" w:ascii="宋体" w:hAnsi="宋体" w:cs="宋体"/>
                <w:color w:val="auto"/>
                <w:szCs w:val="21"/>
                <w:highlight w:val="none"/>
              </w:rPr>
            </w:pPr>
          </w:p>
        </w:tc>
        <w:tc>
          <w:tcPr>
            <w:tcW w:w="634" w:type="pct"/>
            <w:noWrap w:val="0"/>
            <w:vAlign w:val="center"/>
          </w:tcPr>
          <w:p w14:paraId="64CBB353">
            <w:pPr>
              <w:spacing w:line="400" w:lineRule="exact"/>
              <w:jc w:val="center"/>
              <w:rPr>
                <w:rFonts w:hint="eastAsia" w:ascii="宋体" w:hAnsi="宋体" w:cs="宋体"/>
                <w:color w:val="auto"/>
                <w:szCs w:val="21"/>
                <w:highlight w:val="none"/>
              </w:rPr>
            </w:pPr>
          </w:p>
        </w:tc>
        <w:tc>
          <w:tcPr>
            <w:tcW w:w="422" w:type="pct"/>
            <w:noWrap w:val="0"/>
            <w:vAlign w:val="center"/>
          </w:tcPr>
          <w:p w14:paraId="0CC32858">
            <w:pPr>
              <w:spacing w:line="400" w:lineRule="exact"/>
              <w:jc w:val="center"/>
              <w:rPr>
                <w:rFonts w:hint="eastAsia" w:ascii="宋体" w:hAnsi="宋体" w:cs="宋体"/>
                <w:color w:val="auto"/>
                <w:szCs w:val="21"/>
                <w:highlight w:val="none"/>
              </w:rPr>
            </w:pPr>
          </w:p>
        </w:tc>
        <w:tc>
          <w:tcPr>
            <w:tcW w:w="423" w:type="pct"/>
            <w:noWrap w:val="0"/>
            <w:vAlign w:val="center"/>
          </w:tcPr>
          <w:p w14:paraId="5597E1C3">
            <w:pPr>
              <w:spacing w:line="400" w:lineRule="exact"/>
              <w:jc w:val="center"/>
              <w:rPr>
                <w:rFonts w:hint="eastAsia" w:ascii="宋体" w:hAnsi="宋体" w:cs="宋体"/>
                <w:color w:val="auto"/>
                <w:szCs w:val="21"/>
                <w:highlight w:val="none"/>
              </w:rPr>
            </w:pPr>
          </w:p>
        </w:tc>
        <w:tc>
          <w:tcPr>
            <w:tcW w:w="422" w:type="pct"/>
            <w:noWrap w:val="0"/>
            <w:vAlign w:val="center"/>
          </w:tcPr>
          <w:p w14:paraId="70062F3E">
            <w:pPr>
              <w:spacing w:line="400" w:lineRule="exact"/>
              <w:jc w:val="center"/>
              <w:rPr>
                <w:rFonts w:hint="eastAsia" w:ascii="宋体" w:hAnsi="宋体" w:cs="宋体"/>
                <w:color w:val="auto"/>
                <w:szCs w:val="21"/>
                <w:highlight w:val="none"/>
              </w:rPr>
            </w:pPr>
          </w:p>
        </w:tc>
        <w:tc>
          <w:tcPr>
            <w:tcW w:w="1480" w:type="pct"/>
            <w:noWrap w:val="0"/>
            <w:vAlign w:val="center"/>
          </w:tcPr>
          <w:p w14:paraId="557C8717">
            <w:pPr>
              <w:spacing w:line="400" w:lineRule="exact"/>
              <w:jc w:val="center"/>
              <w:rPr>
                <w:rFonts w:hint="eastAsia" w:ascii="宋体" w:hAnsi="宋体" w:cs="宋体"/>
                <w:color w:val="auto"/>
                <w:szCs w:val="21"/>
                <w:highlight w:val="none"/>
              </w:rPr>
            </w:pPr>
          </w:p>
        </w:tc>
        <w:tc>
          <w:tcPr>
            <w:tcW w:w="394" w:type="pct"/>
            <w:noWrap w:val="0"/>
            <w:vAlign w:val="center"/>
          </w:tcPr>
          <w:p w14:paraId="428D4062">
            <w:pPr>
              <w:spacing w:line="400" w:lineRule="exact"/>
              <w:jc w:val="center"/>
              <w:rPr>
                <w:rFonts w:hint="eastAsia" w:ascii="宋体" w:hAnsi="宋体" w:cs="宋体"/>
                <w:color w:val="auto"/>
                <w:szCs w:val="21"/>
                <w:highlight w:val="none"/>
              </w:rPr>
            </w:pPr>
          </w:p>
        </w:tc>
      </w:tr>
      <w:tr w14:paraId="33D7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15F7B981">
            <w:pPr>
              <w:spacing w:line="400" w:lineRule="exact"/>
              <w:jc w:val="center"/>
              <w:rPr>
                <w:rFonts w:hint="eastAsia" w:ascii="宋体" w:hAnsi="宋体" w:cs="宋体"/>
                <w:color w:val="auto"/>
                <w:szCs w:val="21"/>
                <w:highlight w:val="none"/>
              </w:rPr>
            </w:pPr>
          </w:p>
        </w:tc>
        <w:tc>
          <w:tcPr>
            <w:tcW w:w="423" w:type="pct"/>
            <w:noWrap w:val="0"/>
            <w:vAlign w:val="center"/>
          </w:tcPr>
          <w:p w14:paraId="4A78C68C">
            <w:pPr>
              <w:spacing w:line="400" w:lineRule="exact"/>
              <w:jc w:val="center"/>
              <w:rPr>
                <w:rFonts w:hint="eastAsia" w:ascii="宋体" w:hAnsi="宋体" w:cs="宋体"/>
                <w:color w:val="auto"/>
                <w:szCs w:val="21"/>
                <w:highlight w:val="none"/>
              </w:rPr>
            </w:pPr>
          </w:p>
        </w:tc>
        <w:tc>
          <w:tcPr>
            <w:tcW w:w="422" w:type="pct"/>
            <w:noWrap w:val="0"/>
            <w:vAlign w:val="center"/>
          </w:tcPr>
          <w:p w14:paraId="46A1740E">
            <w:pPr>
              <w:spacing w:line="400" w:lineRule="exact"/>
              <w:jc w:val="center"/>
              <w:rPr>
                <w:rFonts w:hint="eastAsia" w:ascii="宋体" w:hAnsi="宋体" w:cs="宋体"/>
                <w:color w:val="auto"/>
                <w:szCs w:val="21"/>
                <w:highlight w:val="none"/>
              </w:rPr>
            </w:pPr>
          </w:p>
        </w:tc>
        <w:tc>
          <w:tcPr>
            <w:tcW w:w="634" w:type="pct"/>
            <w:noWrap w:val="0"/>
            <w:vAlign w:val="center"/>
          </w:tcPr>
          <w:p w14:paraId="7B76E780">
            <w:pPr>
              <w:spacing w:line="400" w:lineRule="exact"/>
              <w:jc w:val="center"/>
              <w:rPr>
                <w:rFonts w:hint="eastAsia" w:ascii="宋体" w:hAnsi="宋体" w:cs="宋体"/>
                <w:color w:val="auto"/>
                <w:szCs w:val="21"/>
                <w:highlight w:val="none"/>
              </w:rPr>
            </w:pPr>
          </w:p>
        </w:tc>
        <w:tc>
          <w:tcPr>
            <w:tcW w:w="422" w:type="pct"/>
            <w:noWrap w:val="0"/>
            <w:vAlign w:val="center"/>
          </w:tcPr>
          <w:p w14:paraId="7A008885">
            <w:pPr>
              <w:spacing w:line="400" w:lineRule="exact"/>
              <w:jc w:val="center"/>
              <w:rPr>
                <w:rFonts w:hint="eastAsia" w:ascii="宋体" w:hAnsi="宋体" w:cs="宋体"/>
                <w:color w:val="auto"/>
                <w:szCs w:val="21"/>
                <w:highlight w:val="none"/>
              </w:rPr>
            </w:pPr>
          </w:p>
        </w:tc>
        <w:tc>
          <w:tcPr>
            <w:tcW w:w="423" w:type="pct"/>
            <w:noWrap w:val="0"/>
            <w:vAlign w:val="center"/>
          </w:tcPr>
          <w:p w14:paraId="3774C3DC">
            <w:pPr>
              <w:spacing w:line="400" w:lineRule="exact"/>
              <w:jc w:val="center"/>
              <w:rPr>
                <w:rFonts w:hint="eastAsia" w:ascii="宋体" w:hAnsi="宋体" w:cs="宋体"/>
                <w:color w:val="auto"/>
                <w:szCs w:val="21"/>
                <w:highlight w:val="none"/>
              </w:rPr>
            </w:pPr>
          </w:p>
        </w:tc>
        <w:tc>
          <w:tcPr>
            <w:tcW w:w="422" w:type="pct"/>
            <w:noWrap w:val="0"/>
            <w:vAlign w:val="center"/>
          </w:tcPr>
          <w:p w14:paraId="6AEE3D5C">
            <w:pPr>
              <w:spacing w:line="400" w:lineRule="exact"/>
              <w:jc w:val="center"/>
              <w:rPr>
                <w:rFonts w:hint="eastAsia" w:ascii="宋体" w:hAnsi="宋体" w:cs="宋体"/>
                <w:color w:val="auto"/>
                <w:szCs w:val="21"/>
                <w:highlight w:val="none"/>
              </w:rPr>
            </w:pPr>
          </w:p>
        </w:tc>
        <w:tc>
          <w:tcPr>
            <w:tcW w:w="1480" w:type="pct"/>
            <w:noWrap w:val="0"/>
            <w:vAlign w:val="center"/>
          </w:tcPr>
          <w:p w14:paraId="2A5E9B2C">
            <w:pPr>
              <w:spacing w:line="400" w:lineRule="exact"/>
              <w:jc w:val="center"/>
              <w:rPr>
                <w:rFonts w:hint="eastAsia" w:ascii="宋体" w:hAnsi="宋体" w:cs="宋体"/>
                <w:color w:val="auto"/>
                <w:szCs w:val="21"/>
                <w:highlight w:val="none"/>
              </w:rPr>
            </w:pPr>
          </w:p>
        </w:tc>
        <w:tc>
          <w:tcPr>
            <w:tcW w:w="394" w:type="pct"/>
            <w:noWrap w:val="0"/>
            <w:vAlign w:val="center"/>
          </w:tcPr>
          <w:p w14:paraId="36E11F62">
            <w:pPr>
              <w:spacing w:line="400" w:lineRule="exact"/>
              <w:jc w:val="center"/>
              <w:rPr>
                <w:rFonts w:hint="eastAsia" w:ascii="宋体" w:hAnsi="宋体" w:cs="宋体"/>
                <w:color w:val="auto"/>
                <w:szCs w:val="21"/>
                <w:highlight w:val="none"/>
              </w:rPr>
            </w:pPr>
          </w:p>
        </w:tc>
      </w:tr>
      <w:tr w14:paraId="0760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0A1EE592">
            <w:pPr>
              <w:spacing w:line="400" w:lineRule="exact"/>
              <w:jc w:val="center"/>
              <w:rPr>
                <w:rFonts w:hint="eastAsia" w:ascii="宋体" w:hAnsi="宋体" w:cs="宋体"/>
                <w:color w:val="auto"/>
                <w:szCs w:val="21"/>
                <w:highlight w:val="none"/>
              </w:rPr>
            </w:pPr>
          </w:p>
        </w:tc>
        <w:tc>
          <w:tcPr>
            <w:tcW w:w="423" w:type="pct"/>
            <w:noWrap w:val="0"/>
            <w:vAlign w:val="center"/>
          </w:tcPr>
          <w:p w14:paraId="3A040222">
            <w:pPr>
              <w:spacing w:line="400" w:lineRule="exact"/>
              <w:jc w:val="center"/>
              <w:rPr>
                <w:rFonts w:hint="eastAsia" w:ascii="宋体" w:hAnsi="宋体" w:cs="宋体"/>
                <w:color w:val="auto"/>
                <w:szCs w:val="21"/>
                <w:highlight w:val="none"/>
              </w:rPr>
            </w:pPr>
          </w:p>
        </w:tc>
        <w:tc>
          <w:tcPr>
            <w:tcW w:w="422" w:type="pct"/>
            <w:noWrap w:val="0"/>
            <w:vAlign w:val="center"/>
          </w:tcPr>
          <w:p w14:paraId="26491F26">
            <w:pPr>
              <w:spacing w:line="400" w:lineRule="exact"/>
              <w:jc w:val="center"/>
              <w:rPr>
                <w:rFonts w:hint="eastAsia" w:ascii="宋体" w:hAnsi="宋体" w:cs="宋体"/>
                <w:color w:val="auto"/>
                <w:szCs w:val="21"/>
                <w:highlight w:val="none"/>
              </w:rPr>
            </w:pPr>
          </w:p>
        </w:tc>
        <w:tc>
          <w:tcPr>
            <w:tcW w:w="634" w:type="pct"/>
            <w:noWrap w:val="0"/>
            <w:vAlign w:val="center"/>
          </w:tcPr>
          <w:p w14:paraId="292A370A">
            <w:pPr>
              <w:spacing w:line="400" w:lineRule="exact"/>
              <w:jc w:val="center"/>
              <w:rPr>
                <w:rFonts w:hint="eastAsia" w:ascii="宋体" w:hAnsi="宋体" w:cs="宋体"/>
                <w:color w:val="auto"/>
                <w:szCs w:val="21"/>
                <w:highlight w:val="none"/>
              </w:rPr>
            </w:pPr>
          </w:p>
        </w:tc>
        <w:tc>
          <w:tcPr>
            <w:tcW w:w="422" w:type="pct"/>
            <w:noWrap w:val="0"/>
            <w:vAlign w:val="center"/>
          </w:tcPr>
          <w:p w14:paraId="3812CEC1">
            <w:pPr>
              <w:spacing w:line="400" w:lineRule="exact"/>
              <w:jc w:val="center"/>
              <w:rPr>
                <w:rFonts w:hint="eastAsia" w:ascii="宋体" w:hAnsi="宋体" w:cs="宋体"/>
                <w:color w:val="auto"/>
                <w:szCs w:val="21"/>
                <w:highlight w:val="none"/>
              </w:rPr>
            </w:pPr>
          </w:p>
        </w:tc>
        <w:tc>
          <w:tcPr>
            <w:tcW w:w="423" w:type="pct"/>
            <w:noWrap w:val="0"/>
            <w:vAlign w:val="center"/>
          </w:tcPr>
          <w:p w14:paraId="4C612691">
            <w:pPr>
              <w:spacing w:line="400" w:lineRule="exact"/>
              <w:jc w:val="center"/>
              <w:rPr>
                <w:rFonts w:hint="eastAsia" w:ascii="宋体" w:hAnsi="宋体" w:cs="宋体"/>
                <w:color w:val="auto"/>
                <w:szCs w:val="21"/>
                <w:highlight w:val="none"/>
              </w:rPr>
            </w:pPr>
          </w:p>
        </w:tc>
        <w:tc>
          <w:tcPr>
            <w:tcW w:w="422" w:type="pct"/>
            <w:noWrap w:val="0"/>
            <w:vAlign w:val="center"/>
          </w:tcPr>
          <w:p w14:paraId="6EC1EEA1">
            <w:pPr>
              <w:spacing w:line="400" w:lineRule="exact"/>
              <w:jc w:val="center"/>
              <w:rPr>
                <w:rFonts w:hint="eastAsia" w:ascii="宋体" w:hAnsi="宋体" w:cs="宋体"/>
                <w:color w:val="auto"/>
                <w:szCs w:val="21"/>
                <w:highlight w:val="none"/>
              </w:rPr>
            </w:pPr>
          </w:p>
        </w:tc>
        <w:tc>
          <w:tcPr>
            <w:tcW w:w="1480" w:type="pct"/>
            <w:noWrap w:val="0"/>
            <w:vAlign w:val="center"/>
          </w:tcPr>
          <w:p w14:paraId="26AFEE7B">
            <w:pPr>
              <w:spacing w:line="400" w:lineRule="exact"/>
              <w:jc w:val="center"/>
              <w:rPr>
                <w:rFonts w:hint="eastAsia" w:ascii="宋体" w:hAnsi="宋体" w:cs="宋体"/>
                <w:color w:val="auto"/>
                <w:szCs w:val="21"/>
                <w:highlight w:val="none"/>
              </w:rPr>
            </w:pPr>
          </w:p>
        </w:tc>
        <w:tc>
          <w:tcPr>
            <w:tcW w:w="394" w:type="pct"/>
            <w:noWrap w:val="0"/>
            <w:vAlign w:val="center"/>
          </w:tcPr>
          <w:p w14:paraId="569BD93C">
            <w:pPr>
              <w:spacing w:line="400" w:lineRule="exact"/>
              <w:jc w:val="center"/>
              <w:rPr>
                <w:rFonts w:hint="eastAsia" w:ascii="宋体" w:hAnsi="宋体" w:cs="宋体"/>
                <w:color w:val="auto"/>
                <w:szCs w:val="21"/>
                <w:highlight w:val="none"/>
              </w:rPr>
            </w:pPr>
          </w:p>
        </w:tc>
      </w:tr>
      <w:tr w14:paraId="72B0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81" w:type="pct"/>
            <w:noWrap w:val="0"/>
            <w:vAlign w:val="center"/>
          </w:tcPr>
          <w:p w14:paraId="7FC546AC">
            <w:pPr>
              <w:spacing w:line="400" w:lineRule="exact"/>
              <w:jc w:val="center"/>
              <w:rPr>
                <w:rFonts w:hint="eastAsia" w:ascii="宋体" w:hAnsi="宋体" w:cs="宋体"/>
                <w:color w:val="auto"/>
                <w:szCs w:val="21"/>
                <w:highlight w:val="none"/>
              </w:rPr>
            </w:pPr>
          </w:p>
        </w:tc>
        <w:tc>
          <w:tcPr>
            <w:tcW w:w="423" w:type="pct"/>
            <w:noWrap w:val="0"/>
            <w:vAlign w:val="center"/>
          </w:tcPr>
          <w:p w14:paraId="0E16F145">
            <w:pPr>
              <w:spacing w:line="400" w:lineRule="exact"/>
              <w:jc w:val="center"/>
              <w:rPr>
                <w:rFonts w:hint="eastAsia" w:ascii="宋体" w:hAnsi="宋体" w:cs="宋体"/>
                <w:color w:val="auto"/>
                <w:szCs w:val="21"/>
                <w:highlight w:val="none"/>
              </w:rPr>
            </w:pPr>
          </w:p>
        </w:tc>
        <w:tc>
          <w:tcPr>
            <w:tcW w:w="422" w:type="pct"/>
            <w:noWrap w:val="0"/>
            <w:vAlign w:val="center"/>
          </w:tcPr>
          <w:p w14:paraId="08CA5D4E">
            <w:pPr>
              <w:spacing w:line="400" w:lineRule="exact"/>
              <w:jc w:val="center"/>
              <w:rPr>
                <w:rFonts w:hint="eastAsia" w:ascii="宋体" w:hAnsi="宋体" w:cs="宋体"/>
                <w:color w:val="auto"/>
                <w:szCs w:val="21"/>
                <w:highlight w:val="none"/>
              </w:rPr>
            </w:pPr>
          </w:p>
        </w:tc>
        <w:tc>
          <w:tcPr>
            <w:tcW w:w="634" w:type="pct"/>
            <w:noWrap w:val="0"/>
            <w:vAlign w:val="center"/>
          </w:tcPr>
          <w:p w14:paraId="07C904F1">
            <w:pPr>
              <w:spacing w:line="400" w:lineRule="exact"/>
              <w:jc w:val="center"/>
              <w:rPr>
                <w:rFonts w:hint="eastAsia" w:ascii="宋体" w:hAnsi="宋体" w:cs="宋体"/>
                <w:color w:val="auto"/>
                <w:szCs w:val="21"/>
                <w:highlight w:val="none"/>
              </w:rPr>
            </w:pPr>
          </w:p>
        </w:tc>
        <w:tc>
          <w:tcPr>
            <w:tcW w:w="422" w:type="pct"/>
            <w:noWrap w:val="0"/>
            <w:vAlign w:val="center"/>
          </w:tcPr>
          <w:p w14:paraId="13CAC8DF">
            <w:pPr>
              <w:spacing w:line="400" w:lineRule="exact"/>
              <w:jc w:val="center"/>
              <w:rPr>
                <w:rFonts w:hint="eastAsia" w:ascii="宋体" w:hAnsi="宋体" w:cs="宋体"/>
                <w:color w:val="auto"/>
                <w:szCs w:val="21"/>
                <w:highlight w:val="none"/>
              </w:rPr>
            </w:pPr>
          </w:p>
        </w:tc>
        <w:tc>
          <w:tcPr>
            <w:tcW w:w="423" w:type="pct"/>
            <w:noWrap w:val="0"/>
            <w:vAlign w:val="center"/>
          </w:tcPr>
          <w:p w14:paraId="7A115072">
            <w:pPr>
              <w:spacing w:line="400" w:lineRule="exact"/>
              <w:jc w:val="center"/>
              <w:rPr>
                <w:rFonts w:hint="eastAsia" w:ascii="宋体" w:hAnsi="宋体" w:cs="宋体"/>
                <w:color w:val="auto"/>
                <w:szCs w:val="21"/>
                <w:highlight w:val="none"/>
              </w:rPr>
            </w:pPr>
          </w:p>
        </w:tc>
        <w:tc>
          <w:tcPr>
            <w:tcW w:w="422" w:type="pct"/>
            <w:noWrap w:val="0"/>
            <w:vAlign w:val="center"/>
          </w:tcPr>
          <w:p w14:paraId="48A5BDE4">
            <w:pPr>
              <w:spacing w:line="400" w:lineRule="exact"/>
              <w:jc w:val="center"/>
              <w:rPr>
                <w:rFonts w:hint="eastAsia" w:ascii="宋体" w:hAnsi="宋体" w:cs="宋体"/>
                <w:color w:val="auto"/>
                <w:szCs w:val="21"/>
                <w:highlight w:val="none"/>
              </w:rPr>
            </w:pPr>
          </w:p>
        </w:tc>
        <w:tc>
          <w:tcPr>
            <w:tcW w:w="1480" w:type="pct"/>
            <w:noWrap w:val="0"/>
            <w:vAlign w:val="center"/>
          </w:tcPr>
          <w:p w14:paraId="6EB1C6C3">
            <w:pPr>
              <w:spacing w:line="400" w:lineRule="exact"/>
              <w:jc w:val="center"/>
              <w:rPr>
                <w:rFonts w:hint="eastAsia" w:ascii="宋体" w:hAnsi="宋体" w:cs="宋体"/>
                <w:color w:val="auto"/>
                <w:szCs w:val="21"/>
                <w:highlight w:val="none"/>
              </w:rPr>
            </w:pPr>
          </w:p>
        </w:tc>
        <w:tc>
          <w:tcPr>
            <w:tcW w:w="394" w:type="pct"/>
            <w:noWrap w:val="0"/>
            <w:vAlign w:val="center"/>
          </w:tcPr>
          <w:p w14:paraId="253BEAC0">
            <w:pPr>
              <w:spacing w:line="400" w:lineRule="exact"/>
              <w:jc w:val="center"/>
              <w:rPr>
                <w:rFonts w:hint="eastAsia" w:ascii="宋体" w:hAnsi="宋体" w:cs="宋体"/>
                <w:color w:val="auto"/>
                <w:szCs w:val="21"/>
                <w:highlight w:val="none"/>
              </w:rPr>
            </w:pPr>
          </w:p>
        </w:tc>
      </w:tr>
      <w:tr w14:paraId="30A8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201D3351">
            <w:pPr>
              <w:spacing w:line="400" w:lineRule="exact"/>
              <w:jc w:val="center"/>
              <w:rPr>
                <w:rFonts w:hint="eastAsia" w:ascii="宋体" w:hAnsi="宋体" w:cs="宋体"/>
                <w:color w:val="auto"/>
                <w:szCs w:val="21"/>
                <w:highlight w:val="none"/>
              </w:rPr>
            </w:pPr>
          </w:p>
        </w:tc>
        <w:tc>
          <w:tcPr>
            <w:tcW w:w="423" w:type="pct"/>
            <w:noWrap w:val="0"/>
            <w:vAlign w:val="center"/>
          </w:tcPr>
          <w:p w14:paraId="68F4CE36">
            <w:pPr>
              <w:spacing w:line="400" w:lineRule="exact"/>
              <w:jc w:val="center"/>
              <w:rPr>
                <w:rFonts w:hint="eastAsia" w:ascii="宋体" w:hAnsi="宋体" w:cs="宋体"/>
                <w:color w:val="auto"/>
                <w:szCs w:val="21"/>
                <w:highlight w:val="none"/>
              </w:rPr>
            </w:pPr>
          </w:p>
        </w:tc>
        <w:tc>
          <w:tcPr>
            <w:tcW w:w="422" w:type="pct"/>
            <w:noWrap w:val="0"/>
            <w:vAlign w:val="center"/>
          </w:tcPr>
          <w:p w14:paraId="1BBBE6F5">
            <w:pPr>
              <w:spacing w:line="400" w:lineRule="exact"/>
              <w:jc w:val="center"/>
              <w:rPr>
                <w:rFonts w:hint="eastAsia" w:ascii="宋体" w:hAnsi="宋体" w:cs="宋体"/>
                <w:color w:val="auto"/>
                <w:szCs w:val="21"/>
                <w:highlight w:val="none"/>
              </w:rPr>
            </w:pPr>
          </w:p>
        </w:tc>
        <w:tc>
          <w:tcPr>
            <w:tcW w:w="634" w:type="pct"/>
            <w:noWrap w:val="0"/>
            <w:vAlign w:val="center"/>
          </w:tcPr>
          <w:p w14:paraId="3180C376">
            <w:pPr>
              <w:spacing w:line="400" w:lineRule="exact"/>
              <w:jc w:val="center"/>
              <w:rPr>
                <w:rFonts w:hint="eastAsia" w:ascii="宋体" w:hAnsi="宋体" w:cs="宋体"/>
                <w:color w:val="auto"/>
                <w:szCs w:val="21"/>
                <w:highlight w:val="none"/>
              </w:rPr>
            </w:pPr>
          </w:p>
        </w:tc>
        <w:tc>
          <w:tcPr>
            <w:tcW w:w="422" w:type="pct"/>
            <w:noWrap w:val="0"/>
            <w:vAlign w:val="center"/>
          </w:tcPr>
          <w:p w14:paraId="520AFE8F">
            <w:pPr>
              <w:spacing w:line="400" w:lineRule="exact"/>
              <w:jc w:val="center"/>
              <w:rPr>
                <w:rFonts w:hint="eastAsia" w:ascii="宋体" w:hAnsi="宋体" w:cs="宋体"/>
                <w:color w:val="auto"/>
                <w:szCs w:val="21"/>
                <w:highlight w:val="none"/>
              </w:rPr>
            </w:pPr>
          </w:p>
        </w:tc>
        <w:tc>
          <w:tcPr>
            <w:tcW w:w="423" w:type="pct"/>
            <w:noWrap w:val="0"/>
            <w:vAlign w:val="center"/>
          </w:tcPr>
          <w:p w14:paraId="2E380877">
            <w:pPr>
              <w:spacing w:line="400" w:lineRule="exact"/>
              <w:jc w:val="center"/>
              <w:rPr>
                <w:rFonts w:hint="eastAsia" w:ascii="宋体" w:hAnsi="宋体" w:cs="宋体"/>
                <w:color w:val="auto"/>
                <w:szCs w:val="21"/>
                <w:highlight w:val="none"/>
              </w:rPr>
            </w:pPr>
          </w:p>
        </w:tc>
        <w:tc>
          <w:tcPr>
            <w:tcW w:w="422" w:type="pct"/>
            <w:noWrap w:val="0"/>
            <w:vAlign w:val="center"/>
          </w:tcPr>
          <w:p w14:paraId="59D049AE">
            <w:pPr>
              <w:spacing w:line="400" w:lineRule="exact"/>
              <w:jc w:val="center"/>
              <w:rPr>
                <w:rFonts w:hint="eastAsia" w:ascii="宋体" w:hAnsi="宋体" w:cs="宋体"/>
                <w:color w:val="auto"/>
                <w:szCs w:val="21"/>
                <w:highlight w:val="none"/>
              </w:rPr>
            </w:pPr>
          </w:p>
        </w:tc>
        <w:tc>
          <w:tcPr>
            <w:tcW w:w="1480" w:type="pct"/>
            <w:noWrap w:val="0"/>
            <w:vAlign w:val="center"/>
          </w:tcPr>
          <w:p w14:paraId="731686F4">
            <w:pPr>
              <w:spacing w:line="400" w:lineRule="exact"/>
              <w:jc w:val="center"/>
              <w:rPr>
                <w:rFonts w:hint="eastAsia" w:ascii="宋体" w:hAnsi="宋体" w:cs="宋体"/>
                <w:color w:val="auto"/>
                <w:szCs w:val="21"/>
                <w:highlight w:val="none"/>
              </w:rPr>
            </w:pPr>
          </w:p>
        </w:tc>
        <w:tc>
          <w:tcPr>
            <w:tcW w:w="394" w:type="pct"/>
            <w:noWrap w:val="0"/>
            <w:vAlign w:val="center"/>
          </w:tcPr>
          <w:p w14:paraId="696307E4">
            <w:pPr>
              <w:spacing w:line="400" w:lineRule="exact"/>
              <w:jc w:val="center"/>
              <w:rPr>
                <w:rFonts w:hint="eastAsia" w:ascii="宋体" w:hAnsi="宋体" w:cs="宋体"/>
                <w:color w:val="auto"/>
                <w:szCs w:val="21"/>
                <w:highlight w:val="none"/>
              </w:rPr>
            </w:pPr>
          </w:p>
        </w:tc>
      </w:tr>
      <w:tr w14:paraId="3DE1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083C97E4">
            <w:pPr>
              <w:spacing w:line="400" w:lineRule="exact"/>
              <w:jc w:val="center"/>
              <w:rPr>
                <w:rFonts w:hint="eastAsia" w:ascii="宋体" w:hAnsi="宋体" w:cs="宋体"/>
                <w:color w:val="auto"/>
                <w:szCs w:val="21"/>
                <w:highlight w:val="none"/>
              </w:rPr>
            </w:pPr>
          </w:p>
        </w:tc>
        <w:tc>
          <w:tcPr>
            <w:tcW w:w="423" w:type="pct"/>
            <w:noWrap w:val="0"/>
            <w:vAlign w:val="center"/>
          </w:tcPr>
          <w:p w14:paraId="1E42DCB7">
            <w:pPr>
              <w:spacing w:line="400" w:lineRule="exact"/>
              <w:jc w:val="center"/>
              <w:rPr>
                <w:rFonts w:hint="eastAsia" w:ascii="宋体" w:hAnsi="宋体" w:cs="宋体"/>
                <w:color w:val="auto"/>
                <w:szCs w:val="21"/>
                <w:highlight w:val="none"/>
              </w:rPr>
            </w:pPr>
          </w:p>
        </w:tc>
        <w:tc>
          <w:tcPr>
            <w:tcW w:w="422" w:type="pct"/>
            <w:noWrap w:val="0"/>
            <w:vAlign w:val="center"/>
          </w:tcPr>
          <w:p w14:paraId="40B983D1">
            <w:pPr>
              <w:spacing w:line="400" w:lineRule="exact"/>
              <w:jc w:val="center"/>
              <w:rPr>
                <w:rFonts w:hint="eastAsia" w:ascii="宋体" w:hAnsi="宋体" w:cs="宋体"/>
                <w:color w:val="auto"/>
                <w:szCs w:val="21"/>
                <w:highlight w:val="none"/>
              </w:rPr>
            </w:pPr>
          </w:p>
        </w:tc>
        <w:tc>
          <w:tcPr>
            <w:tcW w:w="634" w:type="pct"/>
            <w:noWrap w:val="0"/>
            <w:vAlign w:val="center"/>
          </w:tcPr>
          <w:p w14:paraId="27EF94CD">
            <w:pPr>
              <w:spacing w:line="400" w:lineRule="exact"/>
              <w:jc w:val="center"/>
              <w:rPr>
                <w:rFonts w:hint="eastAsia" w:ascii="宋体" w:hAnsi="宋体" w:cs="宋体"/>
                <w:color w:val="auto"/>
                <w:szCs w:val="21"/>
                <w:highlight w:val="none"/>
              </w:rPr>
            </w:pPr>
          </w:p>
        </w:tc>
        <w:tc>
          <w:tcPr>
            <w:tcW w:w="422" w:type="pct"/>
            <w:noWrap w:val="0"/>
            <w:vAlign w:val="center"/>
          </w:tcPr>
          <w:p w14:paraId="0BC53998">
            <w:pPr>
              <w:spacing w:line="400" w:lineRule="exact"/>
              <w:jc w:val="center"/>
              <w:rPr>
                <w:rFonts w:hint="eastAsia" w:ascii="宋体" w:hAnsi="宋体" w:cs="宋体"/>
                <w:color w:val="auto"/>
                <w:szCs w:val="21"/>
                <w:highlight w:val="none"/>
              </w:rPr>
            </w:pPr>
          </w:p>
        </w:tc>
        <w:tc>
          <w:tcPr>
            <w:tcW w:w="423" w:type="pct"/>
            <w:noWrap w:val="0"/>
            <w:vAlign w:val="center"/>
          </w:tcPr>
          <w:p w14:paraId="07C60BBD">
            <w:pPr>
              <w:spacing w:line="400" w:lineRule="exact"/>
              <w:jc w:val="center"/>
              <w:rPr>
                <w:rFonts w:hint="eastAsia" w:ascii="宋体" w:hAnsi="宋体" w:cs="宋体"/>
                <w:color w:val="auto"/>
                <w:szCs w:val="21"/>
                <w:highlight w:val="none"/>
              </w:rPr>
            </w:pPr>
          </w:p>
        </w:tc>
        <w:tc>
          <w:tcPr>
            <w:tcW w:w="422" w:type="pct"/>
            <w:noWrap w:val="0"/>
            <w:vAlign w:val="center"/>
          </w:tcPr>
          <w:p w14:paraId="55F3DC22">
            <w:pPr>
              <w:spacing w:line="400" w:lineRule="exact"/>
              <w:jc w:val="center"/>
              <w:rPr>
                <w:rFonts w:hint="eastAsia" w:ascii="宋体" w:hAnsi="宋体" w:cs="宋体"/>
                <w:color w:val="auto"/>
                <w:szCs w:val="21"/>
                <w:highlight w:val="none"/>
              </w:rPr>
            </w:pPr>
          </w:p>
        </w:tc>
        <w:tc>
          <w:tcPr>
            <w:tcW w:w="1480" w:type="pct"/>
            <w:noWrap w:val="0"/>
            <w:vAlign w:val="center"/>
          </w:tcPr>
          <w:p w14:paraId="65FD4DF0">
            <w:pPr>
              <w:spacing w:line="400" w:lineRule="exact"/>
              <w:jc w:val="center"/>
              <w:rPr>
                <w:rFonts w:hint="eastAsia" w:ascii="宋体" w:hAnsi="宋体" w:cs="宋体"/>
                <w:color w:val="auto"/>
                <w:szCs w:val="21"/>
                <w:highlight w:val="none"/>
              </w:rPr>
            </w:pPr>
          </w:p>
        </w:tc>
        <w:tc>
          <w:tcPr>
            <w:tcW w:w="394" w:type="pct"/>
            <w:noWrap w:val="0"/>
            <w:vAlign w:val="center"/>
          </w:tcPr>
          <w:p w14:paraId="0ECB9A91">
            <w:pPr>
              <w:spacing w:line="400" w:lineRule="exact"/>
              <w:jc w:val="center"/>
              <w:rPr>
                <w:rFonts w:hint="eastAsia" w:ascii="宋体" w:hAnsi="宋体" w:cs="宋体"/>
                <w:color w:val="auto"/>
                <w:szCs w:val="21"/>
                <w:highlight w:val="none"/>
              </w:rPr>
            </w:pPr>
          </w:p>
        </w:tc>
      </w:tr>
      <w:tr w14:paraId="6261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09CC003C">
            <w:pPr>
              <w:spacing w:line="400" w:lineRule="exact"/>
              <w:jc w:val="center"/>
              <w:rPr>
                <w:rFonts w:hint="eastAsia" w:ascii="宋体" w:hAnsi="宋体" w:cs="宋体"/>
                <w:color w:val="auto"/>
                <w:szCs w:val="21"/>
                <w:highlight w:val="none"/>
              </w:rPr>
            </w:pPr>
          </w:p>
        </w:tc>
        <w:tc>
          <w:tcPr>
            <w:tcW w:w="423" w:type="pct"/>
            <w:noWrap w:val="0"/>
            <w:vAlign w:val="center"/>
          </w:tcPr>
          <w:p w14:paraId="3C15EC24">
            <w:pPr>
              <w:spacing w:line="400" w:lineRule="exact"/>
              <w:jc w:val="center"/>
              <w:rPr>
                <w:rFonts w:hint="eastAsia" w:ascii="宋体" w:hAnsi="宋体" w:cs="宋体"/>
                <w:color w:val="auto"/>
                <w:szCs w:val="21"/>
                <w:highlight w:val="none"/>
              </w:rPr>
            </w:pPr>
          </w:p>
        </w:tc>
        <w:tc>
          <w:tcPr>
            <w:tcW w:w="422" w:type="pct"/>
            <w:noWrap w:val="0"/>
            <w:vAlign w:val="center"/>
          </w:tcPr>
          <w:p w14:paraId="4FC332E4">
            <w:pPr>
              <w:spacing w:line="400" w:lineRule="exact"/>
              <w:jc w:val="center"/>
              <w:rPr>
                <w:rFonts w:hint="eastAsia" w:ascii="宋体" w:hAnsi="宋体" w:cs="宋体"/>
                <w:color w:val="auto"/>
                <w:szCs w:val="21"/>
                <w:highlight w:val="none"/>
              </w:rPr>
            </w:pPr>
          </w:p>
        </w:tc>
        <w:tc>
          <w:tcPr>
            <w:tcW w:w="634" w:type="pct"/>
            <w:noWrap w:val="0"/>
            <w:vAlign w:val="center"/>
          </w:tcPr>
          <w:p w14:paraId="78FF87A2">
            <w:pPr>
              <w:spacing w:line="400" w:lineRule="exact"/>
              <w:jc w:val="center"/>
              <w:rPr>
                <w:rFonts w:hint="eastAsia" w:ascii="宋体" w:hAnsi="宋体" w:cs="宋体"/>
                <w:color w:val="auto"/>
                <w:szCs w:val="21"/>
                <w:highlight w:val="none"/>
              </w:rPr>
            </w:pPr>
          </w:p>
        </w:tc>
        <w:tc>
          <w:tcPr>
            <w:tcW w:w="422" w:type="pct"/>
            <w:noWrap w:val="0"/>
            <w:vAlign w:val="center"/>
          </w:tcPr>
          <w:p w14:paraId="2584594D">
            <w:pPr>
              <w:spacing w:line="400" w:lineRule="exact"/>
              <w:jc w:val="center"/>
              <w:rPr>
                <w:rFonts w:hint="eastAsia" w:ascii="宋体" w:hAnsi="宋体" w:cs="宋体"/>
                <w:color w:val="auto"/>
                <w:szCs w:val="21"/>
                <w:highlight w:val="none"/>
              </w:rPr>
            </w:pPr>
          </w:p>
        </w:tc>
        <w:tc>
          <w:tcPr>
            <w:tcW w:w="423" w:type="pct"/>
            <w:noWrap w:val="0"/>
            <w:vAlign w:val="center"/>
          </w:tcPr>
          <w:p w14:paraId="5634E7F1">
            <w:pPr>
              <w:spacing w:line="400" w:lineRule="exact"/>
              <w:jc w:val="center"/>
              <w:rPr>
                <w:rFonts w:hint="eastAsia" w:ascii="宋体" w:hAnsi="宋体" w:cs="宋体"/>
                <w:color w:val="auto"/>
                <w:szCs w:val="21"/>
                <w:highlight w:val="none"/>
              </w:rPr>
            </w:pPr>
          </w:p>
        </w:tc>
        <w:tc>
          <w:tcPr>
            <w:tcW w:w="422" w:type="pct"/>
            <w:noWrap w:val="0"/>
            <w:vAlign w:val="center"/>
          </w:tcPr>
          <w:p w14:paraId="539C465A">
            <w:pPr>
              <w:spacing w:line="400" w:lineRule="exact"/>
              <w:jc w:val="center"/>
              <w:rPr>
                <w:rFonts w:hint="eastAsia" w:ascii="宋体" w:hAnsi="宋体" w:cs="宋体"/>
                <w:color w:val="auto"/>
                <w:szCs w:val="21"/>
                <w:highlight w:val="none"/>
              </w:rPr>
            </w:pPr>
          </w:p>
        </w:tc>
        <w:tc>
          <w:tcPr>
            <w:tcW w:w="1480" w:type="pct"/>
            <w:noWrap w:val="0"/>
            <w:vAlign w:val="center"/>
          </w:tcPr>
          <w:p w14:paraId="442CA4AA">
            <w:pPr>
              <w:spacing w:line="400" w:lineRule="exact"/>
              <w:jc w:val="center"/>
              <w:rPr>
                <w:rFonts w:hint="eastAsia" w:ascii="宋体" w:hAnsi="宋体" w:cs="宋体"/>
                <w:color w:val="auto"/>
                <w:szCs w:val="21"/>
                <w:highlight w:val="none"/>
              </w:rPr>
            </w:pPr>
          </w:p>
        </w:tc>
        <w:tc>
          <w:tcPr>
            <w:tcW w:w="394" w:type="pct"/>
            <w:noWrap w:val="0"/>
            <w:vAlign w:val="center"/>
          </w:tcPr>
          <w:p w14:paraId="4797F351">
            <w:pPr>
              <w:spacing w:line="400" w:lineRule="exact"/>
              <w:jc w:val="center"/>
              <w:rPr>
                <w:rFonts w:hint="eastAsia" w:ascii="宋体" w:hAnsi="宋体" w:cs="宋体"/>
                <w:color w:val="auto"/>
                <w:szCs w:val="21"/>
                <w:highlight w:val="none"/>
              </w:rPr>
            </w:pPr>
          </w:p>
        </w:tc>
      </w:tr>
      <w:tr w14:paraId="6C1A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6A49CF73">
            <w:pPr>
              <w:spacing w:line="400" w:lineRule="exact"/>
              <w:jc w:val="center"/>
              <w:rPr>
                <w:rFonts w:hint="eastAsia" w:ascii="宋体" w:hAnsi="宋体" w:cs="宋体"/>
                <w:color w:val="auto"/>
                <w:szCs w:val="21"/>
                <w:highlight w:val="none"/>
              </w:rPr>
            </w:pPr>
          </w:p>
        </w:tc>
        <w:tc>
          <w:tcPr>
            <w:tcW w:w="423" w:type="pct"/>
            <w:noWrap w:val="0"/>
            <w:vAlign w:val="center"/>
          </w:tcPr>
          <w:p w14:paraId="280E7EE8">
            <w:pPr>
              <w:spacing w:line="400" w:lineRule="exact"/>
              <w:jc w:val="center"/>
              <w:rPr>
                <w:rFonts w:hint="eastAsia" w:ascii="宋体" w:hAnsi="宋体" w:cs="宋体"/>
                <w:color w:val="auto"/>
                <w:szCs w:val="21"/>
                <w:highlight w:val="none"/>
              </w:rPr>
            </w:pPr>
          </w:p>
        </w:tc>
        <w:tc>
          <w:tcPr>
            <w:tcW w:w="422" w:type="pct"/>
            <w:noWrap w:val="0"/>
            <w:vAlign w:val="center"/>
          </w:tcPr>
          <w:p w14:paraId="0751F2FC">
            <w:pPr>
              <w:spacing w:line="400" w:lineRule="exact"/>
              <w:jc w:val="center"/>
              <w:rPr>
                <w:rFonts w:hint="eastAsia" w:ascii="宋体" w:hAnsi="宋体" w:cs="宋体"/>
                <w:color w:val="auto"/>
                <w:szCs w:val="21"/>
                <w:highlight w:val="none"/>
              </w:rPr>
            </w:pPr>
          </w:p>
        </w:tc>
        <w:tc>
          <w:tcPr>
            <w:tcW w:w="634" w:type="pct"/>
            <w:noWrap w:val="0"/>
            <w:vAlign w:val="center"/>
          </w:tcPr>
          <w:p w14:paraId="73AB4947">
            <w:pPr>
              <w:spacing w:line="400" w:lineRule="exact"/>
              <w:jc w:val="center"/>
              <w:rPr>
                <w:rFonts w:hint="eastAsia" w:ascii="宋体" w:hAnsi="宋体" w:cs="宋体"/>
                <w:color w:val="auto"/>
                <w:szCs w:val="21"/>
                <w:highlight w:val="none"/>
              </w:rPr>
            </w:pPr>
          </w:p>
        </w:tc>
        <w:tc>
          <w:tcPr>
            <w:tcW w:w="422" w:type="pct"/>
            <w:noWrap w:val="0"/>
            <w:vAlign w:val="center"/>
          </w:tcPr>
          <w:p w14:paraId="6706C6B4">
            <w:pPr>
              <w:spacing w:line="400" w:lineRule="exact"/>
              <w:jc w:val="center"/>
              <w:rPr>
                <w:rFonts w:hint="eastAsia" w:ascii="宋体" w:hAnsi="宋体" w:cs="宋体"/>
                <w:color w:val="auto"/>
                <w:szCs w:val="21"/>
                <w:highlight w:val="none"/>
              </w:rPr>
            </w:pPr>
          </w:p>
        </w:tc>
        <w:tc>
          <w:tcPr>
            <w:tcW w:w="423" w:type="pct"/>
            <w:noWrap w:val="0"/>
            <w:vAlign w:val="center"/>
          </w:tcPr>
          <w:p w14:paraId="2AB1A850">
            <w:pPr>
              <w:spacing w:line="400" w:lineRule="exact"/>
              <w:jc w:val="center"/>
              <w:rPr>
                <w:rFonts w:hint="eastAsia" w:ascii="宋体" w:hAnsi="宋体" w:cs="宋体"/>
                <w:color w:val="auto"/>
                <w:szCs w:val="21"/>
                <w:highlight w:val="none"/>
              </w:rPr>
            </w:pPr>
          </w:p>
        </w:tc>
        <w:tc>
          <w:tcPr>
            <w:tcW w:w="422" w:type="pct"/>
            <w:noWrap w:val="0"/>
            <w:vAlign w:val="center"/>
          </w:tcPr>
          <w:p w14:paraId="50114966">
            <w:pPr>
              <w:spacing w:line="400" w:lineRule="exact"/>
              <w:jc w:val="center"/>
              <w:rPr>
                <w:rFonts w:hint="eastAsia" w:ascii="宋体" w:hAnsi="宋体" w:cs="宋体"/>
                <w:color w:val="auto"/>
                <w:szCs w:val="21"/>
                <w:highlight w:val="none"/>
              </w:rPr>
            </w:pPr>
          </w:p>
        </w:tc>
        <w:tc>
          <w:tcPr>
            <w:tcW w:w="1480" w:type="pct"/>
            <w:noWrap w:val="0"/>
            <w:vAlign w:val="center"/>
          </w:tcPr>
          <w:p w14:paraId="29092E8B">
            <w:pPr>
              <w:spacing w:line="400" w:lineRule="exact"/>
              <w:jc w:val="center"/>
              <w:rPr>
                <w:rFonts w:hint="eastAsia" w:ascii="宋体" w:hAnsi="宋体" w:cs="宋体"/>
                <w:color w:val="auto"/>
                <w:szCs w:val="21"/>
                <w:highlight w:val="none"/>
              </w:rPr>
            </w:pPr>
          </w:p>
        </w:tc>
        <w:tc>
          <w:tcPr>
            <w:tcW w:w="394" w:type="pct"/>
            <w:noWrap w:val="0"/>
            <w:vAlign w:val="center"/>
          </w:tcPr>
          <w:p w14:paraId="3411B480">
            <w:pPr>
              <w:spacing w:line="400" w:lineRule="exact"/>
              <w:jc w:val="center"/>
              <w:rPr>
                <w:rFonts w:hint="eastAsia" w:ascii="宋体" w:hAnsi="宋体" w:cs="宋体"/>
                <w:color w:val="auto"/>
                <w:szCs w:val="21"/>
                <w:highlight w:val="none"/>
              </w:rPr>
            </w:pPr>
          </w:p>
        </w:tc>
      </w:tr>
      <w:tr w14:paraId="7AAB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5CB04BB4">
            <w:pPr>
              <w:spacing w:line="400" w:lineRule="exact"/>
              <w:jc w:val="center"/>
              <w:rPr>
                <w:rFonts w:hint="eastAsia" w:ascii="宋体" w:hAnsi="宋体" w:cs="宋体"/>
                <w:color w:val="auto"/>
                <w:szCs w:val="21"/>
                <w:highlight w:val="none"/>
              </w:rPr>
            </w:pPr>
          </w:p>
        </w:tc>
        <w:tc>
          <w:tcPr>
            <w:tcW w:w="423" w:type="pct"/>
            <w:noWrap w:val="0"/>
            <w:vAlign w:val="center"/>
          </w:tcPr>
          <w:p w14:paraId="798A30E1">
            <w:pPr>
              <w:spacing w:line="400" w:lineRule="exact"/>
              <w:jc w:val="center"/>
              <w:rPr>
                <w:rFonts w:hint="eastAsia" w:ascii="宋体" w:hAnsi="宋体" w:cs="宋体"/>
                <w:color w:val="auto"/>
                <w:szCs w:val="21"/>
                <w:highlight w:val="none"/>
              </w:rPr>
            </w:pPr>
          </w:p>
        </w:tc>
        <w:tc>
          <w:tcPr>
            <w:tcW w:w="422" w:type="pct"/>
            <w:noWrap w:val="0"/>
            <w:vAlign w:val="center"/>
          </w:tcPr>
          <w:p w14:paraId="3E0F7A66">
            <w:pPr>
              <w:spacing w:line="400" w:lineRule="exact"/>
              <w:jc w:val="center"/>
              <w:rPr>
                <w:rFonts w:hint="eastAsia" w:ascii="宋体" w:hAnsi="宋体" w:cs="宋体"/>
                <w:color w:val="auto"/>
                <w:szCs w:val="21"/>
                <w:highlight w:val="none"/>
              </w:rPr>
            </w:pPr>
          </w:p>
        </w:tc>
        <w:tc>
          <w:tcPr>
            <w:tcW w:w="634" w:type="pct"/>
            <w:noWrap w:val="0"/>
            <w:vAlign w:val="center"/>
          </w:tcPr>
          <w:p w14:paraId="66756A08">
            <w:pPr>
              <w:spacing w:line="400" w:lineRule="exact"/>
              <w:jc w:val="center"/>
              <w:rPr>
                <w:rFonts w:hint="eastAsia" w:ascii="宋体" w:hAnsi="宋体" w:cs="宋体"/>
                <w:color w:val="auto"/>
                <w:szCs w:val="21"/>
                <w:highlight w:val="none"/>
              </w:rPr>
            </w:pPr>
          </w:p>
        </w:tc>
        <w:tc>
          <w:tcPr>
            <w:tcW w:w="422" w:type="pct"/>
            <w:noWrap w:val="0"/>
            <w:vAlign w:val="center"/>
          </w:tcPr>
          <w:p w14:paraId="16171A1C">
            <w:pPr>
              <w:spacing w:line="400" w:lineRule="exact"/>
              <w:jc w:val="center"/>
              <w:rPr>
                <w:rFonts w:hint="eastAsia" w:ascii="宋体" w:hAnsi="宋体" w:cs="宋体"/>
                <w:color w:val="auto"/>
                <w:szCs w:val="21"/>
                <w:highlight w:val="none"/>
              </w:rPr>
            </w:pPr>
          </w:p>
        </w:tc>
        <w:tc>
          <w:tcPr>
            <w:tcW w:w="423" w:type="pct"/>
            <w:noWrap w:val="0"/>
            <w:vAlign w:val="center"/>
          </w:tcPr>
          <w:p w14:paraId="78B72A90">
            <w:pPr>
              <w:spacing w:line="400" w:lineRule="exact"/>
              <w:jc w:val="center"/>
              <w:rPr>
                <w:rFonts w:hint="eastAsia" w:ascii="宋体" w:hAnsi="宋体" w:cs="宋体"/>
                <w:color w:val="auto"/>
                <w:szCs w:val="21"/>
                <w:highlight w:val="none"/>
              </w:rPr>
            </w:pPr>
          </w:p>
        </w:tc>
        <w:tc>
          <w:tcPr>
            <w:tcW w:w="422" w:type="pct"/>
            <w:noWrap w:val="0"/>
            <w:vAlign w:val="center"/>
          </w:tcPr>
          <w:p w14:paraId="04C59BB4">
            <w:pPr>
              <w:spacing w:line="400" w:lineRule="exact"/>
              <w:jc w:val="center"/>
              <w:rPr>
                <w:rFonts w:hint="eastAsia" w:ascii="宋体" w:hAnsi="宋体" w:cs="宋体"/>
                <w:color w:val="auto"/>
                <w:szCs w:val="21"/>
                <w:highlight w:val="none"/>
              </w:rPr>
            </w:pPr>
          </w:p>
        </w:tc>
        <w:tc>
          <w:tcPr>
            <w:tcW w:w="1480" w:type="pct"/>
            <w:noWrap w:val="0"/>
            <w:vAlign w:val="center"/>
          </w:tcPr>
          <w:p w14:paraId="1EA42538">
            <w:pPr>
              <w:spacing w:line="400" w:lineRule="exact"/>
              <w:jc w:val="center"/>
              <w:rPr>
                <w:rFonts w:hint="eastAsia" w:ascii="宋体" w:hAnsi="宋体" w:cs="宋体"/>
                <w:color w:val="auto"/>
                <w:szCs w:val="21"/>
                <w:highlight w:val="none"/>
              </w:rPr>
            </w:pPr>
          </w:p>
        </w:tc>
        <w:tc>
          <w:tcPr>
            <w:tcW w:w="394" w:type="pct"/>
            <w:noWrap w:val="0"/>
            <w:vAlign w:val="center"/>
          </w:tcPr>
          <w:p w14:paraId="2D5612BE">
            <w:pPr>
              <w:spacing w:line="400" w:lineRule="exact"/>
              <w:jc w:val="center"/>
              <w:rPr>
                <w:rFonts w:hint="eastAsia" w:ascii="宋体" w:hAnsi="宋体" w:cs="宋体"/>
                <w:color w:val="auto"/>
                <w:szCs w:val="21"/>
                <w:highlight w:val="none"/>
              </w:rPr>
            </w:pPr>
          </w:p>
        </w:tc>
      </w:tr>
      <w:tr w14:paraId="0C01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311D5349">
            <w:pPr>
              <w:spacing w:line="400" w:lineRule="exact"/>
              <w:jc w:val="center"/>
              <w:rPr>
                <w:rFonts w:hint="eastAsia" w:ascii="宋体" w:hAnsi="宋体" w:cs="宋体"/>
                <w:color w:val="auto"/>
                <w:szCs w:val="21"/>
                <w:highlight w:val="none"/>
              </w:rPr>
            </w:pPr>
          </w:p>
        </w:tc>
        <w:tc>
          <w:tcPr>
            <w:tcW w:w="423" w:type="pct"/>
            <w:noWrap w:val="0"/>
            <w:vAlign w:val="center"/>
          </w:tcPr>
          <w:p w14:paraId="48A4F4A3">
            <w:pPr>
              <w:spacing w:line="400" w:lineRule="exact"/>
              <w:jc w:val="center"/>
              <w:rPr>
                <w:rFonts w:hint="eastAsia" w:ascii="宋体" w:hAnsi="宋体" w:cs="宋体"/>
                <w:color w:val="auto"/>
                <w:szCs w:val="21"/>
                <w:highlight w:val="none"/>
              </w:rPr>
            </w:pPr>
          </w:p>
        </w:tc>
        <w:tc>
          <w:tcPr>
            <w:tcW w:w="422" w:type="pct"/>
            <w:noWrap w:val="0"/>
            <w:vAlign w:val="center"/>
          </w:tcPr>
          <w:p w14:paraId="1AA3B2B2">
            <w:pPr>
              <w:spacing w:line="400" w:lineRule="exact"/>
              <w:jc w:val="center"/>
              <w:rPr>
                <w:rFonts w:hint="eastAsia" w:ascii="宋体" w:hAnsi="宋体" w:cs="宋体"/>
                <w:color w:val="auto"/>
                <w:szCs w:val="21"/>
                <w:highlight w:val="none"/>
              </w:rPr>
            </w:pPr>
          </w:p>
        </w:tc>
        <w:tc>
          <w:tcPr>
            <w:tcW w:w="634" w:type="pct"/>
            <w:noWrap w:val="0"/>
            <w:vAlign w:val="center"/>
          </w:tcPr>
          <w:p w14:paraId="2654DB04">
            <w:pPr>
              <w:spacing w:line="400" w:lineRule="exact"/>
              <w:jc w:val="center"/>
              <w:rPr>
                <w:rFonts w:hint="eastAsia" w:ascii="宋体" w:hAnsi="宋体" w:cs="宋体"/>
                <w:color w:val="auto"/>
                <w:szCs w:val="21"/>
                <w:highlight w:val="none"/>
              </w:rPr>
            </w:pPr>
          </w:p>
        </w:tc>
        <w:tc>
          <w:tcPr>
            <w:tcW w:w="422" w:type="pct"/>
            <w:noWrap w:val="0"/>
            <w:vAlign w:val="center"/>
          </w:tcPr>
          <w:p w14:paraId="515F9668">
            <w:pPr>
              <w:spacing w:line="400" w:lineRule="exact"/>
              <w:jc w:val="center"/>
              <w:rPr>
                <w:rFonts w:hint="eastAsia" w:ascii="宋体" w:hAnsi="宋体" w:cs="宋体"/>
                <w:color w:val="auto"/>
                <w:szCs w:val="21"/>
                <w:highlight w:val="none"/>
              </w:rPr>
            </w:pPr>
          </w:p>
        </w:tc>
        <w:tc>
          <w:tcPr>
            <w:tcW w:w="423" w:type="pct"/>
            <w:noWrap w:val="0"/>
            <w:vAlign w:val="center"/>
          </w:tcPr>
          <w:p w14:paraId="160EF781">
            <w:pPr>
              <w:spacing w:line="400" w:lineRule="exact"/>
              <w:jc w:val="center"/>
              <w:rPr>
                <w:rFonts w:hint="eastAsia" w:ascii="宋体" w:hAnsi="宋体" w:cs="宋体"/>
                <w:color w:val="auto"/>
                <w:szCs w:val="21"/>
                <w:highlight w:val="none"/>
              </w:rPr>
            </w:pPr>
          </w:p>
        </w:tc>
        <w:tc>
          <w:tcPr>
            <w:tcW w:w="422" w:type="pct"/>
            <w:noWrap w:val="0"/>
            <w:vAlign w:val="center"/>
          </w:tcPr>
          <w:p w14:paraId="02260E98">
            <w:pPr>
              <w:spacing w:line="400" w:lineRule="exact"/>
              <w:jc w:val="center"/>
              <w:rPr>
                <w:rFonts w:hint="eastAsia" w:ascii="宋体" w:hAnsi="宋体" w:cs="宋体"/>
                <w:color w:val="auto"/>
                <w:szCs w:val="21"/>
                <w:highlight w:val="none"/>
              </w:rPr>
            </w:pPr>
          </w:p>
        </w:tc>
        <w:tc>
          <w:tcPr>
            <w:tcW w:w="1480" w:type="pct"/>
            <w:noWrap w:val="0"/>
            <w:vAlign w:val="center"/>
          </w:tcPr>
          <w:p w14:paraId="1C1DA819">
            <w:pPr>
              <w:spacing w:line="400" w:lineRule="exact"/>
              <w:jc w:val="center"/>
              <w:rPr>
                <w:rFonts w:hint="eastAsia" w:ascii="宋体" w:hAnsi="宋体" w:cs="宋体"/>
                <w:color w:val="auto"/>
                <w:szCs w:val="21"/>
                <w:highlight w:val="none"/>
              </w:rPr>
            </w:pPr>
          </w:p>
        </w:tc>
        <w:tc>
          <w:tcPr>
            <w:tcW w:w="394" w:type="pct"/>
            <w:noWrap w:val="0"/>
            <w:vAlign w:val="center"/>
          </w:tcPr>
          <w:p w14:paraId="7094C461">
            <w:pPr>
              <w:spacing w:line="400" w:lineRule="exact"/>
              <w:jc w:val="center"/>
              <w:rPr>
                <w:rFonts w:hint="eastAsia" w:ascii="宋体" w:hAnsi="宋体" w:cs="宋体"/>
                <w:color w:val="auto"/>
                <w:szCs w:val="21"/>
                <w:highlight w:val="none"/>
              </w:rPr>
            </w:pPr>
          </w:p>
        </w:tc>
      </w:tr>
      <w:tr w14:paraId="1578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77373D3F">
            <w:pPr>
              <w:spacing w:line="400" w:lineRule="exact"/>
              <w:jc w:val="center"/>
              <w:rPr>
                <w:rFonts w:hint="eastAsia" w:ascii="宋体" w:hAnsi="宋体" w:cs="宋体"/>
                <w:color w:val="auto"/>
                <w:szCs w:val="21"/>
                <w:highlight w:val="none"/>
              </w:rPr>
            </w:pPr>
          </w:p>
        </w:tc>
        <w:tc>
          <w:tcPr>
            <w:tcW w:w="423" w:type="pct"/>
            <w:noWrap w:val="0"/>
            <w:vAlign w:val="center"/>
          </w:tcPr>
          <w:p w14:paraId="31FF7564">
            <w:pPr>
              <w:spacing w:line="400" w:lineRule="exact"/>
              <w:jc w:val="center"/>
              <w:rPr>
                <w:rFonts w:hint="eastAsia" w:ascii="宋体" w:hAnsi="宋体" w:cs="宋体"/>
                <w:color w:val="auto"/>
                <w:szCs w:val="21"/>
                <w:highlight w:val="none"/>
              </w:rPr>
            </w:pPr>
          </w:p>
        </w:tc>
        <w:tc>
          <w:tcPr>
            <w:tcW w:w="422" w:type="pct"/>
            <w:noWrap w:val="0"/>
            <w:vAlign w:val="center"/>
          </w:tcPr>
          <w:p w14:paraId="1EF51A13">
            <w:pPr>
              <w:spacing w:line="400" w:lineRule="exact"/>
              <w:jc w:val="center"/>
              <w:rPr>
                <w:rFonts w:hint="eastAsia" w:ascii="宋体" w:hAnsi="宋体" w:cs="宋体"/>
                <w:color w:val="auto"/>
                <w:szCs w:val="21"/>
                <w:highlight w:val="none"/>
              </w:rPr>
            </w:pPr>
          </w:p>
        </w:tc>
        <w:tc>
          <w:tcPr>
            <w:tcW w:w="634" w:type="pct"/>
            <w:noWrap w:val="0"/>
            <w:vAlign w:val="center"/>
          </w:tcPr>
          <w:p w14:paraId="18CE4A65">
            <w:pPr>
              <w:spacing w:line="400" w:lineRule="exact"/>
              <w:jc w:val="center"/>
              <w:rPr>
                <w:rFonts w:hint="eastAsia" w:ascii="宋体" w:hAnsi="宋体" w:cs="宋体"/>
                <w:color w:val="auto"/>
                <w:szCs w:val="21"/>
                <w:highlight w:val="none"/>
              </w:rPr>
            </w:pPr>
          </w:p>
        </w:tc>
        <w:tc>
          <w:tcPr>
            <w:tcW w:w="422" w:type="pct"/>
            <w:noWrap w:val="0"/>
            <w:vAlign w:val="center"/>
          </w:tcPr>
          <w:p w14:paraId="08E4E731">
            <w:pPr>
              <w:spacing w:line="400" w:lineRule="exact"/>
              <w:jc w:val="center"/>
              <w:rPr>
                <w:rFonts w:hint="eastAsia" w:ascii="宋体" w:hAnsi="宋体" w:cs="宋体"/>
                <w:color w:val="auto"/>
                <w:szCs w:val="21"/>
                <w:highlight w:val="none"/>
              </w:rPr>
            </w:pPr>
          </w:p>
        </w:tc>
        <w:tc>
          <w:tcPr>
            <w:tcW w:w="423" w:type="pct"/>
            <w:noWrap w:val="0"/>
            <w:vAlign w:val="center"/>
          </w:tcPr>
          <w:p w14:paraId="4600152A">
            <w:pPr>
              <w:spacing w:line="400" w:lineRule="exact"/>
              <w:jc w:val="center"/>
              <w:rPr>
                <w:rFonts w:hint="eastAsia" w:ascii="宋体" w:hAnsi="宋体" w:cs="宋体"/>
                <w:color w:val="auto"/>
                <w:szCs w:val="21"/>
                <w:highlight w:val="none"/>
              </w:rPr>
            </w:pPr>
          </w:p>
        </w:tc>
        <w:tc>
          <w:tcPr>
            <w:tcW w:w="422" w:type="pct"/>
            <w:noWrap w:val="0"/>
            <w:vAlign w:val="center"/>
          </w:tcPr>
          <w:p w14:paraId="2B51FC91">
            <w:pPr>
              <w:spacing w:line="400" w:lineRule="exact"/>
              <w:jc w:val="center"/>
              <w:rPr>
                <w:rFonts w:hint="eastAsia" w:ascii="宋体" w:hAnsi="宋体" w:cs="宋体"/>
                <w:color w:val="auto"/>
                <w:szCs w:val="21"/>
                <w:highlight w:val="none"/>
              </w:rPr>
            </w:pPr>
          </w:p>
        </w:tc>
        <w:tc>
          <w:tcPr>
            <w:tcW w:w="1480" w:type="pct"/>
            <w:noWrap w:val="0"/>
            <w:vAlign w:val="center"/>
          </w:tcPr>
          <w:p w14:paraId="47259CA5">
            <w:pPr>
              <w:spacing w:line="400" w:lineRule="exact"/>
              <w:jc w:val="center"/>
              <w:rPr>
                <w:rFonts w:hint="eastAsia" w:ascii="宋体" w:hAnsi="宋体" w:cs="宋体"/>
                <w:color w:val="auto"/>
                <w:szCs w:val="21"/>
                <w:highlight w:val="none"/>
              </w:rPr>
            </w:pPr>
          </w:p>
        </w:tc>
        <w:tc>
          <w:tcPr>
            <w:tcW w:w="394" w:type="pct"/>
            <w:noWrap w:val="0"/>
            <w:vAlign w:val="center"/>
          </w:tcPr>
          <w:p w14:paraId="5BC6521A">
            <w:pPr>
              <w:spacing w:line="400" w:lineRule="exact"/>
              <w:jc w:val="center"/>
              <w:rPr>
                <w:rFonts w:hint="eastAsia" w:ascii="宋体" w:hAnsi="宋体" w:cs="宋体"/>
                <w:color w:val="auto"/>
                <w:szCs w:val="21"/>
                <w:highlight w:val="none"/>
              </w:rPr>
            </w:pPr>
          </w:p>
        </w:tc>
      </w:tr>
      <w:tr w14:paraId="3B9B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7FDC1F0A">
            <w:pPr>
              <w:spacing w:line="400" w:lineRule="exact"/>
              <w:jc w:val="center"/>
              <w:rPr>
                <w:rFonts w:hint="eastAsia" w:ascii="宋体" w:hAnsi="宋体" w:cs="宋体"/>
                <w:color w:val="auto"/>
                <w:szCs w:val="21"/>
                <w:highlight w:val="none"/>
              </w:rPr>
            </w:pPr>
          </w:p>
        </w:tc>
        <w:tc>
          <w:tcPr>
            <w:tcW w:w="423" w:type="pct"/>
            <w:noWrap w:val="0"/>
            <w:vAlign w:val="center"/>
          </w:tcPr>
          <w:p w14:paraId="2382EA9C">
            <w:pPr>
              <w:spacing w:line="400" w:lineRule="exact"/>
              <w:jc w:val="center"/>
              <w:rPr>
                <w:rFonts w:hint="eastAsia" w:ascii="宋体" w:hAnsi="宋体" w:cs="宋体"/>
                <w:color w:val="auto"/>
                <w:szCs w:val="21"/>
                <w:highlight w:val="none"/>
              </w:rPr>
            </w:pPr>
          </w:p>
        </w:tc>
        <w:tc>
          <w:tcPr>
            <w:tcW w:w="422" w:type="pct"/>
            <w:noWrap w:val="0"/>
            <w:vAlign w:val="center"/>
          </w:tcPr>
          <w:p w14:paraId="35719796">
            <w:pPr>
              <w:spacing w:line="400" w:lineRule="exact"/>
              <w:jc w:val="center"/>
              <w:rPr>
                <w:rFonts w:hint="eastAsia" w:ascii="宋体" w:hAnsi="宋体" w:cs="宋体"/>
                <w:color w:val="auto"/>
                <w:szCs w:val="21"/>
                <w:highlight w:val="none"/>
              </w:rPr>
            </w:pPr>
          </w:p>
        </w:tc>
        <w:tc>
          <w:tcPr>
            <w:tcW w:w="634" w:type="pct"/>
            <w:noWrap w:val="0"/>
            <w:vAlign w:val="center"/>
          </w:tcPr>
          <w:p w14:paraId="6815B697">
            <w:pPr>
              <w:spacing w:line="400" w:lineRule="exact"/>
              <w:jc w:val="center"/>
              <w:rPr>
                <w:rFonts w:hint="eastAsia" w:ascii="宋体" w:hAnsi="宋体" w:cs="宋体"/>
                <w:color w:val="auto"/>
                <w:szCs w:val="21"/>
                <w:highlight w:val="none"/>
              </w:rPr>
            </w:pPr>
          </w:p>
        </w:tc>
        <w:tc>
          <w:tcPr>
            <w:tcW w:w="422" w:type="pct"/>
            <w:noWrap w:val="0"/>
            <w:vAlign w:val="center"/>
          </w:tcPr>
          <w:p w14:paraId="09E3599F">
            <w:pPr>
              <w:spacing w:line="400" w:lineRule="exact"/>
              <w:jc w:val="center"/>
              <w:rPr>
                <w:rFonts w:hint="eastAsia" w:ascii="宋体" w:hAnsi="宋体" w:cs="宋体"/>
                <w:color w:val="auto"/>
                <w:szCs w:val="21"/>
                <w:highlight w:val="none"/>
              </w:rPr>
            </w:pPr>
          </w:p>
        </w:tc>
        <w:tc>
          <w:tcPr>
            <w:tcW w:w="423" w:type="pct"/>
            <w:noWrap w:val="0"/>
            <w:vAlign w:val="center"/>
          </w:tcPr>
          <w:p w14:paraId="5F7A76D6">
            <w:pPr>
              <w:spacing w:line="400" w:lineRule="exact"/>
              <w:jc w:val="center"/>
              <w:rPr>
                <w:rFonts w:hint="eastAsia" w:ascii="宋体" w:hAnsi="宋体" w:cs="宋体"/>
                <w:color w:val="auto"/>
                <w:szCs w:val="21"/>
                <w:highlight w:val="none"/>
              </w:rPr>
            </w:pPr>
          </w:p>
        </w:tc>
        <w:tc>
          <w:tcPr>
            <w:tcW w:w="422" w:type="pct"/>
            <w:noWrap w:val="0"/>
            <w:vAlign w:val="center"/>
          </w:tcPr>
          <w:p w14:paraId="034F6BFA">
            <w:pPr>
              <w:spacing w:line="400" w:lineRule="exact"/>
              <w:jc w:val="center"/>
              <w:rPr>
                <w:rFonts w:hint="eastAsia" w:ascii="宋体" w:hAnsi="宋体" w:cs="宋体"/>
                <w:color w:val="auto"/>
                <w:szCs w:val="21"/>
                <w:highlight w:val="none"/>
              </w:rPr>
            </w:pPr>
          </w:p>
        </w:tc>
        <w:tc>
          <w:tcPr>
            <w:tcW w:w="1480" w:type="pct"/>
            <w:noWrap w:val="0"/>
            <w:vAlign w:val="center"/>
          </w:tcPr>
          <w:p w14:paraId="6CE27AA0">
            <w:pPr>
              <w:spacing w:line="400" w:lineRule="exact"/>
              <w:jc w:val="center"/>
              <w:rPr>
                <w:rFonts w:hint="eastAsia" w:ascii="宋体" w:hAnsi="宋体" w:cs="宋体"/>
                <w:color w:val="auto"/>
                <w:szCs w:val="21"/>
                <w:highlight w:val="none"/>
              </w:rPr>
            </w:pPr>
          </w:p>
        </w:tc>
        <w:tc>
          <w:tcPr>
            <w:tcW w:w="394" w:type="pct"/>
            <w:noWrap w:val="0"/>
            <w:vAlign w:val="center"/>
          </w:tcPr>
          <w:p w14:paraId="302FF03A">
            <w:pPr>
              <w:spacing w:line="400" w:lineRule="exact"/>
              <w:jc w:val="center"/>
              <w:rPr>
                <w:rFonts w:hint="eastAsia" w:ascii="宋体" w:hAnsi="宋体" w:cs="宋体"/>
                <w:color w:val="auto"/>
                <w:szCs w:val="21"/>
                <w:highlight w:val="none"/>
              </w:rPr>
            </w:pPr>
          </w:p>
        </w:tc>
      </w:tr>
      <w:tr w14:paraId="40C0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2AEF034A">
            <w:pPr>
              <w:spacing w:line="400" w:lineRule="exact"/>
              <w:jc w:val="center"/>
              <w:rPr>
                <w:rFonts w:hint="eastAsia" w:ascii="宋体" w:hAnsi="宋体" w:cs="宋体"/>
                <w:color w:val="auto"/>
                <w:szCs w:val="21"/>
                <w:highlight w:val="none"/>
              </w:rPr>
            </w:pPr>
          </w:p>
        </w:tc>
        <w:tc>
          <w:tcPr>
            <w:tcW w:w="423" w:type="pct"/>
            <w:noWrap w:val="0"/>
            <w:vAlign w:val="center"/>
          </w:tcPr>
          <w:p w14:paraId="630C9FFE">
            <w:pPr>
              <w:spacing w:line="400" w:lineRule="exact"/>
              <w:jc w:val="center"/>
              <w:rPr>
                <w:rFonts w:hint="eastAsia" w:ascii="宋体" w:hAnsi="宋体" w:cs="宋体"/>
                <w:color w:val="auto"/>
                <w:szCs w:val="21"/>
                <w:highlight w:val="none"/>
              </w:rPr>
            </w:pPr>
          </w:p>
        </w:tc>
        <w:tc>
          <w:tcPr>
            <w:tcW w:w="422" w:type="pct"/>
            <w:noWrap w:val="0"/>
            <w:vAlign w:val="center"/>
          </w:tcPr>
          <w:p w14:paraId="779A7319">
            <w:pPr>
              <w:spacing w:line="400" w:lineRule="exact"/>
              <w:jc w:val="center"/>
              <w:rPr>
                <w:rFonts w:hint="eastAsia" w:ascii="宋体" w:hAnsi="宋体" w:cs="宋体"/>
                <w:color w:val="auto"/>
                <w:szCs w:val="21"/>
                <w:highlight w:val="none"/>
              </w:rPr>
            </w:pPr>
          </w:p>
        </w:tc>
        <w:tc>
          <w:tcPr>
            <w:tcW w:w="634" w:type="pct"/>
            <w:noWrap w:val="0"/>
            <w:vAlign w:val="center"/>
          </w:tcPr>
          <w:p w14:paraId="3CC8A721">
            <w:pPr>
              <w:spacing w:line="400" w:lineRule="exact"/>
              <w:jc w:val="center"/>
              <w:rPr>
                <w:rFonts w:hint="eastAsia" w:ascii="宋体" w:hAnsi="宋体" w:cs="宋体"/>
                <w:color w:val="auto"/>
                <w:szCs w:val="21"/>
                <w:highlight w:val="none"/>
              </w:rPr>
            </w:pPr>
          </w:p>
        </w:tc>
        <w:tc>
          <w:tcPr>
            <w:tcW w:w="422" w:type="pct"/>
            <w:noWrap w:val="0"/>
            <w:vAlign w:val="center"/>
          </w:tcPr>
          <w:p w14:paraId="1EB34FAF">
            <w:pPr>
              <w:spacing w:line="400" w:lineRule="exact"/>
              <w:jc w:val="center"/>
              <w:rPr>
                <w:rFonts w:hint="eastAsia" w:ascii="宋体" w:hAnsi="宋体" w:cs="宋体"/>
                <w:color w:val="auto"/>
                <w:szCs w:val="21"/>
                <w:highlight w:val="none"/>
              </w:rPr>
            </w:pPr>
          </w:p>
        </w:tc>
        <w:tc>
          <w:tcPr>
            <w:tcW w:w="423" w:type="pct"/>
            <w:noWrap w:val="0"/>
            <w:vAlign w:val="center"/>
          </w:tcPr>
          <w:p w14:paraId="564202D3">
            <w:pPr>
              <w:spacing w:line="400" w:lineRule="exact"/>
              <w:jc w:val="center"/>
              <w:rPr>
                <w:rFonts w:hint="eastAsia" w:ascii="宋体" w:hAnsi="宋体" w:cs="宋体"/>
                <w:color w:val="auto"/>
                <w:szCs w:val="21"/>
                <w:highlight w:val="none"/>
              </w:rPr>
            </w:pPr>
          </w:p>
        </w:tc>
        <w:tc>
          <w:tcPr>
            <w:tcW w:w="422" w:type="pct"/>
            <w:noWrap w:val="0"/>
            <w:vAlign w:val="center"/>
          </w:tcPr>
          <w:p w14:paraId="0717A68A">
            <w:pPr>
              <w:spacing w:line="400" w:lineRule="exact"/>
              <w:jc w:val="center"/>
              <w:rPr>
                <w:rFonts w:hint="eastAsia" w:ascii="宋体" w:hAnsi="宋体" w:cs="宋体"/>
                <w:color w:val="auto"/>
                <w:szCs w:val="21"/>
                <w:highlight w:val="none"/>
              </w:rPr>
            </w:pPr>
          </w:p>
        </w:tc>
        <w:tc>
          <w:tcPr>
            <w:tcW w:w="1480" w:type="pct"/>
            <w:noWrap w:val="0"/>
            <w:vAlign w:val="center"/>
          </w:tcPr>
          <w:p w14:paraId="1F4A43A0">
            <w:pPr>
              <w:spacing w:line="400" w:lineRule="exact"/>
              <w:jc w:val="center"/>
              <w:rPr>
                <w:rFonts w:hint="eastAsia" w:ascii="宋体" w:hAnsi="宋体" w:cs="宋体"/>
                <w:color w:val="auto"/>
                <w:szCs w:val="21"/>
                <w:highlight w:val="none"/>
              </w:rPr>
            </w:pPr>
          </w:p>
        </w:tc>
        <w:tc>
          <w:tcPr>
            <w:tcW w:w="394" w:type="pct"/>
            <w:noWrap w:val="0"/>
            <w:vAlign w:val="center"/>
          </w:tcPr>
          <w:p w14:paraId="1A1402F5">
            <w:pPr>
              <w:spacing w:line="400" w:lineRule="exact"/>
              <w:jc w:val="center"/>
              <w:rPr>
                <w:rFonts w:hint="eastAsia" w:ascii="宋体" w:hAnsi="宋体" w:cs="宋体"/>
                <w:color w:val="auto"/>
                <w:szCs w:val="21"/>
                <w:highlight w:val="none"/>
              </w:rPr>
            </w:pPr>
          </w:p>
        </w:tc>
      </w:tr>
      <w:tr w14:paraId="3D79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6933B1D8">
            <w:pPr>
              <w:spacing w:line="400" w:lineRule="exact"/>
              <w:jc w:val="center"/>
              <w:rPr>
                <w:rFonts w:hint="eastAsia" w:ascii="宋体" w:hAnsi="宋体" w:cs="宋体"/>
                <w:color w:val="auto"/>
                <w:szCs w:val="21"/>
                <w:highlight w:val="none"/>
              </w:rPr>
            </w:pPr>
          </w:p>
        </w:tc>
        <w:tc>
          <w:tcPr>
            <w:tcW w:w="423" w:type="pct"/>
            <w:noWrap w:val="0"/>
            <w:vAlign w:val="center"/>
          </w:tcPr>
          <w:p w14:paraId="44D9DBA0">
            <w:pPr>
              <w:spacing w:line="400" w:lineRule="exact"/>
              <w:jc w:val="center"/>
              <w:rPr>
                <w:rFonts w:hint="eastAsia" w:ascii="宋体" w:hAnsi="宋体" w:cs="宋体"/>
                <w:color w:val="auto"/>
                <w:szCs w:val="21"/>
                <w:highlight w:val="none"/>
              </w:rPr>
            </w:pPr>
          </w:p>
        </w:tc>
        <w:tc>
          <w:tcPr>
            <w:tcW w:w="422" w:type="pct"/>
            <w:noWrap w:val="0"/>
            <w:vAlign w:val="center"/>
          </w:tcPr>
          <w:p w14:paraId="7A607714">
            <w:pPr>
              <w:spacing w:line="400" w:lineRule="exact"/>
              <w:jc w:val="center"/>
              <w:rPr>
                <w:rFonts w:hint="eastAsia" w:ascii="宋体" w:hAnsi="宋体" w:cs="宋体"/>
                <w:color w:val="auto"/>
                <w:szCs w:val="21"/>
                <w:highlight w:val="none"/>
              </w:rPr>
            </w:pPr>
          </w:p>
        </w:tc>
        <w:tc>
          <w:tcPr>
            <w:tcW w:w="634" w:type="pct"/>
            <w:noWrap w:val="0"/>
            <w:vAlign w:val="center"/>
          </w:tcPr>
          <w:p w14:paraId="66952BA7">
            <w:pPr>
              <w:spacing w:line="400" w:lineRule="exact"/>
              <w:jc w:val="center"/>
              <w:rPr>
                <w:rFonts w:hint="eastAsia" w:ascii="宋体" w:hAnsi="宋体" w:cs="宋体"/>
                <w:color w:val="auto"/>
                <w:szCs w:val="21"/>
                <w:highlight w:val="none"/>
              </w:rPr>
            </w:pPr>
          </w:p>
        </w:tc>
        <w:tc>
          <w:tcPr>
            <w:tcW w:w="422" w:type="pct"/>
            <w:noWrap w:val="0"/>
            <w:vAlign w:val="center"/>
          </w:tcPr>
          <w:p w14:paraId="485AEF6B">
            <w:pPr>
              <w:spacing w:line="400" w:lineRule="exact"/>
              <w:jc w:val="center"/>
              <w:rPr>
                <w:rFonts w:hint="eastAsia" w:ascii="宋体" w:hAnsi="宋体" w:cs="宋体"/>
                <w:color w:val="auto"/>
                <w:szCs w:val="21"/>
                <w:highlight w:val="none"/>
              </w:rPr>
            </w:pPr>
          </w:p>
        </w:tc>
        <w:tc>
          <w:tcPr>
            <w:tcW w:w="423" w:type="pct"/>
            <w:noWrap w:val="0"/>
            <w:vAlign w:val="center"/>
          </w:tcPr>
          <w:p w14:paraId="7E6E6746">
            <w:pPr>
              <w:spacing w:line="400" w:lineRule="exact"/>
              <w:jc w:val="center"/>
              <w:rPr>
                <w:rFonts w:hint="eastAsia" w:ascii="宋体" w:hAnsi="宋体" w:cs="宋体"/>
                <w:color w:val="auto"/>
                <w:szCs w:val="21"/>
                <w:highlight w:val="none"/>
              </w:rPr>
            </w:pPr>
          </w:p>
        </w:tc>
        <w:tc>
          <w:tcPr>
            <w:tcW w:w="422" w:type="pct"/>
            <w:noWrap w:val="0"/>
            <w:vAlign w:val="center"/>
          </w:tcPr>
          <w:p w14:paraId="72F2A8C7">
            <w:pPr>
              <w:spacing w:line="400" w:lineRule="exact"/>
              <w:jc w:val="center"/>
              <w:rPr>
                <w:rFonts w:hint="eastAsia" w:ascii="宋体" w:hAnsi="宋体" w:cs="宋体"/>
                <w:color w:val="auto"/>
                <w:szCs w:val="21"/>
                <w:highlight w:val="none"/>
              </w:rPr>
            </w:pPr>
          </w:p>
        </w:tc>
        <w:tc>
          <w:tcPr>
            <w:tcW w:w="1480" w:type="pct"/>
            <w:noWrap w:val="0"/>
            <w:vAlign w:val="center"/>
          </w:tcPr>
          <w:p w14:paraId="529FEA21">
            <w:pPr>
              <w:spacing w:line="400" w:lineRule="exact"/>
              <w:jc w:val="center"/>
              <w:rPr>
                <w:rFonts w:hint="eastAsia" w:ascii="宋体" w:hAnsi="宋体" w:cs="宋体"/>
                <w:color w:val="auto"/>
                <w:szCs w:val="21"/>
                <w:highlight w:val="none"/>
              </w:rPr>
            </w:pPr>
          </w:p>
        </w:tc>
        <w:tc>
          <w:tcPr>
            <w:tcW w:w="394" w:type="pct"/>
            <w:noWrap w:val="0"/>
            <w:vAlign w:val="center"/>
          </w:tcPr>
          <w:p w14:paraId="7F8BB079">
            <w:pPr>
              <w:spacing w:line="400" w:lineRule="exact"/>
              <w:jc w:val="center"/>
              <w:rPr>
                <w:rFonts w:hint="eastAsia" w:ascii="宋体" w:hAnsi="宋体" w:cs="宋体"/>
                <w:color w:val="auto"/>
                <w:szCs w:val="21"/>
                <w:highlight w:val="none"/>
              </w:rPr>
            </w:pPr>
          </w:p>
        </w:tc>
      </w:tr>
      <w:tr w14:paraId="5927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70546BD8">
            <w:pPr>
              <w:spacing w:line="400" w:lineRule="exact"/>
              <w:jc w:val="center"/>
              <w:rPr>
                <w:rFonts w:hint="eastAsia" w:ascii="宋体" w:hAnsi="宋体" w:cs="宋体"/>
                <w:color w:val="auto"/>
                <w:szCs w:val="21"/>
                <w:highlight w:val="none"/>
              </w:rPr>
            </w:pPr>
          </w:p>
        </w:tc>
        <w:tc>
          <w:tcPr>
            <w:tcW w:w="423" w:type="pct"/>
            <w:noWrap w:val="0"/>
            <w:vAlign w:val="center"/>
          </w:tcPr>
          <w:p w14:paraId="4327C5F1">
            <w:pPr>
              <w:spacing w:line="400" w:lineRule="exact"/>
              <w:jc w:val="center"/>
              <w:rPr>
                <w:rFonts w:hint="eastAsia" w:ascii="宋体" w:hAnsi="宋体" w:cs="宋体"/>
                <w:color w:val="auto"/>
                <w:szCs w:val="21"/>
                <w:highlight w:val="none"/>
              </w:rPr>
            </w:pPr>
          </w:p>
        </w:tc>
        <w:tc>
          <w:tcPr>
            <w:tcW w:w="422" w:type="pct"/>
            <w:noWrap w:val="0"/>
            <w:vAlign w:val="center"/>
          </w:tcPr>
          <w:p w14:paraId="4E72A980">
            <w:pPr>
              <w:spacing w:line="400" w:lineRule="exact"/>
              <w:jc w:val="center"/>
              <w:rPr>
                <w:rFonts w:hint="eastAsia" w:ascii="宋体" w:hAnsi="宋体" w:cs="宋体"/>
                <w:color w:val="auto"/>
                <w:szCs w:val="21"/>
                <w:highlight w:val="none"/>
              </w:rPr>
            </w:pPr>
          </w:p>
        </w:tc>
        <w:tc>
          <w:tcPr>
            <w:tcW w:w="634" w:type="pct"/>
            <w:noWrap w:val="0"/>
            <w:vAlign w:val="center"/>
          </w:tcPr>
          <w:p w14:paraId="0D7D9457">
            <w:pPr>
              <w:spacing w:line="400" w:lineRule="exact"/>
              <w:jc w:val="center"/>
              <w:rPr>
                <w:rFonts w:hint="eastAsia" w:ascii="宋体" w:hAnsi="宋体" w:cs="宋体"/>
                <w:color w:val="auto"/>
                <w:szCs w:val="21"/>
                <w:highlight w:val="none"/>
              </w:rPr>
            </w:pPr>
          </w:p>
        </w:tc>
        <w:tc>
          <w:tcPr>
            <w:tcW w:w="422" w:type="pct"/>
            <w:noWrap w:val="0"/>
            <w:vAlign w:val="center"/>
          </w:tcPr>
          <w:p w14:paraId="14FFAFF7">
            <w:pPr>
              <w:spacing w:line="400" w:lineRule="exact"/>
              <w:jc w:val="center"/>
              <w:rPr>
                <w:rFonts w:hint="eastAsia" w:ascii="宋体" w:hAnsi="宋体" w:cs="宋体"/>
                <w:color w:val="auto"/>
                <w:szCs w:val="21"/>
                <w:highlight w:val="none"/>
              </w:rPr>
            </w:pPr>
          </w:p>
        </w:tc>
        <w:tc>
          <w:tcPr>
            <w:tcW w:w="423" w:type="pct"/>
            <w:noWrap w:val="0"/>
            <w:vAlign w:val="center"/>
          </w:tcPr>
          <w:p w14:paraId="20725CE6">
            <w:pPr>
              <w:spacing w:line="400" w:lineRule="exact"/>
              <w:jc w:val="center"/>
              <w:rPr>
                <w:rFonts w:hint="eastAsia" w:ascii="宋体" w:hAnsi="宋体" w:cs="宋体"/>
                <w:color w:val="auto"/>
                <w:szCs w:val="21"/>
                <w:highlight w:val="none"/>
              </w:rPr>
            </w:pPr>
          </w:p>
        </w:tc>
        <w:tc>
          <w:tcPr>
            <w:tcW w:w="422" w:type="pct"/>
            <w:noWrap w:val="0"/>
            <w:vAlign w:val="center"/>
          </w:tcPr>
          <w:p w14:paraId="50CE7580">
            <w:pPr>
              <w:spacing w:line="400" w:lineRule="exact"/>
              <w:jc w:val="center"/>
              <w:rPr>
                <w:rFonts w:hint="eastAsia" w:ascii="宋体" w:hAnsi="宋体" w:cs="宋体"/>
                <w:color w:val="auto"/>
                <w:szCs w:val="21"/>
                <w:highlight w:val="none"/>
              </w:rPr>
            </w:pPr>
          </w:p>
        </w:tc>
        <w:tc>
          <w:tcPr>
            <w:tcW w:w="1480" w:type="pct"/>
            <w:noWrap w:val="0"/>
            <w:vAlign w:val="center"/>
          </w:tcPr>
          <w:p w14:paraId="0A1F43AE">
            <w:pPr>
              <w:spacing w:line="400" w:lineRule="exact"/>
              <w:jc w:val="center"/>
              <w:rPr>
                <w:rFonts w:hint="eastAsia" w:ascii="宋体" w:hAnsi="宋体" w:cs="宋体"/>
                <w:color w:val="auto"/>
                <w:szCs w:val="21"/>
                <w:highlight w:val="none"/>
              </w:rPr>
            </w:pPr>
          </w:p>
        </w:tc>
        <w:tc>
          <w:tcPr>
            <w:tcW w:w="394" w:type="pct"/>
            <w:noWrap w:val="0"/>
            <w:vAlign w:val="center"/>
          </w:tcPr>
          <w:p w14:paraId="4B79F818">
            <w:pPr>
              <w:spacing w:line="400" w:lineRule="exact"/>
              <w:jc w:val="center"/>
              <w:rPr>
                <w:rFonts w:hint="eastAsia" w:ascii="宋体" w:hAnsi="宋体" w:cs="宋体"/>
                <w:color w:val="auto"/>
                <w:szCs w:val="21"/>
                <w:highlight w:val="none"/>
              </w:rPr>
            </w:pPr>
          </w:p>
        </w:tc>
      </w:tr>
      <w:tr w14:paraId="59CA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2EB44BC6">
            <w:pPr>
              <w:spacing w:line="400" w:lineRule="exact"/>
              <w:jc w:val="center"/>
              <w:rPr>
                <w:rFonts w:hint="eastAsia" w:ascii="宋体" w:hAnsi="宋体" w:cs="宋体"/>
                <w:color w:val="auto"/>
                <w:szCs w:val="21"/>
                <w:highlight w:val="none"/>
              </w:rPr>
            </w:pPr>
          </w:p>
        </w:tc>
        <w:tc>
          <w:tcPr>
            <w:tcW w:w="423" w:type="pct"/>
            <w:noWrap w:val="0"/>
            <w:vAlign w:val="center"/>
          </w:tcPr>
          <w:p w14:paraId="25384F65">
            <w:pPr>
              <w:spacing w:line="400" w:lineRule="exact"/>
              <w:jc w:val="center"/>
              <w:rPr>
                <w:rFonts w:hint="eastAsia" w:ascii="宋体" w:hAnsi="宋体" w:cs="宋体"/>
                <w:color w:val="auto"/>
                <w:szCs w:val="21"/>
                <w:highlight w:val="none"/>
              </w:rPr>
            </w:pPr>
          </w:p>
        </w:tc>
        <w:tc>
          <w:tcPr>
            <w:tcW w:w="422" w:type="pct"/>
            <w:noWrap w:val="0"/>
            <w:vAlign w:val="center"/>
          </w:tcPr>
          <w:p w14:paraId="0EA06C17">
            <w:pPr>
              <w:spacing w:line="400" w:lineRule="exact"/>
              <w:jc w:val="center"/>
              <w:rPr>
                <w:rFonts w:hint="eastAsia" w:ascii="宋体" w:hAnsi="宋体" w:cs="宋体"/>
                <w:color w:val="auto"/>
                <w:szCs w:val="21"/>
                <w:highlight w:val="none"/>
              </w:rPr>
            </w:pPr>
          </w:p>
        </w:tc>
        <w:tc>
          <w:tcPr>
            <w:tcW w:w="634" w:type="pct"/>
            <w:noWrap w:val="0"/>
            <w:vAlign w:val="center"/>
          </w:tcPr>
          <w:p w14:paraId="515B0024">
            <w:pPr>
              <w:spacing w:line="400" w:lineRule="exact"/>
              <w:jc w:val="center"/>
              <w:rPr>
                <w:rFonts w:hint="eastAsia" w:ascii="宋体" w:hAnsi="宋体" w:cs="宋体"/>
                <w:color w:val="auto"/>
                <w:szCs w:val="21"/>
                <w:highlight w:val="none"/>
              </w:rPr>
            </w:pPr>
          </w:p>
        </w:tc>
        <w:tc>
          <w:tcPr>
            <w:tcW w:w="422" w:type="pct"/>
            <w:noWrap w:val="0"/>
            <w:vAlign w:val="center"/>
          </w:tcPr>
          <w:p w14:paraId="77BAD03E">
            <w:pPr>
              <w:spacing w:line="400" w:lineRule="exact"/>
              <w:jc w:val="center"/>
              <w:rPr>
                <w:rFonts w:hint="eastAsia" w:ascii="宋体" w:hAnsi="宋体" w:cs="宋体"/>
                <w:color w:val="auto"/>
                <w:szCs w:val="21"/>
                <w:highlight w:val="none"/>
              </w:rPr>
            </w:pPr>
          </w:p>
        </w:tc>
        <w:tc>
          <w:tcPr>
            <w:tcW w:w="423" w:type="pct"/>
            <w:noWrap w:val="0"/>
            <w:vAlign w:val="center"/>
          </w:tcPr>
          <w:p w14:paraId="0CC6E4EF">
            <w:pPr>
              <w:spacing w:line="400" w:lineRule="exact"/>
              <w:jc w:val="center"/>
              <w:rPr>
                <w:rFonts w:hint="eastAsia" w:ascii="宋体" w:hAnsi="宋体" w:cs="宋体"/>
                <w:color w:val="auto"/>
                <w:szCs w:val="21"/>
                <w:highlight w:val="none"/>
              </w:rPr>
            </w:pPr>
          </w:p>
        </w:tc>
        <w:tc>
          <w:tcPr>
            <w:tcW w:w="422" w:type="pct"/>
            <w:noWrap w:val="0"/>
            <w:vAlign w:val="center"/>
          </w:tcPr>
          <w:p w14:paraId="40F0116E">
            <w:pPr>
              <w:spacing w:line="400" w:lineRule="exact"/>
              <w:jc w:val="center"/>
              <w:rPr>
                <w:rFonts w:hint="eastAsia" w:ascii="宋体" w:hAnsi="宋体" w:cs="宋体"/>
                <w:color w:val="auto"/>
                <w:szCs w:val="21"/>
                <w:highlight w:val="none"/>
              </w:rPr>
            </w:pPr>
          </w:p>
        </w:tc>
        <w:tc>
          <w:tcPr>
            <w:tcW w:w="1480" w:type="pct"/>
            <w:noWrap w:val="0"/>
            <w:vAlign w:val="center"/>
          </w:tcPr>
          <w:p w14:paraId="2B5E18C0">
            <w:pPr>
              <w:spacing w:line="400" w:lineRule="exact"/>
              <w:jc w:val="center"/>
              <w:rPr>
                <w:rFonts w:hint="eastAsia" w:ascii="宋体" w:hAnsi="宋体" w:cs="宋体"/>
                <w:color w:val="auto"/>
                <w:szCs w:val="21"/>
                <w:highlight w:val="none"/>
              </w:rPr>
            </w:pPr>
          </w:p>
        </w:tc>
        <w:tc>
          <w:tcPr>
            <w:tcW w:w="394" w:type="pct"/>
            <w:noWrap w:val="0"/>
            <w:vAlign w:val="center"/>
          </w:tcPr>
          <w:p w14:paraId="0D63AA48">
            <w:pPr>
              <w:spacing w:line="400" w:lineRule="exact"/>
              <w:jc w:val="center"/>
              <w:rPr>
                <w:rFonts w:hint="eastAsia" w:ascii="宋体" w:hAnsi="宋体" w:cs="宋体"/>
                <w:color w:val="auto"/>
                <w:szCs w:val="21"/>
                <w:highlight w:val="none"/>
              </w:rPr>
            </w:pPr>
          </w:p>
        </w:tc>
      </w:tr>
      <w:tr w14:paraId="00CA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pct"/>
            <w:noWrap w:val="0"/>
            <w:vAlign w:val="center"/>
          </w:tcPr>
          <w:p w14:paraId="122A14EC">
            <w:pPr>
              <w:spacing w:line="400" w:lineRule="exact"/>
              <w:jc w:val="center"/>
              <w:rPr>
                <w:rFonts w:hint="eastAsia" w:ascii="宋体" w:hAnsi="宋体" w:cs="宋体"/>
                <w:color w:val="auto"/>
                <w:szCs w:val="21"/>
                <w:highlight w:val="none"/>
              </w:rPr>
            </w:pPr>
          </w:p>
        </w:tc>
        <w:tc>
          <w:tcPr>
            <w:tcW w:w="423" w:type="pct"/>
            <w:noWrap w:val="0"/>
            <w:vAlign w:val="center"/>
          </w:tcPr>
          <w:p w14:paraId="0A9364E4">
            <w:pPr>
              <w:spacing w:line="400" w:lineRule="exact"/>
              <w:jc w:val="center"/>
              <w:rPr>
                <w:rFonts w:hint="eastAsia" w:ascii="宋体" w:hAnsi="宋体" w:cs="宋体"/>
                <w:color w:val="auto"/>
                <w:szCs w:val="21"/>
                <w:highlight w:val="none"/>
              </w:rPr>
            </w:pPr>
          </w:p>
        </w:tc>
        <w:tc>
          <w:tcPr>
            <w:tcW w:w="422" w:type="pct"/>
            <w:noWrap w:val="0"/>
            <w:vAlign w:val="center"/>
          </w:tcPr>
          <w:p w14:paraId="11CAD23A">
            <w:pPr>
              <w:spacing w:line="400" w:lineRule="exact"/>
              <w:jc w:val="center"/>
              <w:rPr>
                <w:rFonts w:hint="eastAsia" w:ascii="宋体" w:hAnsi="宋体" w:cs="宋体"/>
                <w:color w:val="auto"/>
                <w:szCs w:val="21"/>
                <w:highlight w:val="none"/>
              </w:rPr>
            </w:pPr>
          </w:p>
        </w:tc>
        <w:tc>
          <w:tcPr>
            <w:tcW w:w="634" w:type="pct"/>
            <w:noWrap w:val="0"/>
            <w:vAlign w:val="center"/>
          </w:tcPr>
          <w:p w14:paraId="282D8D79">
            <w:pPr>
              <w:spacing w:line="400" w:lineRule="exact"/>
              <w:jc w:val="center"/>
              <w:rPr>
                <w:rFonts w:hint="eastAsia" w:ascii="宋体" w:hAnsi="宋体" w:cs="宋体"/>
                <w:color w:val="auto"/>
                <w:szCs w:val="21"/>
                <w:highlight w:val="none"/>
              </w:rPr>
            </w:pPr>
          </w:p>
        </w:tc>
        <w:tc>
          <w:tcPr>
            <w:tcW w:w="422" w:type="pct"/>
            <w:noWrap w:val="0"/>
            <w:vAlign w:val="center"/>
          </w:tcPr>
          <w:p w14:paraId="74344E43">
            <w:pPr>
              <w:spacing w:line="400" w:lineRule="exact"/>
              <w:jc w:val="center"/>
              <w:rPr>
                <w:rFonts w:hint="eastAsia" w:ascii="宋体" w:hAnsi="宋体" w:cs="宋体"/>
                <w:color w:val="auto"/>
                <w:szCs w:val="21"/>
                <w:highlight w:val="none"/>
              </w:rPr>
            </w:pPr>
          </w:p>
        </w:tc>
        <w:tc>
          <w:tcPr>
            <w:tcW w:w="423" w:type="pct"/>
            <w:noWrap w:val="0"/>
            <w:vAlign w:val="center"/>
          </w:tcPr>
          <w:p w14:paraId="005B877B">
            <w:pPr>
              <w:spacing w:line="400" w:lineRule="exact"/>
              <w:jc w:val="center"/>
              <w:rPr>
                <w:rFonts w:hint="eastAsia" w:ascii="宋体" w:hAnsi="宋体" w:cs="宋体"/>
                <w:color w:val="auto"/>
                <w:szCs w:val="21"/>
                <w:highlight w:val="none"/>
              </w:rPr>
            </w:pPr>
          </w:p>
        </w:tc>
        <w:tc>
          <w:tcPr>
            <w:tcW w:w="422" w:type="pct"/>
            <w:noWrap w:val="0"/>
            <w:vAlign w:val="center"/>
          </w:tcPr>
          <w:p w14:paraId="3049F457">
            <w:pPr>
              <w:spacing w:line="400" w:lineRule="exact"/>
              <w:jc w:val="center"/>
              <w:rPr>
                <w:rFonts w:hint="eastAsia" w:ascii="宋体" w:hAnsi="宋体" w:cs="宋体"/>
                <w:color w:val="auto"/>
                <w:szCs w:val="21"/>
                <w:highlight w:val="none"/>
              </w:rPr>
            </w:pPr>
          </w:p>
        </w:tc>
        <w:tc>
          <w:tcPr>
            <w:tcW w:w="1480" w:type="pct"/>
            <w:noWrap w:val="0"/>
            <w:vAlign w:val="center"/>
          </w:tcPr>
          <w:p w14:paraId="01DFFEFD">
            <w:pPr>
              <w:spacing w:line="400" w:lineRule="exact"/>
              <w:jc w:val="center"/>
              <w:rPr>
                <w:rFonts w:hint="eastAsia" w:ascii="宋体" w:hAnsi="宋体" w:cs="宋体"/>
                <w:color w:val="auto"/>
                <w:szCs w:val="21"/>
                <w:highlight w:val="none"/>
              </w:rPr>
            </w:pPr>
          </w:p>
        </w:tc>
        <w:tc>
          <w:tcPr>
            <w:tcW w:w="394" w:type="pct"/>
            <w:noWrap w:val="0"/>
            <w:vAlign w:val="center"/>
          </w:tcPr>
          <w:p w14:paraId="57661F69">
            <w:pPr>
              <w:spacing w:line="400" w:lineRule="exact"/>
              <w:jc w:val="center"/>
              <w:rPr>
                <w:rFonts w:hint="eastAsia" w:ascii="宋体" w:hAnsi="宋体" w:cs="宋体"/>
                <w:color w:val="auto"/>
                <w:szCs w:val="21"/>
                <w:highlight w:val="none"/>
              </w:rPr>
            </w:pPr>
          </w:p>
        </w:tc>
      </w:tr>
    </w:tbl>
    <w:p w14:paraId="008D3F76">
      <w:pPr>
        <w:spacing w:line="400" w:lineRule="exact"/>
        <w:rPr>
          <w:rFonts w:hint="eastAsia" w:ascii="宋体" w:hAnsi="宋体" w:cs="宋体"/>
          <w:color w:val="auto"/>
          <w:sz w:val="19"/>
          <w:szCs w:val="19"/>
          <w:highlight w:val="none"/>
        </w:rPr>
      </w:pPr>
      <w:r>
        <w:rPr>
          <w:rFonts w:hint="eastAsia" w:ascii="宋体" w:hAnsi="宋体" w:cs="宋体"/>
          <w:color w:val="auto"/>
          <w:szCs w:val="21"/>
          <w:highlight w:val="none"/>
        </w:rPr>
        <w:t>注</w:t>
      </w:r>
      <w:r>
        <w:rPr>
          <w:rFonts w:hint="eastAsia" w:ascii="宋体" w:hAnsi="宋体" w:cs="宋体"/>
          <w:color w:val="auto"/>
          <w:highlight w:val="none"/>
        </w:rPr>
        <w:t>：要求提交项目管理架构人员最低配置承诺书的，可不填写本表。</w:t>
      </w:r>
    </w:p>
    <w:p w14:paraId="79FC6E36">
      <w:pPr>
        <w:spacing w:line="400" w:lineRule="exact"/>
        <w:rPr>
          <w:rFonts w:hint="eastAsia" w:ascii="宋体" w:hAnsi="宋体" w:cs="宋体"/>
          <w:color w:val="auto"/>
          <w:sz w:val="19"/>
          <w:szCs w:val="19"/>
          <w:highlight w:val="none"/>
        </w:rPr>
      </w:pPr>
    </w:p>
    <w:p w14:paraId="6A462A8F">
      <w:pPr>
        <w:topLinePunct/>
        <w:spacing w:line="400" w:lineRule="exact"/>
        <w:rPr>
          <w:rFonts w:hint="eastAsia" w:ascii="宋体" w:hAnsi="宋体" w:cs="宋体"/>
          <w:color w:val="auto"/>
          <w:sz w:val="19"/>
          <w:szCs w:val="19"/>
          <w:highlight w:val="none"/>
        </w:rPr>
      </w:pPr>
    </w:p>
    <w:p w14:paraId="669A84AB">
      <w:pPr>
        <w:widowControl/>
        <w:jc w:val="left"/>
        <w:rPr>
          <w:rFonts w:hint="eastAsia" w:ascii="宋体" w:hAnsi="宋体" w:cs="宋体"/>
          <w:b/>
          <w:color w:val="auto"/>
          <w:sz w:val="24"/>
          <w:szCs w:val="31"/>
          <w:highlight w:val="none"/>
        </w:rPr>
      </w:pPr>
      <w:bookmarkStart w:id="604" w:name="_Toc168476335"/>
      <w:bookmarkStart w:id="605" w:name="_Toc144974873"/>
      <w:bookmarkStart w:id="606" w:name="_Toc168475932"/>
      <w:bookmarkStart w:id="607" w:name="_Toc221952127"/>
      <w:r>
        <w:rPr>
          <w:rFonts w:hint="eastAsia" w:ascii="宋体" w:hAnsi="宋体" w:cs="宋体"/>
          <w:b/>
          <w:color w:val="auto"/>
          <w:sz w:val="24"/>
          <w:szCs w:val="31"/>
          <w:highlight w:val="none"/>
        </w:rPr>
        <w:br w:type="page"/>
      </w:r>
    </w:p>
    <w:p w14:paraId="079CEA14">
      <w:pPr>
        <w:spacing w:line="400" w:lineRule="exact"/>
        <w:jc w:val="left"/>
        <w:outlineLvl w:val="3"/>
        <w:rPr>
          <w:rFonts w:hint="eastAsia" w:ascii="宋体" w:hAnsi="宋体" w:cs="宋体"/>
          <w:b/>
          <w:color w:val="auto"/>
          <w:sz w:val="24"/>
          <w:szCs w:val="31"/>
          <w:highlight w:val="none"/>
        </w:rPr>
      </w:pPr>
      <w:r>
        <w:rPr>
          <w:rFonts w:hint="eastAsia" w:ascii="宋体" w:hAnsi="宋体" w:cs="宋体"/>
          <w:b/>
          <w:color w:val="auto"/>
          <w:sz w:val="24"/>
          <w:szCs w:val="31"/>
          <w:highlight w:val="none"/>
        </w:rPr>
        <w:t>（二）主要人员简历表</w:t>
      </w:r>
      <w:bookmarkEnd w:id="604"/>
      <w:bookmarkEnd w:id="605"/>
      <w:bookmarkEnd w:id="606"/>
      <w:bookmarkEnd w:id="607"/>
      <w:r>
        <w:rPr>
          <w:rFonts w:hint="eastAsia" w:ascii="宋体" w:hAnsi="宋体" w:cs="宋体"/>
          <w:b/>
          <w:color w:val="auto"/>
          <w:sz w:val="24"/>
          <w:szCs w:val="31"/>
          <w:highlight w:val="none"/>
          <w:lang w:eastAsia="zh-CN"/>
        </w:rPr>
        <w:t>（</w:t>
      </w:r>
      <w:r>
        <w:rPr>
          <w:rFonts w:hint="eastAsia" w:ascii="宋体" w:hAnsi="宋体" w:cs="宋体"/>
          <w:b/>
          <w:color w:val="auto"/>
          <w:sz w:val="24"/>
          <w:szCs w:val="31"/>
          <w:highlight w:val="none"/>
          <w:lang w:val="en-US" w:eastAsia="zh-CN"/>
        </w:rPr>
        <w:t>项目负责人、技术负责人和专职安全员除外</w:t>
      </w:r>
      <w:r>
        <w:rPr>
          <w:rFonts w:hint="eastAsia" w:ascii="宋体" w:hAnsi="宋体" w:cs="宋体"/>
          <w:b/>
          <w:color w:val="auto"/>
          <w:sz w:val="24"/>
          <w:szCs w:val="31"/>
          <w:highlight w:val="none"/>
          <w:lang w:eastAsia="zh-CN"/>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379"/>
        <w:gridCol w:w="760"/>
        <w:gridCol w:w="978"/>
        <w:gridCol w:w="1124"/>
        <w:gridCol w:w="749"/>
        <w:gridCol w:w="1331"/>
        <w:gridCol w:w="530"/>
        <w:gridCol w:w="2144"/>
      </w:tblGrid>
      <w:tr w14:paraId="0F10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75" w:type="pct"/>
            <w:noWrap w:val="0"/>
            <w:vAlign w:val="center"/>
          </w:tcPr>
          <w:p w14:paraId="370182D2">
            <w:pPr>
              <w:spacing w:line="360" w:lineRule="auto"/>
              <w:jc w:val="center"/>
              <w:rPr>
                <w:rFonts w:hint="eastAsia" w:ascii="宋体" w:hAnsi="宋体" w:cs="宋体"/>
                <w:color w:val="auto"/>
                <w:szCs w:val="21"/>
                <w:highlight w:val="none"/>
              </w:rPr>
            </w:pPr>
            <w:bookmarkStart w:id="608" w:name="_Toc221952129"/>
            <w:r>
              <w:rPr>
                <w:rFonts w:hint="eastAsia" w:ascii="宋体" w:hAnsi="宋体" w:cs="宋体"/>
                <w:color w:val="auto"/>
                <w:szCs w:val="21"/>
                <w:highlight w:val="none"/>
              </w:rPr>
              <w:t>姓名</w:t>
            </w:r>
            <w:bookmarkEnd w:id="608"/>
          </w:p>
        </w:tc>
        <w:tc>
          <w:tcPr>
            <w:tcW w:w="616" w:type="pct"/>
            <w:gridSpan w:val="2"/>
            <w:noWrap w:val="0"/>
            <w:vAlign w:val="center"/>
          </w:tcPr>
          <w:p w14:paraId="58CFF9E5">
            <w:pPr>
              <w:spacing w:line="360" w:lineRule="auto"/>
              <w:jc w:val="center"/>
              <w:rPr>
                <w:rFonts w:hint="eastAsia" w:ascii="宋体" w:hAnsi="宋体" w:cs="宋体"/>
                <w:color w:val="auto"/>
                <w:szCs w:val="21"/>
                <w:highlight w:val="none"/>
              </w:rPr>
            </w:pPr>
          </w:p>
        </w:tc>
        <w:tc>
          <w:tcPr>
            <w:tcW w:w="529" w:type="pct"/>
            <w:noWrap w:val="0"/>
            <w:vAlign w:val="center"/>
          </w:tcPr>
          <w:p w14:paraId="54642617">
            <w:pPr>
              <w:spacing w:line="360" w:lineRule="auto"/>
              <w:jc w:val="center"/>
              <w:rPr>
                <w:rFonts w:hint="eastAsia" w:ascii="宋体" w:hAnsi="宋体" w:cs="宋体"/>
                <w:color w:val="auto"/>
                <w:szCs w:val="21"/>
                <w:highlight w:val="none"/>
              </w:rPr>
            </w:pPr>
            <w:bookmarkStart w:id="609" w:name="_Toc221952130"/>
            <w:r>
              <w:rPr>
                <w:rFonts w:hint="eastAsia" w:ascii="宋体" w:hAnsi="宋体" w:cs="宋体"/>
                <w:color w:val="auto"/>
                <w:szCs w:val="21"/>
                <w:highlight w:val="none"/>
              </w:rPr>
              <w:t>年龄</w:t>
            </w:r>
            <w:bookmarkEnd w:id="609"/>
          </w:p>
        </w:tc>
        <w:tc>
          <w:tcPr>
            <w:tcW w:w="608" w:type="pct"/>
            <w:noWrap w:val="0"/>
            <w:vAlign w:val="center"/>
          </w:tcPr>
          <w:p w14:paraId="744F3FCB">
            <w:pPr>
              <w:spacing w:line="360" w:lineRule="auto"/>
              <w:jc w:val="center"/>
              <w:rPr>
                <w:rFonts w:hint="eastAsia" w:ascii="宋体" w:hAnsi="宋体" w:cs="宋体"/>
                <w:color w:val="auto"/>
                <w:szCs w:val="21"/>
                <w:highlight w:val="none"/>
              </w:rPr>
            </w:pPr>
          </w:p>
        </w:tc>
        <w:tc>
          <w:tcPr>
            <w:tcW w:w="1412" w:type="pct"/>
            <w:gridSpan w:val="3"/>
            <w:noWrap w:val="0"/>
            <w:vAlign w:val="center"/>
          </w:tcPr>
          <w:p w14:paraId="11566195">
            <w:pPr>
              <w:spacing w:line="360" w:lineRule="auto"/>
              <w:jc w:val="center"/>
              <w:rPr>
                <w:rFonts w:hint="eastAsia" w:ascii="宋体" w:hAnsi="宋体" w:cs="宋体"/>
                <w:color w:val="auto"/>
                <w:szCs w:val="21"/>
                <w:highlight w:val="none"/>
              </w:rPr>
            </w:pPr>
            <w:bookmarkStart w:id="610" w:name="_Toc221952131"/>
            <w:r>
              <w:rPr>
                <w:rFonts w:hint="eastAsia" w:ascii="宋体" w:hAnsi="宋体" w:cs="宋体"/>
                <w:color w:val="auto"/>
                <w:szCs w:val="21"/>
                <w:highlight w:val="none"/>
              </w:rPr>
              <w:t>学历</w:t>
            </w:r>
            <w:bookmarkEnd w:id="610"/>
          </w:p>
        </w:tc>
        <w:tc>
          <w:tcPr>
            <w:tcW w:w="1158" w:type="pct"/>
            <w:noWrap w:val="0"/>
            <w:vAlign w:val="center"/>
          </w:tcPr>
          <w:p w14:paraId="4D701088">
            <w:pPr>
              <w:spacing w:line="360" w:lineRule="auto"/>
              <w:jc w:val="center"/>
              <w:rPr>
                <w:rFonts w:hint="eastAsia" w:ascii="宋体" w:hAnsi="宋体" w:cs="宋体"/>
                <w:color w:val="auto"/>
                <w:szCs w:val="21"/>
                <w:highlight w:val="none"/>
              </w:rPr>
            </w:pPr>
          </w:p>
        </w:tc>
      </w:tr>
      <w:tr w14:paraId="3ACE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pct"/>
            <w:noWrap w:val="0"/>
            <w:vAlign w:val="center"/>
          </w:tcPr>
          <w:p w14:paraId="06EE16E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执业资格</w:t>
            </w:r>
          </w:p>
        </w:tc>
        <w:tc>
          <w:tcPr>
            <w:tcW w:w="1753" w:type="pct"/>
            <w:gridSpan w:val="4"/>
            <w:noWrap w:val="0"/>
            <w:vAlign w:val="center"/>
          </w:tcPr>
          <w:p w14:paraId="140F6A95">
            <w:pPr>
              <w:spacing w:line="360" w:lineRule="auto"/>
              <w:jc w:val="center"/>
              <w:rPr>
                <w:rFonts w:hint="eastAsia" w:ascii="宋体" w:hAnsi="宋体" w:cs="宋体"/>
                <w:color w:val="auto"/>
                <w:szCs w:val="21"/>
                <w:highlight w:val="none"/>
              </w:rPr>
            </w:pPr>
          </w:p>
        </w:tc>
        <w:tc>
          <w:tcPr>
            <w:tcW w:w="1412" w:type="pct"/>
            <w:gridSpan w:val="3"/>
            <w:noWrap w:val="0"/>
            <w:vAlign w:val="center"/>
          </w:tcPr>
          <w:p w14:paraId="3296BD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w:t>
            </w:r>
            <w:r>
              <w:rPr>
                <w:rFonts w:hint="eastAsia" w:ascii="宋体" w:hAnsi="宋体" w:cs="宋体"/>
                <w:color w:val="auto"/>
                <w:szCs w:val="21"/>
                <w:highlight w:val="none"/>
                <w:lang w:val="en-US" w:eastAsia="zh-CN"/>
              </w:rPr>
              <w:t>生产</w:t>
            </w:r>
            <w:r>
              <w:rPr>
                <w:rFonts w:hint="eastAsia" w:ascii="宋体" w:hAnsi="宋体" w:cs="宋体"/>
                <w:color w:val="auto"/>
                <w:szCs w:val="21"/>
                <w:highlight w:val="none"/>
              </w:rPr>
              <w:t>考核合格证书</w:t>
            </w:r>
          </w:p>
        </w:tc>
        <w:tc>
          <w:tcPr>
            <w:tcW w:w="1158" w:type="pct"/>
            <w:noWrap w:val="0"/>
            <w:vAlign w:val="center"/>
          </w:tcPr>
          <w:p w14:paraId="42CC0B21">
            <w:pPr>
              <w:spacing w:line="360" w:lineRule="auto"/>
              <w:jc w:val="center"/>
              <w:rPr>
                <w:rFonts w:hint="eastAsia" w:ascii="宋体" w:hAnsi="宋体" w:cs="宋体"/>
                <w:color w:val="auto"/>
                <w:szCs w:val="21"/>
                <w:highlight w:val="none"/>
              </w:rPr>
            </w:pPr>
          </w:p>
        </w:tc>
      </w:tr>
      <w:tr w14:paraId="1AE1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75" w:type="pct"/>
            <w:noWrap w:val="0"/>
            <w:vAlign w:val="center"/>
          </w:tcPr>
          <w:p w14:paraId="60F945B2">
            <w:pPr>
              <w:spacing w:line="360" w:lineRule="auto"/>
              <w:jc w:val="center"/>
              <w:rPr>
                <w:rFonts w:hint="eastAsia" w:ascii="宋体" w:hAnsi="宋体" w:cs="宋体"/>
                <w:color w:val="auto"/>
                <w:szCs w:val="21"/>
                <w:highlight w:val="none"/>
              </w:rPr>
            </w:pPr>
            <w:bookmarkStart w:id="611" w:name="_Toc221952132"/>
            <w:r>
              <w:rPr>
                <w:rFonts w:hint="eastAsia" w:ascii="宋体" w:hAnsi="宋体" w:cs="宋体"/>
                <w:color w:val="auto"/>
                <w:szCs w:val="21"/>
                <w:highlight w:val="none"/>
              </w:rPr>
              <w:t>职称</w:t>
            </w:r>
            <w:bookmarkEnd w:id="611"/>
          </w:p>
        </w:tc>
        <w:tc>
          <w:tcPr>
            <w:tcW w:w="616" w:type="pct"/>
            <w:gridSpan w:val="2"/>
            <w:noWrap w:val="0"/>
            <w:vAlign w:val="center"/>
          </w:tcPr>
          <w:p w14:paraId="0F79C107">
            <w:pPr>
              <w:spacing w:line="360" w:lineRule="auto"/>
              <w:jc w:val="center"/>
              <w:rPr>
                <w:rFonts w:hint="eastAsia" w:ascii="宋体" w:hAnsi="宋体" w:cs="宋体"/>
                <w:color w:val="auto"/>
                <w:szCs w:val="21"/>
                <w:highlight w:val="none"/>
              </w:rPr>
            </w:pPr>
          </w:p>
        </w:tc>
        <w:tc>
          <w:tcPr>
            <w:tcW w:w="529" w:type="pct"/>
            <w:noWrap w:val="0"/>
            <w:vAlign w:val="center"/>
          </w:tcPr>
          <w:p w14:paraId="5C0C2C0A">
            <w:pPr>
              <w:spacing w:line="360" w:lineRule="auto"/>
              <w:jc w:val="center"/>
              <w:rPr>
                <w:rFonts w:hint="eastAsia" w:ascii="宋体" w:hAnsi="宋体" w:cs="宋体"/>
                <w:color w:val="auto"/>
                <w:szCs w:val="21"/>
                <w:highlight w:val="none"/>
              </w:rPr>
            </w:pPr>
            <w:bookmarkStart w:id="612" w:name="_Toc221952133"/>
            <w:r>
              <w:rPr>
                <w:rFonts w:hint="eastAsia" w:ascii="宋体" w:hAnsi="宋体" w:cs="宋体"/>
                <w:color w:val="auto"/>
                <w:szCs w:val="21"/>
                <w:highlight w:val="none"/>
              </w:rPr>
              <w:t>职务</w:t>
            </w:r>
            <w:bookmarkEnd w:id="612"/>
          </w:p>
        </w:tc>
        <w:tc>
          <w:tcPr>
            <w:tcW w:w="608" w:type="pct"/>
            <w:noWrap w:val="0"/>
            <w:vAlign w:val="center"/>
          </w:tcPr>
          <w:p w14:paraId="28024584">
            <w:pPr>
              <w:spacing w:line="360" w:lineRule="auto"/>
              <w:jc w:val="center"/>
              <w:rPr>
                <w:rFonts w:hint="eastAsia" w:ascii="宋体" w:hAnsi="宋体" w:cs="宋体"/>
                <w:color w:val="auto"/>
                <w:szCs w:val="21"/>
                <w:highlight w:val="none"/>
              </w:rPr>
            </w:pPr>
          </w:p>
        </w:tc>
        <w:tc>
          <w:tcPr>
            <w:tcW w:w="1412" w:type="pct"/>
            <w:gridSpan w:val="3"/>
            <w:noWrap w:val="0"/>
            <w:vAlign w:val="center"/>
          </w:tcPr>
          <w:p w14:paraId="3091B224">
            <w:pPr>
              <w:spacing w:line="360" w:lineRule="auto"/>
              <w:jc w:val="center"/>
              <w:rPr>
                <w:rFonts w:hint="eastAsia" w:ascii="宋体" w:hAnsi="宋体" w:cs="宋体"/>
                <w:color w:val="auto"/>
                <w:szCs w:val="21"/>
                <w:highlight w:val="none"/>
              </w:rPr>
            </w:pPr>
            <w:bookmarkStart w:id="613" w:name="_Toc221952134"/>
            <w:r>
              <w:rPr>
                <w:rFonts w:hint="eastAsia" w:ascii="宋体" w:hAnsi="宋体" w:cs="宋体"/>
                <w:color w:val="auto"/>
                <w:szCs w:val="21"/>
                <w:highlight w:val="none"/>
              </w:rPr>
              <w:t>拟在本合同任职</w:t>
            </w:r>
            <w:bookmarkEnd w:id="613"/>
          </w:p>
        </w:tc>
        <w:tc>
          <w:tcPr>
            <w:tcW w:w="1158" w:type="pct"/>
            <w:noWrap w:val="0"/>
            <w:vAlign w:val="center"/>
          </w:tcPr>
          <w:p w14:paraId="370CDF3F">
            <w:pPr>
              <w:spacing w:line="360" w:lineRule="auto"/>
              <w:jc w:val="center"/>
              <w:rPr>
                <w:rFonts w:hint="eastAsia" w:ascii="宋体" w:hAnsi="宋体" w:cs="宋体"/>
                <w:color w:val="auto"/>
                <w:szCs w:val="21"/>
                <w:highlight w:val="none"/>
              </w:rPr>
            </w:pPr>
          </w:p>
        </w:tc>
      </w:tr>
      <w:tr w14:paraId="4857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75" w:type="pct"/>
            <w:noWrap w:val="0"/>
            <w:vAlign w:val="center"/>
          </w:tcPr>
          <w:p w14:paraId="46E074D7">
            <w:pPr>
              <w:spacing w:line="360" w:lineRule="auto"/>
              <w:jc w:val="center"/>
              <w:rPr>
                <w:rFonts w:hint="eastAsia" w:ascii="宋体" w:hAnsi="宋体" w:cs="宋体"/>
                <w:color w:val="auto"/>
                <w:szCs w:val="21"/>
                <w:highlight w:val="none"/>
              </w:rPr>
            </w:pPr>
            <w:bookmarkStart w:id="614" w:name="_Toc221952135"/>
            <w:r>
              <w:rPr>
                <w:rFonts w:hint="eastAsia" w:ascii="宋体" w:hAnsi="宋体" w:cs="宋体"/>
                <w:color w:val="auto"/>
                <w:szCs w:val="21"/>
                <w:highlight w:val="none"/>
              </w:rPr>
              <w:t>毕业学校</w:t>
            </w:r>
            <w:bookmarkEnd w:id="614"/>
          </w:p>
        </w:tc>
        <w:tc>
          <w:tcPr>
            <w:tcW w:w="4324" w:type="pct"/>
            <w:gridSpan w:val="8"/>
            <w:noWrap w:val="0"/>
            <w:vAlign w:val="center"/>
          </w:tcPr>
          <w:p w14:paraId="79B5012F">
            <w:pPr>
              <w:spacing w:line="360" w:lineRule="auto"/>
              <w:jc w:val="center"/>
              <w:rPr>
                <w:rFonts w:hint="eastAsia" w:ascii="宋体" w:hAnsi="宋体" w:cs="宋体"/>
                <w:color w:val="auto"/>
                <w:szCs w:val="21"/>
                <w:highlight w:val="none"/>
              </w:rPr>
            </w:pPr>
            <w:bookmarkStart w:id="615" w:name="_Toc221952136"/>
            <w:r>
              <w:rPr>
                <w:rFonts w:hint="eastAsia" w:ascii="宋体" w:hAnsi="宋体" w:cs="宋体"/>
                <w:color w:val="auto"/>
                <w:szCs w:val="21"/>
                <w:highlight w:val="none"/>
              </w:rPr>
              <w:t>年毕业于            学校        专业</w:t>
            </w:r>
            <w:bookmarkEnd w:id="615"/>
          </w:p>
        </w:tc>
      </w:tr>
      <w:tr w14:paraId="5688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000" w:type="pct"/>
            <w:gridSpan w:val="9"/>
            <w:noWrap w:val="0"/>
            <w:vAlign w:val="center"/>
          </w:tcPr>
          <w:p w14:paraId="5B40818E">
            <w:pPr>
              <w:spacing w:line="360" w:lineRule="auto"/>
              <w:jc w:val="center"/>
              <w:rPr>
                <w:rFonts w:hint="eastAsia" w:ascii="宋体" w:hAnsi="宋体" w:cs="宋体"/>
                <w:color w:val="auto"/>
                <w:szCs w:val="21"/>
                <w:highlight w:val="none"/>
              </w:rPr>
            </w:pPr>
            <w:bookmarkStart w:id="616" w:name="_Toc221952137"/>
            <w:r>
              <w:rPr>
                <w:rFonts w:hint="eastAsia" w:ascii="宋体" w:hAnsi="宋体" w:cs="宋体"/>
                <w:color w:val="auto"/>
                <w:szCs w:val="21"/>
                <w:highlight w:val="none"/>
              </w:rPr>
              <w:t>主要施工管理经历</w:t>
            </w:r>
            <w:bookmarkEnd w:id="616"/>
          </w:p>
        </w:tc>
      </w:tr>
      <w:tr w14:paraId="68A4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80" w:type="pct"/>
            <w:gridSpan w:val="2"/>
            <w:noWrap w:val="0"/>
            <w:vAlign w:val="center"/>
          </w:tcPr>
          <w:p w14:paraId="7851C1F1">
            <w:pPr>
              <w:spacing w:line="360" w:lineRule="auto"/>
              <w:jc w:val="center"/>
              <w:rPr>
                <w:rFonts w:hint="eastAsia" w:ascii="宋体" w:hAnsi="宋体" w:cs="宋体"/>
                <w:color w:val="auto"/>
                <w:szCs w:val="21"/>
                <w:highlight w:val="none"/>
              </w:rPr>
            </w:pPr>
            <w:bookmarkStart w:id="617" w:name="_Toc221952138"/>
            <w:r>
              <w:rPr>
                <w:rFonts w:hint="eastAsia" w:ascii="宋体" w:hAnsi="宋体" w:cs="宋体"/>
                <w:color w:val="auto"/>
                <w:szCs w:val="21"/>
                <w:highlight w:val="none"/>
              </w:rPr>
              <w:t>时间</w:t>
            </w:r>
            <w:bookmarkEnd w:id="617"/>
          </w:p>
        </w:tc>
        <w:tc>
          <w:tcPr>
            <w:tcW w:w="1953" w:type="pct"/>
            <w:gridSpan w:val="4"/>
            <w:noWrap w:val="0"/>
            <w:vAlign w:val="center"/>
          </w:tcPr>
          <w:p w14:paraId="3B0BD31A">
            <w:pPr>
              <w:spacing w:line="360" w:lineRule="auto"/>
              <w:jc w:val="center"/>
              <w:rPr>
                <w:rFonts w:hint="eastAsia" w:ascii="宋体" w:hAnsi="宋体" w:cs="宋体"/>
                <w:color w:val="auto"/>
                <w:szCs w:val="21"/>
                <w:highlight w:val="none"/>
              </w:rPr>
            </w:pPr>
            <w:bookmarkStart w:id="618" w:name="_Toc221952139"/>
            <w:r>
              <w:rPr>
                <w:rFonts w:hint="eastAsia" w:ascii="宋体" w:hAnsi="宋体" w:cs="宋体"/>
                <w:color w:val="auto"/>
                <w:szCs w:val="21"/>
                <w:highlight w:val="none"/>
              </w:rPr>
              <w:t>参加过的类似项目</w:t>
            </w:r>
            <w:bookmarkEnd w:id="618"/>
          </w:p>
        </w:tc>
        <w:tc>
          <w:tcPr>
            <w:tcW w:w="720" w:type="pct"/>
            <w:noWrap w:val="0"/>
            <w:vAlign w:val="center"/>
          </w:tcPr>
          <w:p w14:paraId="180C5E53">
            <w:pPr>
              <w:spacing w:line="360" w:lineRule="auto"/>
              <w:jc w:val="center"/>
              <w:rPr>
                <w:rFonts w:hint="eastAsia" w:ascii="宋体" w:hAnsi="宋体" w:cs="宋体"/>
                <w:color w:val="auto"/>
                <w:szCs w:val="21"/>
                <w:highlight w:val="none"/>
              </w:rPr>
            </w:pPr>
            <w:bookmarkStart w:id="619" w:name="_Toc221952140"/>
            <w:r>
              <w:rPr>
                <w:rFonts w:hint="eastAsia" w:ascii="宋体" w:hAnsi="宋体" w:cs="宋体"/>
                <w:color w:val="auto"/>
                <w:szCs w:val="21"/>
                <w:highlight w:val="none"/>
              </w:rPr>
              <w:t>担任职务</w:t>
            </w:r>
            <w:bookmarkEnd w:id="619"/>
          </w:p>
        </w:tc>
        <w:tc>
          <w:tcPr>
            <w:tcW w:w="1445" w:type="pct"/>
            <w:gridSpan w:val="2"/>
            <w:noWrap w:val="0"/>
            <w:vAlign w:val="center"/>
          </w:tcPr>
          <w:p w14:paraId="406FE425">
            <w:pPr>
              <w:spacing w:line="360" w:lineRule="auto"/>
              <w:jc w:val="center"/>
              <w:rPr>
                <w:rFonts w:hint="eastAsia" w:ascii="宋体" w:hAnsi="宋体" w:cs="宋体"/>
                <w:color w:val="auto"/>
                <w:szCs w:val="21"/>
                <w:highlight w:val="none"/>
              </w:rPr>
            </w:pPr>
            <w:bookmarkStart w:id="620" w:name="_Toc221952141"/>
            <w:r>
              <w:rPr>
                <w:rFonts w:hint="eastAsia" w:ascii="宋体" w:hAnsi="宋体" w:cs="宋体"/>
                <w:color w:val="auto"/>
                <w:szCs w:val="21"/>
                <w:highlight w:val="none"/>
              </w:rPr>
              <w:t>发包人及联系电话</w:t>
            </w:r>
            <w:bookmarkEnd w:id="620"/>
          </w:p>
        </w:tc>
      </w:tr>
      <w:tr w14:paraId="6E47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0" w:type="pct"/>
            <w:gridSpan w:val="2"/>
            <w:noWrap w:val="0"/>
            <w:vAlign w:val="top"/>
          </w:tcPr>
          <w:p w14:paraId="3EB16A00">
            <w:pPr>
              <w:spacing w:line="360" w:lineRule="auto"/>
              <w:rPr>
                <w:rFonts w:hint="eastAsia" w:ascii="宋体" w:hAnsi="宋体" w:cs="宋体"/>
                <w:color w:val="auto"/>
                <w:szCs w:val="21"/>
                <w:highlight w:val="none"/>
              </w:rPr>
            </w:pPr>
          </w:p>
        </w:tc>
        <w:tc>
          <w:tcPr>
            <w:tcW w:w="1953" w:type="pct"/>
            <w:gridSpan w:val="4"/>
            <w:noWrap w:val="0"/>
            <w:vAlign w:val="top"/>
          </w:tcPr>
          <w:p w14:paraId="4C84866F">
            <w:pPr>
              <w:spacing w:line="360" w:lineRule="auto"/>
              <w:rPr>
                <w:rFonts w:hint="eastAsia" w:ascii="宋体" w:hAnsi="宋体" w:cs="宋体"/>
                <w:color w:val="auto"/>
                <w:szCs w:val="21"/>
                <w:highlight w:val="none"/>
              </w:rPr>
            </w:pPr>
          </w:p>
        </w:tc>
        <w:tc>
          <w:tcPr>
            <w:tcW w:w="720" w:type="pct"/>
            <w:noWrap w:val="0"/>
            <w:vAlign w:val="top"/>
          </w:tcPr>
          <w:p w14:paraId="1B211130">
            <w:pPr>
              <w:spacing w:line="360" w:lineRule="auto"/>
              <w:rPr>
                <w:rFonts w:hint="eastAsia" w:ascii="宋体" w:hAnsi="宋体" w:cs="宋体"/>
                <w:color w:val="auto"/>
                <w:szCs w:val="21"/>
                <w:highlight w:val="none"/>
              </w:rPr>
            </w:pPr>
          </w:p>
        </w:tc>
        <w:tc>
          <w:tcPr>
            <w:tcW w:w="1445" w:type="pct"/>
            <w:gridSpan w:val="2"/>
            <w:noWrap w:val="0"/>
            <w:vAlign w:val="top"/>
          </w:tcPr>
          <w:p w14:paraId="4E95BAC0">
            <w:pPr>
              <w:spacing w:line="360" w:lineRule="auto"/>
              <w:rPr>
                <w:rFonts w:hint="eastAsia" w:ascii="宋体" w:hAnsi="宋体" w:cs="宋体"/>
                <w:color w:val="auto"/>
                <w:szCs w:val="21"/>
                <w:highlight w:val="none"/>
              </w:rPr>
            </w:pPr>
          </w:p>
        </w:tc>
      </w:tr>
      <w:tr w14:paraId="1E81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0" w:type="pct"/>
            <w:gridSpan w:val="2"/>
            <w:noWrap w:val="0"/>
            <w:vAlign w:val="top"/>
          </w:tcPr>
          <w:p w14:paraId="005951FB">
            <w:pPr>
              <w:spacing w:line="360" w:lineRule="auto"/>
              <w:rPr>
                <w:rFonts w:hint="eastAsia" w:ascii="宋体" w:hAnsi="宋体" w:cs="宋体"/>
                <w:color w:val="auto"/>
                <w:szCs w:val="21"/>
                <w:highlight w:val="none"/>
              </w:rPr>
            </w:pPr>
          </w:p>
        </w:tc>
        <w:tc>
          <w:tcPr>
            <w:tcW w:w="1953" w:type="pct"/>
            <w:gridSpan w:val="4"/>
            <w:noWrap w:val="0"/>
            <w:vAlign w:val="top"/>
          </w:tcPr>
          <w:p w14:paraId="4F575D1E">
            <w:pPr>
              <w:spacing w:line="360" w:lineRule="auto"/>
              <w:rPr>
                <w:rFonts w:hint="eastAsia" w:ascii="宋体" w:hAnsi="宋体" w:cs="宋体"/>
                <w:color w:val="auto"/>
                <w:szCs w:val="21"/>
                <w:highlight w:val="none"/>
              </w:rPr>
            </w:pPr>
          </w:p>
        </w:tc>
        <w:tc>
          <w:tcPr>
            <w:tcW w:w="720" w:type="pct"/>
            <w:noWrap w:val="0"/>
            <w:vAlign w:val="top"/>
          </w:tcPr>
          <w:p w14:paraId="44189308">
            <w:pPr>
              <w:spacing w:line="360" w:lineRule="auto"/>
              <w:rPr>
                <w:rFonts w:hint="eastAsia" w:ascii="宋体" w:hAnsi="宋体" w:cs="宋体"/>
                <w:color w:val="auto"/>
                <w:szCs w:val="21"/>
                <w:highlight w:val="none"/>
              </w:rPr>
            </w:pPr>
          </w:p>
        </w:tc>
        <w:tc>
          <w:tcPr>
            <w:tcW w:w="1445" w:type="pct"/>
            <w:gridSpan w:val="2"/>
            <w:noWrap w:val="0"/>
            <w:vAlign w:val="top"/>
          </w:tcPr>
          <w:p w14:paraId="5E34097A">
            <w:pPr>
              <w:spacing w:line="360" w:lineRule="auto"/>
              <w:rPr>
                <w:rFonts w:hint="eastAsia" w:ascii="宋体" w:hAnsi="宋体" w:cs="宋体"/>
                <w:color w:val="auto"/>
                <w:szCs w:val="21"/>
                <w:highlight w:val="none"/>
              </w:rPr>
            </w:pPr>
          </w:p>
        </w:tc>
      </w:tr>
      <w:tr w14:paraId="1D4F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0" w:type="pct"/>
            <w:gridSpan w:val="2"/>
            <w:noWrap w:val="0"/>
            <w:vAlign w:val="top"/>
          </w:tcPr>
          <w:p w14:paraId="123300C3">
            <w:pPr>
              <w:spacing w:line="360" w:lineRule="auto"/>
              <w:rPr>
                <w:rFonts w:hint="eastAsia" w:ascii="宋体" w:hAnsi="宋体" w:cs="宋体"/>
                <w:color w:val="auto"/>
                <w:szCs w:val="21"/>
                <w:highlight w:val="none"/>
              </w:rPr>
            </w:pPr>
          </w:p>
        </w:tc>
        <w:tc>
          <w:tcPr>
            <w:tcW w:w="1953" w:type="pct"/>
            <w:gridSpan w:val="4"/>
            <w:noWrap w:val="0"/>
            <w:vAlign w:val="top"/>
          </w:tcPr>
          <w:p w14:paraId="0F4E31D2">
            <w:pPr>
              <w:spacing w:line="360" w:lineRule="auto"/>
              <w:rPr>
                <w:rFonts w:hint="eastAsia" w:ascii="宋体" w:hAnsi="宋体" w:cs="宋体"/>
                <w:color w:val="auto"/>
                <w:szCs w:val="21"/>
                <w:highlight w:val="none"/>
              </w:rPr>
            </w:pPr>
          </w:p>
        </w:tc>
        <w:tc>
          <w:tcPr>
            <w:tcW w:w="720" w:type="pct"/>
            <w:noWrap w:val="0"/>
            <w:vAlign w:val="top"/>
          </w:tcPr>
          <w:p w14:paraId="72A50149">
            <w:pPr>
              <w:spacing w:line="360" w:lineRule="auto"/>
              <w:rPr>
                <w:rFonts w:hint="eastAsia" w:ascii="宋体" w:hAnsi="宋体" w:cs="宋体"/>
                <w:color w:val="auto"/>
                <w:szCs w:val="21"/>
                <w:highlight w:val="none"/>
              </w:rPr>
            </w:pPr>
          </w:p>
        </w:tc>
        <w:tc>
          <w:tcPr>
            <w:tcW w:w="1445" w:type="pct"/>
            <w:gridSpan w:val="2"/>
            <w:noWrap w:val="0"/>
            <w:vAlign w:val="top"/>
          </w:tcPr>
          <w:p w14:paraId="1619951B">
            <w:pPr>
              <w:spacing w:line="360" w:lineRule="auto"/>
              <w:rPr>
                <w:rFonts w:hint="eastAsia" w:ascii="宋体" w:hAnsi="宋体" w:cs="宋体"/>
                <w:color w:val="auto"/>
                <w:szCs w:val="21"/>
                <w:highlight w:val="none"/>
              </w:rPr>
            </w:pPr>
          </w:p>
        </w:tc>
      </w:tr>
      <w:tr w14:paraId="1D5F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0" w:type="pct"/>
            <w:gridSpan w:val="2"/>
            <w:noWrap w:val="0"/>
            <w:vAlign w:val="center"/>
          </w:tcPr>
          <w:p w14:paraId="514ED446">
            <w:pPr>
              <w:spacing w:line="360" w:lineRule="auto"/>
              <w:rPr>
                <w:rFonts w:hint="eastAsia" w:ascii="宋体" w:hAnsi="宋体" w:cs="宋体"/>
                <w:color w:val="auto"/>
                <w:szCs w:val="21"/>
                <w:highlight w:val="none"/>
              </w:rPr>
            </w:pPr>
          </w:p>
        </w:tc>
        <w:tc>
          <w:tcPr>
            <w:tcW w:w="1953" w:type="pct"/>
            <w:gridSpan w:val="4"/>
            <w:noWrap w:val="0"/>
            <w:vAlign w:val="center"/>
          </w:tcPr>
          <w:p w14:paraId="663A8614">
            <w:pPr>
              <w:spacing w:line="360" w:lineRule="auto"/>
              <w:rPr>
                <w:rFonts w:hint="eastAsia" w:ascii="宋体" w:hAnsi="宋体" w:cs="宋体"/>
                <w:color w:val="auto"/>
                <w:szCs w:val="21"/>
                <w:highlight w:val="none"/>
              </w:rPr>
            </w:pPr>
          </w:p>
        </w:tc>
        <w:tc>
          <w:tcPr>
            <w:tcW w:w="720" w:type="pct"/>
            <w:noWrap w:val="0"/>
            <w:vAlign w:val="center"/>
          </w:tcPr>
          <w:p w14:paraId="25248AF4">
            <w:pPr>
              <w:spacing w:line="360" w:lineRule="auto"/>
              <w:rPr>
                <w:rFonts w:hint="eastAsia" w:ascii="宋体" w:hAnsi="宋体" w:cs="宋体"/>
                <w:color w:val="auto"/>
                <w:szCs w:val="21"/>
                <w:highlight w:val="none"/>
              </w:rPr>
            </w:pPr>
          </w:p>
        </w:tc>
        <w:tc>
          <w:tcPr>
            <w:tcW w:w="1445" w:type="pct"/>
            <w:gridSpan w:val="2"/>
            <w:noWrap w:val="0"/>
            <w:vAlign w:val="center"/>
          </w:tcPr>
          <w:p w14:paraId="2E1844DB">
            <w:pPr>
              <w:spacing w:line="360" w:lineRule="auto"/>
              <w:rPr>
                <w:rFonts w:hint="eastAsia" w:ascii="宋体" w:hAnsi="宋体" w:cs="宋体"/>
                <w:color w:val="auto"/>
                <w:szCs w:val="21"/>
                <w:highlight w:val="none"/>
              </w:rPr>
            </w:pPr>
          </w:p>
        </w:tc>
      </w:tr>
      <w:tr w14:paraId="51C0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0" w:type="pct"/>
            <w:gridSpan w:val="2"/>
            <w:noWrap w:val="0"/>
            <w:vAlign w:val="center"/>
          </w:tcPr>
          <w:p w14:paraId="70C09921">
            <w:pPr>
              <w:spacing w:line="360" w:lineRule="auto"/>
              <w:rPr>
                <w:rFonts w:hint="eastAsia" w:ascii="宋体" w:hAnsi="宋体" w:cs="宋体"/>
                <w:color w:val="auto"/>
                <w:szCs w:val="21"/>
                <w:highlight w:val="none"/>
              </w:rPr>
            </w:pPr>
          </w:p>
        </w:tc>
        <w:tc>
          <w:tcPr>
            <w:tcW w:w="1953" w:type="pct"/>
            <w:gridSpan w:val="4"/>
            <w:noWrap w:val="0"/>
            <w:vAlign w:val="center"/>
          </w:tcPr>
          <w:p w14:paraId="4C8CE7F2">
            <w:pPr>
              <w:spacing w:line="360" w:lineRule="auto"/>
              <w:rPr>
                <w:rFonts w:hint="eastAsia" w:ascii="宋体" w:hAnsi="宋体" w:cs="宋体"/>
                <w:color w:val="auto"/>
                <w:szCs w:val="21"/>
                <w:highlight w:val="none"/>
              </w:rPr>
            </w:pPr>
          </w:p>
        </w:tc>
        <w:tc>
          <w:tcPr>
            <w:tcW w:w="720" w:type="pct"/>
            <w:noWrap w:val="0"/>
            <w:vAlign w:val="center"/>
          </w:tcPr>
          <w:p w14:paraId="2312C543">
            <w:pPr>
              <w:spacing w:line="360" w:lineRule="auto"/>
              <w:rPr>
                <w:rFonts w:hint="eastAsia" w:ascii="宋体" w:hAnsi="宋体" w:cs="宋体"/>
                <w:color w:val="auto"/>
                <w:szCs w:val="21"/>
                <w:highlight w:val="none"/>
              </w:rPr>
            </w:pPr>
          </w:p>
        </w:tc>
        <w:tc>
          <w:tcPr>
            <w:tcW w:w="1445" w:type="pct"/>
            <w:gridSpan w:val="2"/>
            <w:noWrap w:val="0"/>
            <w:vAlign w:val="center"/>
          </w:tcPr>
          <w:p w14:paraId="7675D96B">
            <w:pPr>
              <w:spacing w:line="360" w:lineRule="auto"/>
              <w:rPr>
                <w:rFonts w:hint="eastAsia" w:ascii="宋体" w:hAnsi="宋体" w:cs="宋体"/>
                <w:color w:val="auto"/>
                <w:szCs w:val="21"/>
                <w:highlight w:val="none"/>
              </w:rPr>
            </w:pPr>
          </w:p>
        </w:tc>
      </w:tr>
      <w:tr w14:paraId="30A8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0" w:type="pct"/>
            <w:gridSpan w:val="2"/>
            <w:noWrap w:val="0"/>
            <w:vAlign w:val="center"/>
          </w:tcPr>
          <w:p w14:paraId="39DAFE47">
            <w:pPr>
              <w:spacing w:line="360" w:lineRule="auto"/>
              <w:rPr>
                <w:rFonts w:hint="eastAsia" w:ascii="宋体" w:hAnsi="宋体" w:cs="宋体"/>
                <w:color w:val="auto"/>
                <w:szCs w:val="21"/>
                <w:highlight w:val="none"/>
              </w:rPr>
            </w:pPr>
          </w:p>
        </w:tc>
        <w:tc>
          <w:tcPr>
            <w:tcW w:w="1953" w:type="pct"/>
            <w:gridSpan w:val="4"/>
            <w:noWrap w:val="0"/>
            <w:vAlign w:val="center"/>
          </w:tcPr>
          <w:p w14:paraId="207FEEDB">
            <w:pPr>
              <w:spacing w:line="360" w:lineRule="auto"/>
              <w:rPr>
                <w:rFonts w:hint="eastAsia" w:ascii="宋体" w:hAnsi="宋体" w:cs="宋体"/>
                <w:color w:val="auto"/>
                <w:szCs w:val="21"/>
                <w:highlight w:val="none"/>
              </w:rPr>
            </w:pPr>
          </w:p>
        </w:tc>
        <w:tc>
          <w:tcPr>
            <w:tcW w:w="720" w:type="pct"/>
            <w:noWrap w:val="0"/>
            <w:vAlign w:val="center"/>
          </w:tcPr>
          <w:p w14:paraId="59303697">
            <w:pPr>
              <w:spacing w:line="360" w:lineRule="auto"/>
              <w:rPr>
                <w:rFonts w:hint="eastAsia" w:ascii="宋体" w:hAnsi="宋体" w:cs="宋体"/>
                <w:color w:val="auto"/>
                <w:szCs w:val="21"/>
                <w:highlight w:val="none"/>
              </w:rPr>
            </w:pPr>
          </w:p>
        </w:tc>
        <w:tc>
          <w:tcPr>
            <w:tcW w:w="1445" w:type="pct"/>
            <w:gridSpan w:val="2"/>
            <w:noWrap w:val="0"/>
            <w:vAlign w:val="center"/>
          </w:tcPr>
          <w:p w14:paraId="5B6776A2">
            <w:pPr>
              <w:spacing w:line="360" w:lineRule="auto"/>
              <w:rPr>
                <w:rFonts w:hint="eastAsia" w:ascii="宋体" w:hAnsi="宋体" w:cs="宋体"/>
                <w:color w:val="auto"/>
                <w:szCs w:val="21"/>
                <w:highlight w:val="none"/>
              </w:rPr>
            </w:pPr>
          </w:p>
        </w:tc>
      </w:tr>
      <w:tr w14:paraId="5D5A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0" w:type="pct"/>
            <w:gridSpan w:val="2"/>
            <w:noWrap w:val="0"/>
            <w:vAlign w:val="center"/>
          </w:tcPr>
          <w:p w14:paraId="4DA39677">
            <w:pPr>
              <w:spacing w:line="360" w:lineRule="auto"/>
              <w:rPr>
                <w:rFonts w:hint="eastAsia" w:ascii="宋体" w:hAnsi="宋体" w:cs="宋体"/>
                <w:color w:val="auto"/>
                <w:szCs w:val="21"/>
                <w:highlight w:val="none"/>
              </w:rPr>
            </w:pPr>
          </w:p>
        </w:tc>
        <w:tc>
          <w:tcPr>
            <w:tcW w:w="1953" w:type="pct"/>
            <w:gridSpan w:val="4"/>
            <w:noWrap w:val="0"/>
            <w:vAlign w:val="center"/>
          </w:tcPr>
          <w:p w14:paraId="1A6A8A84">
            <w:pPr>
              <w:spacing w:line="360" w:lineRule="auto"/>
              <w:rPr>
                <w:rFonts w:hint="eastAsia" w:ascii="宋体" w:hAnsi="宋体" w:cs="宋体"/>
                <w:color w:val="auto"/>
                <w:szCs w:val="21"/>
                <w:highlight w:val="none"/>
              </w:rPr>
            </w:pPr>
          </w:p>
        </w:tc>
        <w:tc>
          <w:tcPr>
            <w:tcW w:w="720" w:type="pct"/>
            <w:noWrap w:val="0"/>
            <w:vAlign w:val="center"/>
          </w:tcPr>
          <w:p w14:paraId="56BB83D9">
            <w:pPr>
              <w:spacing w:line="360" w:lineRule="auto"/>
              <w:rPr>
                <w:rFonts w:hint="eastAsia" w:ascii="宋体" w:hAnsi="宋体" w:cs="宋体"/>
                <w:color w:val="auto"/>
                <w:szCs w:val="21"/>
                <w:highlight w:val="none"/>
              </w:rPr>
            </w:pPr>
          </w:p>
        </w:tc>
        <w:tc>
          <w:tcPr>
            <w:tcW w:w="1445" w:type="pct"/>
            <w:gridSpan w:val="2"/>
            <w:noWrap w:val="0"/>
            <w:vAlign w:val="center"/>
          </w:tcPr>
          <w:p w14:paraId="582F4A82">
            <w:pPr>
              <w:spacing w:line="360" w:lineRule="auto"/>
              <w:rPr>
                <w:rFonts w:hint="eastAsia" w:ascii="宋体" w:hAnsi="宋体" w:cs="宋体"/>
                <w:color w:val="auto"/>
                <w:szCs w:val="21"/>
                <w:highlight w:val="none"/>
              </w:rPr>
            </w:pPr>
          </w:p>
        </w:tc>
      </w:tr>
      <w:tr w14:paraId="0310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0" w:type="pct"/>
            <w:gridSpan w:val="2"/>
            <w:noWrap w:val="0"/>
            <w:vAlign w:val="center"/>
          </w:tcPr>
          <w:p w14:paraId="08F5AD4E">
            <w:pPr>
              <w:spacing w:line="360" w:lineRule="auto"/>
              <w:rPr>
                <w:rFonts w:hint="eastAsia" w:ascii="宋体" w:hAnsi="宋体" w:cs="宋体"/>
                <w:color w:val="auto"/>
                <w:szCs w:val="21"/>
                <w:highlight w:val="none"/>
              </w:rPr>
            </w:pPr>
          </w:p>
        </w:tc>
        <w:tc>
          <w:tcPr>
            <w:tcW w:w="1953" w:type="pct"/>
            <w:gridSpan w:val="4"/>
            <w:noWrap w:val="0"/>
            <w:vAlign w:val="center"/>
          </w:tcPr>
          <w:p w14:paraId="62EF56DB">
            <w:pPr>
              <w:spacing w:line="360" w:lineRule="auto"/>
              <w:rPr>
                <w:rFonts w:hint="eastAsia" w:ascii="宋体" w:hAnsi="宋体" w:cs="宋体"/>
                <w:color w:val="auto"/>
                <w:szCs w:val="21"/>
                <w:highlight w:val="none"/>
              </w:rPr>
            </w:pPr>
          </w:p>
        </w:tc>
        <w:tc>
          <w:tcPr>
            <w:tcW w:w="720" w:type="pct"/>
            <w:noWrap w:val="0"/>
            <w:vAlign w:val="center"/>
          </w:tcPr>
          <w:p w14:paraId="0FBF1781">
            <w:pPr>
              <w:spacing w:line="360" w:lineRule="auto"/>
              <w:rPr>
                <w:rFonts w:hint="eastAsia" w:ascii="宋体" w:hAnsi="宋体" w:cs="宋体"/>
                <w:color w:val="auto"/>
                <w:szCs w:val="21"/>
                <w:highlight w:val="none"/>
              </w:rPr>
            </w:pPr>
          </w:p>
        </w:tc>
        <w:tc>
          <w:tcPr>
            <w:tcW w:w="1445" w:type="pct"/>
            <w:gridSpan w:val="2"/>
            <w:noWrap w:val="0"/>
            <w:vAlign w:val="center"/>
          </w:tcPr>
          <w:p w14:paraId="16E875B9">
            <w:pPr>
              <w:spacing w:line="360" w:lineRule="auto"/>
              <w:rPr>
                <w:rFonts w:hint="eastAsia" w:ascii="宋体" w:hAnsi="宋体" w:cs="宋体"/>
                <w:color w:val="auto"/>
                <w:szCs w:val="21"/>
                <w:highlight w:val="none"/>
              </w:rPr>
            </w:pPr>
          </w:p>
        </w:tc>
      </w:tr>
      <w:tr w14:paraId="7C91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0" w:type="pct"/>
            <w:gridSpan w:val="2"/>
            <w:noWrap w:val="0"/>
            <w:vAlign w:val="center"/>
          </w:tcPr>
          <w:p w14:paraId="3A0D9660">
            <w:pPr>
              <w:spacing w:line="360" w:lineRule="auto"/>
              <w:rPr>
                <w:rFonts w:hint="eastAsia" w:ascii="宋体" w:hAnsi="宋体" w:cs="宋体"/>
                <w:color w:val="auto"/>
                <w:szCs w:val="21"/>
                <w:highlight w:val="none"/>
              </w:rPr>
            </w:pPr>
          </w:p>
        </w:tc>
        <w:tc>
          <w:tcPr>
            <w:tcW w:w="1953" w:type="pct"/>
            <w:gridSpan w:val="4"/>
            <w:noWrap w:val="0"/>
            <w:vAlign w:val="center"/>
          </w:tcPr>
          <w:p w14:paraId="5BE00CF2">
            <w:pPr>
              <w:spacing w:line="360" w:lineRule="auto"/>
              <w:rPr>
                <w:rFonts w:hint="eastAsia" w:ascii="宋体" w:hAnsi="宋体" w:cs="宋体"/>
                <w:color w:val="auto"/>
                <w:szCs w:val="21"/>
                <w:highlight w:val="none"/>
              </w:rPr>
            </w:pPr>
          </w:p>
        </w:tc>
        <w:tc>
          <w:tcPr>
            <w:tcW w:w="720" w:type="pct"/>
            <w:noWrap w:val="0"/>
            <w:vAlign w:val="center"/>
          </w:tcPr>
          <w:p w14:paraId="6EF016FE">
            <w:pPr>
              <w:spacing w:line="360" w:lineRule="auto"/>
              <w:rPr>
                <w:rFonts w:hint="eastAsia" w:ascii="宋体" w:hAnsi="宋体" w:cs="宋体"/>
                <w:color w:val="auto"/>
                <w:szCs w:val="21"/>
                <w:highlight w:val="none"/>
              </w:rPr>
            </w:pPr>
          </w:p>
        </w:tc>
        <w:tc>
          <w:tcPr>
            <w:tcW w:w="1445" w:type="pct"/>
            <w:gridSpan w:val="2"/>
            <w:noWrap w:val="0"/>
            <w:vAlign w:val="center"/>
          </w:tcPr>
          <w:p w14:paraId="2581F709">
            <w:pPr>
              <w:spacing w:line="360" w:lineRule="auto"/>
              <w:rPr>
                <w:rFonts w:hint="eastAsia" w:ascii="宋体" w:hAnsi="宋体" w:cs="宋体"/>
                <w:color w:val="auto"/>
                <w:szCs w:val="21"/>
                <w:highlight w:val="none"/>
              </w:rPr>
            </w:pPr>
          </w:p>
        </w:tc>
      </w:tr>
      <w:tr w14:paraId="6B25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880" w:type="pct"/>
            <w:gridSpan w:val="2"/>
            <w:noWrap w:val="0"/>
            <w:vAlign w:val="center"/>
          </w:tcPr>
          <w:p w14:paraId="5AF5984F">
            <w:pPr>
              <w:spacing w:line="360" w:lineRule="auto"/>
              <w:rPr>
                <w:rFonts w:hint="eastAsia" w:ascii="宋体" w:hAnsi="宋体" w:cs="宋体"/>
                <w:color w:val="auto"/>
                <w:szCs w:val="21"/>
                <w:highlight w:val="none"/>
              </w:rPr>
            </w:pPr>
          </w:p>
        </w:tc>
        <w:tc>
          <w:tcPr>
            <w:tcW w:w="1953" w:type="pct"/>
            <w:gridSpan w:val="4"/>
            <w:noWrap w:val="0"/>
            <w:vAlign w:val="center"/>
          </w:tcPr>
          <w:p w14:paraId="6C0C46AB">
            <w:pPr>
              <w:spacing w:line="360" w:lineRule="auto"/>
              <w:rPr>
                <w:rFonts w:hint="eastAsia" w:ascii="宋体" w:hAnsi="宋体" w:cs="宋体"/>
                <w:color w:val="auto"/>
                <w:szCs w:val="21"/>
                <w:highlight w:val="none"/>
              </w:rPr>
            </w:pPr>
          </w:p>
        </w:tc>
        <w:tc>
          <w:tcPr>
            <w:tcW w:w="720" w:type="pct"/>
            <w:noWrap w:val="0"/>
            <w:vAlign w:val="center"/>
          </w:tcPr>
          <w:p w14:paraId="4700AA8D">
            <w:pPr>
              <w:spacing w:line="360" w:lineRule="auto"/>
              <w:rPr>
                <w:rFonts w:hint="eastAsia" w:ascii="宋体" w:hAnsi="宋体" w:cs="宋体"/>
                <w:color w:val="auto"/>
                <w:szCs w:val="21"/>
                <w:highlight w:val="none"/>
              </w:rPr>
            </w:pPr>
          </w:p>
        </w:tc>
        <w:tc>
          <w:tcPr>
            <w:tcW w:w="1445" w:type="pct"/>
            <w:gridSpan w:val="2"/>
            <w:noWrap w:val="0"/>
            <w:vAlign w:val="center"/>
          </w:tcPr>
          <w:p w14:paraId="39709B4C">
            <w:pPr>
              <w:spacing w:line="360" w:lineRule="auto"/>
              <w:rPr>
                <w:rFonts w:hint="eastAsia" w:ascii="宋体" w:hAnsi="宋体" w:cs="宋体"/>
                <w:color w:val="auto"/>
                <w:szCs w:val="21"/>
                <w:highlight w:val="none"/>
              </w:rPr>
            </w:pPr>
          </w:p>
        </w:tc>
      </w:tr>
    </w:tbl>
    <w:p w14:paraId="55B9FCB7">
      <w:pPr>
        <w:spacing w:line="400" w:lineRule="exact"/>
        <w:rPr>
          <w:rFonts w:hint="eastAsia" w:ascii="宋体" w:hAnsi="宋体" w:cs="宋体"/>
          <w:color w:val="auto"/>
          <w:sz w:val="19"/>
          <w:szCs w:val="19"/>
          <w:highlight w:val="none"/>
        </w:rPr>
      </w:pPr>
      <w:r>
        <w:rPr>
          <w:rFonts w:hint="eastAsia" w:ascii="宋体" w:hAnsi="宋体" w:cs="宋体"/>
          <w:color w:val="auto"/>
          <w:szCs w:val="21"/>
          <w:highlight w:val="none"/>
        </w:rPr>
        <w:t>注</w:t>
      </w:r>
      <w:r>
        <w:rPr>
          <w:rFonts w:hint="eastAsia" w:ascii="宋体" w:hAnsi="宋体" w:cs="宋体"/>
          <w:color w:val="auto"/>
          <w:highlight w:val="none"/>
        </w:rPr>
        <w:t>：要求提交项目管理架构人员最低配置承诺书的，可不填写本表。</w:t>
      </w:r>
    </w:p>
    <w:p w14:paraId="76BCF92D">
      <w:pPr>
        <w:spacing w:line="400" w:lineRule="exact"/>
        <w:rPr>
          <w:rFonts w:hint="eastAsia" w:ascii="宋体" w:hAnsi="宋体" w:cs="宋体"/>
          <w:color w:val="auto"/>
          <w:sz w:val="20"/>
          <w:szCs w:val="20"/>
          <w:highlight w:val="none"/>
        </w:rPr>
      </w:pPr>
    </w:p>
    <w:p w14:paraId="15F721A0">
      <w:pPr>
        <w:pageBreakBefore/>
        <w:spacing w:before="120" w:line="400" w:lineRule="exact"/>
        <w:ind w:left="1077" w:hanging="1077"/>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（三）项目管理架构人员最低配置承诺书（参考格式）</w:t>
      </w:r>
    </w:p>
    <w:p w14:paraId="253DF7FD">
      <w:pPr>
        <w:spacing w:before="120" w:line="520" w:lineRule="exact"/>
        <w:ind w:left="960" w:hanging="960"/>
        <w:rPr>
          <w:rFonts w:hint="eastAsia" w:ascii="宋体" w:hAnsi="宋体" w:cs="宋体"/>
          <w:color w:val="auto"/>
          <w:szCs w:val="32"/>
          <w:highlight w:val="none"/>
        </w:rPr>
      </w:pPr>
      <w:r>
        <w:rPr>
          <w:rFonts w:hint="eastAsia" w:ascii="宋体" w:hAnsi="宋体" w:cs="宋体"/>
          <w:color w:val="auto"/>
          <w:szCs w:val="32"/>
          <w:highlight w:val="none"/>
        </w:rPr>
        <w:t>致（招标人）：</w:t>
      </w:r>
    </w:p>
    <w:p w14:paraId="7D626285">
      <w:pPr>
        <w:spacing w:before="120" w:line="520" w:lineRule="exact"/>
        <w:ind w:left="6" w:leftChars="3" w:firstLine="420" w:firstLineChars="200"/>
        <w:rPr>
          <w:rFonts w:hint="eastAsia" w:ascii="宋体" w:hAnsi="宋体" w:cs="宋体"/>
          <w:b/>
          <w:bCs/>
          <w:color w:val="auto"/>
          <w:szCs w:val="32"/>
          <w:highlight w:val="none"/>
        </w:rPr>
      </w:pPr>
      <w:r>
        <w:rPr>
          <w:rFonts w:hint="eastAsia" w:ascii="宋体" w:hAnsi="宋体" w:cs="宋体"/>
          <w:color w:val="auto"/>
          <w:szCs w:val="32"/>
          <w:highlight w:val="none"/>
        </w:rPr>
        <w:t>我公司参与</w:t>
      </w:r>
      <w:r>
        <w:rPr>
          <w:rFonts w:hint="eastAsia" w:ascii="宋体" w:hAnsi="宋体" w:cs="宋体"/>
          <w:color w:val="auto"/>
          <w:szCs w:val="32"/>
          <w:highlight w:val="none"/>
          <w:u w:val="single"/>
        </w:rPr>
        <w:t xml:space="preserve">    （项目名称）   </w:t>
      </w:r>
      <w:r>
        <w:rPr>
          <w:rFonts w:hint="eastAsia" w:ascii="宋体" w:hAnsi="宋体" w:cs="宋体"/>
          <w:color w:val="auto"/>
          <w:szCs w:val="32"/>
          <w:highlight w:val="none"/>
        </w:rPr>
        <w:t>投标，郑重承诺如下：</w:t>
      </w:r>
    </w:p>
    <w:tbl>
      <w:tblPr>
        <w:tblStyle w:val="17"/>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02"/>
        <w:gridCol w:w="2805"/>
        <w:gridCol w:w="885"/>
        <w:gridCol w:w="2910"/>
      </w:tblGrid>
      <w:tr w14:paraId="7D59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566C5C35">
            <w:pPr>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1502" w:type="dxa"/>
            <w:tcBorders>
              <w:top w:val="single" w:color="auto" w:sz="4" w:space="0"/>
              <w:left w:val="nil"/>
              <w:bottom w:val="single" w:color="auto" w:sz="4" w:space="0"/>
              <w:right w:val="single" w:color="auto" w:sz="4" w:space="0"/>
            </w:tcBorders>
            <w:noWrap w:val="0"/>
            <w:vAlign w:val="center"/>
          </w:tcPr>
          <w:p w14:paraId="3900B257">
            <w:pPr>
              <w:snapToGrid w:val="0"/>
              <w:jc w:val="center"/>
              <w:rPr>
                <w:rFonts w:ascii="宋体" w:hAnsi="宋体"/>
                <w:b/>
                <w:color w:val="auto"/>
                <w:szCs w:val="21"/>
                <w:highlight w:val="none"/>
              </w:rPr>
            </w:pPr>
            <w:r>
              <w:rPr>
                <w:rFonts w:hint="eastAsia" w:ascii="宋体" w:hAnsi="宋体"/>
                <w:b/>
                <w:color w:val="auto"/>
                <w:szCs w:val="21"/>
                <w:highlight w:val="none"/>
              </w:rPr>
              <w:t>岗位</w:t>
            </w:r>
          </w:p>
        </w:tc>
        <w:tc>
          <w:tcPr>
            <w:tcW w:w="2805" w:type="dxa"/>
            <w:tcBorders>
              <w:top w:val="single" w:color="auto" w:sz="4" w:space="0"/>
              <w:left w:val="nil"/>
              <w:bottom w:val="single" w:color="auto" w:sz="4" w:space="0"/>
              <w:right w:val="single" w:color="auto" w:sz="4" w:space="0"/>
            </w:tcBorders>
            <w:noWrap w:val="0"/>
            <w:vAlign w:val="center"/>
          </w:tcPr>
          <w:p w14:paraId="24F3E31E">
            <w:pPr>
              <w:snapToGrid w:val="0"/>
              <w:jc w:val="center"/>
              <w:rPr>
                <w:rFonts w:ascii="宋体" w:hAnsi="宋体"/>
                <w:b/>
                <w:color w:val="auto"/>
                <w:szCs w:val="21"/>
                <w:highlight w:val="none"/>
              </w:rPr>
            </w:pPr>
            <w:r>
              <w:rPr>
                <w:rFonts w:hint="eastAsia" w:ascii="宋体" w:hAnsi="宋体"/>
                <w:b/>
                <w:color w:val="auto"/>
                <w:szCs w:val="21"/>
                <w:highlight w:val="none"/>
              </w:rPr>
              <w:t>资格要求</w:t>
            </w:r>
          </w:p>
        </w:tc>
        <w:tc>
          <w:tcPr>
            <w:tcW w:w="885" w:type="dxa"/>
            <w:tcBorders>
              <w:top w:val="single" w:color="auto" w:sz="4" w:space="0"/>
              <w:left w:val="nil"/>
              <w:bottom w:val="single" w:color="auto" w:sz="4" w:space="0"/>
              <w:right w:val="single" w:color="auto" w:sz="4" w:space="0"/>
            </w:tcBorders>
            <w:noWrap w:val="0"/>
            <w:vAlign w:val="center"/>
          </w:tcPr>
          <w:p w14:paraId="64849CEE">
            <w:pPr>
              <w:snapToGrid w:val="0"/>
              <w:jc w:val="center"/>
              <w:rPr>
                <w:rFonts w:ascii="宋体" w:hAnsi="宋体"/>
                <w:b/>
                <w:color w:val="auto"/>
                <w:szCs w:val="21"/>
                <w:highlight w:val="none"/>
              </w:rPr>
            </w:pPr>
            <w:r>
              <w:rPr>
                <w:rFonts w:hint="eastAsia" w:ascii="宋体" w:hAnsi="宋体"/>
                <w:b/>
                <w:color w:val="auto"/>
                <w:szCs w:val="21"/>
                <w:highlight w:val="none"/>
              </w:rPr>
              <w:t>数量</w:t>
            </w:r>
          </w:p>
        </w:tc>
        <w:tc>
          <w:tcPr>
            <w:tcW w:w="2910" w:type="dxa"/>
            <w:tcBorders>
              <w:top w:val="single" w:color="auto" w:sz="4" w:space="0"/>
              <w:left w:val="nil"/>
              <w:bottom w:val="single" w:color="auto" w:sz="4" w:space="0"/>
              <w:right w:val="single" w:color="auto" w:sz="4" w:space="0"/>
            </w:tcBorders>
            <w:noWrap w:val="0"/>
            <w:vAlign w:val="center"/>
          </w:tcPr>
          <w:p w14:paraId="38E2DD3D">
            <w:pPr>
              <w:snapToGrid w:val="0"/>
              <w:jc w:val="center"/>
              <w:rPr>
                <w:rFonts w:ascii="宋体" w:hAnsi="宋体"/>
                <w:b/>
                <w:color w:val="auto"/>
                <w:szCs w:val="21"/>
                <w:highlight w:val="none"/>
              </w:rPr>
            </w:pPr>
            <w:r>
              <w:rPr>
                <w:rFonts w:hint="eastAsia" w:ascii="宋体" w:hAnsi="宋体"/>
                <w:b/>
                <w:color w:val="auto"/>
                <w:szCs w:val="21"/>
                <w:highlight w:val="none"/>
              </w:rPr>
              <w:t>备注</w:t>
            </w:r>
          </w:p>
        </w:tc>
      </w:tr>
      <w:tr w14:paraId="3C70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629FC450">
            <w:pPr>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1502" w:type="dxa"/>
            <w:tcBorders>
              <w:top w:val="single" w:color="auto" w:sz="4" w:space="0"/>
              <w:left w:val="nil"/>
              <w:bottom w:val="single" w:color="auto" w:sz="4" w:space="0"/>
              <w:right w:val="single" w:color="auto" w:sz="4" w:space="0"/>
            </w:tcBorders>
            <w:noWrap w:val="0"/>
            <w:vAlign w:val="center"/>
          </w:tcPr>
          <w:p w14:paraId="0BA90B2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2805" w:type="dxa"/>
            <w:tcBorders>
              <w:top w:val="single" w:color="auto" w:sz="4" w:space="0"/>
              <w:left w:val="nil"/>
              <w:bottom w:val="single" w:color="auto" w:sz="4" w:space="0"/>
              <w:right w:val="single" w:color="auto" w:sz="4" w:space="0"/>
            </w:tcBorders>
            <w:noWrap w:val="0"/>
            <w:vAlign w:val="center"/>
          </w:tcPr>
          <w:p w14:paraId="15BDB919">
            <w:pPr>
              <w:snapToGrid w:val="0"/>
              <w:spacing w:line="276" w:lineRule="auto"/>
              <w:jc w:val="left"/>
              <w:rPr>
                <w:rFonts w:ascii="宋体" w:hAnsi="宋体"/>
                <w:color w:val="auto"/>
                <w:szCs w:val="21"/>
                <w:highlight w:val="none"/>
              </w:rPr>
            </w:pPr>
            <w:r>
              <w:rPr>
                <w:rFonts w:hint="eastAsia" w:ascii="宋体" w:hAnsi="宋体"/>
                <w:color w:val="auto"/>
                <w:szCs w:val="21"/>
                <w:highlight w:val="none"/>
              </w:rPr>
              <w:t>与招标公告要求一致</w:t>
            </w:r>
          </w:p>
        </w:tc>
        <w:tc>
          <w:tcPr>
            <w:tcW w:w="885" w:type="dxa"/>
            <w:tcBorders>
              <w:top w:val="single" w:color="auto" w:sz="4" w:space="0"/>
              <w:left w:val="nil"/>
              <w:bottom w:val="single" w:color="auto" w:sz="4" w:space="0"/>
              <w:right w:val="single" w:color="auto" w:sz="4" w:space="0"/>
            </w:tcBorders>
            <w:noWrap w:val="0"/>
            <w:vAlign w:val="center"/>
          </w:tcPr>
          <w:p w14:paraId="71F49E7A">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1</w:t>
            </w:r>
          </w:p>
        </w:tc>
        <w:tc>
          <w:tcPr>
            <w:tcW w:w="2910" w:type="dxa"/>
            <w:tcBorders>
              <w:top w:val="single" w:color="auto" w:sz="4" w:space="0"/>
              <w:left w:val="nil"/>
              <w:bottom w:val="single" w:color="auto" w:sz="4" w:space="0"/>
              <w:right w:val="single" w:color="auto" w:sz="4" w:space="0"/>
            </w:tcBorders>
            <w:noWrap w:val="0"/>
            <w:vAlign w:val="center"/>
          </w:tcPr>
          <w:p w14:paraId="14F3C252">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填报人员与资格审查提供的人员一致。</w:t>
            </w:r>
          </w:p>
        </w:tc>
      </w:tr>
      <w:tr w14:paraId="3A09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563F3379">
            <w:pPr>
              <w:snapToGrid w:val="0"/>
              <w:spacing w:line="276" w:lineRule="auto"/>
              <w:jc w:val="center"/>
              <w:rPr>
                <w:rFonts w:ascii="宋体" w:hAnsi="宋体"/>
                <w:color w:val="auto"/>
                <w:szCs w:val="21"/>
                <w:highlight w:val="none"/>
              </w:rPr>
            </w:pPr>
            <w:r>
              <w:rPr>
                <w:rFonts w:ascii="宋体" w:hAnsi="宋体"/>
                <w:color w:val="auto"/>
                <w:szCs w:val="21"/>
                <w:highlight w:val="none"/>
              </w:rPr>
              <w:t>2</w:t>
            </w:r>
          </w:p>
        </w:tc>
        <w:tc>
          <w:tcPr>
            <w:tcW w:w="1502" w:type="dxa"/>
            <w:tcBorders>
              <w:top w:val="single" w:color="auto" w:sz="4" w:space="0"/>
              <w:left w:val="nil"/>
              <w:bottom w:val="single" w:color="auto" w:sz="4" w:space="0"/>
              <w:right w:val="single" w:color="auto" w:sz="4" w:space="0"/>
            </w:tcBorders>
            <w:noWrap w:val="0"/>
            <w:vAlign w:val="center"/>
          </w:tcPr>
          <w:p w14:paraId="5A21219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技术负责人</w:t>
            </w:r>
          </w:p>
        </w:tc>
        <w:tc>
          <w:tcPr>
            <w:tcW w:w="2805" w:type="dxa"/>
            <w:tcBorders>
              <w:top w:val="single" w:color="auto" w:sz="4" w:space="0"/>
              <w:left w:val="nil"/>
              <w:bottom w:val="single" w:color="auto" w:sz="4" w:space="0"/>
              <w:right w:val="single" w:color="auto" w:sz="4" w:space="0"/>
            </w:tcBorders>
            <w:noWrap w:val="0"/>
            <w:vAlign w:val="center"/>
          </w:tcPr>
          <w:p w14:paraId="574C9DF1">
            <w:pPr>
              <w:snapToGrid w:val="0"/>
              <w:spacing w:line="276" w:lineRule="auto"/>
              <w:jc w:val="left"/>
              <w:rPr>
                <w:rFonts w:ascii="宋体" w:hAnsi="宋体"/>
                <w:color w:val="auto"/>
                <w:szCs w:val="21"/>
                <w:highlight w:val="none"/>
              </w:rPr>
            </w:pPr>
            <w:r>
              <w:rPr>
                <w:rFonts w:hint="eastAsia" w:ascii="宋体" w:hAnsi="宋体"/>
                <w:color w:val="auto"/>
                <w:szCs w:val="21"/>
                <w:highlight w:val="none"/>
                <w:lang w:val="en-US" w:eastAsia="zh-CN"/>
              </w:rPr>
              <w:t>市政公用</w:t>
            </w:r>
            <w:r>
              <w:rPr>
                <w:rFonts w:hint="eastAsia" w:ascii="宋体" w:hAnsi="宋体"/>
                <w:color w:val="auto"/>
                <w:szCs w:val="21"/>
                <w:highlight w:val="none"/>
              </w:rPr>
              <w:t>工程类</w:t>
            </w:r>
            <w:r>
              <w:rPr>
                <w:rFonts w:hint="eastAsia" w:ascii="宋体" w:hAnsi="宋体"/>
                <w:color w:val="auto"/>
                <w:szCs w:val="21"/>
                <w:highlight w:val="none"/>
                <w:lang w:val="en-US" w:eastAsia="zh-CN"/>
              </w:rPr>
              <w:t>中</w:t>
            </w:r>
            <w:r>
              <w:rPr>
                <w:rFonts w:hint="eastAsia" w:ascii="宋体" w:hAnsi="宋体"/>
                <w:color w:val="auto"/>
                <w:szCs w:val="21"/>
                <w:highlight w:val="none"/>
              </w:rPr>
              <w:t>级</w:t>
            </w:r>
            <w:r>
              <w:rPr>
                <w:rFonts w:hint="eastAsia" w:ascii="宋体" w:hAnsi="宋体"/>
                <w:color w:val="auto"/>
                <w:szCs w:val="21"/>
                <w:highlight w:val="none"/>
                <w:lang w:val="en-US" w:eastAsia="zh-CN"/>
              </w:rPr>
              <w:t>或以上</w:t>
            </w:r>
            <w:r>
              <w:rPr>
                <w:rFonts w:hint="eastAsia" w:ascii="宋体" w:hAnsi="宋体"/>
                <w:color w:val="auto"/>
                <w:szCs w:val="21"/>
                <w:highlight w:val="none"/>
              </w:rPr>
              <w:t>工程师</w:t>
            </w:r>
          </w:p>
        </w:tc>
        <w:tc>
          <w:tcPr>
            <w:tcW w:w="885" w:type="dxa"/>
            <w:tcBorders>
              <w:top w:val="single" w:color="auto" w:sz="4" w:space="0"/>
              <w:left w:val="nil"/>
              <w:bottom w:val="single" w:color="auto" w:sz="4" w:space="0"/>
              <w:right w:val="single" w:color="auto" w:sz="4" w:space="0"/>
            </w:tcBorders>
            <w:noWrap w:val="0"/>
            <w:vAlign w:val="center"/>
          </w:tcPr>
          <w:p w14:paraId="02C34DF3">
            <w:pPr>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2910" w:type="dxa"/>
            <w:tcBorders>
              <w:top w:val="single" w:color="auto" w:sz="4" w:space="0"/>
              <w:left w:val="nil"/>
              <w:bottom w:val="single" w:color="auto" w:sz="4" w:space="0"/>
              <w:right w:val="single" w:color="auto" w:sz="4" w:space="0"/>
            </w:tcBorders>
            <w:noWrap w:val="0"/>
            <w:vAlign w:val="center"/>
          </w:tcPr>
          <w:p w14:paraId="34E47C7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不得由项目负责人或专职安全员兼职。</w:t>
            </w:r>
          </w:p>
        </w:tc>
      </w:tr>
      <w:tr w14:paraId="6A77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2DE47428">
            <w:pPr>
              <w:snapToGrid w:val="0"/>
              <w:spacing w:line="276" w:lineRule="auto"/>
              <w:jc w:val="center"/>
              <w:rPr>
                <w:rFonts w:ascii="宋体" w:hAnsi="宋体"/>
                <w:color w:val="auto"/>
                <w:szCs w:val="21"/>
                <w:highlight w:val="none"/>
              </w:rPr>
            </w:pPr>
            <w:r>
              <w:rPr>
                <w:rFonts w:ascii="宋体" w:hAnsi="宋体"/>
                <w:color w:val="auto"/>
                <w:szCs w:val="21"/>
                <w:highlight w:val="none"/>
              </w:rPr>
              <w:t>3</w:t>
            </w:r>
          </w:p>
        </w:tc>
        <w:tc>
          <w:tcPr>
            <w:tcW w:w="1502" w:type="dxa"/>
            <w:tcBorders>
              <w:top w:val="single" w:color="auto" w:sz="4" w:space="0"/>
              <w:left w:val="nil"/>
              <w:bottom w:val="single" w:color="auto" w:sz="4" w:space="0"/>
              <w:right w:val="single" w:color="auto" w:sz="4" w:space="0"/>
            </w:tcBorders>
            <w:noWrap w:val="0"/>
            <w:vAlign w:val="center"/>
          </w:tcPr>
          <w:p w14:paraId="6A4BED3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专职安全员</w:t>
            </w:r>
          </w:p>
        </w:tc>
        <w:tc>
          <w:tcPr>
            <w:tcW w:w="2805" w:type="dxa"/>
            <w:tcBorders>
              <w:top w:val="single" w:color="auto" w:sz="4" w:space="0"/>
              <w:left w:val="nil"/>
              <w:bottom w:val="single" w:color="auto" w:sz="4" w:space="0"/>
              <w:right w:val="single" w:color="auto" w:sz="4" w:space="0"/>
            </w:tcBorders>
            <w:noWrap w:val="0"/>
            <w:vAlign w:val="center"/>
          </w:tcPr>
          <w:p w14:paraId="122D5EC3">
            <w:pPr>
              <w:snapToGrid w:val="0"/>
              <w:spacing w:line="276" w:lineRule="auto"/>
              <w:jc w:val="left"/>
              <w:rPr>
                <w:rFonts w:ascii="宋体" w:hAnsi="宋体"/>
                <w:color w:val="auto"/>
                <w:szCs w:val="21"/>
                <w:highlight w:val="none"/>
              </w:rPr>
            </w:pPr>
            <w:r>
              <w:rPr>
                <w:rFonts w:hint="eastAsia" w:ascii="宋体" w:hAnsi="宋体"/>
                <w:color w:val="auto"/>
                <w:szCs w:val="21"/>
                <w:highlight w:val="none"/>
              </w:rPr>
              <w:t>与招标公告要求一致</w:t>
            </w:r>
          </w:p>
        </w:tc>
        <w:tc>
          <w:tcPr>
            <w:tcW w:w="885" w:type="dxa"/>
            <w:tcBorders>
              <w:top w:val="single" w:color="auto" w:sz="4" w:space="0"/>
              <w:left w:val="nil"/>
              <w:bottom w:val="single" w:color="auto" w:sz="4" w:space="0"/>
              <w:right w:val="single" w:color="auto" w:sz="4" w:space="0"/>
            </w:tcBorders>
            <w:noWrap w:val="0"/>
            <w:vAlign w:val="center"/>
          </w:tcPr>
          <w:p w14:paraId="6BE4E8E2">
            <w:pPr>
              <w:snapToGrid w:val="0"/>
              <w:spacing w:line="276"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2910" w:type="dxa"/>
            <w:tcBorders>
              <w:top w:val="single" w:color="auto" w:sz="4" w:space="0"/>
              <w:left w:val="nil"/>
              <w:bottom w:val="single" w:color="auto" w:sz="4" w:space="0"/>
              <w:right w:val="single" w:color="auto" w:sz="4" w:space="0"/>
            </w:tcBorders>
            <w:noWrap w:val="0"/>
            <w:vAlign w:val="center"/>
          </w:tcPr>
          <w:p w14:paraId="128074E1">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填报人员与资格审查提供的人员一致。</w:t>
            </w:r>
          </w:p>
        </w:tc>
      </w:tr>
      <w:tr w14:paraId="7729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0E43C645">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4</w:t>
            </w:r>
          </w:p>
        </w:tc>
        <w:tc>
          <w:tcPr>
            <w:tcW w:w="1502" w:type="dxa"/>
            <w:tcBorders>
              <w:top w:val="single" w:color="auto" w:sz="4" w:space="0"/>
              <w:left w:val="nil"/>
              <w:bottom w:val="single" w:color="auto" w:sz="4" w:space="0"/>
              <w:right w:val="single" w:color="auto" w:sz="4" w:space="0"/>
            </w:tcBorders>
            <w:noWrap w:val="0"/>
            <w:vAlign w:val="center"/>
          </w:tcPr>
          <w:p w14:paraId="48EA712E">
            <w:pPr>
              <w:snapToGrid w:val="0"/>
              <w:spacing w:line="276" w:lineRule="auto"/>
              <w:jc w:val="center"/>
              <w:rPr>
                <w:rFonts w:ascii="宋体" w:hAnsi="宋体"/>
                <w:color w:val="auto"/>
                <w:szCs w:val="21"/>
                <w:highlight w:val="none"/>
              </w:rPr>
            </w:pPr>
            <w:r>
              <w:rPr>
                <w:rFonts w:hint="eastAsia" w:ascii="宋体" w:hAnsi="宋体"/>
                <w:color w:val="auto"/>
                <w:szCs w:val="21"/>
                <w:highlight w:val="none"/>
                <w:lang w:eastAsia="zh-CN"/>
              </w:rPr>
              <w:t>造价</w:t>
            </w:r>
            <w:r>
              <w:rPr>
                <w:rFonts w:hint="eastAsia" w:ascii="宋体" w:hAnsi="宋体"/>
                <w:color w:val="auto"/>
                <w:szCs w:val="21"/>
                <w:highlight w:val="none"/>
              </w:rPr>
              <w:t>员</w:t>
            </w:r>
          </w:p>
        </w:tc>
        <w:tc>
          <w:tcPr>
            <w:tcW w:w="2805" w:type="dxa"/>
            <w:tcBorders>
              <w:top w:val="single" w:color="auto" w:sz="4" w:space="0"/>
              <w:left w:val="nil"/>
              <w:bottom w:val="single" w:color="auto" w:sz="4" w:space="0"/>
              <w:right w:val="single" w:color="auto" w:sz="4" w:space="0"/>
            </w:tcBorders>
            <w:noWrap w:val="0"/>
            <w:vAlign w:val="center"/>
          </w:tcPr>
          <w:p w14:paraId="6CD41C02">
            <w:pPr>
              <w:snapToGrid w:val="0"/>
              <w:spacing w:line="276"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取得岗位证书（或培训证书）</w:t>
            </w:r>
          </w:p>
        </w:tc>
        <w:tc>
          <w:tcPr>
            <w:tcW w:w="885" w:type="dxa"/>
            <w:tcBorders>
              <w:top w:val="single" w:color="auto" w:sz="4" w:space="0"/>
              <w:left w:val="nil"/>
              <w:bottom w:val="single" w:color="auto" w:sz="4" w:space="0"/>
              <w:right w:val="single" w:color="auto" w:sz="4" w:space="0"/>
            </w:tcBorders>
            <w:noWrap w:val="0"/>
            <w:vAlign w:val="top"/>
          </w:tcPr>
          <w:p w14:paraId="10C742D3">
            <w:pPr>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2910" w:type="dxa"/>
            <w:tcBorders>
              <w:top w:val="single" w:color="auto" w:sz="4" w:space="0"/>
              <w:left w:val="nil"/>
              <w:bottom w:val="single" w:color="auto" w:sz="4" w:space="0"/>
              <w:right w:val="single" w:color="auto" w:sz="4" w:space="0"/>
            </w:tcBorders>
            <w:noWrap w:val="0"/>
            <w:vAlign w:val="center"/>
          </w:tcPr>
          <w:p w14:paraId="1A1A3B65">
            <w:pPr>
              <w:snapToGrid w:val="0"/>
              <w:spacing w:line="276" w:lineRule="auto"/>
              <w:jc w:val="center"/>
              <w:rPr>
                <w:rFonts w:ascii="宋体" w:hAnsi="宋体"/>
                <w:color w:val="auto"/>
                <w:szCs w:val="21"/>
                <w:highlight w:val="none"/>
              </w:rPr>
            </w:pPr>
          </w:p>
        </w:tc>
      </w:tr>
      <w:tr w14:paraId="18EA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0066E280">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5</w:t>
            </w:r>
          </w:p>
        </w:tc>
        <w:tc>
          <w:tcPr>
            <w:tcW w:w="1502" w:type="dxa"/>
            <w:tcBorders>
              <w:top w:val="single" w:color="auto" w:sz="4" w:space="0"/>
              <w:left w:val="nil"/>
              <w:bottom w:val="single" w:color="auto" w:sz="4" w:space="0"/>
              <w:right w:val="single" w:color="auto" w:sz="4" w:space="0"/>
            </w:tcBorders>
            <w:noWrap w:val="0"/>
            <w:vAlign w:val="center"/>
          </w:tcPr>
          <w:p w14:paraId="6D44D80E">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资料员</w:t>
            </w:r>
          </w:p>
        </w:tc>
        <w:tc>
          <w:tcPr>
            <w:tcW w:w="2805" w:type="dxa"/>
            <w:tcBorders>
              <w:top w:val="single" w:color="auto" w:sz="4" w:space="0"/>
              <w:left w:val="nil"/>
              <w:bottom w:val="single" w:color="auto" w:sz="4" w:space="0"/>
              <w:right w:val="single" w:color="auto" w:sz="4" w:space="0"/>
            </w:tcBorders>
            <w:noWrap w:val="0"/>
            <w:vAlign w:val="center"/>
          </w:tcPr>
          <w:p w14:paraId="19E7813B">
            <w:pPr>
              <w:snapToGrid w:val="0"/>
              <w:spacing w:line="276" w:lineRule="auto"/>
              <w:jc w:val="left"/>
              <w:rPr>
                <w:rFonts w:ascii="宋体" w:hAnsi="宋体"/>
                <w:color w:val="auto"/>
                <w:szCs w:val="21"/>
                <w:highlight w:val="none"/>
              </w:rPr>
            </w:pPr>
            <w:r>
              <w:rPr>
                <w:rFonts w:hint="eastAsia" w:ascii="宋体" w:hAnsi="宋体"/>
                <w:color w:val="auto"/>
                <w:szCs w:val="21"/>
                <w:highlight w:val="none"/>
                <w:lang w:eastAsia="zh-CN"/>
              </w:rPr>
              <w:t>取得岗位证书（或培训证书）</w:t>
            </w:r>
          </w:p>
        </w:tc>
        <w:tc>
          <w:tcPr>
            <w:tcW w:w="885" w:type="dxa"/>
            <w:tcBorders>
              <w:top w:val="single" w:color="auto" w:sz="4" w:space="0"/>
              <w:left w:val="nil"/>
              <w:bottom w:val="single" w:color="auto" w:sz="4" w:space="0"/>
              <w:right w:val="single" w:color="auto" w:sz="4" w:space="0"/>
            </w:tcBorders>
            <w:noWrap w:val="0"/>
            <w:vAlign w:val="top"/>
          </w:tcPr>
          <w:p w14:paraId="435BBB02">
            <w:pPr>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2910" w:type="dxa"/>
            <w:tcBorders>
              <w:top w:val="single" w:color="auto" w:sz="4" w:space="0"/>
              <w:left w:val="nil"/>
              <w:bottom w:val="single" w:color="auto" w:sz="4" w:space="0"/>
              <w:right w:val="single" w:color="auto" w:sz="4" w:space="0"/>
            </w:tcBorders>
            <w:noWrap w:val="0"/>
            <w:vAlign w:val="center"/>
          </w:tcPr>
          <w:p w14:paraId="29745D2E">
            <w:pPr>
              <w:snapToGrid w:val="0"/>
              <w:spacing w:line="276" w:lineRule="auto"/>
              <w:jc w:val="center"/>
              <w:rPr>
                <w:rFonts w:ascii="宋体" w:hAnsi="宋体"/>
                <w:color w:val="auto"/>
                <w:szCs w:val="21"/>
                <w:highlight w:val="none"/>
              </w:rPr>
            </w:pPr>
          </w:p>
        </w:tc>
      </w:tr>
      <w:tr w14:paraId="3C51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49881316">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6</w:t>
            </w:r>
          </w:p>
        </w:tc>
        <w:tc>
          <w:tcPr>
            <w:tcW w:w="1502" w:type="dxa"/>
            <w:tcBorders>
              <w:top w:val="single" w:color="auto" w:sz="4" w:space="0"/>
              <w:left w:val="nil"/>
              <w:bottom w:val="single" w:color="auto" w:sz="4" w:space="0"/>
              <w:right w:val="single" w:color="auto" w:sz="4" w:space="0"/>
            </w:tcBorders>
            <w:noWrap w:val="0"/>
            <w:vAlign w:val="center"/>
          </w:tcPr>
          <w:p w14:paraId="33157AC9">
            <w:pPr>
              <w:snapToGrid w:val="0"/>
              <w:spacing w:line="276" w:lineRule="auto"/>
              <w:jc w:val="center"/>
              <w:rPr>
                <w:rFonts w:ascii="宋体" w:hAnsi="宋体"/>
                <w:color w:val="auto"/>
                <w:szCs w:val="21"/>
                <w:highlight w:val="none"/>
              </w:rPr>
            </w:pPr>
            <w:r>
              <w:rPr>
                <w:rFonts w:hint="eastAsia" w:ascii="宋体" w:hAnsi="宋体"/>
                <w:color w:val="auto"/>
                <w:szCs w:val="21"/>
                <w:highlight w:val="none"/>
              </w:rPr>
              <w:t>施工员</w:t>
            </w:r>
          </w:p>
        </w:tc>
        <w:tc>
          <w:tcPr>
            <w:tcW w:w="2805" w:type="dxa"/>
            <w:tcBorders>
              <w:top w:val="single" w:color="auto" w:sz="4" w:space="0"/>
              <w:left w:val="nil"/>
              <w:bottom w:val="single" w:color="auto" w:sz="4" w:space="0"/>
              <w:right w:val="single" w:color="auto" w:sz="4" w:space="0"/>
            </w:tcBorders>
            <w:noWrap w:val="0"/>
            <w:vAlign w:val="center"/>
          </w:tcPr>
          <w:p w14:paraId="603021DC">
            <w:pPr>
              <w:snapToGrid w:val="0"/>
              <w:spacing w:line="276" w:lineRule="auto"/>
              <w:jc w:val="left"/>
              <w:rPr>
                <w:rFonts w:ascii="宋体" w:hAnsi="宋体"/>
                <w:color w:val="auto"/>
                <w:szCs w:val="21"/>
                <w:highlight w:val="none"/>
              </w:rPr>
            </w:pPr>
            <w:r>
              <w:rPr>
                <w:rFonts w:hint="eastAsia" w:ascii="宋体" w:hAnsi="宋体"/>
                <w:color w:val="auto"/>
                <w:szCs w:val="21"/>
                <w:highlight w:val="none"/>
                <w:lang w:eastAsia="zh-CN"/>
              </w:rPr>
              <w:t>取得岗位证书（或培训证书）</w:t>
            </w:r>
          </w:p>
        </w:tc>
        <w:tc>
          <w:tcPr>
            <w:tcW w:w="885" w:type="dxa"/>
            <w:tcBorders>
              <w:top w:val="single" w:color="auto" w:sz="4" w:space="0"/>
              <w:left w:val="nil"/>
              <w:bottom w:val="single" w:color="auto" w:sz="4" w:space="0"/>
              <w:right w:val="single" w:color="auto" w:sz="4" w:space="0"/>
            </w:tcBorders>
            <w:noWrap w:val="0"/>
            <w:vAlign w:val="top"/>
          </w:tcPr>
          <w:p w14:paraId="61F2CD8E">
            <w:pPr>
              <w:snapToGrid w:val="0"/>
              <w:spacing w:line="276" w:lineRule="auto"/>
              <w:jc w:val="center"/>
              <w:rPr>
                <w:rFonts w:ascii="宋体" w:hAnsi="宋体"/>
                <w:color w:val="auto"/>
                <w:szCs w:val="21"/>
                <w:highlight w:val="none"/>
              </w:rPr>
            </w:pPr>
            <w:r>
              <w:rPr>
                <w:rFonts w:ascii="宋体" w:hAnsi="宋体"/>
                <w:color w:val="auto"/>
                <w:szCs w:val="21"/>
                <w:highlight w:val="none"/>
              </w:rPr>
              <w:t>1</w:t>
            </w:r>
          </w:p>
        </w:tc>
        <w:tc>
          <w:tcPr>
            <w:tcW w:w="2910" w:type="dxa"/>
            <w:tcBorders>
              <w:top w:val="single" w:color="auto" w:sz="4" w:space="0"/>
              <w:left w:val="nil"/>
              <w:bottom w:val="single" w:color="auto" w:sz="4" w:space="0"/>
              <w:right w:val="single" w:color="auto" w:sz="4" w:space="0"/>
            </w:tcBorders>
            <w:noWrap w:val="0"/>
            <w:vAlign w:val="center"/>
          </w:tcPr>
          <w:p w14:paraId="7A4F998F">
            <w:pPr>
              <w:snapToGrid w:val="0"/>
              <w:spacing w:line="276" w:lineRule="auto"/>
              <w:jc w:val="center"/>
              <w:rPr>
                <w:rFonts w:ascii="宋体" w:hAnsi="宋体"/>
                <w:color w:val="auto"/>
                <w:szCs w:val="21"/>
                <w:highlight w:val="none"/>
              </w:rPr>
            </w:pPr>
          </w:p>
        </w:tc>
      </w:tr>
    </w:tbl>
    <w:p w14:paraId="7C7430D1">
      <w:pPr>
        <w:spacing w:before="120" w:line="400" w:lineRule="exact"/>
        <w:ind w:right="42" w:rightChars="20"/>
        <w:rPr>
          <w:rFonts w:hint="eastAsia" w:ascii="宋体" w:hAnsi="宋体" w:cs="宋体"/>
          <w:color w:val="auto"/>
          <w:sz w:val="24"/>
          <w:highlight w:val="none"/>
        </w:rPr>
      </w:pPr>
    </w:p>
    <w:p w14:paraId="597C6F02">
      <w:pPr>
        <w:spacing w:before="120" w:line="400" w:lineRule="exact"/>
        <w:ind w:right="42" w:rightChars="20"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14:paraId="20FAE563">
      <w:pPr>
        <w:spacing w:before="120" w:line="400" w:lineRule="exact"/>
        <w:ind w:right="42" w:rightChars="20" w:firstLine="480" w:firstLineChars="200"/>
        <w:rPr>
          <w:rFonts w:hint="eastAsia" w:ascii="宋体" w:hAnsi="宋体" w:cs="宋体"/>
          <w:color w:val="auto"/>
          <w:sz w:val="24"/>
          <w:highlight w:val="none"/>
        </w:rPr>
      </w:pPr>
      <w:r>
        <w:rPr>
          <w:rFonts w:hint="eastAsia" w:ascii="宋体" w:hAnsi="宋体" w:cs="宋体"/>
          <w:color w:val="auto"/>
          <w:sz w:val="24"/>
          <w:highlight w:val="none"/>
        </w:rPr>
        <w:t>如我公司违反上述承诺，我公司自愿放弃本项目中标资格。</w:t>
      </w:r>
    </w:p>
    <w:p w14:paraId="4399E758">
      <w:pPr>
        <w:spacing w:before="120" w:line="400" w:lineRule="exact"/>
        <w:ind w:right="42" w:rightChars="20" w:firstLine="480" w:firstLineChars="200"/>
        <w:rPr>
          <w:rFonts w:hint="eastAsia" w:ascii="宋体" w:hAnsi="宋体" w:cs="宋体"/>
          <w:color w:val="auto"/>
          <w:sz w:val="24"/>
          <w:highlight w:val="none"/>
        </w:rPr>
      </w:pPr>
      <w:r>
        <w:rPr>
          <w:rFonts w:hint="eastAsia" w:ascii="宋体" w:hAnsi="宋体" w:cs="宋体"/>
          <w:color w:val="auto"/>
          <w:sz w:val="24"/>
          <w:highlight w:val="none"/>
        </w:rPr>
        <w:t>若因人员不足或人员素质不能满足工程实际需要时，我方将无条件按照业主和监理工程师的要求更换或增加相关人员。</w:t>
      </w:r>
    </w:p>
    <w:p w14:paraId="3D4E6D8D">
      <w:pPr>
        <w:spacing w:before="120" w:line="400" w:lineRule="exact"/>
        <w:ind w:left="720" w:hanging="720"/>
        <w:jc w:val="right"/>
        <w:rPr>
          <w:rFonts w:hint="eastAsia" w:ascii="宋体" w:hAnsi="宋体" w:cs="宋体"/>
          <w:color w:val="auto"/>
          <w:sz w:val="24"/>
          <w:highlight w:val="none"/>
        </w:rPr>
      </w:pPr>
    </w:p>
    <w:p w14:paraId="1B1BC999">
      <w:pPr>
        <w:spacing w:before="120" w:line="400" w:lineRule="exact"/>
        <w:ind w:left="720" w:hanging="720"/>
        <w:jc w:val="right"/>
        <w:rPr>
          <w:rFonts w:hint="eastAsia" w:ascii="宋体" w:hAnsi="宋体" w:cs="宋体"/>
          <w:color w:val="auto"/>
          <w:sz w:val="24"/>
          <w:highlight w:val="none"/>
        </w:rPr>
      </w:pPr>
    </w:p>
    <w:p w14:paraId="6F290BBA">
      <w:pPr>
        <w:wordWrap w:val="0"/>
        <w:spacing w:before="120" w:line="400" w:lineRule="exact"/>
        <w:ind w:left="720" w:hanging="720"/>
        <w:jc w:val="right"/>
        <w:rPr>
          <w:rFonts w:hint="eastAsia" w:ascii="宋体" w:hAnsi="宋体" w:cs="宋体"/>
          <w:color w:val="auto"/>
          <w:sz w:val="24"/>
          <w:highlight w:val="none"/>
        </w:rPr>
      </w:pPr>
      <w:r>
        <w:rPr>
          <w:rFonts w:hint="eastAsia" w:ascii="宋体" w:hAnsi="宋体" w:cs="宋体"/>
          <w:color w:val="auto"/>
          <w:sz w:val="24"/>
          <w:highlight w:val="none"/>
        </w:rPr>
        <w:t xml:space="preserve">法定代表人或其委托代理人：（签字）                     </w:t>
      </w:r>
    </w:p>
    <w:p w14:paraId="45B4356C">
      <w:pPr>
        <w:spacing w:line="400" w:lineRule="exact"/>
        <w:rPr>
          <w:rFonts w:hint="eastAsia" w:ascii="宋体" w:hAnsi="宋体" w:cs="宋体"/>
          <w:color w:val="auto"/>
          <w:sz w:val="19"/>
          <w:szCs w:val="19"/>
          <w:highlight w:val="none"/>
        </w:rPr>
      </w:pPr>
      <w:r>
        <w:rPr>
          <w:rFonts w:hint="eastAsia" w:ascii="宋体" w:hAnsi="宋体" w:cs="宋体"/>
          <w:color w:val="auto"/>
          <w:sz w:val="24"/>
          <w:highlight w:val="none"/>
        </w:rPr>
        <w:t xml:space="preserve">                           单位名称：（盖单位章）  </w:t>
      </w:r>
    </w:p>
    <w:p w14:paraId="665AE081">
      <w:pPr>
        <w:topLinePunct/>
        <w:spacing w:line="400" w:lineRule="exact"/>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br w:type="page"/>
      </w:r>
    </w:p>
    <w:p w14:paraId="188F8E5C">
      <w:pPr>
        <w:spacing w:line="360" w:lineRule="auto"/>
        <w:jc w:val="center"/>
        <w:outlineLvl w:val="2"/>
        <w:rPr>
          <w:rFonts w:hint="eastAsia" w:ascii="宋体" w:hAnsi="宋体" w:cs="宋体"/>
          <w:color w:val="auto"/>
          <w:sz w:val="28"/>
          <w:szCs w:val="27"/>
          <w:highlight w:val="none"/>
        </w:rPr>
      </w:pPr>
      <w:bookmarkStart w:id="621" w:name="_Toc222031071"/>
      <w:bookmarkStart w:id="622" w:name="_Toc17451661"/>
      <w:bookmarkStart w:id="623" w:name="_Toc221948389"/>
      <w:bookmarkStart w:id="624" w:name="_Toc229305429"/>
      <w:bookmarkStart w:id="625" w:name="_Toc17556914"/>
      <w:bookmarkStart w:id="626" w:name="_Toc17451139"/>
      <w:bookmarkStart w:id="627" w:name="_Toc17451616"/>
      <w:bookmarkStart w:id="628" w:name="_Toc222029569"/>
      <w:bookmarkStart w:id="629" w:name="_Toc222032738"/>
      <w:bookmarkStart w:id="630" w:name="_Toc259524423"/>
      <w:bookmarkStart w:id="631" w:name="_Toc221952153"/>
      <w:bookmarkStart w:id="632" w:name="_Toc17452702"/>
      <w:bookmarkStart w:id="633" w:name="_Toc17454960"/>
      <w:bookmarkStart w:id="634" w:name="_Toc17454909"/>
      <w:bookmarkStart w:id="635" w:name="_Toc222033920"/>
      <w:bookmarkStart w:id="636" w:name="_Toc8830"/>
      <w:r>
        <w:rPr>
          <w:rFonts w:hint="eastAsia" w:ascii="宋体" w:hAnsi="宋体" w:cs="宋体"/>
          <w:color w:val="auto"/>
          <w:sz w:val="28"/>
          <w:szCs w:val="27"/>
          <w:highlight w:val="none"/>
        </w:rPr>
        <w:t>九、资格审查资料</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DD8C0D3">
      <w:pPr>
        <w:spacing w:line="400" w:lineRule="exact"/>
        <w:jc w:val="left"/>
        <w:outlineLvl w:val="3"/>
        <w:rPr>
          <w:rFonts w:hint="eastAsia" w:ascii="宋体" w:hAnsi="宋体" w:cs="宋体"/>
          <w:b/>
          <w:color w:val="auto"/>
          <w:sz w:val="24"/>
          <w:szCs w:val="31"/>
          <w:highlight w:val="none"/>
        </w:rPr>
      </w:pPr>
      <w:bookmarkStart w:id="637" w:name="_Toc179715759"/>
      <w:bookmarkStart w:id="638" w:name="_Toc259524424"/>
      <w:bookmarkStart w:id="639" w:name="_Toc152047266"/>
      <w:bookmarkStart w:id="640" w:name="_Toc221952154"/>
      <w:r>
        <w:rPr>
          <w:rFonts w:hint="eastAsia" w:ascii="宋体" w:hAnsi="宋体" w:cs="宋体"/>
          <w:b/>
          <w:color w:val="auto"/>
          <w:sz w:val="24"/>
          <w:szCs w:val="31"/>
          <w:highlight w:val="none"/>
        </w:rPr>
        <w:t>（一）投标人基本情况表</w:t>
      </w:r>
      <w:bookmarkEnd w:id="637"/>
      <w:bookmarkEnd w:id="638"/>
      <w:bookmarkEnd w:id="639"/>
      <w:bookmarkEnd w:id="640"/>
    </w:p>
    <w:tbl>
      <w:tblPr>
        <w:tblStyle w:val="1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60"/>
        <w:gridCol w:w="969"/>
        <w:gridCol w:w="1026"/>
        <w:gridCol w:w="906"/>
        <w:gridCol w:w="453"/>
        <w:gridCol w:w="150"/>
        <w:gridCol w:w="1349"/>
        <w:gridCol w:w="198"/>
        <w:gridCol w:w="1261"/>
        <w:gridCol w:w="1070"/>
      </w:tblGrid>
      <w:tr w14:paraId="08890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AB2FE7B">
            <w:pPr>
              <w:topLinePunct/>
              <w:spacing w:line="400" w:lineRule="exact"/>
              <w:jc w:val="center"/>
              <w:rPr>
                <w:rFonts w:hint="eastAsia" w:ascii="宋体" w:hAnsi="宋体" w:cs="宋体"/>
                <w:color w:val="auto"/>
                <w:szCs w:val="20"/>
                <w:highlight w:val="none"/>
              </w:rPr>
            </w:pPr>
            <w:bookmarkStart w:id="641" w:name="_Toc221952155"/>
            <w:r>
              <w:rPr>
                <w:rFonts w:hint="eastAsia" w:ascii="宋体" w:hAnsi="宋体" w:cs="宋体"/>
                <w:color w:val="auto"/>
                <w:szCs w:val="20"/>
                <w:highlight w:val="none"/>
              </w:rPr>
              <w:t>投标人名称</w:t>
            </w:r>
            <w:bookmarkEnd w:id="641"/>
          </w:p>
        </w:tc>
        <w:tc>
          <w:tcPr>
            <w:tcW w:w="3993" w:type="pct"/>
            <w:gridSpan w:val="9"/>
            <w:tcBorders>
              <w:top w:val="single" w:color="auto" w:sz="4" w:space="0"/>
              <w:left w:val="single" w:color="auto" w:sz="4" w:space="0"/>
              <w:bottom w:val="single" w:color="auto" w:sz="4" w:space="0"/>
              <w:right w:val="single" w:color="auto" w:sz="4" w:space="0"/>
            </w:tcBorders>
            <w:noWrap w:val="0"/>
            <w:vAlign w:val="center"/>
          </w:tcPr>
          <w:p w14:paraId="5CA57903">
            <w:pPr>
              <w:topLinePunct/>
              <w:spacing w:line="400" w:lineRule="exact"/>
              <w:jc w:val="center"/>
              <w:rPr>
                <w:rFonts w:hint="eastAsia" w:ascii="宋体" w:hAnsi="宋体" w:cs="宋体"/>
                <w:color w:val="auto"/>
                <w:szCs w:val="20"/>
                <w:highlight w:val="none"/>
              </w:rPr>
            </w:pPr>
          </w:p>
        </w:tc>
      </w:tr>
      <w:tr w14:paraId="64212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451E4185">
            <w:pPr>
              <w:topLinePunct/>
              <w:spacing w:line="400" w:lineRule="exact"/>
              <w:jc w:val="center"/>
              <w:rPr>
                <w:rFonts w:hint="eastAsia" w:ascii="宋体" w:hAnsi="宋体" w:cs="宋体"/>
                <w:color w:val="auto"/>
                <w:szCs w:val="20"/>
                <w:highlight w:val="none"/>
              </w:rPr>
            </w:pPr>
            <w:bookmarkStart w:id="642" w:name="_Toc221952156"/>
            <w:r>
              <w:rPr>
                <w:rFonts w:hint="eastAsia" w:ascii="宋体" w:hAnsi="宋体" w:cs="宋体"/>
                <w:color w:val="auto"/>
                <w:szCs w:val="20"/>
                <w:highlight w:val="none"/>
              </w:rPr>
              <w:t>注册地址</w:t>
            </w:r>
            <w:bookmarkEnd w:id="642"/>
          </w:p>
        </w:tc>
        <w:tc>
          <w:tcPr>
            <w:tcW w:w="1895" w:type="pct"/>
            <w:gridSpan w:val="5"/>
            <w:tcBorders>
              <w:top w:val="single" w:color="auto" w:sz="4" w:space="0"/>
              <w:left w:val="single" w:color="auto" w:sz="4" w:space="0"/>
              <w:bottom w:val="single" w:color="auto" w:sz="4" w:space="0"/>
              <w:right w:val="single" w:color="auto" w:sz="4" w:space="0"/>
            </w:tcBorders>
            <w:noWrap w:val="0"/>
            <w:vAlign w:val="center"/>
          </w:tcPr>
          <w:p w14:paraId="6763C4FA">
            <w:pPr>
              <w:topLinePunct/>
              <w:spacing w:line="400" w:lineRule="exact"/>
              <w:jc w:val="center"/>
              <w:rPr>
                <w:rFonts w:hint="eastAsia" w:ascii="宋体" w:hAnsi="宋体" w:cs="宋体"/>
                <w:color w:val="auto"/>
                <w:szCs w:val="20"/>
                <w:highlight w:val="none"/>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6EAB93A9">
            <w:pPr>
              <w:topLinePunct/>
              <w:spacing w:line="400" w:lineRule="exact"/>
              <w:jc w:val="center"/>
              <w:rPr>
                <w:rFonts w:hint="eastAsia" w:ascii="宋体" w:hAnsi="宋体" w:cs="宋体"/>
                <w:color w:val="auto"/>
                <w:szCs w:val="20"/>
                <w:highlight w:val="none"/>
              </w:rPr>
            </w:pPr>
            <w:bookmarkStart w:id="643" w:name="_Toc221952157"/>
            <w:r>
              <w:rPr>
                <w:rFonts w:hint="eastAsia" w:ascii="宋体" w:hAnsi="宋体" w:cs="宋体"/>
                <w:color w:val="auto"/>
                <w:szCs w:val="20"/>
                <w:highlight w:val="none"/>
              </w:rPr>
              <w:t>邮政编码</w:t>
            </w:r>
            <w:bookmarkEnd w:id="643"/>
          </w:p>
        </w:tc>
        <w:tc>
          <w:tcPr>
            <w:tcW w:w="1368" w:type="pct"/>
            <w:gridSpan w:val="3"/>
            <w:tcBorders>
              <w:top w:val="single" w:color="auto" w:sz="4" w:space="0"/>
              <w:left w:val="single" w:color="auto" w:sz="4" w:space="0"/>
              <w:bottom w:val="single" w:color="auto" w:sz="4" w:space="0"/>
              <w:right w:val="single" w:color="auto" w:sz="4" w:space="0"/>
            </w:tcBorders>
            <w:noWrap w:val="0"/>
            <w:vAlign w:val="center"/>
          </w:tcPr>
          <w:p w14:paraId="6AC1021D">
            <w:pPr>
              <w:topLinePunct/>
              <w:spacing w:line="400" w:lineRule="exact"/>
              <w:jc w:val="center"/>
              <w:rPr>
                <w:rFonts w:hint="eastAsia" w:ascii="宋体" w:hAnsi="宋体" w:cs="宋体"/>
                <w:color w:val="auto"/>
                <w:szCs w:val="20"/>
                <w:highlight w:val="none"/>
              </w:rPr>
            </w:pPr>
          </w:p>
        </w:tc>
      </w:tr>
      <w:tr w14:paraId="2AEFC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007" w:type="pct"/>
            <w:vMerge w:val="restart"/>
            <w:tcBorders>
              <w:top w:val="single" w:color="auto" w:sz="4" w:space="0"/>
              <w:left w:val="single" w:color="auto" w:sz="4" w:space="0"/>
              <w:bottom w:val="single" w:color="auto" w:sz="4" w:space="0"/>
              <w:right w:val="single" w:color="auto" w:sz="4" w:space="0"/>
            </w:tcBorders>
            <w:noWrap w:val="0"/>
            <w:vAlign w:val="center"/>
          </w:tcPr>
          <w:p w14:paraId="260D6BA1">
            <w:pPr>
              <w:topLinePunct/>
              <w:spacing w:line="400" w:lineRule="exact"/>
              <w:jc w:val="center"/>
              <w:rPr>
                <w:rFonts w:hint="eastAsia" w:ascii="宋体" w:hAnsi="宋体" w:cs="宋体"/>
                <w:color w:val="auto"/>
                <w:szCs w:val="20"/>
                <w:highlight w:val="none"/>
              </w:rPr>
            </w:pPr>
            <w:bookmarkStart w:id="644" w:name="_Toc221952158"/>
            <w:r>
              <w:rPr>
                <w:rFonts w:hint="eastAsia" w:ascii="宋体" w:hAnsi="宋体" w:cs="宋体"/>
                <w:color w:val="auto"/>
                <w:szCs w:val="20"/>
                <w:highlight w:val="none"/>
              </w:rPr>
              <w:t>联系方式</w:t>
            </w:r>
            <w:bookmarkEnd w:id="644"/>
          </w:p>
        </w:tc>
        <w:tc>
          <w:tcPr>
            <w:tcW w:w="524" w:type="pct"/>
            <w:tcBorders>
              <w:top w:val="single" w:color="auto" w:sz="4" w:space="0"/>
              <w:left w:val="single" w:color="auto" w:sz="4" w:space="0"/>
              <w:bottom w:val="single" w:color="auto" w:sz="4" w:space="0"/>
              <w:right w:val="single" w:color="auto" w:sz="4" w:space="0"/>
            </w:tcBorders>
            <w:noWrap w:val="0"/>
            <w:vAlign w:val="center"/>
          </w:tcPr>
          <w:p w14:paraId="72912FEB">
            <w:pPr>
              <w:topLinePunct/>
              <w:spacing w:line="400" w:lineRule="exact"/>
              <w:jc w:val="center"/>
              <w:rPr>
                <w:rFonts w:hint="eastAsia" w:ascii="宋体" w:hAnsi="宋体" w:cs="宋体"/>
                <w:color w:val="auto"/>
                <w:szCs w:val="20"/>
                <w:highlight w:val="none"/>
              </w:rPr>
            </w:pPr>
            <w:bookmarkStart w:id="645" w:name="_Toc221952159"/>
            <w:r>
              <w:rPr>
                <w:rFonts w:hint="eastAsia" w:ascii="宋体" w:hAnsi="宋体" w:cs="宋体"/>
                <w:color w:val="auto"/>
                <w:szCs w:val="20"/>
                <w:highlight w:val="none"/>
              </w:rPr>
              <w:t>联系人</w:t>
            </w:r>
            <w:bookmarkEnd w:id="645"/>
          </w:p>
        </w:tc>
        <w:tc>
          <w:tcPr>
            <w:tcW w:w="1371" w:type="pct"/>
            <w:gridSpan w:val="4"/>
            <w:tcBorders>
              <w:top w:val="single" w:color="auto" w:sz="4" w:space="0"/>
              <w:left w:val="single" w:color="auto" w:sz="4" w:space="0"/>
              <w:bottom w:val="single" w:color="auto" w:sz="4" w:space="0"/>
              <w:right w:val="single" w:color="auto" w:sz="4" w:space="0"/>
            </w:tcBorders>
            <w:noWrap w:val="0"/>
            <w:vAlign w:val="center"/>
          </w:tcPr>
          <w:p w14:paraId="14CF5362">
            <w:pPr>
              <w:topLinePunct/>
              <w:spacing w:line="400" w:lineRule="exact"/>
              <w:jc w:val="center"/>
              <w:rPr>
                <w:rFonts w:hint="eastAsia" w:ascii="宋体" w:hAnsi="宋体" w:cs="宋体"/>
                <w:color w:val="auto"/>
                <w:szCs w:val="20"/>
                <w:highlight w:val="none"/>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5A8F4D58">
            <w:pPr>
              <w:topLinePunct/>
              <w:spacing w:line="400" w:lineRule="exact"/>
              <w:jc w:val="center"/>
              <w:rPr>
                <w:rFonts w:hint="eastAsia" w:ascii="宋体" w:hAnsi="宋体" w:cs="宋体"/>
                <w:color w:val="auto"/>
                <w:szCs w:val="20"/>
                <w:highlight w:val="none"/>
              </w:rPr>
            </w:pPr>
            <w:bookmarkStart w:id="646" w:name="_Toc221952160"/>
            <w:r>
              <w:rPr>
                <w:rFonts w:hint="eastAsia" w:ascii="宋体" w:hAnsi="宋体" w:cs="宋体"/>
                <w:color w:val="auto"/>
                <w:szCs w:val="20"/>
                <w:highlight w:val="none"/>
              </w:rPr>
              <w:t>电 话</w:t>
            </w:r>
            <w:bookmarkEnd w:id="646"/>
          </w:p>
        </w:tc>
        <w:tc>
          <w:tcPr>
            <w:tcW w:w="1368" w:type="pct"/>
            <w:gridSpan w:val="3"/>
            <w:tcBorders>
              <w:top w:val="single" w:color="auto" w:sz="4" w:space="0"/>
              <w:left w:val="single" w:color="auto" w:sz="4" w:space="0"/>
              <w:bottom w:val="single" w:color="auto" w:sz="4" w:space="0"/>
              <w:right w:val="single" w:color="auto" w:sz="4" w:space="0"/>
            </w:tcBorders>
            <w:noWrap w:val="0"/>
            <w:vAlign w:val="center"/>
          </w:tcPr>
          <w:p w14:paraId="1564EA8C">
            <w:pPr>
              <w:topLinePunct/>
              <w:spacing w:line="400" w:lineRule="exact"/>
              <w:jc w:val="center"/>
              <w:rPr>
                <w:rFonts w:hint="eastAsia" w:ascii="宋体" w:hAnsi="宋体" w:cs="宋体"/>
                <w:color w:val="auto"/>
                <w:szCs w:val="20"/>
                <w:highlight w:val="none"/>
              </w:rPr>
            </w:pPr>
          </w:p>
        </w:tc>
      </w:tr>
      <w:tr w14:paraId="4EA6B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007" w:type="pct"/>
            <w:vMerge w:val="continue"/>
            <w:tcBorders>
              <w:top w:val="single" w:color="auto" w:sz="4" w:space="0"/>
              <w:left w:val="single" w:color="auto" w:sz="4" w:space="0"/>
              <w:bottom w:val="single" w:color="auto" w:sz="4" w:space="0"/>
              <w:right w:val="single" w:color="auto" w:sz="4" w:space="0"/>
            </w:tcBorders>
            <w:noWrap w:val="0"/>
            <w:vAlign w:val="center"/>
          </w:tcPr>
          <w:p w14:paraId="1D61D0B1">
            <w:pPr>
              <w:topLinePunct/>
              <w:spacing w:line="400" w:lineRule="exact"/>
              <w:jc w:val="center"/>
              <w:rPr>
                <w:rFonts w:hint="eastAsia" w:ascii="宋体" w:hAnsi="宋体" w:cs="宋体"/>
                <w:color w:val="auto"/>
                <w:szCs w:val="20"/>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507AFE27">
            <w:pPr>
              <w:topLinePunct/>
              <w:spacing w:line="400" w:lineRule="exact"/>
              <w:jc w:val="center"/>
              <w:rPr>
                <w:rFonts w:hint="eastAsia" w:ascii="宋体" w:hAnsi="宋体" w:cs="宋体"/>
                <w:color w:val="auto"/>
                <w:szCs w:val="20"/>
                <w:highlight w:val="none"/>
              </w:rPr>
            </w:pPr>
            <w:bookmarkStart w:id="647" w:name="_Toc221952161"/>
            <w:r>
              <w:rPr>
                <w:rFonts w:hint="eastAsia" w:ascii="宋体" w:hAnsi="宋体" w:cs="宋体"/>
                <w:color w:val="auto"/>
                <w:szCs w:val="20"/>
                <w:highlight w:val="none"/>
              </w:rPr>
              <w:t>传  真</w:t>
            </w:r>
            <w:bookmarkEnd w:id="647"/>
          </w:p>
        </w:tc>
        <w:tc>
          <w:tcPr>
            <w:tcW w:w="1371" w:type="pct"/>
            <w:gridSpan w:val="4"/>
            <w:tcBorders>
              <w:top w:val="single" w:color="auto" w:sz="4" w:space="0"/>
              <w:left w:val="single" w:color="auto" w:sz="4" w:space="0"/>
              <w:bottom w:val="single" w:color="auto" w:sz="4" w:space="0"/>
              <w:right w:val="single" w:color="auto" w:sz="4" w:space="0"/>
            </w:tcBorders>
            <w:noWrap w:val="0"/>
            <w:vAlign w:val="center"/>
          </w:tcPr>
          <w:p w14:paraId="0A15B1F0">
            <w:pPr>
              <w:topLinePunct/>
              <w:spacing w:line="400" w:lineRule="exact"/>
              <w:jc w:val="center"/>
              <w:rPr>
                <w:rFonts w:hint="eastAsia" w:ascii="宋体" w:hAnsi="宋体" w:cs="宋体"/>
                <w:color w:val="auto"/>
                <w:szCs w:val="20"/>
                <w:highlight w:val="none"/>
              </w:rPr>
            </w:pPr>
          </w:p>
        </w:tc>
        <w:tc>
          <w:tcPr>
            <w:tcW w:w="730" w:type="pct"/>
            <w:tcBorders>
              <w:top w:val="single" w:color="auto" w:sz="4" w:space="0"/>
              <w:left w:val="single" w:color="auto" w:sz="4" w:space="0"/>
              <w:bottom w:val="single" w:color="auto" w:sz="4" w:space="0"/>
              <w:right w:val="single" w:color="auto" w:sz="4" w:space="0"/>
            </w:tcBorders>
            <w:noWrap w:val="0"/>
            <w:vAlign w:val="center"/>
          </w:tcPr>
          <w:p w14:paraId="083FFA5A">
            <w:pPr>
              <w:topLinePunct/>
              <w:spacing w:line="400" w:lineRule="exact"/>
              <w:jc w:val="center"/>
              <w:rPr>
                <w:rFonts w:hint="eastAsia" w:ascii="宋体" w:hAnsi="宋体" w:cs="宋体"/>
                <w:color w:val="auto"/>
                <w:szCs w:val="20"/>
                <w:highlight w:val="none"/>
              </w:rPr>
            </w:pPr>
            <w:bookmarkStart w:id="648" w:name="_Toc221952162"/>
            <w:r>
              <w:rPr>
                <w:rFonts w:hint="eastAsia" w:ascii="宋体" w:hAnsi="宋体" w:cs="宋体"/>
                <w:color w:val="auto"/>
                <w:szCs w:val="20"/>
                <w:highlight w:val="none"/>
              </w:rPr>
              <w:t>网 址</w:t>
            </w:r>
            <w:bookmarkEnd w:id="648"/>
          </w:p>
        </w:tc>
        <w:tc>
          <w:tcPr>
            <w:tcW w:w="1368" w:type="pct"/>
            <w:gridSpan w:val="3"/>
            <w:tcBorders>
              <w:top w:val="single" w:color="auto" w:sz="4" w:space="0"/>
              <w:left w:val="single" w:color="auto" w:sz="4" w:space="0"/>
              <w:bottom w:val="single" w:color="auto" w:sz="4" w:space="0"/>
              <w:right w:val="single" w:color="auto" w:sz="4" w:space="0"/>
            </w:tcBorders>
            <w:noWrap w:val="0"/>
            <w:vAlign w:val="center"/>
          </w:tcPr>
          <w:p w14:paraId="6C0EC829">
            <w:pPr>
              <w:topLinePunct/>
              <w:spacing w:line="400" w:lineRule="exact"/>
              <w:jc w:val="center"/>
              <w:rPr>
                <w:rFonts w:hint="eastAsia" w:ascii="宋体" w:hAnsi="宋体" w:cs="宋体"/>
                <w:color w:val="auto"/>
                <w:szCs w:val="20"/>
                <w:highlight w:val="none"/>
              </w:rPr>
            </w:pPr>
          </w:p>
        </w:tc>
      </w:tr>
      <w:tr w14:paraId="4CB14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211AFFD">
            <w:pPr>
              <w:topLinePunct/>
              <w:spacing w:line="400" w:lineRule="exact"/>
              <w:jc w:val="center"/>
              <w:rPr>
                <w:rFonts w:hint="eastAsia" w:ascii="宋体" w:hAnsi="宋体" w:cs="宋体"/>
                <w:color w:val="auto"/>
                <w:szCs w:val="20"/>
                <w:highlight w:val="none"/>
              </w:rPr>
            </w:pPr>
            <w:bookmarkStart w:id="649" w:name="_Toc221952163"/>
            <w:r>
              <w:rPr>
                <w:rFonts w:hint="eastAsia" w:ascii="宋体" w:hAnsi="宋体" w:cs="宋体"/>
                <w:color w:val="auto"/>
                <w:szCs w:val="20"/>
                <w:highlight w:val="none"/>
              </w:rPr>
              <w:t>组织结构</w:t>
            </w:r>
            <w:bookmarkEnd w:id="649"/>
          </w:p>
        </w:tc>
        <w:tc>
          <w:tcPr>
            <w:tcW w:w="3993" w:type="pct"/>
            <w:gridSpan w:val="9"/>
            <w:tcBorders>
              <w:top w:val="single" w:color="auto" w:sz="4" w:space="0"/>
              <w:left w:val="single" w:color="auto" w:sz="4" w:space="0"/>
              <w:bottom w:val="single" w:color="auto" w:sz="4" w:space="0"/>
              <w:right w:val="single" w:color="auto" w:sz="4" w:space="0"/>
            </w:tcBorders>
            <w:noWrap w:val="0"/>
            <w:vAlign w:val="center"/>
          </w:tcPr>
          <w:p w14:paraId="178F8304">
            <w:pPr>
              <w:topLinePunct/>
              <w:spacing w:line="400" w:lineRule="exact"/>
              <w:jc w:val="center"/>
              <w:rPr>
                <w:rFonts w:hint="eastAsia" w:ascii="宋体" w:hAnsi="宋体" w:cs="宋体"/>
                <w:color w:val="auto"/>
                <w:szCs w:val="20"/>
                <w:highlight w:val="none"/>
              </w:rPr>
            </w:pPr>
          </w:p>
        </w:tc>
      </w:tr>
      <w:tr w14:paraId="02773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6E206F9">
            <w:pPr>
              <w:topLinePunct/>
              <w:spacing w:line="400" w:lineRule="exact"/>
              <w:jc w:val="center"/>
              <w:rPr>
                <w:rFonts w:hint="eastAsia" w:ascii="宋体" w:hAnsi="宋体" w:cs="宋体"/>
                <w:color w:val="auto"/>
                <w:szCs w:val="20"/>
                <w:highlight w:val="none"/>
              </w:rPr>
            </w:pPr>
            <w:bookmarkStart w:id="650" w:name="_Toc221952164"/>
            <w:r>
              <w:rPr>
                <w:rFonts w:hint="eastAsia" w:ascii="宋体" w:hAnsi="宋体" w:cs="宋体"/>
                <w:color w:val="auto"/>
                <w:szCs w:val="20"/>
                <w:highlight w:val="none"/>
              </w:rPr>
              <w:t>法定代表人</w:t>
            </w:r>
            <w:bookmarkEnd w:id="650"/>
          </w:p>
        </w:tc>
        <w:tc>
          <w:tcPr>
            <w:tcW w:w="524" w:type="pct"/>
            <w:tcBorders>
              <w:top w:val="single" w:color="auto" w:sz="4" w:space="0"/>
              <w:left w:val="single" w:color="auto" w:sz="4" w:space="0"/>
              <w:bottom w:val="single" w:color="auto" w:sz="4" w:space="0"/>
              <w:right w:val="single" w:color="auto" w:sz="4" w:space="0"/>
            </w:tcBorders>
            <w:noWrap w:val="0"/>
            <w:vAlign w:val="center"/>
          </w:tcPr>
          <w:p w14:paraId="6ECAE84F">
            <w:pPr>
              <w:topLinePunct/>
              <w:spacing w:line="400" w:lineRule="exact"/>
              <w:jc w:val="center"/>
              <w:rPr>
                <w:rFonts w:hint="eastAsia" w:ascii="宋体" w:hAnsi="宋体" w:cs="宋体"/>
                <w:color w:val="auto"/>
                <w:szCs w:val="20"/>
                <w:highlight w:val="none"/>
              </w:rPr>
            </w:pPr>
            <w:bookmarkStart w:id="651" w:name="_Toc221952165"/>
            <w:r>
              <w:rPr>
                <w:rFonts w:hint="eastAsia" w:ascii="宋体" w:hAnsi="宋体" w:cs="宋体"/>
                <w:color w:val="auto"/>
                <w:szCs w:val="20"/>
                <w:highlight w:val="none"/>
              </w:rPr>
              <w:t>姓名</w:t>
            </w:r>
            <w:bookmarkEnd w:id="651"/>
          </w:p>
        </w:tc>
        <w:tc>
          <w:tcPr>
            <w:tcW w:w="555" w:type="pct"/>
            <w:tcBorders>
              <w:top w:val="single" w:color="auto" w:sz="4" w:space="0"/>
              <w:left w:val="single" w:color="auto" w:sz="4" w:space="0"/>
              <w:bottom w:val="single" w:color="auto" w:sz="4" w:space="0"/>
              <w:right w:val="single" w:color="auto" w:sz="4" w:space="0"/>
            </w:tcBorders>
            <w:noWrap w:val="0"/>
            <w:vAlign w:val="center"/>
          </w:tcPr>
          <w:p w14:paraId="6562D760">
            <w:pPr>
              <w:topLinePunct/>
              <w:spacing w:line="400" w:lineRule="exact"/>
              <w:jc w:val="center"/>
              <w:rPr>
                <w:rFonts w:hint="eastAsia" w:ascii="宋体" w:hAnsi="宋体" w:cs="宋体"/>
                <w:color w:val="auto"/>
                <w:szCs w:val="20"/>
                <w:highlight w:val="none"/>
              </w:rPr>
            </w:pPr>
          </w:p>
        </w:tc>
        <w:tc>
          <w:tcPr>
            <w:tcW w:w="735" w:type="pct"/>
            <w:gridSpan w:val="2"/>
            <w:tcBorders>
              <w:top w:val="single" w:color="auto" w:sz="4" w:space="0"/>
              <w:left w:val="single" w:color="auto" w:sz="4" w:space="0"/>
              <w:bottom w:val="single" w:color="auto" w:sz="4" w:space="0"/>
              <w:right w:val="single" w:color="auto" w:sz="4" w:space="0"/>
            </w:tcBorders>
            <w:noWrap w:val="0"/>
            <w:vAlign w:val="center"/>
          </w:tcPr>
          <w:p w14:paraId="04329788">
            <w:pPr>
              <w:topLinePunct/>
              <w:spacing w:line="400" w:lineRule="exact"/>
              <w:jc w:val="center"/>
              <w:rPr>
                <w:rFonts w:hint="eastAsia" w:ascii="宋体" w:hAnsi="宋体" w:cs="宋体"/>
                <w:color w:val="auto"/>
                <w:szCs w:val="20"/>
                <w:highlight w:val="none"/>
              </w:rPr>
            </w:pPr>
            <w:bookmarkStart w:id="652" w:name="_Toc221952166"/>
            <w:r>
              <w:rPr>
                <w:rFonts w:hint="eastAsia" w:ascii="宋体" w:hAnsi="宋体" w:cs="宋体"/>
                <w:color w:val="auto"/>
                <w:szCs w:val="20"/>
                <w:highlight w:val="none"/>
              </w:rPr>
              <w:t>技术职称</w:t>
            </w:r>
            <w:bookmarkEnd w:id="652"/>
          </w:p>
        </w:tc>
        <w:tc>
          <w:tcPr>
            <w:tcW w:w="917" w:type="pct"/>
            <w:gridSpan w:val="3"/>
            <w:tcBorders>
              <w:top w:val="single" w:color="auto" w:sz="4" w:space="0"/>
              <w:left w:val="single" w:color="auto" w:sz="4" w:space="0"/>
              <w:bottom w:val="single" w:color="auto" w:sz="4" w:space="0"/>
              <w:right w:val="single" w:color="auto" w:sz="4" w:space="0"/>
            </w:tcBorders>
            <w:noWrap w:val="0"/>
            <w:vAlign w:val="center"/>
          </w:tcPr>
          <w:p w14:paraId="5C59E09D">
            <w:pPr>
              <w:topLinePunct/>
              <w:spacing w:line="400" w:lineRule="exact"/>
              <w:jc w:val="center"/>
              <w:rPr>
                <w:rFonts w:hint="eastAsia" w:ascii="宋体" w:hAnsi="宋体" w:cs="宋体"/>
                <w:color w:val="auto"/>
                <w:szCs w:val="20"/>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center"/>
          </w:tcPr>
          <w:p w14:paraId="53F6086E">
            <w:pPr>
              <w:topLinePunct/>
              <w:spacing w:line="400" w:lineRule="exact"/>
              <w:jc w:val="center"/>
              <w:rPr>
                <w:rFonts w:hint="eastAsia" w:ascii="宋体" w:hAnsi="宋体" w:cs="宋体"/>
                <w:color w:val="auto"/>
                <w:szCs w:val="20"/>
                <w:highlight w:val="none"/>
              </w:rPr>
            </w:pPr>
            <w:bookmarkStart w:id="653" w:name="_Toc221952167"/>
            <w:r>
              <w:rPr>
                <w:rFonts w:hint="eastAsia" w:ascii="宋体" w:hAnsi="宋体" w:cs="宋体"/>
                <w:color w:val="auto"/>
                <w:szCs w:val="20"/>
                <w:highlight w:val="none"/>
              </w:rPr>
              <w:t>电话</w:t>
            </w:r>
            <w:bookmarkEnd w:id="653"/>
          </w:p>
        </w:tc>
        <w:tc>
          <w:tcPr>
            <w:tcW w:w="579" w:type="pct"/>
            <w:tcBorders>
              <w:top w:val="single" w:color="auto" w:sz="4" w:space="0"/>
              <w:left w:val="single" w:color="auto" w:sz="4" w:space="0"/>
              <w:bottom w:val="single" w:color="auto" w:sz="4" w:space="0"/>
              <w:right w:val="single" w:color="auto" w:sz="4" w:space="0"/>
            </w:tcBorders>
            <w:noWrap w:val="0"/>
            <w:vAlign w:val="center"/>
          </w:tcPr>
          <w:p w14:paraId="3FCC21EB">
            <w:pPr>
              <w:topLinePunct/>
              <w:spacing w:line="400" w:lineRule="exact"/>
              <w:jc w:val="center"/>
              <w:rPr>
                <w:rFonts w:hint="eastAsia" w:ascii="宋体" w:hAnsi="宋体" w:cs="宋体"/>
                <w:color w:val="auto"/>
                <w:szCs w:val="20"/>
                <w:highlight w:val="none"/>
              </w:rPr>
            </w:pPr>
          </w:p>
        </w:tc>
      </w:tr>
      <w:tr w14:paraId="34F9E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B4A2BCB">
            <w:pPr>
              <w:topLinePunct/>
              <w:spacing w:line="400" w:lineRule="exact"/>
              <w:jc w:val="center"/>
              <w:rPr>
                <w:rFonts w:hint="eastAsia" w:ascii="宋体" w:hAnsi="宋体" w:cs="宋体"/>
                <w:color w:val="auto"/>
                <w:szCs w:val="20"/>
                <w:highlight w:val="none"/>
              </w:rPr>
            </w:pPr>
            <w:bookmarkStart w:id="654" w:name="_Toc221952168"/>
            <w:r>
              <w:rPr>
                <w:rFonts w:hint="eastAsia" w:ascii="宋体" w:hAnsi="宋体" w:cs="宋体"/>
                <w:color w:val="auto"/>
                <w:szCs w:val="20"/>
                <w:highlight w:val="none"/>
              </w:rPr>
              <w:t>技术负责人</w:t>
            </w:r>
            <w:bookmarkEnd w:id="654"/>
          </w:p>
        </w:tc>
        <w:tc>
          <w:tcPr>
            <w:tcW w:w="524" w:type="pct"/>
            <w:tcBorders>
              <w:top w:val="single" w:color="auto" w:sz="4" w:space="0"/>
              <w:left w:val="single" w:color="auto" w:sz="4" w:space="0"/>
              <w:bottom w:val="single" w:color="auto" w:sz="4" w:space="0"/>
              <w:right w:val="single" w:color="auto" w:sz="4" w:space="0"/>
            </w:tcBorders>
            <w:noWrap w:val="0"/>
            <w:vAlign w:val="center"/>
          </w:tcPr>
          <w:p w14:paraId="445115D6">
            <w:pPr>
              <w:topLinePunct/>
              <w:spacing w:line="400" w:lineRule="exact"/>
              <w:jc w:val="center"/>
              <w:rPr>
                <w:rFonts w:hint="eastAsia" w:ascii="宋体" w:hAnsi="宋体" w:cs="宋体"/>
                <w:color w:val="auto"/>
                <w:szCs w:val="20"/>
                <w:highlight w:val="none"/>
              </w:rPr>
            </w:pPr>
            <w:bookmarkStart w:id="655" w:name="_Toc221952169"/>
            <w:r>
              <w:rPr>
                <w:rFonts w:hint="eastAsia" w:ascii="宋体" w:hAnsi="宋体" w:cs="宋体"/>
                <w:color w:val="auto"/>
                <w:szCs w:val="20"/>
                <w:highlight w:val="none"/>
              </w:rPr>
              <w:t>姓名</w:t>
            </w:r>
            <w:bookmarkEnd w:id="655"/>
          </w:p>
        </w:tc>
        <w:tc>
          <w:tcPr>
            <w:tcW w:w="555" w:type="pct"/>
            <w:tcBorders>
              <w:top w:val="single" w:color="auto" w:sz="4" w:space="0"/>
              <w:left w:val="single" w:color="auto" w:sz="4" w:space="0"/>
              <w:bottom w:val="single" w:color="auto" w:sz="4" w:space="0"/>
              <w:right w:val="single" w:color="auto" w:sz="4" w:space="0"/>
            </w:tcBorders>
            <w:noWrap w:val="0"/>
            <w:vAlign w:val="center"/>
          </w:tcPr>
          <w:p w14:paraId="72380259">
            <w:pPr>
              <w:topLinePunct/>
              <w:spacing w:line="400" w:lineRule="exact"/>
              <w:jc w:val="center"/>
              <w:rPr>
                <w:rFonts w:hint="eastAsia" w:ascii="宋体" w:hAnsi="宋体" w:cs="宋体"/>
                <w:color w:val="auto"/>
                <w:szCs w:val="20"/>
                <w:highlight w:val="none"/>
              </w:rPr>
            </w:pPr>
          </w:p>
        </w:tc>
        <w:tc>
          <w:tcPr>
            <w:tcW w:w="735" w:type="pct"/>
            <w:gridSpan w:val="2"/>
            <w:tcBorders>
              <w:top w:val="single" w:color="auto" w:sz="4" w:space="0"/>
              <w:left w:val="single" w:color="auto" w:sz="4" w:space="0"/>
              <w:bottom w:val="single" w:color="auto" w:sz="4" w:space="0"/>
              <w:right w:val="single" w:color="auto" w:sz="4" w:space="0"/>
            </w:tcBorders>
            <w:noWrap w:val="0"/>
            <w:vAlign w:val="center"/>
          </w:tcPr>
          <w:p w14:paraId="23720D9D">
            <w:pPr>
              <w:topLinePunct/>
              <w:spacing w:line="400" w:lineRule="exact"/>
              <w:jc w:val="center"/>
              <w:rPr>
                <w:rFonts w:hint="eastAsia" w:ascii="宋体" w:hAnsi="宋体" w:cs="宋体"/>
                <w:color w:val="auto"/>
                <w:szCs w:val="20"/>
                <w:highlight w:val="none"/>
              </w:rPr>
            </w:pPr>
            <w:bookmarkStart w:id="656" w:name="_Toc221952170"/>
            <w:r>
              <w:rPr>
                <w:rFonts w:hint="eastAsia" w:ascii="宋体" w:hAnsi="宋体" w:cs="宋体"/>
                <w:color w:val="auto"/>
                <w:szCs w:val="20"/>
                <w:highlight w:val="none"/>
              </w:rPr>
              <w:t>技术职称</w:t>
            </w:r>
            <w:bookmarkEnd w:id="656"/>
          </w:p>
        </w:tc>
        <w:tc>
          <w:tcPr>
            <w:tcW w:w="917" w:type="pct"/>
            <w:gridSpan w:val="3"/>
            <w:tcBorders>
              <w:top w:val="single" w:color="auto" w:sz="4" w:space="0"/>
              <w:left w:val="single" w:color="auto" w:sz="4" w:space="0"/>
              <w:bottom w:val="single" w:color="auto" w:sz="4" w:space="0"/>
              <w:right w:val="single" w:color="auto" w:sz="4" w:space="0"/>
            </w:tcBorders>
            <w:noWrap w:val="0"/>
            <w:vAlign w:val="center"/>
          </w:tcPr>
          <w:p w14:paraId="70198860">
            <w:pPr>
              <w:topLinePunct/>
              <w:spacing w:line="400" w:lineRule="exact"/>
              <w:jc w:val="center"/>
              <w:rPr>
                <w:rFonts w:hint="eastAsia" w:ascii="宋体" w:hAnsi="宋体" w:cs="宋体"/>
                <w:color w:val="auto"/>
                <w:szCs w:val="20"/>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center"/>
          </w:tcPr>
          <w:p w14:paraId="16C6044C">
            <w:pPr>
              <w:topLinePunct/>
              <w:spacing w:line="400" w:lineRule="exact"/>
              <w:jc w:val="center"/>
              <w:rPr>
                <w:rFonts w:hint="eastAsia" w:ascii="宋体" w:hAnsi="宋体" w:cs="宋体"/>
                <w:color w:val="auto"/>
                <w:szCs w:val="20"/>
                <w:highlight w:val="none"/>
              </w:rPr>
            </w:pPr>
            <w:bookmarkStart w:id="657" w:name="_Toc221952171"/>
            <w:r>
              <w:rPr>
                <w:rFonts w:hint="eastAsia" w:ascii="宋体" w:hAnsi="宋体" w:cs="宋体"/>
                <w:color w:val="auto"/>
                <w:szCs w:val="20"/>
                <w:highlight w:val="none"/>
              </w:rPr>
              <w:t>电话</w:t>
            </w:r>
            <w:bookmarkEnd w:id="657"/>
          </w:p>
        </w:tc>
        <w:tc>
          <w:tcPr>
            <w:tcW w:w="579" w:type="pct"/>
            <w:tcBorders>
              <w:top w:val="single" w:color="auto" w:sz="4" w:space="0"/>
              <w:left w:val="single" w:color="auto" w:sz="4" w:space="0"/>
              <w:bottom w:val="single" w:color="auto" w:sz="4" w:space="0"/>
              <w:right w:val="single" w:color="auto" w:sz="4" w:space="0"/>
            </w:tcBorders>
            <w:noWrap w:val="0"/>
            <w:vAlign w:val="center"/>
          </w:tcPr>
          <w:p w14:paraId="7BDA40F0">
            <w:pPr>
              <w:topLinePunct/>
              <w:spacing w:line="400" w:lineRule="exact"/>
              <w:jc w:val="center"/>
              <w:rPr>
                <w:rFonts w:hint="eastAsia" w:ascii="宋体" w:hAnsi="宋体" w:cs="宋体"/>
                <w:color w:val="auto"/>
                <w:szCs w:val="20"/>
                <w:highlight w:val="none"/>
              </w:rPr>
            </w:pPr>
          </w:p>
        </w:tc>
      </w:tr>
      <w:tr w14:paraId="6B916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3CAEBEF7">
            <w:pPr>
              <w:topLinePunct/>
              <w:spacing w:line="400" w:lineRule="exact"/>
              <w:jc w:val="center"/>
              <w:rPr>
                <w:rFonts w:hint="eastAsia" w:ascii="宋体" w:hAnsi="宋体" w:cs="宋体"/>
                <w:color w:val="auto"/>
                <w:szCs w:val="20"/>
                <w:highlight w:val="none"/>
              </w:rPr>
            </w:pPr>
            <w:bookmarkStart w:id="658" w:name="_Toc221952172"/>
            <w:r>
              <w:rPr>
                <w:rFonts w:hint="eastAsia" w:ascii="宋体" w:hAnsi="宋体" w:cs="宋体"/>
                <w:color w:val="auto"/>
                <w:szCs w:val="20"/>
                <w:highlight w:val="none"/>
              </w:rPr>
              <w:t>成立时间</w:t>
            </w:r>
            <w:bookmarkEnd w:id="658"/>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33E01B12">
            <w:pPr>
              <w:topLinePunct/>
              <w:spacing w:line="400" w:lineRule="exact"/>
              <w:jc w:val="center"/>
              <w:rPr>
                <w:rFonts w:hint="eastAsia" w:ascii="宋体" w:hAnsi="宋体" w:cs="宋体"/>
                <w:color w:val="auto"/>
                <w:szCs w:val="20"/>
                <w:highlight w:val="none"/>
              </w:rPr>
            </w:pPr>
          </w:p>
        </w:tc>
        <w:tc>
          <w:tcPr>
            <w:tcW w:w="1653" w:type="pct"/>
            <w:gridSpan w:val="5"/>
            <w:tcBorders>
              <w:top w:val="single" w:color="auto" w:sz="4" w:space="0"/>
              <w:left w:val="single" w:color="auto" w:sz="4" w:space="0"/>
              <w:bottom w:val="single" w:color="auto" w:sz="4" w:space="0"/>
              <w:right w:val="single" w:color="auto" w:sz="4" w:space="0"/>
            </w:tcBorders>
            <w:noWrap w:val="0"/>
            <w:vAlign w:val="center"/>
          </w:tcPr>
          <w:p w14:paraId="6F999DFC">
            <w:pPr>
              <w:topLinePunct/>
              <w:spacing w:line="400" w:lineRule="exact"/>
              <w:jc w:val="center"/>
              <w:rPr>
                <w:rFonts w:hint="eastAsia" w:ascii="宋体" w:hAnsi="宋体" w:cs="宋体"/>
                <w:color w:val="auto"/>
                <w:szCs w:val="20"/>
                <w:highlight w:val="none"/>
              </w:rPr>
            </w:pPr>
            <w:bookmarkStart w:id="659" w:name="_Toc221952173"/>
            <w:r>
              <w:rPr>
                <w:rFonts w:hint="eastAsia" w:ascii="宋体" w:hAnsi="宋体" w:cs="宋体"/>
                <w:color w:val="auto"/>
                <w:szCs w:val="20"/>
                <w:highlight w:val="none"/>
              </w:rPr>
              <w:t>员工总人数：</w:t>
            </w:r>
            <w:bookmarkEnd w:id="659"/>
          </w:p>
        </w:tc>
        <w:tc>
          <w:tcPr>
            <w:tcW w:w="1261" w:type="pct"/>
            <w:gridSpan w:val="2"/>
            <w:tcBorders>
              <w:top w:val="single" w:color="auto" w:sz="4" w:space="0"/>
              <w:left w:val="single" w:color="auto" w:sz="4" w:space="0"/>
              <w:bottom w:val="single" w:color="auto" w:sz="4" w:space="0"/>
              <w:right w:val="single" w:color="auto" w:sz="4" w:space="0"/>
            </w:tcBorders>
            <w:noWrap w:val="0"/>
            <w:vAlign w:val="center"/>
          </w:tcPr>
          <w:p w14:paraId="73BF50F8">
            <w:pPr>
              <w:topLinePunct/>
              <w:spacing w:line="400" w:lineRule="exact"/>
              <w:ind w:firstLine="1050" w:firstLineChars="500"/>
              <w:rPr>
                <w:rFonts w:hint="eastAsia" w:ascii="宋体" w:hAnsi="宋体" w:cs="宋体"/>
                <w:color w:val="auto"/>
                <w:szCs w:val="20"/>
                <w:highlight w:val="none"/>
              </w:rPr>
            </w:pPr>
          </w:p>
        </w:tc>
      </w:tr>
      <w:tr w14:paraId="56646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6397FF8">
            <w:pPr>
              <w:topLinePunct/>
              <w:spacing w:line="400" w:lineRule="exact"/>
              <w:jc w:val="center"/>
              <w:rPr>
                <w:rFonts w:hint="eastAsia" w:ascii="宋体" w:hAnsi="宋体" w:cs="宋体"/>
                <w:color w:val="auto"/>
                <w:szCs w:val="20"/>
                <w:highlight w:val="none"/>
              </w:rPr>
            </w:pPr>
            <w:bookmarkStart w:id="660" w:name="_Toc221952174"/>
            <w:r>
              <w:rPr>
                <w:rFonts w:hint="eastAsia" w:ascii="宋体" w:hAnsi="宋体" w:cs="宋体"/>
                <w:color w:val="auto"/>
                <w:szCs w:val="20"/>
                <w:highlight w:val="none"/>
              </w:rPr>
              <w:t>企业资质等级</w:t>
            </w:r>
            <w:bookmarkEnd w:id="660"/>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3B122F78">
            <w:pPr>
              <w:topLinePunct/>
              <w:spacing w:line="400" w:lineRule="exact"/>
              <w:jc w:val="center"/>
              <w:rPr>
                <w:rFonts w:hint="eastAsia" w:ascii="宋体" w:hAnsi="宋体" w:cs="宋体"/>
                <w:color w:val="auto"/>
                <w:szCs w:val="20"/>
                <w:highlight w:val="none"/>
              </w:rPr>
            </w:pPr>
          </w:p>
        </w:tc>
        <w:tc>
          <w:tcPr>
            <w:tcW w:w="490" w:type="pct"/>
            <w:vMerge w:val="restart"/>
            <w:tcBorders>
              <w:top w:val="single" w:color="auto" w:sz="4" w:space="0"/>
              <w:left w:val="single" w:color="auto" w:sz="4" w:space="0"/>
              <w:bottom w:val="single" w:color="auto" w:sz="4" w:space="0"/>
              <w:right w:val="single" w:color="auto" w:sz="4" w:space="0"/>
            </w:tcBorders>
            <w:noWrap w:val="0"/>
            <w:vAlign w:val="center"/>
          </w:tcPr>
          <w:p w14:paraId="42C0C505">
            <w:pPr>
              <w:topLinePunct/>
              <w:spacing w:line="400" w:lineRule="exact"/>
              <w:jc w:val="center"/>
              <w:rPr>
                <w:rFonts w:hint="eastAsia" w:ascii="宋体" w:hAnsi="宋体" w:cs="宋体"/>
                <w:color w:val="auto"/>
                <w:szCs w:val="20"/>
                <w:highlight w:val="none"/>
              </w:rPr>
            </w:pPr>
            <w:bookmarkStart w:id="661" w:name="_Toc221952175"/>
            <w:r>
              <w:rPr>
                <w:rFonts w:hint="eastAsia" w:ascii="宋体" w:hAnsi="宋体" w:cs="宋体"/>
                <w:color w:val="auto"/>
                <w:szCs w:val="20"/>
                <w:highlight w:val="none"/>
              </w:rPr>
              <w:t>其中</w:t>
            </w:r>
            <w:bookmarkEnd w:id="661"/>
          </w:p>
        </w:tc>
        <w:tc>
          <w:tcPr>
            <w:tcW w:w="1163" w:type="pct"/>
            <w:gridSpan w:val="4"/>
            <w:tcBorders>
              <w:top w:val="single" w:color="auto" w:sz="4" w:space="0"/>
              <w:left w:val="single" w:color="auto" w:sz="4" w:space="0"/>
              <w:bottom w:val="single" w:color="auto" w:sz="4" w:space="0"/>
              <w:right w:val="single" w:color="auto" w:sz="4" w:space="0"/>
            </w:tcBorders>
            <w:noWrap w:val="0"/>
            <w:vAlign w:val="center"/>
          </w:tcPr>
          <w:p w14:paraId="738B29DC">
            <w:pPr>
              <w:topLinePunct/>
              <w:spacing w:line="400" w:lineRule="exact"/>
              <w:jc w:val="center"/>
              <w:rPr>
                <w:rFonts w:hint="eastAsia" w:ascii="宋体" w:hAnsi="宋体" w:cs="宋体"/>
                <w:color w:val="auto"/>
                <w:szCs w:val="20"/>
                <w:highlight w:val="none"/>
              </w:rPr>
            </w:pPr>
            <w:r>
              <w:rPr>
                <w:rFonts w:hint="eastAsia" w:ascii="宋体" w:hAnsi="宋体" w:cs="宋体"/>
                <w:color w:val="auto"/>
                <w:szCs w:val="20"/>
                <w:highlight w:val="none"/>
              </w:rPr>
              <w:t>项目负责人</w:t>
            </w:r>
          </w:p>
        </w:tc>
        <w:tc>
          <w:tcPr>
            <w:tcW w:w="1261" w:type="pct"/>
            <w:gridSpan w:val="2"/>
            <w:tcBorders>
              <w:top w:val="single" w:color="auto" w:sz="4" w:space="0"/>
              <w:left w:val="single" w:color="auto" w:sz="4" w:space="0"/>
              <w:bottom w:val="single" w:color="auto" w:sz="4" w:space="0"/>
              <w:right w:val="single" w:color="auto" w:sz="4" w:space="0"/>
            </w:tcBorders>
            <w:noWrap w:val="0"/>
            <w:vAlign w:val="center"/>
          </w:tcPr>
          <w:p w14:paraId="244DA64A">
            <w:pPr>
              <w:topLinePunct/>
              <w:spacing w:line="400" w:lineRule="exact"/>
              <w:jc w:val="center"/>
              <w:rPr>
                <w:rFonts w:hint="eastAsia" w:ascii="宋体" w:hAnsi="宋体" w:cs="宋体"/>
                <w:color w:val="auto"/>
                <w:szCs w:val="20"/>
                <w:highlight w:val="none"/>
              </w:rPr>
            </w:pPr>
          </w:p>
        </w:tc>
      </w:tr>
      <w:tr w14:paraId="3B0C2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6E21D59">
            <w:pPr>
              <w:topLinePunct/>
              <w:spacing w:line="400" w:lineRule="exact"/>
              <w:jc w:val="center"/>
              <w:rPr>
                <w:rFonts w:hint="eastAsia" w:ascii="宋体" w:hAnsi="宋体" w:cs="宋体"/>
                <w:color w:val="auto"/>
                <w:szCs w:val="20"/>
                <w:highlight w:val="none"/>
              </w:rPr>
            </w:pPr>
            <w:bookmarkStart w:id="662" w:name="_Toc221952177"/>
            <w:r>
              <w:rPr>
                <w:rFonts w:hint="eastAsia" w:ascii="宋体" w:hAnsi="宋体" w:cs="宋体"/>
                <w:color w:val="auto"/>
                <w:szCs w:val="20"/>
                <w:highlight w:val="none"/>
              </w:rPr>
              <w:t>营业执照号</w:t>
            </w:r>
            <w:bookmarkEnd w:id="662"/>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5910559F">
            <w:pPr>
              <w:topLinePunct/>
              <w:spacing w:line="400" w:lineRule="exact"/>
              <w:jc w:val="center"/>
              <w:rPr>
                <w:rFonts w:hint="eastAsia" w:ascii="宋体" w:hAnsi="宋体" w:cs="宋体"/>
                <w:color w:val="auto"/>
                <w:szCs w:val="20"/>
                <w:highlight w:val="none"/>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65851943">
            <w:pPr>
              <w:topLinePunct/>
              <w:spacing w:line="400" w:lineRule="exact"/>
              <w:jc w:val="center"/>
              <w:rPr>
                <w:rFonts w:hint="eastAsia" w:ascii="宋体" w:hAnsi="宋体" w:cs="宋体"/>
                <w:color w:val="auto"/>
                <w:szCs w:val="20"/>
                <w:highlight w:val="none"/>
              </w:rPr>
            </w:pPr>
          </w:p>
        </w:tc>
        <w:tc>
          <w:tcPr>
            <w:tcW w:w="1163" w:type="pct"/>
            <w:gridSpan w:val="4"/>
            <w:tcBorders>
              <w:top w:val="single" w:color="auto" w:sz="4" w:space="0"/>
              <w:left w:val="single" w:color="auto" w:sz="4" w:space="0"/>
              <w:bottom w:val="single" w:color="auto" w:sz="4" w:space="0"/>
              <w:right w:val="single" w:color="auto" w:sz="4" w:space="0"/>
            </w:tcBorders>
            <w:noWrap w:val="0"/>
            <w:vAlign w:val="center"/>
          </w:tcPr>
          <w:p w14:paraId="1CAF3AE2">
            <w:pPr>
              <w:topLinePunct/>
              <w:spacing w:line="400" w:lineRule="exact"/>
              <w:jc w:val="center"/>
              <w:rPr>
                <w:rFonts w:hint="eastAsia" w:ascii="宋体" w:hAnsi="宋体" w:cs="宋体"/>
                <w:color w:val="auto"/>
                <w:szCs w:val="20"/>
                <w:highlight w:val="none"/>
              </w:rPr>
            </w:pPr>
            <w:bookmarkStart w:id="663" w:name="_Toc221952178"/>
            <w:r>
              <w:rPr>
                <w:rFonts w:hint="eastAsia" w:ascii="宋体" w:hAnsi="宋体" w:cs="宋体"/>
                <w:color w:val="auto"/>
                <w:szCs w:val="20"/>
                <w:highlight w:val="none"/>
              </w:rPr>
              <w:t>高级职称人员</w:t>
            </w:r>
            <w:bookmarkEnd w:id="663"/>
          </w:p>
        </w:tc>
        <w:tc>
          <w:tcPr>
            <w:tcW w:w="1261" w:type="pct"/>
            <w:gridSpan w:val="2"/>
            <w:tcBorders>
              <w:top w:val="single" w:color="auto" w:sz="4" w:space="0"/>
              <w:left w:val="single" w:color="auto" w:sz="4" w:space="0"/>
              <w:bottom w:val="single" w:color="auto" w:sz="4" w:space="0"/>
              <w:right w:val="single" w:color="auto" w:sz="4" w:space="0"/>
            </w:tcBorders>
            <w:noWrap w:val="0"/>
            <w:vAlign w:val="center"/>
          </w:tcPr>
          <w:p w14:paraId="1FEF4AA0">
            <w:pPr>
              <w:topLinePunct/>
              <w:spacing w:line="400" w:lineRule="exact"/>
              <w:jc w:val="center"/>
              <w:rPr>
                <w:rFonts w:hint="eastAsia" w:ascii="宋体" w:hAnsi="宋体" w:cs="宋体"/>
                <w:color w:val="auto"/>
                <w:szCs w:val="20"/>
                <w:highlight w:val="none"/>
              </w:rPr>
            </w:pPr>
          </w:p>
        </w:tc>
      </w:tr>
      <w:tr w14:paraId="03449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2AABF079">
            <w:pPr>
              <w:topLinePunct/>
              <w:spacing w:line="400" w:lineRule="exact"/>
              <w:jc w:val="center"/>
              <w:rPr>
                <w:rFonts w:hint="eastAsia" w:ascii="宋体" w:hAnsi="宋体" w:cs="宋体"/>
                <w:color w:val="auto"/>
                <w:szCs w:val="20"/>
                <w:highlight w:val="none"/>
              </w:rPr>
            </w:pPr>
            <w:bookmarkStart w:id="664" w:name="_Toc221952179"/>
            <w:r>
              <w:rPr>
                <w:rFonts w:hint="eastAsia" w:ascii="宋体" w:hAnsi="宋体" w:cs="宋体"/>
                <w:color w:val="auto"/>
                <w:szCs w:val="20"/>
                <w:highlight w:val="none"/>
              </w:rPr>
              <w:t>注册资金</w:t>
            </w:r>
            <w:bookmarkEnd w:id="664"/>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07744265">
            <w:pPr>
              <w:topLinePunct/>
              <w:spacing w:line="400" w:lineRule="exact"/>
              <w:jc w:val="center"/>
              <w:rPr>
                <w:rFonts w:hint="eastAsia" w:ascii="宋体" w:hAnsi="宋体" w:cs="宋体"/>
                <w:color w:val="auto"/>
                <w:szCs w:val="20"/>
                <w:highlight w:val="none"/>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60C45597">
            <w:pPr>
              <w:topLinePunct/>
              <w:spacing w:line="400" w:lineRule="exact"/>
              <w:jc w:val="center"/>
              <w:rPr>
                <w:rFonts w:hint="eastAsia" w:ascii="宋体" w:hAnsi="宋体" w:cs="宋体"/>
                <w:color w:val="auto"/>
                <w:szCs w:val="20"/>
                <w:highlight w:val="none"/>
              </w:rPr>
            </w:pPr>
          </w:p>
        </w:tc>
        <w:tc>
          <w:tcPr>
            <w:tcW w:w="1163" w:type="pct"/>
            <w:gridSpan w:val="4"/>
            <w:tcBorders>
              <w:top w:val="single" w:color="auto" w:sz="4" w:space="0"/>
              <w:left w:val="single" w:color="auto" w:sz="4" w:space="0"/>
              <w:bottom w:val="single" w:color="auto" w:sz="4" w:space="0"/>
              <w:right w:val="single" w:color="auto" w:sz="4" w:space="0"/>
            </w:tcBorders>
            <w:noWrap w:val="0"/>
            <w:vAlign w:val="center"/>
          </w:tcPr>
          <w:p w14:paraId="52B0F21F">
            <w:pPr>
              <w:topLinePunct/>
              <w:spacing w:line="400" w:lineRule="exact"/>
              <w:jc w:val="center"/>
              <w:rPr>
                <w:rFonts w:hint="eastAsia" w:ascii="宋体" w:hAnsi="宋体" w:cs="宋体"/>
                <w:color w:val="auto"/>
                <w:szCs w:val="20"/>
                <w:highlight w:val="none"/>
              </w:rPr>
            </w:pPr>
            <w:bookmarkStart w:id="665" w:name="_Toc221952180"/>
            <w:r>
              <w:rPr>
                <w:rFonts w:hint="eastAsia" w:ascii="宋体" w:hAnsi="宋体" w:cs="宋体"/>
                <w:color w:val="auto"/>
                <w:szCs w:val="20"/>
                <w:highlight w:val="none"/>
              </w:rPr>
              <w:t>中级职称人员</w:t>
            </w:r>
            <w:bookmarkEnd w:id="665"/>
          </w:p>
        </w:tc>
        <w:tc>
          <w:tcPr>
            <w:tcW w:w="1261" w:type="pct"/>
            <w:gridSpan w:val="2"/>
            <w:tcBorders>
              <w:top w:val="single" w:color="auto" w:sz="4" w:space="0"/>
              <w:left w:val="single" w:color="auto" w:sz="4" w:space="0"/>
              <w:bottom w:val="single" w:color="auto" w:sz="4" w:space="0"/>
              <w:right w:val="single" w:color="auto" w:sz="4" w:space="0"/>
            </w:tcBorders>
            <w:noWrap w:val="0"/>
            <w:vAlign w:val="center"/>
          </w:tcPr>
          <w:p w14:paraId="6C849B4B">
            <w:pPr>
              <w:topLinePunct/>
              <w:spacing w:line="400" w:lineRule="exact"/>
              <w:jc w:val="center"/>
              <w:rPr>
                <w:rFonts w:hint="eastAsia" w:ascii="宋体" w:hAnsi="宋体" w:cs="宋体"/>
                <w:color w:val="auto"/>
                <w:szCs w:val="20"/>
                <w:highlight w:val="none"/>
              </w:rPr>
            </w:pPr>
          </w:p>
        </w:tc>
      </w:tr>
      <w:tr w14:paraId="016A3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34FEF09B">
            <w:pPr>
              <w:topLinePunct/>
              <w:spacing w:line="400" w:lineRule="exact"/>
              <w:jc w:val="center"/>
              <w:rPr>
                <w:rFonts w:hint="eastAsia" w:ascii="宋体" w:hAnsi="宋体" w:cs="宋体"/>
                <w:color w:val="auto"/>
                <w:szCs w:val="20"/>
                <w:highlight w:val="none"/>
              </w:rPr>
            </w:pPr>
            <w:bookmarkStart w:id="666" w:name="_Toc221952181"/>
            <w:r>
              <w:rPr>
                <w:rFonts w:hint="eastAsia" w:ascii="宋体" w:hAnsi="宋体" w:cs="宋体"/>
                <w:color w:val="auto"/>
                <w:szCs w:val="20"/>
                <w:highlight w:val="none"/>
              </w:rPr>
              <w:t>开户银行</w:t>
            </w:r>
            <w:bookmarkEnd w:id="666"/>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5843C70B">
            <w:pPr>
              <w:topLinePunct/>
              <w:spacing w:line="400" w:lineRule="exact"/>
              <w:jc w:val="center"/>
              <w:rPr>
                <w:rFonts w:hint="eastAsia" w:ascii="宋体" w:hAnsi="宋体" w:cs="宋体"/>
                <w:color w:val="auto"/>
                <w:szCs w:val="20"/>
                <w:highlight w:val="none"/>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3A27A218">
            <w:pPr>
              <w:topLinePunct/>
              <w:spacing w:line="400" w:lineRule="exact"/>
              <w:jc w:val="center"/>
              <w:rPr>
                <w:rFonts w:hint="eastAsia" w:ascii="宋体" w:hAnsi="宋体" w:cs="宋体"/>
                <w:color w:val="auto"/>
                <w:szCs w:val="20"/>
                <w:highlight w:val="none"/>
              </w:rPr>
            </w:pPr>
          </w:p>
        </w:tc>
        <w:tc>
          <w:tcPr>
            <w:tcW w:w="1163" w:type="pct"/>
            <w:gridSpan w:val="4"/>
            <w:tcBorders>
              <w:top w:val="single" w:color="auto" w:sz="4" w:space="0"/>
              <w:left w:val="single" w:color="auto" w:sz="4" w:space="0"/>
              <w:bottom w:val="single" w:color="auto" w:sz="4" w:space="0"/>
              <w:right w:val="single" w:color="auto" w:sz="4" w:space="0"/>
            </w:tcBorders>
            <w:noWrap w:val="0"/>
            <w:vAlign w:val="center"/>
          </w:tcPr>
          <w:p w14:paraId="544F4969">
            <w:pPr>
              <w:topLinePunct/>
              <w:spacing w:line="400" w:lineRule="exact"/>
              <w:jc w:val="center"/>
              <w:rPr>
                <w:rFonts w:hint="eastAsia" w:ascii="宋体" w:hAnsi="宋体" w:cs="宋体"/>
                <w:color w:val="auto"/>
                <w:szCs w:val="20"/>
                <w:highlight w:val="none"/>
              </w:rPr>
            </w:pPr>
            <w:bookmarkStart w:id="667" w:name="_Toc221952182"/>
            <w:r>
              <w:rPr>
                <w:rFonts w:hint="eastAsia" w:ascii="宋体" w:hAnsi="宋体" w:cs="宋体"/>
                <w:color w:val="auto"/>
                <w:szCs w:val="20"/>
                <w:highlight w:val="none"/>
              </w:rPr>
              <w:t>初级职称人员</w:t>
            </w:r>
            <w:bookmarkEnd w:id="667"/>
          </w:p>
        </w:tc>
        <w:tc>
          <w:tcPr>
            <w:tcW w:w="1261" w:type="pct"/>
            <w:gridSpan w:val="2"/>
            <w:tcBorders>
              <w:top w:val="single" w:color="auto" w:sz="4" w:space="0"/>
              <w:left w:val="single" w:color="auto" w:sz="4" w:space="0"/>
              <w:bottom w:val="single" w:color="auto" w:sz="4" w:space="0"/>
              <w:right w:val="single" w:color="auto" w:sz="4" w:space="0"/>
            </w:tcBorders>
            <w:noWrap w:val="0"/>
            <w:vAlign w:val="center"/>
          </w:tcPr>
          <w:p w14:paraId="237188CB">
            <w:pPr>
              <w:topLinePunct/>
              <w:spacing w:line="400" w:lineRule="exact"/>
              <w:jc w:val="center"/>
              <w:rPr>
                <w:rFonts w:hint="eastAsia" w:ascii="宋体" w:hAnsi="宋体" w:cs="宋体"/>
                <w:color w:val="auto"/>
                <w:szCs w:val="20"/>
                <w:highlight w:val="none"/>
              </w:rPr>
            </w:pPr>
          </w:p>
        </w:tc>
      </w:tr>
      <w:tr w14:paraId="75D08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A1CFF6E">
            <w:pPr>
              <w:topLinePunct/>
              <w:spacing w:line="400" w:lineRule="exact"/>
              <w:jc w:val="center"/>
              <w:rPr>
                <w:rFonts w:hint="eastAsia" w:ascii="宋体" w:hAnsi="宋体" w:cs="宋体"/>
                <w:color w:val="auto"/>
                <w:szCs w:val="20"/>
                <w:highlight w:val="none"/>
              </w:rPr>
            </w:pPr>
            <w:bookmarkStart w:id="668" w:name="_Toc221952183"/>
            <w:r>
              <w:rPr>
                <w:rFonts w:hint="eastAsia" w:ascii="宋体" w:hAnsi="宋体" w:cs="宋体"/>
                <w:color w:val="auto"/>
                <w:szCs w:val="20"/>
                <w:highlight w:val="none"/>
              </w:rPr>
              <w:t>账号</w:t>
            </w:r>
            <w:bookmarkEnd w:id="668"/>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2A205E9C">
            <w:pPr>
              <w:topLinePunct/>
              <w:spacing w:line="400" w:lineRule="exact"/>
              <w:jc w:val="center"/>
              <w:rPr>
                <w:rFonts w:hint="eastAsia" w:ascii="宋体" w:hAnsi="宋体" w:cs="宋体"/>
                <w:color w:val="auto"/>
                <w:szCs w:val="20"/>
                <w:highlight w:val="none"/>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7D33A67A">
            <w:pPr>
              <w:topLinePunct/>
              <w:spacing w:line="400" w:lineRule="exact"/>
              <w:jc w:val="center"/>
              <w:rPr>
                <w:rFonts w:hint="eastAsia" w:ascii="宋体" w:hAnsi="宋体" w:cs="宋体"/>
                <w:color w:val="auto"/>
                <w:szCs w:val="20"/>
                <w:highlight w:val="none"/>
              </w:rPr>
            </w:pPr>
          </w:p>
        </w:tc>
        <w:tc>
          <w:tcPr>
            <w:tcW w:w="1163" w:type="pct"/>
            <w:gridSpan w:val="4"/>
            <w:tcBorders>
              <w:top w:val="single" w:color="auto" w:sz="4" w:space="0"/>
              <w:left w:val="single" w:color="auto" w:sz="4" w:space="0"/>
              <w:bottom w:val="single" w:color="auto" w:sz="4" w:space="0"/>
              <w:right w:val="single" w:color="auto" w:sz="4" w:space="0"/>
            </w:tcBorders>
            <w:noWrap w:val="0"/>
            <w:vAlign w:val="center"/>
          </w:tcPr>
          <w:p w14:paraId="6A697E20">
            <w:pPr>
              <w:spacing w:line="400" w:lineRule="exact"/>
              <w:jc w:val="center"/>
              <w:rPr>
                <w:rFonts w:hint="eastAsia" w:ascii="宋体" w:hAnsi="宋体" w:cs="宋体"/>
                <w:color w:val="auto"/>
                <w:szCs w:val="20"/>
                <w:highlight w:val="none"/>
              </w:rPr>
            </w:pPr>
            <w:bookmarkStart w:id="669" w:name="_Toc221952184"/>
            <w:r>
              <w:rPr>
                <w:rFonts w:hint="eastAsia" w:ascii="宋体" w:hAnsi="宋体" w:cs="宋体"/>
                <w:color w:val="auto"/>
                <w:szCs w:val="20"/>
                <w:highlight w:val="none"/>
              </w:rPr>
              <w:t>技  工</w:t>
            </w:r>
            <w:bookmarkEnd w:id="669"/>
          </w:p>
        </w:tc>
        <w:tc>
          <w:tcPr>
            <w:tcW w:w="1261" w:type="pct"/>
            <w:gridSpan w:val="2"/>
            <w:tcBorders>
              <w:top w:val="single" w:color="auto" w:sz="4" w:space="0"/>
              <w:left w:val="single" w:color="auto" w:sz="4" w:space="0"/>
              <w:bottom w:val="single" w:color="auto" w:sz="4" w:space="0"/>
              <w:right w:val="single" w:color="auto" w:sz="4" w:space="0"/>
            </w:tcBorders>
            <w:noWrap w:val="0"/>
            <w:vAlign w:val="center"/>
          </w:tcPr>
          <w:p w14:paraId="31EC38A8">
            <w:pPr>
              <w:topLinePunct/>
              <w:spacing w:line="400" w:lineRule="exact"/>
              <w:jc w:val="center"/>
              <w:rPr>
                <w:rFonts w:hint="eastAsia" w:ascii="宋体" w:hAnsi="宋体" w:cs="宋体"/>
                <w:color w:val="auto"/>
                <w:szCs w:val="20"/>
                <w:highlight w:val="none"/>
              </w:rPr>
            </w:pPr>
          </w:p>
        </w:tc>
      </w:tr>
      <w:tr w14:paraId="60D27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007" w:type="pct"/>
            <w:tcBorders>
              <w:top w:val="single" w:color="auto" w:sz="4" w:space="0"/>
              <w:left w:val="single" w:color="auto" w:sz="4" w:space="0"/>
              <w:right w:val="single" w:color="auto" w:sz="4" w:space="0"/>
            </w:tcBorders>
            <w:noWrap w:val="0"/>
            <w:vAlign w:val="center"/>
          </w:tcPr>
          <w:p w14:paraId="74CDB934">
            <w:pPr>
              <w:topLinePunct/>
              <w:spacing w:line="400" w:lineRule="exact"/>
              <w:ind w:firstLine="210" w:firstLineChars="100"/>
              <w:jc w:val="center"/>
              <w:rPr>
                <w:rFonts w:hint="eastAsia" w:ascii="宋体" w:hAnsi="宋体" w:cs="宋体"/>
                <w:color w:val="auto"/>
                <w:szCs w:val="20"/>
                <w:highlight w:val="none"/>
              </w:rPr>
            </w:pPr>
            <w:bookmarkStart w:id="670" w:name="_Toc221952185"/>
            <w:r>
              <w:rPr>
                <w:rFonts w:hint="eastAsia" w:ascii="宋体" w:hAnsi="宋体" w:cs="宋体"/>
                <w:color w:val="auto"/>
                <w:szCs w:val="20"/>
                <w:highlight w:val="none"/>
              </w:rPr>
              <w:t>经营范围</w:t>
            </w:r>
            <w:bookmarkEnd w:id="670"/>
          </w:p>
        </w:tc>
        <w:tc>
          <w:tcPr>
            <w:tcW w:w="3993" w:type="pct"/>
            <w:gridSpan w:val="9"/>
            <w:tcBorders>
              <w:top w:val="single" w:color="auto" w:sz="4" w:space="0"/>
              <w:left w:val="single" w:color="auto" w:sz="4" w:space="0"/>
              <w:right w:val="single" w:color="auto" w:sz="4" w:space="0"/>
            </w:tcBorders>
            <w:noWrap w:val="0"/>
            <w:vAlign w:val="center"/>
          </w:tcPr>
          <w:p w14:paraId="5830B2A0">
            <w:pPr>
              <w:topLinePunct/>
              <w:spacing w:line="400" w:lineRule="exact"/>
              <w:rPr>
                <w:rFonts w:hint="eastAsia" w:ascii="宋体" w:hAnsi="宋体" w:cs="宋体"/>
                <w:color w:val="auto"/>
                <w:szCs w:val="20"/>
                <w:highlight w:val="none"/>
              </w:rPr>
            </w:pPr>
          </w:p>
          <w:p w14:paraId="7DCFCBF0">
            <w:pPr>
              <w:topLinePunct/>
              <w:spacing w:line="400" w:lineRule="exact"/>
              <w:jc w:val="center"/>
              <w:rPr>
                <w:rFonts w:hint="eastAsia" w:ascii="宋体" w:hAnsi="宋体" w:cs="宋体"/>
                <w:color w:val="auto"/>
                <w:szCs w:val="20"/>
                <w:highlight w:val="none"/>
              </w:rPr>
            </w:pPr>
          </w:p>
          <w:p w14:paraId="10F9DFA1">
            <w:pPr>
              <w:topLinePunct/>
              <w:spacing w:line="400" w:lineRule="exact"/>
              <w:jc w:val="center"/>
              <w:rPr>
                <w:rFonts w:hint="eastAsia" w:ascii="宋体" w:hAnsi="宋体" w:cs="宋体"/>
                <w:color w:val="auto"/>
                <w:szCs w:val="20"/>
                <w:highlight w:val="none"/>
              </w:rPr>
            </w:pPr>
          </w:p>
          <w:p w14:paraId="7E72C104">
            <w:pPr>
              <w:topLinePunct/>
              <w:spacing w:line="400" w:lineRule="exact"/>
              <w:jc w:val="center"/>
              <w:rPr>
                <w:rFonts w:hint="eastAsia" w:ascii="宋体" w:hAnsi="宋体" w:cs="宋体"/>
                <w:color w:val="auto"/>
                <w:szCs w:val="20"/>
                <w:highlight w:val="none"/>
              </w:rPr>
            </w:pPr>
          </w:p>
          <w:p w14:paraId="2D85C6C2">
            <w:pPr>
              <w:topLinePunct/>
              <w:spacing w:line="400" w:lineRule="exact"/>
              <w:jc w:val="center"/>
              <w:rPr>
                <w:rFonts w:hint="eastAsia" w:ascii="宋体" w:hAnsi="宋体" w:cs="宋体"/>
                <w:color w:val="auto"/>
                <w:szCs w:val="20"/>
                <w:highlight w:val="none"/>
              </w:rPr>
            </w:pPr>
          </w:p>
          <w:p w14:paraId="21166380">
            <w:pPr>
              <w:topLinePunct/>
              <w:spacing w:line="400" w:lineRule="exact"/>
              <w:jc w:val="center"/>
              <w:rPr>
                <w:rFonts w:hint="eastAsia" w:ascii="宋体" w:hAnsi="宋体" w:cs="宋体"/>
                <w:color w:val="auto"/>
                <w:szCs w:val="20"/>
                <w:highlight w:val="none"/>
              </w:rPr>
            </w:pPr>
          </w:p>
          <w:p w14:paraId="567D4E7E">
            <w:pPr>
              <w:topLinePunct/>
              <w:spacing w:line="400" w:lineRule="exact"/>
              <w:jc w:val="center"/>
              <w:rPr>
                <w:rFonts w:hint="eastAsia" w:ascii="宋体" w:hAnsi="宋体" w:cs="宋体"/>
                <w:color w:val="auto"/>
                <w:szCs w:val="20"/>
                <w:highlight w:val="none"/>
              </w:rPr>
            </w:pPr>
          </w:p>
        </w:tc>
      </w:tr>
      <w:tr w14:paraId="5E699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8086983">
            <w:pPr>
              <w:topLinePunct/>
              <w:spacing w:line="400" w:lineRule="exact"/>
              <w:jc w:val="center"/>
              <w:rPr>
                <w:rFonts w:hint="eastAsia" w:ascii="宋体" w:hAnsi="宋体" w:cs="宋体"/>
                <w:color w:val="auto"/>
                <w:szCs w:val="20"/>
                <w:highlight w:val="none"/>
              </w:rPr>
            </w:pPr>
            <w:bookmarkStart w:id="671" w:name="_Toc221952186"/>
            <w:r>
              <w:rPr>
                <w:rFonts w:hint="eastAsia" w:ascii="宋体" w:hAnsi="宋体" w:cs="宋体"/>
                <w:color w:val="auto"/>
                <w:szCs w:val="20"/>
                <w:highlight w:val="none"/>
              </w:rPr>
              <w:t>备注</w:t>
            </w:r>
            <w:bookmarkEnd w:id="671"/>
          </w:p>
        </w:tc>
        <w:tc>
          <w:tcPr>
            <w:tcW w:w="3993" w:type="pct"/>
            <w:gridSpan w:val="9"/>
            <w:tcBorders>
              <w:top w:val="single" w:color="auto" w:sz="4" w:space="0"/>
              <w:left w:val="single" w:color="auto" w:sz="4" w:space="0"/>
              <w:bottom w:val="single" w:color="auto" w:sz="4" w:space="0"/>
              <w:right w:val="single" w:color="auto" w:sz="4" w:space="0"/>
            </w:tcBorders>
            <w:noWrap w:val="0"/>
            <w:vAlign w:val="center"/>
          </w:tcPr>
          <w:p w14:paraId="184E7B7D">
            <w:pPr>
              <w:topLinePunct/>
              <w:spacing w:line="400" w:lineRule="exact"/>
              <w:jc w:val="center"/>
              <w:rPr>
                <w:rFonts w:hint="eastAsia" w:ascii="宋体" w:hAnsi="宋体" w:cs="宋体"/>
                <w:color w:val="auto"/>
                <w:szCs w:val="20"/>
                <w:highlight w:val="none"/>
              </w:rPr>
            </w:pPr>
          </w:p>
        </w:tc>
      </w:tr>
    </w:tbl>
    <w:p w14:paraId="433965D1">
      <w:pPr>
        <w:spacing w:line="400" w:lineRule="exact"/>
        <w:rPr>
          <w:rFonts w:hint="eastAsia" w:ascii="宋体" w:hAnsi="宋体" w:cs="宋体"/>
          <w:color w:val="auto"/>
          <w:highlight w:val="none"/>
        </w:rPr>
      </w:pPr>
      <w:r>
        <w:rPr>
          <w:rFonts w:hint="eastAsia" w:ascii="宋体" w:hAnsi="宋体" w:cs="宋体"/>
          <w:strike w:val="0"/>
          <w:color w:val="auto"/>
          <w:highlight w:val="none"/>
        </w:rPr>
        <w:t xml:space="preserve">注 </w:t>
      </w:r>
      <w:r>
        <w:rPr>
          <w:rFonts w:hint="eastAsia"/>
          <w:color w:val="auto"/>
          <w:highlight w:val="none"/>
          <w:lang w:eastAsia="zh-CN"/>
        </w:rPr>
        <w:t>需提供相关材料的扫描件</w:t>
      </w:r>
      <w:r>
        <w:rPr>
          <w:rFonts w:hint="eastAsia"/>
          <w:color w:val="auto"/>
          <w:highlight w:val="none"/>
        </w:rPr>
        <w:t>。</w:t>
      </w:r>
      <w:r>
        <w:rPr>
          <w:rFonts w:hint="eastAsia" w:ascii="宋体" w:hAnsi="宋体" w:cs="宋体"/>
          <w:color w:val="auto"/>
          <w:highlight w:val="none"/>
        </w:rPr>
        <w:br w:type="page"/>
      </w:r>
      <w:bookmarkStart w:id="672" w:name="_Toc152047267"/>
      <w:bookmarkStart w:id="673" w:name="_Toc222031072"/>
      <w:bookmarkStart w:id="674" w:name="_Toc229305430"/>
      <w:bookmarkStart w:id="675" w:name="_Toc222032739"/>
      <w:bookmarkStart w:id="676" w:name="_Toc221952187"/>
      <w:bookmarkStart w:id="677" w:name="_Toc222029570"/>
      <w:bookmarkStart w:id="678" w:name="_Toc179715760"/>
      <w:bookmarkStart w:id="679" w:name="_Toc222033921"/>
      <w:bookmarkStart w:id="680" w:name="_Toc259524425"/>
    </w:p>
    <w:p w14:paraId="1AEB6624">
      <w:pPr>
        <w:spacing w:line="400" w:lineRule="exact"/>
        <w:jc w:val="left"/>
        <w:outlineLvl w:val="3"/>
        <w:rPr>
          <w:rFonts w:hint="eastAsia" w:ascii="宋体" w:hAnsi="宋体" w:cs="宋体"/>
          <w:b/>
          <w:color w:val="auto"/>
          <w:sz w:val="24"/>
          <w:szCs w:val="31"/>
          <w:highlight w:val="none"/>
        </w:rPr>
      </w:pPr>
      <w:bookmarkStart w:id="681" w:name="_Toc144974877"/>
      <w:bookmarkStart w:id="682" w:name="_Toc152045809"/>
      <w:bookmarkStart w:id="683" w:name="_Toc152042598"/>
      <w:bookmarkStart w:id="684" w:name="_Toc265953295"/>
      <w:bookmarkStart w:id="685" w:name="_Toc332641444"/>
      <w:bookmarkStart w:id="686" w:name="_Toc247527849"/>
      <w:bookmarkStart w:id="687" w:name="_Toc247514301"/>
      <w:r>
        <w:rPr>
          <w:rFonts w:hint="eastAsia" w:ascii="宋体" w:hAnsi="宋体" w:cs="宋体"/>
          <w:b/>
          <w:color w:val="auto"/>
          <w:sz w:val="24"/>
          <w:szCs w:val="31"/>
          <w:highlight w:val="none"/>
        </w:rPr>
        <w:t>（二）拟投入</w:t>
      </w:r>
      <w:bookmarkEnd w:id="681"/>
      <w:bookmarkEnd w:id="682"/>
      <w:bookmarkEnd w:id="683"/>
      <w:bookmarkEnd w:id="684"/>
      <w:bookmarkEnd w:id="685"/>
      <w:bookmarkEnd w:id="686"/>
      <w:bookmarkEnd w:id="687"/>
      <w:r>
        <w:rPr>
          <w:rFonts w:hint="eastAsia" w:ascii="宋体" w:hAnsi="宋体" w:cs="宋体"/>
          <w:b/>
          <w:color w:val="auto"/>
          <w:sz w:val="24"/>
          <w:szCs w:val="31"/>
          <w:highlight w:val="none"/>
        </w:rPr>
        <w:t>项目负责人</w:t>
      </w:r>
    </w:p>
    <w:p w14:paraId="534127D4">
      <w:pPr>
        <w:spacing w:before="260" w:after="260" w:line="415"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项目负责人简历表</w:t>
      </w:r>
    </w:p>
    <w:tbl>
      <w:tblPr>
        <w:tblStyle w:val="17"/>
        <w:tblpPr w:leftFromText="180" w:rightFromText="180" w:vertAnchor="text" w:horzAnchor="margin" w:tblpY="7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386"/>
        <w:gridCol w:w="784"/>
        <w:gridCol w:w="1006"/>
        <w:gridCol w:w="1155"/>
        <w:gridCol w:w="765"/>
        <w:gridCol w:w="1368"/>
        <w:gridCol w:w="177"/>
        <w:gridCol w:w="2313"/>
      </w:tblGrid>
      <w:tr w14:paraId="7118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noWrap w:val="0"/>
            <w:vAlign w:val="center"/>
          </w:tcPr>
          <w:p w14:paraId="05F5190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633" w:type="pct"/>
            <w:gridSpan w:val="2"/>
            <w:noWrap w:val="0"/>
            <w:vAlign w:val="center"/>
          </w:tcPr>
          <w:p w14:paraId="68DE4DF1">
            <w:pPr>
              <w:spacing w:line="440" w:lineRule="exact"/>
              <w:jc w:val="center"/>
              <w:rPr>
                <w:rFonts w:hint="eastAsia" w:ascii="宋体" w:hAnsi="宋体" w:cs="宋体"/>
                <w:color w:val="auto"/>
                <w:szCs w:val="21"/>
                <w:highlight w:val="none"/>
              </w:rPr>
            </w:pPr>
          </w:p>
        </w:tc>
        <w:tc>
          <w:tcPr>
            <w:tcW w:w="544" w:type="pct"/>
            <w:noWrap w:val="0"/>
            <w:vAlign w:val="center"/>
          </w:tcPr>
          <w:p w14:paraId="4406EB0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年 龄</w:t>
            </w:r>
          </w:p>
        </w:tc>
        <w:tc>
          <w:tcPr>
            <w:tcW w:w="625" w:type="pct"/>
            <w:noWrap w:val="0"/>
            <w:vAlign w:val="center"/>
          </w:tcPr>
          <w:p w14:paraId="341EB814">
            <w:pPr>
              <w:spacing w:line="440" w:lineRule="exact"/>
              <w:jc w:val="center"/>
              <w:rPr>
                <w:rFonts w:hint="eastAsia" w:ascii="宋体" w:hAnsi="宋体" w:cs="宋体"/>
                <w:color w:val="auto"/>
                <w:szCs w:val="21"/>
                <w:highlight w:val="none"/>
              </w:rPr>
            </w:pPr>
          </w:p>
        </w:tc>
        <w:tc>
          <w:tcPr>
            <w:tcW w:w="1250" w:type="pct"/>
            <w:gridSpan w:val="3"/>
            <w:noWrap w:val="0"/>
            <w:vAlign w:val="center"/>
          </w:tcPr>
          <w:p w14:paraId="3266A9B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252" w:type="pct"/>
            <w:noWrap w:val="0"/>
            <w:vAlign w:val="center"/>
          </w:tcPr>
          <w:p w14:paraId="01C56716">
            <w:pPr>
              <w:spacing w:line="440" w:lineRule="exact"/>
              <w:jc w:val="center"/>
              <w:rPr>
                <w:rFonts w:hint="eastAsia" w:ascii="宋体" w:hAnsi="宋体" w:cs="宋体"/>
                <w:color w:val="auto"/>
                <w:szCs w:val="21"/>
                <w:highlight w:val="none"/>
              </w:rPr>
            </w:pPr>
          </w:p>
        </w:tc>
      </w:tr>
      <w:tr w14:paraId="7D2B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noWrap w:val="0"/>
            <w:vAlign w:val="center"/>
          </w:tcPr>
          <w:p w14:paraId="544B4FE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职  称</w:t>
            </w:r>
          </w:p>
        </w:tc>
        <w:tc>
          <w:tcPr>
            <w:tcW w:w="633" w:type="pct"/>
            <w:gridSpan w:val="2"/>
            <w:noWrap w:val="0"/>
            <w:vAlign w:val="center"/>
          </w:tcPr>
          <w:p w14:paraId="4E47C04A">
            <w:pPr>
              <w:spacing w:line="440" w:lineRule="exact"/>
              <w:jc w:val="center"/>
              <w:rPr>
                <w:rFonts w:hint="eastAsia" w:ascii="宋体" w:hAnsi="宋体" w:cs="宋体"/>
                <w:color w:val="auto"/>
                <w:szCs w:val="21"/>
                <w:highlight w:val="none"/>
              </w:rPr>
            </w:pPr>
          </w:p>
        </w:tc>
        <w:tc>
          <w:tcPr>
            <w:tcW w:w="544" w:type="pct"/>
            <w:noWrap w:val="0"/>
            <w:vAlign w:val="center"/>
          </w:tcPr>
          <w:p w14:paraId="36DBD06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职 务</w:t>
            </w:r>
          </w:p>
        </w:tc>
        <w:tc>
          <w:tcPr>
            <w:tcW w:w="625" w:type="pct"/>
            <w:noWrap w:val="0"/>
            <w:vAlign w:val="center"/>
          </w:tcPr>
          <w:p w14:paraId="24A7A6F7">
            <w:pPr>
              <w:spacing w:line="440" w:lineRule="exact"/>
              <w:jc w:val="center"/>
              <w:rPr>
                <w:rFonts w:hint="eastAsia" w:ascii="宋体" w:hAnsi="宋体" w:cs="宋体"/>
                <w:color w:val="auto"/>
                <w:szCs w:val="21"/>
                <w:highlight w:val="none"/>
              </w:rPr>
            </w:pPr>
          </w:p>
        </w:tc>
        <w:tc>
          <w:tcPr>
            <w:tcW w:w="1250" w:type="pct"/>
            <w:gridSpan w:val="3"/>
            <w:noWrap w:val="0"/>
            <w:vAlign w:val="center"/>
          </w:tcPr>
          <w:p w14:paraId="32FC713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拟在本合同任职</w:t>
            </w:r>
          </w:p>
        </w:tc>
        <w:tc>
          <w:tcPr>
            <w:tcW w:w="1252" w:type="pct"/>
            <w:noWrap w:val="0"/>
            <w:vAlign w:val="center"/>
          </w:tcPr>
          <w:p w14:paraId="02C4D709">
            <w:pPr>
              <w:spacing w:line="440" w:lineRule="exact"/>
              <w:jc w:val="center"/>
              <w:rPr>
                <w:rFonts w:hint="eastAsia" w:ascii="宋体" w:hAnsi="宋体" w:cs="宋体"/>
                <w:color w:val="auto"/>
                <w:szCs w:val="21"/>
                <w:highlight w:val="none"/>
              </w:rPr>
            </w:pPr>
          </w:p>
        </w:tc>
      </w:tr>
      <w:tr w14:paraId="76AE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noWrap w:val="0"/>
            <w:vAlign w:val="center"/>
          </w:tcPr>
          <w:p w14:paraId="0608712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毕业学校</w:t>
            </w:r>
          </w:p>
        </w:tc>
        <w:tc>
          <w:tcPr>
            <w:tcW w:w="4303" w:type="pct"/>
            <w:gridSpan w:val="8"/>
            <w:noWrap w:val="0"/>
            <w:vAlign w:val="top"/>
          </w:tcPr>
          <w:p w14:paraId="72CBC5A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年毕业于            学校        专业</w:t>
            </w:r>
          </w:p>
        </w:tc>
      </w:tr>
      <w:tr w14:paraId="0C66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noWrap w:val="0"/>
            <w:vAlign w:val="center"/>
          </w:tcPr>
          <w:p w14:paraId="4E4E137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主要工作经历</w:t>
            </w:r>
          </w:p>
        </w:tc>
      </w:tr>
      <w:tr w14:paraId="4B06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6" w:type="pct"/>
            <w:gridSpan w:val="2"/>
            <w:noWrap w:val="0"/>
            <w:vAlign w:val="center"/>
          </w:tcPr>
          <w:p w14:paraId="60978B4F">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时  间</w:t>
            </w:r>
          </w:p>
        </w:tc>
        <w:tc>
          <w:tcPr>
            <w:tcW w:w="2007" w:type="pct"/>
            <w:gridSpan w:val="4"/>
            <w:noWrap w:val="0"/>
            <w:vAlign w:val="center"/>
          </w:tcPr>
          <w:p w14:paraId="1F3E78E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参加过的类似项目</w:t>
            </w:r>
          </w:p>
        </w:tc>
        <w:tc>
          <w:tcPr>
            <w:tcW w:w="740" w:type="pct"/>
            <w:noWrap w:val="0"/>
            <w:vAlign w:val="center"/>
          </w:tcPr>
          <w:p w14:paraId="14AEE90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担任职务</w:t>
            </w:r>
          </w:p>
        </w:tc>
        <w:tc>
          <w:tcPr>
            <w:tcW w:w="1347" w:type="pct"/>
            <w:gridSpan w:val="2"/>
            <w:noWrap w:val="0"/>
            <w:vAlign w:val="center"/>
          </w:tcPr>
          <w:p w14:paraId="7C49350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14:paraId="19CC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46EEA0BD">
            <w:pPr>
              <w:spacing w:line="440" w:lineRule="exact"/>
              <w:rPr>
                <w:rFonts w:hint="eastAsia" w:ascii="宋体" w:hAnsi="宋体" w:cs="宋体"/>
                <w:color w:val="auto"/>
                <w:szCs w:val="21"/>
                <w:highlight w:val="none"/>
              </w:rPr>
            </w:pPr>
          </w:p>
        </w:tc>
        <w:tc>
          <w:tcPr>
            <w:tcW w:w="2007" w:type="pct"/>
            <w:gridSpan w:val="4"/>
            <w:noWrap w:val="0"/>
            <w:vAlign w:val="top"/>
          </w:tcPr>
          <w:p w14:paraId="7DB35770">
            <w:pPr>
              <w:spacing w:line="440" w:lineRule="exact"/>
              <w:rPr>
                <w:rFonts w:hint="eastAsia" w:ascii="宋体" w:hAnsi="宋体" w:cs="宋体"/>
                <w:color w:val="auto"/>
                <w:szCs w:val="21"/>
                <w:highlight w:val="none"/>
              </w:rPr>
            </w:pPr>
          </w:p>
        </w:tc>
        <w:tc>
          <w:tcPr>
            <w:tcW w:w="740" w:type="pct"/>
            <w:noWrap w:val="0"/>
            <w:vAlign w:val="top"/>
          </w:tcPr>
          <w:p w14:paraId="55730150">
            <w:pPr>
              <w:spacing w:line="440" w:lineRule="exact"/>
              <w:rPr>
                <w:rFonts w:hint="eastAsia" w:ascii="宋体" w:hAnsi="宋体" w:cs="宋体"/>
                <w:color w:val="auto"/>
                <w:szCs w:val="21"/>
                <w:highlight w:val="none"/>
              </w:rPr>
            </w:pPr>
          </w:p>
        </w:tc>
        <w:tc>
          <w:tcPr>
            <w:tcW w:w="1347" w:type="pct"/>
            <w:gridSpan w:val="2"/>
            <w:noWrap w:val="0"/>
            <w:vAlign w:val="top"/>
          </w:tcPr>
          <w:p w14:paraId="7F4E1E6D">
            <w:pPr>
              <w:spacing w:line="440" w:lineRule="exact"/>
              <w:rPr>
                <w:rFonts w:hint="eastAsia" w:ascii="宋体" w:hAnsi="宋体" w:cs="宋体"/>
                <w:color w:val="auto"/>
                <w:szCs w:val="21"/>
                <w:highlight w:val="none"/>
              </w:rPr>
            </w:pPr>
          </w:p>
        </w:tc>
      </w:tr>
      <w:tr w14:paraId="5984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3ECAD9AC">
            <w:pPr>
              <w:spacing w:line="440" w:lineRule="exact"/>
              <w:rPr>
                <w:rFonts w:hint="eastAsia" w:ascii="宋体" w:hAnsi="宋体" w:cs="宋体"/>
                <w:color w:val="auto"/>
                <w:szCs w:val="21"/>
                <w:highlight w:val="none"/>
              </w:rPr>
            </w:pPr>
          </w:p>
        </w:tc>
        <w:tc>
          <w:tcPr>
            <w:tcW w:w="2007" w:type="pct"/>
            <w:gridSpan w:val="4"/>
            <w:noWrap w:val="0"/>
            <w:vAlign w:val="top"/>
          </w:tcPr>
          <w:p w14:paraId="6E1B1C4C">
            <w:pPr>
              <w:spacing w:line="440" w:lineRule="exact"/>
              <w:rPr>
                <w:rFonts w:hint="eastAsia" w:ascii="宋体" w:hAnsi="宋体" w:cs="宋体"/>
                <w:color w:val="auto"/>
                <w:szCs w:val="21"/>
                <w:highlight w:val="none"/>
              </w:rPr>
            </w:pPr>
          </w:p>
        </w:tc>
        <w:tc>
          <w:tcPr>
            <w:tcW w:w="740" w:type="pct"/>
            <w:noWrap w:val="0"/>
            <w:vAlign w:val="top"/>
          </w:tcPr>
          <w:p w14:paraId="2B8C26E9">
            <w:pPr>
              <w:spacing w:line="440" w:lineRule="exact"/>
              <w:rPr>
                <w:rFonts w:hint="eastAsia" w:ascii="宋体" w:hAnsi="宋体" w:cs="宋体"/>
                <w:color w:val="auto"/>
                <w:szCs w:val="21"/>
                <w:highlight w:val="none"/>
              </w:rPr>
            </w:pPr>
          </w:p>
        </w:tc>
        <w:tc>
          <w:tcPr>
            <w:tcW w:w="1347" w:type="pct"/>
            <w:gridSpan w:val="2"/>
            <w:noWrap w:val="0"/>
            <w:vAlign w:val="top"/>
          </w:tcPr>
          <w:p w14:paraId="7CE205DB">
            <w:pPr>
              <w:spacing w:line="440" w:lineRule="exact"/>
              <w:rPr>
                <w:rFonts w:hint="eastAsia" w:ascii="宋体" w:hAnsi="宋体" w:cs="宋体"/>
                <w:color w:val="auto"/>
                <w:szCs w:val="21"/>
                <w:highlight w:val="none"/>
              </w:rPr>
            </w:pPr>
          </w:p>
        </w:tc>
      </w:tr>
      <w:tr w14:paraId="70B9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2E948DD9">
            <w:pPr>
              <w:spacing w:line="440" w:lineRule="exact"/>
              <w:rPr>
                <w:rFonts w:hint="eastAsia" w:ascii="宋体" w:hAnsi="宋体" w:cs="宋体"/>
                <w:color w:val="auto"/>
                <w:szCs w:val="21"/>
                <w:highlight w:val="none"/>
              </w:rPr>
            </w:pPr>
          </w:p>
        </w:tc>
        <w:tc>
          <w:tcPr>
            <w:tcW w:w="2007" w:type="pct"/>
            <w:gridSpan w:val="4"/>
            <w:noWrap w:val="0"/>
            <w:vAlign w:val="top"/>
          </w:tcPr>
          <w:p w14:paraId="3AB52DBE">
            <w:pPr>
              <w:spacing w:line="440" w:lineRule="exact"/>
              <w:rPr>
                <w:rFonts w:hint="eastAsia" w:ascii="宋体" w:hAnsi="宋体" w:cs="宋体"/>
                <w:color w:val="auto"/>
                <w:szCs w:val="21"/>
                <w:highlight w:val="none"/>
              </w:rPr>
            </w:pPr>
          </w:p>
        </w:tc>
        <w:tc>
          <w:tcPr>
            <w:tcW w:w="740" w:type="pct"/>
            <w:noWrap w:val="0"/>
            <w:vAlign w:val="top"/>
          </w:tcPr>
          <w:p w14:paraId="3AC3BB32">
            <w:pPr>
              <w:spacing w:line="440" w:lineRule="exact"/>
              <w:rPr>
                <w:rFonts w:hint="eastAsia" w:ascii="宋体" w:hAnsi="宋体" w:cs="宋体"/>
                <w:color w:val="auto"/>
                <w:szCs w:val="21"/>
                <w:highlight w:val="none"/>
              </w:rPr>
            </w:pPr>
          </w:p>
        </w:tc>
        <w:tc>
          <w:tcPr>
            <w:tcW w:w="1347" w:type="pct"/>
            <w:gridSpan w:val="2"/>
            <w:noWrap w:val="0"/>
            <w:vAlign w:val="top"/>
          </w:tcPr>
          <w:p w14:paraId="3EE6EE2D">
            <w:pPr>
              <w:spacing w:line="440" w:lineRule="exact"/>
              <w:rPr>
                <w:rFonts w:hint="eastAsia" w:ascii="宋体" w:hAnsi="宋体" w:cs="宋体"/>
                <w:color w:val="auto"/>
                <w:szCs w:val="21"/>
                <w:highlight w:val="none"/>
              </w:rPr>
            </w:pPr>
          </w:p>
        </w:tc>
      </w:tr>
      <w:tr w14:paraId="5595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1B82838F">
            <w:pPr>
              <w:spacing w:line="440" w:lineRule="exact"/>
              <w:rPr>
                <w:rFonts w:hint="eastAsia" w:ascii="宋体" w:hAnsi="宋体" w:cs="宋体"/>
                <w:color w:val="auto"/>
                <w:szCs w:val="21"/>
                <w:highlight w:val="none"/>
              </w:rPr>
            </w:pPr>
          </w:p>
        </w:tc>
        <w:tc>
          <w:tcPr>
            <w:tcW w:w="2007" w:type="pct"/>
            <w:gridSpan w:val="4"/>
            <w:noWrap w:val="0"/>
            <w:vAlign w:val="top"/>
          </w:tcPr>
          <w:p w14:paraId="0B55D725">
            <w:pPr>
              <w:spacing w:line="440" w:lineRule="exact"/>
              <w:rPr>
                <w:rFonts w:hint="eastAsia" w:ascii="宋体" w:hAnsi="宋体" w:cs="宋体"/>
                <w:color w:val="auto"/>
                <w:szCs w:val="21"/>
                <w:highlight w:val="none"/>
              </w:rPr>
            </w:pPr>
          </w:p>
        </w:tc>
        <w:tc>
          <w:tcPr>
            <w:tcW w:w="740" w:type="pct"/>
            <w:noWrap w:val="0"/>
            <w:vAlign w:val="top"/>
          </w:tcPr>
          <w:p w14:paraId="07225563">
            <w:pPr>
              <w:spacing w:line="440" w:lineRule="exact"/>
              <w:rPr>
                <w:rFonts w:hint="eastAsia" w:ascii="宋体" w:hAnsi="宋体" w:cs="宋体"/>
                <w:color w:val="auto"/>
                <w:szCs w:val="21"/>
                <w:highlight w:val="none"/>
              </w:rPr>
            </w:pPr>
          </w:p>
        </w:tc>
        <w:tc>
          <w:tcPr>
            <w:tcW w:w="1347" w:type="pct"/>
            <w:gridSpan w:val="2"/>
            <w:noWrap w:val="0"/>
            <w:vAlign w:val="top"/>
          </w:tcPr>
          <w:p w14:paraId="21846583">
            <w:pPr>
              <w:spacing w:line="440" w:lineRule="exact"/>
              <w:rPr>
                <w:rFonts w:hint="eastAsia" w:ascii="宋体" w:hAnsi="宋体" w:cs="宋体"/>
                <w:color w:val="auto"/>
                <w:szCs w:val="21"/>
                <w:highlight w:val="none"/>
              </w:rPr>
            </w:pPr>
          </w:p>
        </w:tc>
      </w:tr>
      <w:tr w14:paraId="55CF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11A90023">
            <w:pPr>
              <w:spacing w:line="440" w:lineRule="exact"/>
              <w:rPr>
                <w:rFonts w:hint="eastAsia" w:ascii="宋体" w:hAnsi="宋体" w:cs="宋体"/>
                <w:color w:val="auto"/>
                <w:szCs w:val="21"/>
                <w:highlight w:val="none"/>
              </w:rPr>
            </w:pPr>
          </w:p>
        </w:tc>
        <w:tc>
          <w:tcPr>
            <w:tcW w:w="2007" w:type="pct"/>
            <w:gridSpan w:val="4"/>
            <w:noWrap w:val="0"/>
            <w:vAlign w:val="top"/>
          </w:tcPr>
          <w:p w14:paraId="588A8339">
            <w:pPr>
              <w:spacing w:line="440" w:lineRule="exact"/>
              <w:rPr>
                <w:rFonts w:hint="eastAsia" w:ascii="宋体" w:hAnsi="宋体" w:cs="宋体"/>
                <w:color w:val="auto"/>
                <w:szCs w:val="21"/>
                <w:highlight w:val="none"/>
              </w:rPr>
            </w:pPr>
          </w:p>
        </w:tc>
        <w:tc>
          <w:tcPr>
            <w:tcW w:w="740" w:type="pct"/>
            <w:noWrap w:val="0"/>
            <w:vAlign w:val="top"/>
          </w:tcPr>
          <w:p w14:paraId="0D3069C0">
            <w:pPr>
              <w:spacing w:line="440" w:lineRule="exact"/>
              <w:rPr>
                <w:rFonts w:hint="eastAsia" w:ascii="宋体" w:hAnsi="宋体" w:cs="宋体"/>
                <w:color w:val="auto"/>
                <w:szCs w:val="21"/>
                <w:highlight w:val="none"/>
              </w:rPr>
            </w:pPr>
          </w:p>
        </w:tc>
        <w:tc>
          <w:tcPr>
            <w:tcW w:w="1347" w:type="pct"/>
            <w:gridSpan w:val="2"/>
            <w:noWrap w:val="0"/>
            <w:vAlign w:val="top"/>
          </w:tcPr>
          <w:p w14:paraId="4BD0ECB3">
            <w:pPr>
              <w:spacing w:line="440" w:lineRule="exact"/>
              <w:rPr>
                <w:rFonts w:hint="eastAsia" w:ascii="宋体" w:hAnsi="宋体" w:cs="宋体"/>
                <w:color w:val="auto"/>
                <w:szCs w:val="21"/>
                <w:highlight w:val="none"/>
              </w:rPr>
            </w:pPr>
          </w:p>
        </w:tc>
      </w:tr>
      <w:tr w14:paraId="17C8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7AF44E55">
            <w:pPr>
              <w:spacing w:line="440" w:lineRule="exact"/>
              <w:rPr>
                <w:rFonts w:hint="eastAsia" w:ascii="宋体" w:hAnsi="宋体" w:cs="宋体"/>
                <w:color w:val="auto"/>
                <w:szCs w:val="21"/>
                <w:highlight w:val="none"/>
              </w:rPr>
            </w:pPr>
          </w:p>
        </w:tc>
        <w:tc>
          <w:tcPr>
            <w:tcW w:w="2007" w:type="pct"/>
            <w:gridSpan w:val="4"/>
            <w:noWrap w:val="0"/>
            <w:vAlign w:val="top"/>
          </w:tcPr>
          <w:p w14:paraId="3D2C0315">
            <w:pPr>
              <w:spacing w:line="440" w:lineRule="exact"/>
              <w:rPr>
                <w:rFonts w:hint="eastAsia" w:ascii="宋体" w:hAnsi="宋体" w:cs="宋体"/>
                <w:color w:val="auto"/>
                <w:szCs w:val="21"/>
                <w:highlight w:val="none"/>
              </w:rPr>
            </w:pPr>
          </w:p>
        </w:tc>
        <w:tc>
          <w:tcPr>
            <w:tcW w:w="740" w:type="pct"/>
            <w:noWrap w:val="0"/>
            <w:vAlign w:val="top"/>
          </w:tcPr>
          <w:p w14:paraId="604E933C">
            <w:pPr>
              <w:spacing w:line="440" w:lineRule="exact"/>
              <w:rPr>
                <w:rFonts w:hint="eastAsia" w:ascii="宋体" w:hAnsi="宋体" w:cs="宋体"/>
                <w:color w:val="auto"/>
                <w:szCs w:val="21"/>
                <w:highlight w:val="none"/>
              </w:rPr>
            </w:pPr>
          </w:p>
        </w:tc>
        <w:tc>
          <w:tcPr>
            <w:tcW w:w="1347" w:type="pct"/>
            <w:gridSpan w:val="2"/>
            <w:noWrap w:val="0"/>
            <w:vAlign w:val="top"/>
          </w:tcPr>
          <w:p w14:paraId="7151536D">
            <w:pPr>
              <w:spacing w:line="440" w:lineRule="exact"/>
              <w:rPr>
                <w:rFonts w:hint="eastAsia" w:ascii="宋体" w:hAnsi="宋体" w:cs="宋体"/>
                <w:color w:val="auto"/>
                <w:szCs w:val="21"/>
                <w:highlight w:val="none"/>
              </w:rPr>
            </w:pPr>
          </w:p>
        </w:tc>
      </w:tr>
      <w:tr w14:paraId="77B3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0BEA6531">
            <w:pPr>
              <w:spacing w:line="440" w:lineRule="exact"/>
              <w:rPr>
                <w:rFonts w:hint="eastAsia" w:ascii="宋体" w:hAnsi="宋体" w:cs="宋体"/>
                <w:color w:val="auto"/>
                <w:szCs w:val="21"/>
                <w:highlight w:val="none"/>
              </w:rPr>
            </w:pPr>
          </w:p>
        </w:tc>
        <w:tc>
          <w:tcPr>
            <w:tcW w:w="2007" w:type="pct"/>
            <w:gridSpan w:val="4"/>
            <w:noWrap w:val="0"/>
            <w:vAlign w:val="top"/>
          </w:tcPr>
          <w:p w14:paraId="3D3A3342">
            <w:pPr>
              <w:spacing w:line="440" w:lineRule="exact"/>
              <w:rPr>
                <w:rFonts w:hint="eastAsia" w:ascii="宋体" w:hAnsi="宋体" w:cs="宋体"/>
                <w:color w:val="auto"/>
                <w:szCs w:val="21"/>
                <w:highlight w:val="none"/>
              </w:rPr>
            </w:pPr>
          </w:p>
        </w:tc>
        <w:tc>
          <w:tcPr>
            <w:tcW w:w="740" w:type="pct"/>
            <w:noWrap w:val="0"/>
            <w:vAlign w:val="top"/>
          </w:tcPr>
          <w:p w14:paraId="70ADB34F">
            <w:pPr>
              <w:spacing w:line="440" w:lineRule="exact"/>
              <w:rPr>
                <w:rFonts w:hint="eastAsia" w:ascii="宋体" w:hAnsi="宋体" w:cs="宋体"/>
                <w:color w:val="auto"/>
                <w:szCs w:val="21"/>
                <w:highlight w:val="none"/>
              </w:rPr>
            </w:pPr>
          </w:p>
        </w:tc>
        <w:tc>
          <w:tcPr>
            <w:tcW w:w="1347" w:type="pct"/>
            <w:gridSpan w:val="2"/>
            <w:noWrap w:val="0"/>
            <w:vAlign w:val="top"/>
          </w:tcPr>
          <w:p w14:paraId="6FCB2D15">
            <w:pPr>
              <w:spacing w:line="440" w:lineRule="exact"/>
              <w:rPr>
                <w:rFonts w:hint="eastAsia" w:ascii="宋体" w:hAnsi="宋体" w:cs="宋体"/>
                <w:color w:val="auto"/>
                <w:szCs w:val="21"/>
                <w:highlight w:val="none"/>
              </w:rPr>
            </w:pPr>
          </w:p>
        </w:tc>
      </w:tr>
      <w:tr w14:paraId="1F61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410B6402">
            <w:pPr>
              <w:spacing w:line="440" w:lineRule="exact"/>
              <w:rPr>
                <w:rFonts w:hint="eastAsia" w:ascii="宋体" w:hAnsi="宋体" w:cs="宋体"/>
                <w:color w:val="auto"/>
                <w:szCs w:val="21"/>
                <w:highlight w:val="none"/>
              </w:rPr>
            </w:pPr>
          </w:p>
        </w:tc>
        <w:tc>
          <w:tcPr>
            <w:tcW w:w="2007" w:type="pct"/>
            <w:gridSpan w:val="4"/>
            <w:noWrap w:val="0"/>
            <w:vAlign w:val="top"/>
          </w:tcPr>
          <w:p w14:paraId="0F6D25C8">
            <w:pPr>
              <w:spacing w:line="440" w:lineRule="exact"/>
              <w:rPr>
                <w:rFonts w:hint="eastAsia" w:ascii="宋体" w:hAnsi="宋体" w:cs="宋体"/>
                <w:color w:val="auto"/>
                <w:szCs w:val="21"/>
                <w:highlight w:val="none"/>
              </w:rPr>
            </w:pPr>
          </w:p>
        </w:tc>
        <w:tc>
          <w:tcPr>
            <w:tcW w:w="740" w:type="pct"/>
            <w:noWrap w:val="0"/>
            <w:vAlign w:val="top"/>
          </w:tcPr>
          <w:p w14:paraId="07BDFB76">
            <w:pPr>
              <w:spacing w:line="440" w:lineRule="exact"/>
              <w:rPr>
                <w:rFonts w:hint="eastAsia" w:ascii="宋体" w:hAnsi="宋体" w:cs="宋体"/>
                <w:color w:val="auto"/>
                <w:szCs w:val="21"/>
                <w:highlight w:val="none"/>
              </w:rPr>
            </w:pPr>
          </w:p>
        </w:tc>
        <w:tc>
          <w:tcPr>
            <w:tcW w:w="1347" w:type="pct"/>
            <w:gridSpan w:val="2"/>
            <w:noWrap w:val="0"/>
            <w:vAlign w:val="top"/>
          </w:tcPr>
          <w:p w14:paraId="367FA56A">
            <w:pPr>
              <w:spacing w:line="440" w:lineRule="exact"/>
              <w:rPr>
                <w:rFonts w:hint="eastAsia" w:ascii="宋体" w:hAnsi="宋体" w:cs="宋体"/>
                <w:color w:val="auto"/>
                <w:szCs w:val="21"/>
                <w:highlight w:val="none"/>
              </w:rPr>
            </w:pPr>
          </w:p>
        </w:tc>
      </w:tr>
      <w:tr w14:paraId="1D14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7FADE831">
            <w:pPr>
              <w:spacing w:line="440" w:lineRule="exact"/>
              <w:rPr>
                <w:rFonts w:hint="eastAsia" w:ascii="宋体" w:hAnsi="宋体" w:cs="宋体"/>
                <w:color w:val="auto"/>
                <w:szCs w:val="21"/>
                <w:highlight w:val="none"/>
              </w:rPr>
            </w:pPr>
          </w:p>
        </w:tc>
        <w:tc>
          <w:tcPr>
            <w:tcW w:w="2007" w:type="pct"/>
            <w:gridSpan w:val="4"/>
            <w:noWrap w:val="0"/>
            <w:vAlign w:val="top"/>
          </w:tcPr>
          <w:p w14:paraId="0D682485">
            <w:pPr>
              <w:spacing w:line="440" w:lineRule="exact"/>
              <w:rPr>
                <w:rFonts w:hint="eastAsia" w:ascii="宋体" w:hAnsi="宋体" w:cs="宋体"/>
                <w:color w:val="auto"/>
                <w:szCs w:val="21"/>
                <w:highlight w:val="none"/>
              </w:rPr>
            </w:pPr>
          </w:p>
        </w:tc>
        <w:tc>
          <w:tcPr>
            <w:tcW w:w="740" w:type="pct"/>
            <w:noWrap w:val="0"/>
            <w:vAlign w:val="top"/>
          </w:tcPr>
          <w:p w14:paraId="2BFC67C3">
            <w:pPr>
              <w:spacing w:line="440" w:lineRule="exact"/>
              <w:rPr>
                <w:rFonts w:hint="eastAsia" w:ascii="宋体" w:hAnsi="宋体" w:cs="宋体"/>
                <w:color w:val="auto"/>
                <w:szCs w:val="21"/>
                <w:highlight w:val="none"/>
              </w:rPr>
            </w:pPr>
          </w:p>
        </w:tc>
        <w:tc>
          <w:tcPr>
            <w:tcW w:w="1347" w:type="pct"/>
            <w:gridSpan w:val="2"/>
            <w:noWrap w:val="0"/>
            <w:vAlign w:val="top"/>
          </w:tcPr>
          <w:p w14:paraId="14A746D9">
            <w:pPr>
              <w:spacing w:line="440" w:lineRule="exact"/>
              <w:rPr>
                <w:rFonts w:hint="eastAsia" w:ascii="宋体" w:hAnsi="宋体" w:cs="宋体"/>
                <w:color w:val="auto"/>
                <w:szCs w:val="21"/>
                <w:highlight w:val="none"/>
              </w:rPr>
            </w:pPr>
          </w:p>
        </w:tc>
      </w:tr>
      <w:tr w14:paraId="6DE7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2803544D">
            <w:pPr>
              <w:spacing w:line="440" w:lineRule="exact"/>
              <w:rPr>
                <w:rFonts w:hint="eastAsia" w:ascii="宋体" w:hAnsi="宋体" w:cs="宋体"/>
                <w:color w:val="auto"/>
                <w:szCs w:val="21"/>
                <w:highlight w:val="none"/>
              </w:rPr>
            </w:pPr>
          </w:p>
        </w:tc>
        <w:tc>
          <w:tcPr>
            <w:tcW w:w="2007" w:type="pct"/>
            <w:gridSpan w:val="4"/>
            <w:noWrap w:val="0"/>
            <w:vAlign w:val="top"/>
          </w:tcPr>
          <w:p w14:paraId="143DBF2E">
            <w:pPr>
              <w:spacing w:line="440" w:lineRule="exact"/>
              <w:rPr>
                <w:rFonts w:hint="eastAsia" w:ascii="宋体" w:hAnsi="宋体" w:cs="宋体"/>
                <w:color w:val="auto"/>
                <w:szCs w:val="21"/>
                <w:highlight w:val="none"/>
              </w:rPr>
            </w:pPr>
          </w:p>
        </w:tc>
        <w:tc>
          <w:tcPr>
            <w:tcW w:w="740" w:type="pct"/>
            <w:noWrap w:val="0"/>
            <w:vAlign w:val="top"/>
          </w:tcPr>
          <w:p w14:paraId="781D0796">
            <w:pPr>
              <w:spacing w:line="440" w:lineRule="exact"/>
              <w:rPr>
                <w:rFonts w:hint="eastAsia" w:ascii="宋体" w:hAnsi="宋体" w:cs="宋体"/>
                <w:color w:val="auto"/>
                <w:szCs w:val="21"/>
                <w:highlight w:val="none"/>
              </w:rPr>
            </w:pPr>
          </w:p>
        </w:tc>
        <w:tc>
          <w:tcPr>
            <w:tcW w:w="1347" w:type="pct"/>
            <w:gridSpan w:val="2"/>
            <w:noWrap w:val="0"/>
            <w:vAlign w:val="top"/>
          </w:tcPr>
          <w:p w14:paraId="7FBFAA22">
            <w:pPr>
              <w:spacing w:line="440" w:lineRule="exact"/>
              <w:rPr>
                <w:rFonts w:hint="eastAsia" w:ascii="宋体" w:hAnsi="宋体" w:cs="宋体"/>
                <w:color w:val="auto"/>
                <w:szCs w:val="21"/>
                <w:highlight w:val="none"/>
              </w:rPr>
            </w:pPr>
          </w:p>
        </w:tc>
      </w:tr>
      <w:tr w14:paraId="7900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03588D70">
            <w:pPr>
              <w:spacing w:line="440" w:lineRule="exact"/>
              <w:rPr>
                <w:rFonts w:hint="eastAsia" w:ascii="宋体" w:hAnsi="宋体" w:cs="宋体"/>
                <w:color w:val="auto"/>
                <w:szCs w:val="21"/>
                <w:highlight w:val="none"/>
              </w:rPr>
            </w:pPr>
          </w:p>
        </w:tc>
        <w:tc>
          <w:tcPr>
            <w:tcW w:w="2007" w:type="pct"/>
            <w:gridSpan w:val="4"/>
            <w:noWrap w:val="0"/>
            <w:vAlign w:val="top"/>
          </w:tcPr>
          <w:p w14:paraId="67CB6611">
            <w:pPr>
              <w:spacing w:line="440" w:lineRule="exact"/>
              <w:rPr>
                <w:rFonts w:hint="eastAsia" w:ascii="宋体" w:hAnsi="宋体" w:cs="宋体"/>
                <w:color w:val="auto"/>
                <w:szCs w:val="21"/>
                <w:highlight w:val="none"/>
              </w:rPr>
            </w:pPr>
          </w:p>
        </w:tc>
        <w:tc>
          <w:tcPr>
            <w:tcW w:w="740" w:type="pct"/>
            <w:noWrap w:val="0"/>
            <w:vAlign w:val="top"/>
          </w:tcPr>
          <w:p w14:paraId="37053755">
            <w:pPr>
              <w:spacing w:line="440" w:lineRule="exact"/>
              <w:rPr>
                <w:rFonts w:hint="eastAsia" w:ascii="宋体" w:hAnsi="宋体" w:cs="宋体"/>
                <w:color w:val="auto"/>
                <w:szCs w:val="21"/>
                <w:highlight w:val="none"/>
              </w:rPr>
            </w:pPr>
          </w:p>
        </w:tc>
        <w:tc>
          <w:tcPr>
            <w:tcW w:w="1347" w:type="pct"/>
            <w:gridSpan w:val="2"/>
            <w:noWrap w:val="0"/>
            <w:vAlign w:val="top"/>
          </w:tcPr>
          <w:p w14:paraId="7728B6C6">
            <w:pPr>
              <w:spacing w:line="440" w:lineRule="exact"/>
              <w:rPr>
                <w:rFonts w:hint="eastAsia" w:ascii="宋体" w:hAnsi="宋体" w:cs="宋体"/>
                <w:color w:val="auto"/>
                <w:szCs w:val="21"/>
                <w:highlight w:val="none"/>
              </w:rPr>
            </w:pPr>
          </w:p>
        </w:tc>
      </w:tr>
      <w:tr w14:paraId="25F6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6E18265D">
            <w:pPr>
              <w:spacing w:line="440" w:lineRule="exact"/>
              <w:rPr>
                <w:rFonts w:hint="eastAsia" w:ascii="宋体" w:hAnsi="宋体" w:cs="宋体"/>
                <w:color w:val="auto"/>
                <w:szCs w:val="21"/>
                <w:highlight w:val="none"/>
              </w:rPr>
            </w:pPr>
          </w:p>
        </w:tc>
        <w:tc>
          <w:tcPr>
            <w:tcW w:w="2007" w:type="pct"/>
            <w:gridSpan w:val="4"/>
            <w:noWrap w:val="0"/>
            <w:vAlign w:val="top"/>
          </w:tcPr>
          <w:p w14:paraId="0593D801">
            <w:pPr>
              <w:spacing w:line="440" w:lineRule="exact"/>
              <w:rPr>
                <w:rFonts w:hint="eastAsia" w:ascii="宋体" w:hAnsi="宋体" w:cs="宋体"/>
                <w:color w:val="auto"/>
                <w:szCs w:val="21"/>
                <w:highlight w:val="none"/>
              </w:rPr>
            </w:pPr>
          </w:p>
        </w:tc>
        <w:tc>
          <w:tcPr>
            <w:tcW w:w="740" w:type="pct"/>
            <w:noWrap w:val="0"/>
            <w:vAlign w:val="top"/>
          </w:tcPr>
          <w:p w14:paraId="36D46EEA">
            <w:pPr>
              <w:spacing w:line="440" w:lineRule="exact"/>
              <w:rPr>
                <w:rFonts w:hint="eastAsia" w:ascii="宋体" w:hAnsi="宋体" w:cs="宋体"/>
                <w:color w:val="auto"/>
                <w:szCs w:val="21"/>
                <w:highlight w:val="none"/>
              </w:rPr>
            </w:pPr>
          </w:p>
        </w:tc>
        <w:tc>
          <w:tcPr>
            <w:tcW w:w="1347" w:type="pct"/>
            <w:gridSpan w:val="2"/>
            <w:noWrap w:val="0"/>
            <w:vAlign w:val="top"/>
          </w:tcPr>
          <w:p w14:paraId="0BB62D44">
            <w:pPr>
              <w:spacing w:line="440" w:lineRule="exact"/>
              <w:rPr>
                <w:rFonts w:hint="eastAsia" w:ascii="宋体" w:hAnsi="宋体" w:cs="宋体"/>
                <w:color w:val="auto"/>
                <w:szCs w:val="21"/>
                <w:highlight w:val="none"/>
              </w:rPr>
            </w:pPr>
          </w:p>
        </w:tc>
      </w:tr>
    </w:tbl>
    <w:p w14:paraId="264B9ACA">
      <w:pPr>
        <w:spacing w:line="400" w:lineRule="exact"/>
        <w:ind w:firstLine="420"/>
        <w:rPr>
          <w:rFonts w:hint="eastAsia" w:ascii="宋体" w:hAnsi="宋体" w:cs="宋体"/>
          <w:color w:val="auto"/>
          <w:highlight w:val="none"/>
        </w:rPr>
      </w:pPr>
      <w:r>
        <w:rPr>
          <w:rFonts w:hint="eastAsia" w:ascii="宋体" w:hAnsi="宋体" w:cs="宋体"/>
          <w:color w:val="auto"/>
          <w:highlight w:val="none"/>
        </w:rPr>
        <w:t>应附注册建造师执业资格证书、社保证明扫描件、安全</w:t>
      </w:r>
      <w:r>
        <w:rPr>
          <w:rFonts w:hint="eastAsia" w:ascii="宋体" w:hAnsi="宋体" w:cs="宋体"/>
          <w:color w:val="auto"/>
          <w:highlight w:val="none"/>
          <w:lang w:val="en-US" w:eastAsia="zh-CN"/>
        </w:rPr>
        <w:t>生产</w:t>
      </w:r>
      <w:r>
        <w:rPr>
          <w:rFonts w:hint="eastAsia" w:ascii="宋体" w:hAnsi="宋体" w:cs="宋体"/>
          <w:color w:val="auto"/>
          <w:highlight w:val="none"/>
        </w:rPr>
        <w:t>考核合格证（B类）或建筑施工企业项目负责人安全生产考核合格证书扫描件。</w:t>
      </w:r>
    </w:p>
    <w:p w14:paraId="6152185C">
      <w:pPr>
        <w:spacing w:before="260" w:after="260" w:line="415" w:lineRule="auto"/>
        <w:jc w:val="left"/>
        <w:rPr>
          <w:rFonts w:hint="eastAsia" w:ascii="宋体" w:hAnsi="宋体" w:cs="宋体"/>
          <w:b/>
          <w:color w:val="auto"/>
          <w:sz w:val="24"/>
          <w:szCs w:val="31"/>
          <w:highlight w:val="none"/>
        </w:rPr>
      </w:pPr>
      <w:bookmarkStart w:id="688" w:name="_Toc332641447"/>
      <w:bookmarkStart w:id="689" w:name="_Toc246997117"/>
      <w:bookmarkStart w:id="690" w:name="_Toc246996374"/>
      <w:bookmarkStart w:id="691" w:name="_Toc247085892"/>
      <w:r>
        <w:rPr>
          <w:rFonts w:hint="eastAsia" w:ascii="宋体" w:hAnsi="宋体" w:cs="宋体"/>
          <w:b/>
          <w:color w:val="auto"/>
          <w:sz w:val="24"/>
          <w:szCs w:val="31"/>
          <w:highlight w:val="none"/>
        </w:rPr>
        <w:br w:type="page"/>
      </w:r>
      <w:r>
        <w:rPr>
          <w:rFonts w:ascii="宋体" w:hAnsi="宋体"/>
          <w:b/>
          <w:color w:val="auto"/>
          <w:sz w:val="24"/>
          <w:szCs w:val="31"/>
          <w:highlight w:val="none"/>
        </w:rPr>
        <w:t>（</w:t>
      </w:r>
      <w:r>
        <w:rPr>
          <w:rFonts w:hint="eastAsia" w:ascii="宋体" w:hAnsi="宋体"/>
          <w:b/>
          <w:color w:val="auto"/>
          <w:sz w:val="24"/>
          <w:szCs w:val="31"/>
          <w:highlight w:val="none"/>
        </w:rPr>
        <w:t>三</w:t>
      </w:r>
      <w:r>
        <w:rPr>
          <w:rFonts w:ascii="宋体" w:hAnsi="宋体"/>
          <w:b/>
          <w:color w:val="auto"/>
          <w:sz w:val="24"/>
          <w:szCs w:val="31"/>
          <w:highlight w:val="none"/>
        </w:rPr>
        <w:t>）</w:t>
      </w:r>
      <w:r>
        <w:rPr>
          <w:rFonts w:hint="eastAsia" w:ascii="宋体" w:hAnsi="宋体"/>
          <w:b/>
          <w:color w:val="auto"/>
          <w:sz w:val="24"/>
          <w:szCs w:val="31"/>
          <w:highlight w:val="none"/>
        </w:rPr>
        <w:t>拟投入</w:t>
      </w:r>
      <w:r>
        <w:rPr>
          <w:rFonts w:hint="eastAsia" w:ascii="宋体" w:hAnsi="宋体"/>
          <w:b/>
          <w:color w:val="auto"/>
          <w:sz w:val="24"/>
          <w:szCs w:val="31"/>
          <w:highlight w:val="none"/>
          <w:lang w:eastAsia="zh-CN"/>
        </w:rPr>
        <w:t>技术</w:t>
      </w:r>
      <w:r>
        <w:rPr>
          <w:rFonts w:hint="eastAsia" w:ascii="宋体" w:hAnsi="宋体"/>
          <w:b/>
          <w:color w:val="auto"/>
          <w:sz w:val="24"/>
          <w:szCs w:val="31"/>
          <w:highlight w:val="none"/>
        </w:rPr>
        <w:t>负责人</w:t>
      </w:r>
    </w:p>
    <w:p w14:paraId="3992BEFA">
      <w:pPr>
        <w:spacing w:before="260" w:after="260" w:line="415"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技术负责人简历表</w:t>
      </w:r>
    </w:p>
    <w:tbl>
      <w:tblPr>
        <w:tblStyle w:val="17"/>
        <w:tblpPr w:leftFromText="180" w:rightFromText="180" w:vertAnchor="text" w:horzAnchor="margin" w:tblpY="9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386"/>
        <w:gridCol w:w="784"/>
        <w:gridCol w:w="1006"/>
        <w:gridCol w:w="1155"/>
        <w:gridCol w:w="765"/>
        <w:gridCol w:w="1368"/>
        <w:gridCol w:w="177"/>
        <w:gridCol w:w="2313"/>
      </w:tblGrid>
      <w:tr w14:paraId="07E0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noWrap w:val="0"/>
            <w:vAlign w:val="center"/>
          </w:tcPr>
          <w:p w14:paraId="5860F991">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633" w:type="pct"/>
            <w:gridSpan w:val="2"/>
            <w:noWrap w:val="0"/>
            <w:vAlign w:val="center"/>
          </w:tcPr>
          <w:p w14:paraId="1F8EA203">
            <w:pPr>
              <w:spacing w:line="440" w:lineRule="exact"/>
              <w:jc w:val="center"/>
              <w:rPr>
                <w:rFonts w:hint="eastAsia" w:ascii="宋体" w:hAnsi="宋体" w:cs="宋体"/>
                <w:color w:val="auto"/>
                <w:szCs w:val="21"/>
                <w:highlight w:val="none"/>
              </w:rPr>
            </w:pPr>
          </w:p>
        </w:tc>
        <w:tc>
          <w:tcPr>
            <w:tcW w:w="544" w:type="pct"/>
            <w:noWrap w:val="0"/>
            <w:vAlign w:val="center"/>
          </w:tcPr>
          <w:p w14:paraId="61CF2DE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年 龄</w:t>
            </w:r>
          </w:p>
        </w:tc>
        <w:tc>
          <w:tcPr>
            <w:tcW w:w="625" w:type="pct"/>
            <w:noWrap w:val="0"/>
            <w:vAlign w:val="center"/>
          </w:tcPr>
          <w:p w14:paraId="7A693A20">
            <w:pPr>
              <w:spacing w:line="440" w:lineRule="exact"/>
              <w:jc w:val="center"/>
              <w:rPr>
                <w:rFonts w:hint="eastAsia" w:ascii="宋体" w:hAnsi="宋体" w:cs="宋体"/>
                <w:color w:val="auto"/>
                <w:szCs w:val="21"/>
                <w:highlight w:val="none"/>
              </w:rPr>
            </w:pPr>
          </w:p>
        </w:tc>
        <w:tc>
          <w:tcPr>
            <w:tcW w:w="1250" w:type="pct"/>
            <w:gridSpan w:val="3"/>
            <w:noWrap w:val="0"/>
            <w:vAlign w:val="center"/>
          </w:tcPr>
          <w:p w14:paraId="0CF076B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251" w:type="pct"/>
            <w:noWrap w:val="0"/>
            <w:vAlign w:val="center"/>
          </w:tcPr>
          <w:p w14:paraId="63CD350C">
            <w:pPr>
              <w:spacing w:line="440" w:lineRule="exact"/>
              <w:jc w:val="center"/>
              <w:rPr>
                <w:rFonts w:hint="eastAsia" w:ascii="宋体" w:hAnsi="宋体" w:cs="宋体"/>
                <w:color w:val="auto"/>
                <w:szCs w:val="21"/>
                <w:highlight w:val="none"/>
              </w:rPr>
            </w:pPr>
          </w:p>
        </w:tc>
      </w:tr>
      <w:tr w14:paraId="1130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noWrap w:val="0"/>
            <w:vAlign w:val="center"/>
          </w:tcPr>
          <w:p w14:paraId="58BF95F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职  称</w:t>
            </w:r>
          </w:p>
        </w:tc>
        <w:tc>
          <w:tcPr>
            <w:tcW w:w="633" w:type="pct"/>
            <w:gridSpan w:val="2"/>
            <w:noWrap w:val="0"/>
            <w:vAlign w:val="center"/>
          </w:tcPr>
          <w:p w14:paraId="75547EF3">
            <w:pPr>
              <w:spacing w:line="440" w:lineRule="exact"/>
              <w:jc w:val="center"/>
              <w:rPr>
                <w:rFonts w:hint="eastAsia" w:ascii="宋体" w:hAnsi="宋体" w:cs="宋体"/>
                <w:color w:val="auto"/>
                <w:szCs w:val="21"/>
                <w:highlight w:val="none"/>
              </w:rPr>
            </w:pPr>
          </w:p>
        </w:tc>
        <w:tc>
          <w:tcPr>
            <w:tcW w:w="544" w:type="pct"/>
            <w:noWrap w:val="0"/>
            <w:vAlign w:val="center"/>
          </w:tcPr>
          <w:p w14:paraId="45C54B5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职 务</w:t>
            </w:r>
          </w:p>
        </w:tc>
        <w:tc>
          <w:tcPr>
            <w:tcW w:w="625" w:type="pct"/>
            <w:noWrap w:val="0"/>
            <w:vAlign w:val="center"/>
          </w:tcPr>
          <w:p w14:paraId="67ADA4FD">
            <w:pPr>
              <w:spacing w:line="440" w:lineRule="exact"/>
              <w:jc w:val="center"/>
              <w:rPr>
                <w:rFonts w:hint="eastAsia" w:ascii="宋体" w:hAnsi="宋体" w:cs="宋体"/>
                <w:color w:val="auto"/>
                <w:szCs w:val="21"/>
                <w:highlight w:val="none"/>
              </w:rPr>
            </w:pPr>
          </w:p>
        </w:tc>
        <w:tc>
          <w:tcPr>
            <w:tcW w:w="1250" w:type="pct"/>
            <w:gridSpan w:val="3"/>
            <w:noWrap w:val="0"/>
            <w:vAlign w:val="center"/>
          </w:tcPr>
          <w:p w14:paraId="3DFE482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拟在本合同任职</w:t>
            </w:r>
          </w:p>
        </w:tc>
        <w:tc>
          <w:tcPr>
            <w:tcW w:w="1251" w:type="pct"/>
            <w:noWrap w:val="0"/>
            <w:vAlign w:val="center"/>
          </w:tcPr>
          <w:p w14:paraId="1861B11D">
            <w:pPr>
              <w:spacing w:line="440" w:lineRule="exact"/>
              <w:jc w:val="center"/>
              <w:rPr>
                <w:rFonts w:hint="eastAsia" w:ascii="宋体" w:hAnsi="宋体" w:cs="宋体"/>
                <w:color w:val="auto"/>
                <w:szCs w:val="21"/>
                <w:highlight w:val="none"/>
              </w:rPr>
            </w:pPr>
          </w:p>
        </w:tc>
      </w:tr>
      <w:tr w14:paraId="4EA3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noWrap w:val="0"/>
            <w:vAlign w:val="center"/>
          </w:tcPr>
          <w:p w14:paraId="10B790C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毕业学校</w:t>
            </w:r>
          </w:p>
        </w:tc>
        <w:tc>
          <w:tcPr>
            <w:tcW w:w="4303" w:type="pct"/>
            <w:gridSpan w:val="8"/>
            <w:noWrap w:val="0"/>
            <w:vAlign w:val="top"/>
          </w:tcPr>
          <w:p w14:paraId="67A5570F">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年毕业于            学校        专业</w:t>
            </w:r>
          </w:p>
        </w:tc>
      </w:tr>
      <w:tr w14:paraId="1F0B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noWrap w:val="0"/>
            <w:vAlign w:val="center"/>
          </w:tcPr>
          <w:p w14:paraId="79A7F20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主要工作经历</w:t>
            </w:r>
          </w:p>
        </w:tc>
      </w:tr>
      <w:tr w14:paraId="70B9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6" w:type="pct"/>
            <w:gridSpan w:val="2"/>
            <w:noWrap w:val="0"/>
            <w:vAlign w:val="center"/>
          </w:tcPr>
          <w:p w14:paraId="2953D5B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时  间</w:t>
            </w:r>
          </w:p>
        </w:tc>
        <w:tc>
          <w:tcPr>
            <w:tcW w:w="2007" w:type="pct"/>
            <w:gridSpan w:val="4"/>
            <w:noWrap w:val="0"/>
            <w:vAlign w:val="center"/>
          </w:tcPr>
          <w:p w14:paraId="53EAE7F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参加过的类似项目</w:t>
            </w:r>
          </w:p>
        </w:tc>
        <w:tc>
          <w:tcPr>
            <w:tcW w:w="740" w:type="pct"/>
            <w:noWrap w:val="0"/>
            <w:vAlign w:val="center"/>
          </w:tcPr>
          <w:p w14:paraId="217E47A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担任职务</w:t>
            </w:r>
          </w:p>
        </w:tc>
        <w:tc>
          <w:tcPr>
            <w:tcW w:w="1347" w:type="pct"/>
            <w:gridSpan w:val="2"/>
            <w:noWrap w:val="0"/>
            <w:vAlign w:val="center"/>
          </w:tcPr>
          <w:p w14:paraId="63195CD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14:paraId="2B92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33DD2C16">
            <w:pPr>
              <w:spacing w:line="440" w:lineRule="exact"/>
              <w:rPr>
                <w:rFonts w:hint="eastAsia" w:ascii="宋体" w:hAnsi="宋体" w:cs="宋体"/>
                <w:color w:val="auto"/>
                <w:szCs w:val="21"/>
                <w:highlight w:val="none"/>
              </w:rPr>
            </w:pPr>
          </w:p>
        </w:tc>
        <w:tc>
          <w:tcPr>
            <w:tcW w:w="2007" w:type="pct"/>
            <w:gridSpan w:val="4"/>
            <w:noWrap w:val="0"/>
            <w:vAlign w:val="top"/>
          </w:tcPr>
          <w:p w14:paraId="0FA17056">
            <w:pPr>
              <w:spacing w:line="440" w:lineRule="exact"/>
              <w:rPr>
                <w:rFonts w:hint="eastAsia" w:ascii="宋体" w:hAnsi="宋体" w:cs="宋体"/>
                <w:color w:val="auto"/>
                <w:szCs w:val="21"/>
                <w:highlight w:val="none"/>
              </w:rPr>
            </w:pPr>
          </w:p>
        </w:tc>
        <w:tc>
          <w:tcPr>
            <w:tcW w:w="740" w:type="pct"/>
            <w:noWrap w:val="0"/>
            <w:vAlign w:val="top"/>
          </w:tcPr>
          <w:p w14:paraId="68AD58BD">
            <w:pPr>
              <w:spacing w:line="440" w:lineRule="exact"/>
              <w:rPr>
                <w:rFonts w:hint="eastAsia" w:ascii="宋体" w:hAnsi="宋体" w:cs="宋体"/>
                <w:color w:val="auto"/>
                <w:szCs w:val="21"/>
                <w:highlight w:val="none"/>
              </w:rPr>
            </w:pPr>
          </w:p>
        </w:tc>
        <w:tc>
          <w:tcPr>
            <w:tcW w:w="1347" w:type="pct"/>
            <w:gridSpan w:val="2"/>
            <w:noWrap w:val="0"/>
            <w:vAlign w:val="top"/>
          </w:tcPr>
          <w:p w14:paraId="1B9CC98D">
            <w:pPr>
              <w:spacing w:line="440" w:lineRule="exact"/>
              <w:rPr>
                <w:rFonts w:hint="eastAsia" w:ascii="宋体" w:hAnsi="宋体" w:cs="宋体"/>
                <w:color w:val="auto"/>
                <w:szCs w:val="21"/>
                <w:highlight w:val="none"/>
              </w:rPr>
            </w:pPr>
          </w:p>
        </w:tc>
      </w:tr>
      <w:tr w14:paraId="7AF0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44C5BBEA">
            <w:pPr>
              <w:spacing w:line="440" w:lineRule="exact"/>
              <w:rPr>
                <w:rFonts w:hint="eastAsia" w:ascii="宋体" w:hAnsi="宋体" w:cs="宋体"/>
                <w:color w:val="auto"/>
                <w:szCs w:val="21"/>
                <w:highlight w:val="none"/>
              </w:rPr>
            </w:pPr>
          </w:p>
        </w:tc>
        <w:tc>
          <w:tcPr>
            <w:tcW w:w="2007" w:type="pct"/>
            <w:gridSpan w:val="4"/>
            <w:noWrap w:val="0"/>
            <w:vAlign w:val="top"/>
          </w:tcPr>
          <w:p w14:paraId="303A19F8">
            <w:pPr>
              <w:spacing w:line="440" w:lineRule="exact"/>
              <w:rPr>
                <w:rFonts w:hint="eastAsia" w:ascii="宋体" w:hAnsi="宋体" w:cs="宋体"/>
                <w:color w:val="auto"/>
                <w:szCs w:val="21"/>
                <w:highlight w:val="none"/>
              </w:rPr>
            </w:pPr>
          </w:p>
        </w:tc>
        <w:tc>
          <w:tcPr>
            <w:tcW w:w="740" w:type="pct"/>
            <w:noWrap w:val="0"/>
            <w:vAlign w:val="top"/>
          </w:tcPr>
          <w:p w14:paraId="7F4865A7">
            <w:pPr>
              <w:spacing w:line="440" w:lineRule="exact"/>
              <w:rPr>
                <w:rFonts w:hint="eastAsia" w:ascii="宋体" w:hAnsi="宋体" w:cs="宋体"/>
                <w:color w:val="auto"/>
                <w:szCs w:val="21"/>
                <w:highlight w:val="none"/>
              </w:rPr>
            </w:pPr>
          </w:p>
        </w:tc>
        <w:tc>
          <w:tcPr>
            <w:tcW w:w="1347" w:type="pct"/>
            <w:gridSpan w:val="2"/>
            <w:noWrap w:val="0"/>
            <w:vAlign w:val="top"/>
          </w:tcPr>
          <w:p w14:paraId="225FC58D">
            <w:pPr>
              <w:spacing w:line="440" w:lineRule="exact"/>
              <w:rPr>
                <w:rFonts w:hint="eastAsia" w:ascii="宋体" w:hAnsi="宋体" w:cs="宋体"/>
                <w:color w:val="auto"/>
                <w:szCs w:val="21"/>
                <w:highlight w:val="none"/>
              </w:rPr>
            </w:pPr>
          </w:p>
        </w:tc>
      </w:tr>
      <w:tr w14:paraId="6B14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0CD658D9">
            <w:pPr>
              <w:spacing w:line="440" w:lineRule="exact"/>
              <w:rPr>
                <w:rFonts w:hint="eastAsia" w:ascii="宋体" w:hAnsi="宋体" w:cs="宋体"/>
                <w:color w:val="auto"/>
                <w:szCs w:val="21"/>
                <w:highlight w:val="none"/>
              </w:rPr>
            </w:pPr>
          </w:p>
        </w:tc>
        <w:tc>
          <w:tcPr>
            <w:tcW w:w="2007" w:type="pct"/>
            <w:gridSpan w:val="4"/>
            <w:noWrap w:val="0"/>
            <w:vAlign w:val="top"/>
          </w:tcPr>
          <w:p w14:paraId="62562A52">
            <w:pPr>
              <w:spacing w:line="440" w:lineRule="exact"/>
              <w:rPr>
                <w:rFonts w:hint="eastAsia" w:ascii="宋体" w:hAnsi="宋体" w:cs="宋体"/>
                <w:color w:val="auto"/>
                <w:szCs w:val="21"/>
                <w:highlight w:val="none"/>
              </w:rPr>
            </w:pPr>
          </w:p>
        </w:tc>
        <w:tc>
          <w:tcPr>
            <w:tcW w:w="740" w:type="pct"/>
            <w:noWrap w:val="0"/>
            <w:vAlign w:val="top"/>
          </w:tcPr>
          <w:p w14:paraId="72CDCBDB">
            <w:pPr>
              <w:spacing w:line="440" w:lineRule="exact"/>
              <w:rPr>
                <w:rFonts w:hint="eastAsia" w:ascii="宋体" w:hAnsi="宋体" w:cs="宋体"/>
                <w:color w:val="auto"/>
                <w:szCs w:val="21"/>
                <w:highlight w:val="none"/>
              </w:rPr>
            </w:pPr>
          </w:p>
        </w:tc>
        <w:tc>
          <w:tcPr>
            <w:tcW w:w="1347" w:type="pct"/>
            <w:gridSpan w:val="2"/>
            <w:noWrap w:val="0"/>
            <w:vAlign w:val="top"/>
          </w:tcPr>
          <w:p w14:paraId="691AA94A">
            <w:pPr>
              <w:spacing w:line="440" w:lineRule="exact"/>
              <w:rPr>
                <w:rFonts w:hint="eastAsia" w:ascii="宋体" w:hAnsi="宋体" w:cs="宋体"/>
                <w:color w:val="auto"/>
                <w:szCs w:val="21"/>
                <w:highlight w:val="none"/>
              </w:rPr>
            </w:pPr>
          </w:p>
        </w:tc>
      </w:tr>
      <w:tr w14:paraId="0C75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54F587CD">
            <w:pPr>
              <w:spacing w:line="440" w:lineRule="exact"/>
              <w:rPr>
                <w:rFonts w:hint="eastAsia" w:ascii="宋体" w:hAnsi="宋体" w:cs="宋体"/>
                <w:color w:val="auto"/>
                <w:szCs w:val="21"/>
                <w:highlight w:val="none"/>
              </w:rPr>
            </w:pPr>
          </w:p>
        </w:tc>
        <w:tc>
          <w:tcPr>
            <w:tcW w:w="2007" w:type="pct"/>
            <w:gridSpan w:val="4"/>
            <w:noWrap w:val="0"/>
            <w:vAlign w:val="top"/>
          </w:tcPr>
          <w:p w14:paraId="020D9769">
            <w:pPr>
              <w:spacing w:line="440" w:lineRule="exact"/>
              <w:rPr>
                <w:rFonts w:hint="eastAsia" w:ascii="宋体" w:hAnsi="宋体" w:cs="宋体"/>
                <w:color w:val="auto"/>
                <w:szCs w:val="21"/>
                <w:highlight w:val="none"/>
              </w:rPr>
            </w:pPr>
          </w:p>
        </w:tc>
        <w:tc>
          <w:tcPr>
            <w:tcW w:w="740" w:type="pct"/>
            <w:noWrap w:val="0"/>
            <w:vAlign w:val="top"/>
          </w:tcPr>
          <w:p w14:paraId="1657DCF2">
            <w:pPr>
              <w:spacing w:line="440" w:lineRule="exact"/>
              <w:rPr>
                <w:rFonts w:hint="eastAsia" w:ascii="宋体" w:hAnsi="宋体" w:cs="宋体"/>
                <w:color w:val="auto"/>
                <w:szCs w:val="21"/>
                <w:highlight w:val="none"/>
              </w:rPr>
            </w:pPr>
          </w:p>
        </w:tc>
        <w:tc>
          <w:tcPr>
            <w:tcW w:w="1347" w:type="pct"/>
            <w:gridSpan w:val="2"/>
            <w:noWrap w:val="0"/>
            <w:vAlign w:val="top"/>
          </w:tcPr>
          <w:p w14:paraId="2BFB5922">
            <w:pPr>
              <w:spacing w:line="440" w:lineRule="exact"/>
              <w:rPr>
                <w:rFonts w:hint="eastAsia" w:ascii="宋体" w:hAnsi="宋体" w:cs="宋体"/>
                <w:color w:val="auto"/>
                <w:szCs w:val="21"/>
                <w:highlight w:val="none"/>
              </w:rPr>
            </w:pPr>
          </w:p>
        </w:tc>
      </w:tr>
      <w:tr w14:paraId="1A94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62DD1095">
            <w:pPr>
              <w:spacing w:line="440" w:lineRule="exact"/>
              <w:rPr>
                <w:rFonts w:hint="eastAsia" w:ascii="宋体" w:hAnsi="宋体" w:cs="宋体"/>
                <w:color w:val="auto"/>
                <w:szCs w:val="21"/>
                <w:highlight w:val="none"/>
              </w:rPr>
            </w:pPr>
          </w:p>
        </w:tc>
        <w:tc>
          <w:tcPr>
            <w:tcW w:w="2007" w:type="pct"/>
            <w:gridSpan w:val="4"/>
            <w:noWrap w:val="0"/>
            <w:vAlign w:val="top"/>
          </w:tcPr>
          <w:p w14:paraId="45A997B5">
            <w:pPr>
              <w:spacing w:line="440" w:lineRule="exact"/>
              <w:rPr>
                <w:rFonts w:hint="eastAsia" w:ascii="宋体" w:hAnsi="宋体" w:cs="宋体"/>
                <w:color w:val="auto"/>
                <w:szCs w:val="21"/>
                <w:highlight w:val="none"/>
              </w:rPr>
            </w:pPr>
          </w:p>
        </w:tc>
        <w:tc>
          <w:tcPr>
            <w:tcW w:w="740" w:type="pct"/>
            <w:noWrap w:val="0"/>
            <w:vAlign w:val="top"/>
          </w:tcPr>
          <w:p w14:paraId="2DD52BCF">
            <w:pPr>
              <w:spacing w:line="440" w:lineRule="exact"/>
              <w:rPr>
                <w:rFonts w:hint="eastAsia" w:ascii="宋体" w:hAnsi="宋体" w:cs="宋体"/>
                <w:color w:val="auto"/>
                <w:szCs w:val="21"/>
                <w:highlight w:val="none"/>
              </w:rPr>
            </w:pPr>
          </w:p>
        </w:tc>
        <w:tc>
          <w:tcPr>
            <w:tcW w:w="1347" w:type="pct"/>
            <w:gridSpan w:val="2"/>
            <w:noWrap w:val="0"/>
            <w:vAlign w:val="top"/>
          </w:tcPr>
          <w:p w14:paraId="728FFF13">
            <w:pPr>
              <w:spacing w:line="440" w:lineRule="exact"/>
              <w:rPr>
                <w:rFonts w:hint="eastAsia" w:ascii="宋体" w:hAnsi="宋体" w:cs="宋体"/>
                <w:color w:val="auto"/>
                <w:szCs w:val="21"/>
                <w:highlight w:val="none"/>
              </w:rPr>
            </w:pPr>
          </w:p>
        </w:tc>
      </w:tr>
      <w:tr w14:paraId="1E1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906" w:type="pct"/>
            <w:gridSpan w:val="2"/>
            <w:noWrap w:val="0"/>
            <w:vAlign w:val="top"/>
          </w:tcPr>
          <w:p w14:paraId="082EEC6F">
            <w:pPr>
              <w:spacing w:line="440" w:lineRule="exact"/>
              <w:rPr>
                <w:rFonts w:hint="eastAsia" w:ascii="宋体" w:hAnsi="宋体" w:cs="宋体"/>
                <w:color w:val="auto"/>
                <w:szCs w:val="21"/>
                <w:highlight w:val="none"/>
              </w:rPr>
            </w:pPr>
          </w:p>
        </w:tc>
        <w:tc>
          <w:tcPr>
            <w:tcW w:w="2007" w:type="pct"/>
            <w:gridSpan w:val="4"/>
            <w:noWrap w:val="0"/>
            <w:vAlign w:val="top"/>
          </w:tcPr>
          <w:p w14:paraId="1BB90EAA">
            <w:pPr>
              <w:spacing w:line="440" w:lineRule="exact"/>
              <w:rPr>
                <w:rFonts w:hint="eastAsia" w:ascii="宋体" w:hAnsi="宋体" w:cs="宋体"/>
                <w:color w:val="auto"/>
                <w:szCs w:val="21"/>
                <w:highlight w:val="none"/>
              </w:rPr>
            </w:pPr>
          </w:p>
        </w:tc>
        <w:tc>
          <w:tcPr>
            <w:tcW w:w="740" w:type="pct"/>
            <w:noWrap w:val="0"/>
            <w:vAlign w:val="top"/>
          </w:tcPr>
          <w:p w14:paraId="22DFFFF5">
            <w:pPr>
              <w:spacing w:line="440" w:lineRule="exact"/>
              <w:rPr>
                <w:rFonts w:hint="eastAsia" w:ascii="宋体" w:hAnsi="宋体" w:cs="宋体"/>
                <w:color w:val="auto"/>
                <w:szCs w:val="21"/>
                <w:highlight w:val="none"/>
              </w:rPr>
            </w:pPr>
          </w:p>
        </w:tc>
        <w:tc>
          <w:tcPr>
            <w:tcW w:w="1347" w:type="pct"/>
            <w:gridSpan w:val="2"/>
            <w:noWrap w:val="0"/>
            <w:vAlign w:val="top"/>
          </w:tcPr>
          <w:p w14:paraId="47E07F3A">
            <w:pPr>
              <w:spacing w:line="440" w:lineRule="exact"/>
              <w:rPr>
                <w:rFonts w:hint="eastAsia" w:ascii="宋体" w:hAnsi="宋体" w:cs="宋体"/>
                <w:color w:val="auto"/>
                <w:szCs w:val="21"/>
                <w:highlight w:val="none"/>
              </w:rPr>
            </w:pPr>
          </w:p>
        </w:tc>
      </w:tr>
      <w:tr w14:paraId="73B6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681EDA41">
            <w:pPr>
              <w:spacing w:line="440" w:lineRule="exact"/>
              <w:rPr>
                <w:rFonts w:hint="eastAsia" w:ascii="宋体" w:hAnsi="宋体" w:cs="宋体"/>
                <w:color w:val="auto"/>
                <w:szCs w:val="21"/>
                <w:highlight w:val="none"/>
              </w:rPr>
            </w:pPr>
          </w:p>
        </w:tc>
        <w:tc>
          <w:tcPr>
            <w:tcW w:w="2007" w:type="pct"/>
            <w:gridSpan w:val="4"/>
            <w:noWrap w:val="0"/>
            <w:vAlign w:val="top"/>
          </w:tcPr>
          <w:p w14:paraId="7441477B">
            <w:pPr>
              <w:spacing w:line="440" w:lineRule="exact"/>
              <w:rPr>
                <w:rFonts w:hint="eastAsia" w:ascii="宋体" w:hAnsi="宋体" w:cs="宋体"/>
                <w:color w:val="auto"/>
                <w:szCs w:val="21"/>
                <w:highlight w:val="none"/>
              </w:rPr>
            </w:pPr>
          </w:p>
        </w:tc>
        <w:tc>
          <w:tcPr>
            <w:tcW w:w="740" w:type="pct"/>
            <w:noWrap w:val="0"/>
            <w:vAlign w:val="top"/>
          </w:tcPr>
          <w:p w14:paraId="5D54D5D1">
            <w:pPr>
              <w:spacing w:line="440" w:lineRule="exact"/>
              <w:rPr>
                <w:rFonts w:hint="eastAsia" w:ascii="宋体" w:hAnsi="宋体" w:cs="宋体"/>
                <w:color w:val="auto"/>
                <w:szCs w:val="21"/>
                <w:highlight w:val="none"/>
              </w:rPr>
            </w:pPr>
          </w:p>
        </w:tc>
        <w:tc>
          <w:tcPr>
            <w:tcW w:w="1347" w:type="pct"/>
            <w:gridSpan w:val="2"/>
            <w:noWrap w:val="0"/>
            <w:vAlign w:val="top"/>
          </w:tcPr>
          <w:p w14:paraId="1758FA0A">
            <w:pPr>
              <w:spacing w:line="440" w:lineRule="exact"/>
              <w:rPr>
                <w:rFonts w:hint="eastAsia" w:ascii="宋体" w:hAnsi="宋体" w:cs="宋体"/>
                <w:color w:val="auto"/>
                <w:szCs w:val="21"/>
                <w:highlight w:val="none"/>
              </w:rPr>
            </w:pPr>
          </w:p>
        </w:tc>
      </w:tr>
      <w:tr w14:paraId="6725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2342DF1C">
            <w:pPr>
              <w:spacing w:line="440" w:lineRule="exact"/>
              <w:rPr>
                <w:rFonts w:hint="eastAsia" w:ascii="宋体" w:hAnsi="宋体" w:cs="宋体"/>
                <w:color w:val="auto"/>
                <w:szCs w:val="21"/>
                <w:highlight w:val="none"/>
              </w:rPr>
            </w:pPr>
          </w:p>
        </w:tc>
        <w:tc>
          <w:tcPr>
            <w:tcW w:w="2007" w:type="pct"/>
            <w:gridSpan w:val="4"/>
            <w:noWrap w:val="0"/>
            <w:vAlign w:val="top"/>
          </w:tcPr>
          <w:p w14:paraId="2679DE48">
            <w:pPr>
              <w:spacing w:line="440" w:lineRule="exact"/>
              <w:rPr>
                <w:rFonts w:hint="eastAsia" w:ascii="宋体" w:hAnsi="宋体" w:cs="宋体"/>
                <w:color w:val="auto"/>
                <w:szCs w:val="21"/>
                <w:highlight w:val="none"/>
              </w:rPr>
            </w:pPr>
          </w:p>
        </w:tc>
        <w:tc>
          <w:tcPr>
            <w:tcW w:w="740" w:type="pct"/>
            <w:noWrap w:val="0"/>
            <w:vAlign w:val="top"/>
          </w:tcPr>
          <w:p w14:paraId="773295A5">
            <w:pPr>
              <w:spacing w:line="440" w:lineRule="exact"/>
              <w:rPr>
                <w:rFonts w:hint="eastAsia" w:ascii="宋体" w:hAnsi="宋体" w:cs="宋体"/>
                <w:color w:val="auto"/>
                <w:szCs w:val="21"/>
                <w:highlight w:val="none"/>
              </w:rPr>
            </w:pPr>
          </w:p>
        </w:tc>
        <w:tc>
          <w:tcPr>
            <w:tcW w:w="1347" w:type="pct"/>
            <w:gridSpan w:val="2"/>
            <w:noWrap w:val="0"/>
            <w:vAlign w:val="top"/>
          </w:tcPr>
          <w:p w14:paraId="10E7AE0A">
            <w:pPr>
              <w:spacing w:line="440" w:lineRule="exact"/>
              <w:rPr>
                <w:rFonts w:hint="eastAsia" w:ascii="宋体" w:hAnsi="宋体" w:cs="宋体"/>
                <w:color w:val="auto"/>
                <w:szCs w:val="21"/>
                <w:highlight w:val="none"/>
              </w:rPr>
            </w:pPr>
          </w:p>
        </w:tc>
      </w:tr>
      <w:tr w14:paraId="51C8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0FD00E11">
            <w:pPr>
              <w:spacing w:line="440" w:lineRule="exact"/>
              <w:rPr>
                <w:rFonts w:hint="eastAsia" w:ascii="宋体" w:hAnsi="宋体" w:cs="宋体"/>
                <w:color w:val="auto"/>
                <w:szCs w:val="21"/>
                <w:highlight w:val="none"/>
              </w:rPr>
            </w:pPr>
          </w:p>
        </w:tc>
        <w:tc>
          <w:tcPr>
            <w:tcW w:w="2007" w:type="pct"/>
            <w:gridSpan w:val="4"/>
            <w:noWrap w:val="0"/>
            <w:vAlign w:val="top"/>
          </w:tcPr>
          <w:p w14:paraId="47BA462D">
            <w:pPr>
              <w:spacing w:line="440" w:lineRule="exact"/>
              <w:rPr>
                <w:rFonts w:hint="eastAsia" w:ascii="宋体" w:hAnsi="宋体" w:cs="宋体"/>
                <w:color w:val="auto"/>
                <w:szCs w:val="21"/>
                <w:highlight w:val="none"/>
              </w:rPr>
            </w:pPr>
          </w:p>
        </w:tc>
        <w:tc>
          <w:tcPr>
            <w:tcW w:w="740" w:type="pct"/>
            <w:noWrap w:val="0"/>
            <w:vAlign w:val="top"/>
          </w:tcPr>
          <w:p w14:paraId="2D51C74B">
            <w:pPr>
              <w:spacing w:line="440" w:lineRule="exact"/>
              <w:rPr>
                <w:rFonts w:hint="eastAsia" w:ascii="宋体" w:hAnsi="宋体" w:cs="宋体"/>
                <w:color w:val="auto"/>
                <w:szCs w:val="21"/>
                <w:highlight w:val="none"/>
              </w:rPr>
            </w:pPr>
          </w:p>
        </w:tc>
        <w:tc>
          <w:tcPr>
            <w:tcW w:w="1347" w:type="pct"/>
            <w:gridSpan w:val="2"/>
            <w:noWrap w:val="0"/>
            <w:vAlign w:val="top"/>
          </w:tcPr>
          <w:p w14:paraId="0E912F67">
            <w:pPr>
              <w:spacing w:line="440" w:lineRule="exact"/>
              <w:rPr>
                <w:rFonts w:hint="eastAsia" w:ascii="宋体" w:hAnsi="宋体" w:cs="宋体"/>
                <w:color w:val="auto"/>
                <w:szCs w:val="21"/>
                <w:highlight w:val="none"/>
              </w:rPr>
            </w:pPr>
          </w:p>
        </w:tc>
      </w:tr>
      <w:tr w14:paraId="518C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48BC8F1D">
            <w:pPr>
              <w:spacing w:line="440" w:lineRule="exact"/>
              <w:rPr>
                <w:rFonts w:hint="eastAsia" w:ascii="宋体" w:hAnsi="宋体" w:cs="宋体"/>
                <w:color w:val="auto"/>
                <w:szCs w:val="21"/>
                <w:highlight w:val="none"/>
              </w:rPr>
            </w:pPr>
          </w:p>
        </w:tc>
        <w:tc>
          <w:tcPr>
            <w:tcW w:w="2007" w:type="pct"/>
            <w:gridSpan w:val="4"/>
            <w:noWrap w:val="0"/>
            <w:vAlign w:val="top"/>
          </w:tcPr>
          <w:p w14:paraId="048E2C10">
            <w:pPr>
              <w:spacing w:line="440" w:lineRule="exact"/>
              <w:rPr>
                <w:rFonts w:hint="eastAsia" w:ascii="宋体" w:hAnsi="宋体" w:cs="宋体"/>
                <w:color w:val="auto"/>
                <w:szCs w:val="21"/>
                <w:highlight w:val="none"/>
              </w:rPr>
            </w:pPr>
          </w:p>
        </w:tc>
        <w:tc>
          <w:tcPr>
            <w:tcW w:w="740" w:type="pct"/>
            <w:noWrap w:val="0"/>
            <w:vAlign w:val="top"/>
          </w:tcPr>
          <w:p w14:paraId="15F81DFB">
            <w:pPr>
              <w:spacing w:line="440" w:lineRule="exact"/>
              <w:rPr>
                <w:rFonts w:hint="eastAsia" w:ascii="宋体" w:hAnsi="宋体" w:cs="宋体"/>
                <w:color w:val="auto"/>
                <w:szCs w:val="21"/>
                <w:highlight w:val="none"/>
              </w:rPr>
            </w:pPr>
          </w:p>
        </w:tc>
        <w:tc>
          <w:tcPr>
            <w:tcW w:w="1347" w:type="pct"/>
            <w:gridSpan w:val="2"/>
            <w:noWrap w:val="0"/>
            <w:vAlign w:val="top"/>
          </w:tcPr>
          <w:p w14:paraId="3323EBBB">
            <w:pPr>
              <w:spacing w:line="440" w:lineRule="exact"/>
              <w:rPr>
                <w:rFonts w:hint="eastAsia" w:ascii="宋体" w:hAnsi="宋体" w:cs="宋体"/>
                <w:color w:val="auto"/>
                <w:szCs w:val="21"/>
                <w:highlight w:val="none"/>
              </w:rPr>
            </w:pPr>
          </w:p>
        </w:tc>
      </w:tr>
      <w:tr w14:paraId="27B3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2BDD142D">
            <w:pPr>
              <w:spacing w:line="440" w:lineRule="exact"/>
              <w:rPr>
                <w:rFonts w:hint="eastAsia" w:ascii="宋体" w:hAnsi="宋体" w:cs="宋体"/>
                <w:color w:val="auto"/>
                <w:szCs w:val="21"/>
                <w:highlight w:val="none"/>
              </w:rPr>
            </w:pPr>
          </w:p>
        </w:tc>
        <w:tc>
          <w:tcPr>
            <w:tcW w:w="2007" w:type="pct"/>
            <w:gridSpan w:val="4"/>
            <w:noWrap w:val="0"/>
            <w:vAlign w:val="top"/>
          </w:tcPr>
          <w:p w14:paraId="44339A11">
            <w:pPr>
              <w:spacing w:line="440" w:lineRule="exact"/>
              <w:rPr>
                <w:rFonts w:hint="eastAsia" w:ascii="宋体" w:hAnsi="宋体" w:cs="宋体"/>
                <w:color w:val="auto"/>
                <w:szCs w:val="21"/>
                <w:highlight w:val="none"/>
              </w:rPr>
            </w:pPr>
          </w:p>
        </w:tc>
        <w:tc>
          <w:tcPr>
            <w:tcW w:w="740" w:type="pct"/>
            <w:noWrap w:val="0"/>
            <w:vAlign w:val="top"/>
          </w:tcPr>
          <w:p w14:paraId="370D47BF">
            <w:pPr>
              <w:spacing w:line="440" w:lineRule="exact"/>
              <w:rPr>
                <w:rFonts w:hint="eastAsia" w:ascii="宋体" w:hAnsi="宋体" w:cs="宋体"/>
                <w:color w:val="auto"/>
                <w:szCs w:val="21"/>
                <w:highlight w:val="none"/>
              </w:rPr>
            </w:pPr>
          </w:p>
        </w:tc>
        <w:tc>
          <w:tcPr>
            <w:tcW w:w="1347" w:type="pct"/>
            <w:gridSpan w:val="2"/>
            <w:noWrap w:val="0"/>
            <w:vAlign w:val="top"/>
          </w:tcPr>
          <w:p w14:paraId="149B194A">
            <w:pPr>
              <w:spacing w:line="440" w:lineRule="exact"/>
              <w:rPr>
                <w:rFonts w:hint="eastAsia" w:ascii="宋体" w:hAnsi="宋体" w:cs="宋体"/>
                <w:color w:val="auto"/>
                <w:szCs w:val="21"/>
                <w:highlight w:val="none"/>
              </w:rPr>
            </w:pPr>
          </w:p>
        </w:tc>
      </w:tr>
      <w:tr w14:paraId="6A1A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noWrap w:val="0"/>
            <w:vAlign w:val="top"/>
          </w:tcPr>
          <w:p w14:paraId="0F85308A">
            <w:pPr>
              <w:spacing w:line="440" w:lineRule="exact"/>
              <w:rPr>
                <w:rFonts w:hint="eastAsia" w:ascii="宋体" w:hAnsi="宋体" w:cs="宋体"/>
                <w:color w:val="auto"/>
                <w:szCs w:val="21"/>
                <w:highlight w:val="none"/>
              </w:rPr>
            </w:pPr>
          </w:p>
        </w:tc>
        <w:tc>
          <w:tcPr>
            <w:tcW w:w="2007" w:type="pct"/>
            <w:gridSpan w:val="4"/>
            <w:noWrap w:val="0"/>
            <w:vAlign w:val="top"/>
          </w:tcPr>
          <w:p w14:paraId="7E3CA2E9">
            <w:pPr>
              <w:spacing w:line="440" w:lineRule="exact"/>
              <w:rPr>
                <w:rFonts w:hint="eastAsia" w:ascii="宋体" w:hAnsi="宋体" w:cs="宋体"/>
                <w:color w:val="auto"/>
                <w:szCs w:val="21"/>
                <w:highlight w:val="none"/>
              </w:rPr>
            </w:pPr>
          </w:p>
        </w:tc>
        <w:tc>
          <w:tcPr>
            <w:tcW w:w="740" w:type="pct"/>
            <w:noWrap w:val="0"/>
            <w:vAlign w:val="top"/>
          </w:tcPr>
          <w:p w14:paraId="331797C4">
            <w:pPr>
              <w:spacing w:line="440" w:lineRule="exact"/>
              <w:rPr>
                <w:rFonts w:hint="eastAsia" w:ascii="宋体" w:hAnsi="宋体" w:cs="宋体"/>
                <w:color w:val="auto"/>
                <w:szCs w:val="21"/>
                <w:highlight w:val="none"/>
              </w:rPr>
            </w:pPr>
          </w:p>
        </w:tc>
        <w:tc>
          <w:tcPr>
            <w:tcW w:w="1347" w:type="pct"/>
            <w:gridSpan w:val="2"/>
            <w:noWrap w:val="0"/>
            <w:vAlign w:val="top"/>
          </w:tcPr>
          <w:p w14:paraId="24485F45">
            <w:pPr>
              <w:spacing w:line="440" w:lineRule="exact"/>
              <w:rPr>
                <w:rFonts w:hint="eastAsia" w:ascii="宋体" w:hAnsi="宋体" w:cs="宋体"/>
                <w:color w:val="auto"/>
                <w:szCs w:val="21"/>
                <w:highlight w:val="none"/>
              </w:rPr>
            </w:pPr>
          </w:p>
        </w:tc>
      </w:tr>
    </w:tbl>
    <w:p w14:paraId="6FDDC558">
      <w:pPr>
        <w:spacing w:before="260" w:after="260" w:line="415" w:lineRule="auto"/>
        <w:jc w:val="left"/>
        <w:rPr>
          <w:rFonts w:hint="eastAsia" w:ascii="宋体" w:hAnsi="宋体" w:cs="宋体"/>
          <w:color w:val="auto"/>
          <w:szCs w:val="21"/>
          <w:highlight w:val="none"/>
        </w:rPr>
      </w:pPr>
      <w:r>
        <w:rPr>
          <w:rFonts w:hint="eastAsia" w:ascii="宋体" w:hAnsi="宋体" w:cs="宋体"/>
          <w:color w:val="auto"/>
          <w:szCs w:val="21"/>
          <w:highlight w:val="none"/>
        </w:rPr>
        <w:t>应附职称证书扫描件、</w:t>
      </w:r>
      <w:r>
        <w:rPr>
          <w:rFonts w:hint="eastAsia" w:ascii="宋体" w:hAnsi="宋体" w:cs="宋体"/>
          <w:color w:val="auto"/>
          <w:highlight w:val="none"/>
        </w:rPr>
        <w:t>社保证明</w:t>
      </w:r>
      <w:r>
        <w:rPr>
          <w:rFonts w:hint="eastAsia" w:ascii="宋体" w:hAnsi="宋体" w:cs="宋体"/>
          <w:color w:val="auto"/>
          <w:szCs w:val="21"/>
          <w:highlight w:val="none"/>
        </w:rPr>
        <w:t>扫描件。</w:t>
      </w:r>
    </w:p>
    <w:p w14:paraId="6AC3C0CC">
      <w:pPr>
        <w:pageBreakBefore/>
        <w:widowControl/>
        <w:jc w:val="left"/>
        <w:rPr>
          <w:rFonts w:hint="eastAsia" w:ascii="宋体" w:hAnsi="宋体" w:cs="宋体"/>
          <w:b/>
          <w:color w:val="auto"/>
          <w:sz w:val="24"/>
          <w:szCs w:val="31"/>
          <w:highlight w:val="none"/>
        </w:rPr>
      </w:pPr>
    </w:p>
    <w:p w14:paraId="0DCDD527">
      <w:pPr>
        <w:spacing w:line="400" w:lineRule="exact"/>
        <w:jc w:val="left"/>
        <w:outlineLvl w:val="3"/>
        <w:rPr>
          <w:rFonts w:hint="eastAsia" w:ascii="宋体" w:hAnsi="宋体" w:cs="宋体"/>
          <w:b/>
          <w:color w:val="auto"/>
          <w:sz w:val="24"/>
          <w:szCs w:val="31"/>
          <w:highlight w:val="none"/>
        </w:rPr>
      </w:pPr>
      <w:r>
        <w:rPr>
          <w:rFonts w:hint="eastAsia" w:ascii="宋体" w:hAnsi="宋体" w:cs="宋体"/>
          <w:b/>
          <w:color w:val="auto"/>
          <w:sz w:val="24"/>
          <w:szCs w:val="31"/>
          <w:highlight w:val="none"/>
        </w:rPr>
        <w:t>（</w:t>
      </w:r>
      <w:r>
        <w:rPr>
          <w:rFonts w:hint="eastAsia" w:ascii="宋体" w:hAnsi="宋体" w:cs="宋体"/>
          <w:b/>
          <w:color w:val="auto"/>
          <w:sz w:val="24"/>
          <w:szCs w:val="31"/>
          <w:highlight w:val="none"/>
          <w:lang w:val="en-US" w:eastAsia="zh-CN"/>
        </w:rPr>
        <w:t>四</w:t>
      </w:r>
      <w:r>
        <w:rPr>
          <w:rFonts w:hint="eastAsia" w:ascii="宋体" w:hAnsi="宋体" w:cs="宋体"/>
          <w:b/>
          <w:color w:val="auto"/>
          <w:sz w:val="24"/>
          <w:szCs w:val="31"/>
          <w:highlight w:val="none"/>
        </w:rPr>
        <w:t>）专职安全管理员</w:t>
      </w:r>
      <w:bookmarkEnd w:id="688"/>
      <w:bookmarkEnd w:id="689"/>
      <w:bookmarkEnd w:id="690"/>
      <w:bookmarkEnd w:id="691"/>
    </w:p>
    <w:p w14:paraId="00EF4079">
      <w:pPr>
        <w:spacing w:before="260" w:after="260" w:line="415"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专职安全员简历表</w:t>
      </w:r>
    </w:p>
    <w:p w14:paraId="41F5A23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应附</w:t>
      </w:r>
      <w:r>
        <w:rPr>
          <w:rFonts w:hint="eastAsia"/>
          <w:color w:val="auto"/>
          <w:highlight w:val="none"/>
          <w:u w:val="single"/>
        </w:rPr>
        <w:t>在有效期内的安全生产考核合格证（C类）或建筑施工企业专职安全生产管理人员安全生产考核合格证书（C3）</w:t>
      </w:r>
      <w:r>
        <w:rPr>
          <w:rFonts w:hint="eastAsia" w:ascii="宋体" w:hAnsi="宋体" w:cs="宋体"/>
          <w:color w:val="auto"/>
          <w:szCs w:val="21"/>
          <w:highlight w:val="none"/>
        </w:rPr>
        <w:t>扫描件</w:t>
      </w:r>
      <w:r>
        <w:rPr>
          <w:rFonts w:hint="eastAsia" w:ascii="宋体" w:hAnsi="宋体" w:cs="宋体"/>
          <w:color w:val="auto"/>
          <w:highlight w:val="none"/>
        </w:rPr>
        <w:t>、社保证明</w:t>
      </w:r>
      <w:r>
        <w:rPr>
          <w:rFonts w:hint="eastAsia" w:ascii="宋体" w:hAnsi="宋体" w:cs="宋体"/>
          <w:color w:val="auto"/>
          <w:szCs w:val="21"/>
          <w:highlight w:val="none"/>
        </w:rPr>
        <w:t>扫描件</w:t>
      </w:r>
      <w:r>
        <w:rPr>
          <w:rFonts w:hint="eastAsia" w:ascii="宋体" w:hAnsi="宋体" w:cs="宋体"/>
          <w:color w:val="auto"/>
          <w:highlight w:val="none"/>
        </w:rPr>
        <w:t>。</w:t>
      </w:r>
    </w:p>
    <w:p w14:paraId="196162D5">
      <w:pPr>
        <w:spacing w:line="400" w:lineRule="exact"/>
        <w:ind w:firstLine="420" w:firstLineChars="200"/>
        <w:rPr>
          <w:rFonts w:hint="eastAsia" w:ascii="宋体" w:hAnsi="宋体" w:cs="宋体"/>
          <w:color w:val="auto"/>
          <w:highlight w:val="none"/>
        </w:rPr>
      </w:pP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2078"/>
        <w:gridCol w:w="1440"/>
        <w:gridCol w:w="1421"/>
        <w:gridCol w:w="1370"/>
        <w:gridCol w:w="1494"/>
      </w:tblGrid>
      <w:tr w14:paraId="49376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0" w:hRule="atLeast"/>
          <w:jc w:val="center"/>
        </w:trPr>
        <w:tc>
          <w:tcPr>
            <w:tcW w:w="779" w:type="pct"/>
            <w:noWrap w:val="0"/>
            <w:vAlign w:val="center"/>
          </w:tcPr>
          <w:p w14:paraId="58A09823">
            <w:pPr>
              <w:pStyle w:val="26"/>
              <w:adjustRightInd w:val="0"/>
              <w:snapToGrid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24" w:type="pct"/>
            <w:noWrap w:val="0"/>
            <w:vAlign w:val="center"/>
          </w:tcPr>
          <w:p w14:paraId="06E29B6B">
            <w:pPr>
              <w:pStyle w:val="26"/>
              <w:adjustRightInd w:val="0"/>
              <w:snapToGrid w:val="0"/>
              <w:spacing w:before="0" w:after="0"/>
              <w:jc w:val="center"/>
              <w:rPr>
                <w:rFonts w:hint="eastAsia" w:ascii="宋体" w:hAnsi="宋体" w:eastAsia="宋体" w:cs="宋体"/>
                <w:color w:val="auto"/>
                <w:sz w:val="21"/>
                <w:szCs w:val="21"/>
                <w:highlight w:val="none"/>
              </w:rPr>
            </w:pPr>
          </w:p>
        </w:tc>
        <w:tc>
          <w:tcPr>
            <w:tcW w:w="779" w:type="pct"/>
            <w:noWrap w:val="0"/>
            <w:vAlign w:val="center"/>
          </w:tcPr>
          <w:p w14:paraId="2C14D042">
            <w:pPr>
              <w:pStyle w:val="26"/>
              <w:adjustRightInd w:val="0"/>
              <w:snapToGrid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769" w:type="pct"/>
            <w:noWrap w:val="0"/>
            <w:vAlign w:val="center"/>
          </w:tcPr>
          <w:p w14:paraId="566B0AFA">
            <w:pPr>
              <w:pStyle w:val="26"/>
              <w:adjustRightInd w:val="0"/>
              <w:snapToGrid w:val="0"/>
              <w:spacing w:before="0" w:after="0"/>
              <w:jc w:val="center"/>
              <w:rPr>
                <w:rFonts w:hint="eastAsia" w:ascii="宋体" w:hAnsi="宋体" w:eastAsia="宋体" w:cs="宋体"/>
                <w:color w:val="auto"/>
                <w:sz w:val="21"/>
                <w:szCs w:val="21"/>
                <w:highlight w:val="none"/>
              </w:rPr>
            </w:pPr>
          </w:p>
        </w:tc>
        <w:tc>
          <w:tcPr>
            <w:tcW w:w="741" w:type="pct"/>
            <w:noWrap w:val="0"/>
            <w:vAlign w:val="center"/>
          </w:tcPr>
          <w:p w14:paraId="57FA74E1">
            <w:pPr>
              <w:pStyle w:val="26"/>
              <w:adjustRightInd w:val="0"/>
              <w:snapToGrid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809" w:type="pct"/>
            <w:noWrap w:val="0"/>
            <w:vAlign w:val="center"/>
          </w:tcPr>
          <w:p w14:paraId="0EE6C5F0">
            <w:pPr>
              <w:pStyle w:val="26"/>
              <w:adjustRightInd w:val="0"/>
              <w:snapToGrid w:val="0"/>
              <w:spacing w:before="0" w:after="0"/>
              <w:jc w:val="center"/>
              <w:rPr>
                <w:rFonts w:hint="eastAsia" w:ascii="宋体" w:hAnsi="宋体" w:eastAsia="宋体" w:cs="宋体"/>
                <w:color w:val="auto"/>
                <w:sz w:val="21"/>
                <w:szCs w:val="21"/>
                <w:highlight w:val="none"/>
              </w:rPr>
            </w:pPr>
          </w:p>
        </w:tc>
      </w:tr>
      <w:tr w14:paraId="6B51F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79" w:type="pct"/>
            <w:noWrap w:val="0"/>
            <w:vAlign w:val="center"/>
          </w:tcPr>
          <w:p w14:paraId="42630A4F">
            <w:pPr>
              <w:pStyle w:val="26"/>
              <w:adjustRightInd w:val="0"/>
              <w:snapToGrid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从事本工作时间</w:t>
            </w:r>
          </w:p>
        </w:tc>
        <w:tc>
          <w:tcPr>
            <w:tcW w:w="1124" w:type="pct"/>
            <w:noWrap w:val="0"/>
            <w:vAlign w:val="center"/>
          </w:tcPr>
          <w:p w14:paraId="3F72241A">
            <w:pPr>
              <w:pStyle w:val="26"/>
              <w:adjustRightInd w:val="0"/>
              <w:snapToGrid w:val="0"/>
              <w:spacing w:before="0" w:after="0"/>
              <w:jc w:val="center"/>
              <w:rPr>
                <w:rFonts w:hint="eastAsia" w:ascii="宋体" w:hAnsi="宋体" w:eastAsia="宋体" w:cs="宋体"/>
                <w:color w:val="auto"/>
                <w:sz w:val="21"/>
                <w:szCs w:val="21"/>
                <w:highlight w:val="none"/>
              </w:rPr>
            </w:pPr>
          </w:p>
        </w:tc>
        <w:tc>
          <w:tcPr>
            <w:tcW w:w="779" w:type="pct"/>
            <w:noWrap w:val="0"/>
            <w:vAlign w:val="center"/>
          </w:tcPr>
          <w:p w14:paraId="3DAAE6FA">
            <w:pPr>
              <w:pStyle w:val="26"/>
              <w:adjustRightInd w:val="0"/>
              <w:snapToGrid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769" w:type="pct"/>
            <w:noWrap w:val="0"/>
            <w:vAlign w:val="center"/>
          </w:tcPr>
          <w:p w14:paraId="14F8A6FF">
            <w:pPr>
              <w:pStyle w:val="26"/>
              <w:adjustRightInd w:val="0"/>
              <w:snapToGrid w:val="0"/>
              <w:spacing w:before="0" w:after="0"/>
              <w:jc w:val="center"/>
              <w:rPr>
                <w:rFonts w:hint="eastAsia" w:ascii="宋体" w:hAnsi="宋体" w:eastAsia="宋体" w:cs="宋体"/>
                <w:color w:val="auto"/>
                <w:sz w:val="21"/>
                <w:szCs w:val="21"/>
                <w:highlight w:val="none"/>
              </w:rPr>
            </w:pPr>
          </w:p>
        </w:tc>
        <w:tc>
          <w:tcPr>
            <w:tcW w:w="741" w:type="pct"/>
            <w:noWrap w:val="0"/>
            <w:vAlign w:val="center"/>
          </w:tcPr>
          <w:p w14:paraId="7AE4D694">
            <w:pPr>
              <w:pStyle w:val="26"/>
              <w:adjustRightInd w:val="0"/>
              <w:snapToGrid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809" w:type="pct"/>
            <w:noWrap w:val="0"/>
            <w:vAlign w:val="center"/>
          </w:tcPr>
          <w:p w14:paraId="7BEBA1DE">
            <w:pPr>
              <w:pStyle w:val="26"/>
              <w:adjustRightInd w:val="0"/>
              <w:snapToGrid w:val="0"/>
              <w:spacing w:before="0" w:after="0"/>
              <w:jc w:val="center"/>
              <w:rPr>
                <w:rFonts w:hint="eastAsia" w:ascii="宋体" w:hAnsi="宋体" w:eastAsia="宋体" w:cs="宋体"/>
                <w:color w:val="auto"/>
                <w:sz w:val="21"/>
                <w:szCs w:val="21"/>
                <w:highlight w:val="none"/>
              </w:rPr>
            </w:pPr>
          </w:p>
        </w:tc>
      </w:tr>
      <w:tr w14:paraId="6438B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9" w:type="pct"/>
            <w:noWrap w:val="0"/>
            <w:vAlign w:val="center"/>
          </w:tcPr>
          <w:p w14:paraId="15C96ABC">
            <w:pPr>
              <w:pStyle w:val="26"/>
              <w:adjustRightInd w:val="0"/>
              <w:snapToGrid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毕业院校</w:t>
            </w:r>
          </w:p>
        </w:tc>
        <w:tc>
          <w:tcPr>
            <w:tcW w:w="2671" w:type="pct"/>
            <w:gridSpan w:val="3"/>
            <w:noWrap w:val="0"/>
            <w:vAlign w:val="center"/>
          </w:tcPr>
          <w:p w14:paraId="05464C45">
            <w:pPr>
              <w:pStyle w:val="26"/>
              <w:adjustRightInd w:val="0"/>
              <w:snapToGrid w:val="0"/>
              <w:spacing w:before="0" w:after="0"/>
              <w:jc w:val="center"/>
              <w:rPr>
                <w:rFonts w:hint="eastAsia" w:ascii="宋体" w:hAnsi="宋体" w:eastAsia="宋体" w:cs="宋体"/>
                <w:color w:val="auto"/>
                <w:sz w:val="21"/>
                <w:szCs w:val="21"/>
                <w:highlight w:val="none"/>
              </w:rPr>
            </w:pPr>
          </w:p>
        </w:tc>
        <w:tc>
          <w:tcPr>
            <w:tcW w:w="741" w:type="pct"/>
            <w:noWrap w:val="0"/>
            <w:vAlign w:val="center"/>
          </w:tcPr>
          <w:p w14:paraId="18C9038D">
            <w:pPr>
              <w:pStyle w:val="26"/>
              <w:adjustRightInd w:val="0"/>
              <w:snapToGrid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毕业时间</w:t>
            </w:r>
          </w:p>
        </w:tc>
        <w:tc>
          <w:tcPr>
            <w:tcW w:w="809" w:type="pct"/>
            <w:noWrap w:val="0"/>
            <w:vAlign w:val="center"/>
          </w:tcPr>
          <w:p w14:paraId="0D47A115">
            <w:pPr>
              <w:pStyle w:val="26"/>
              <w:adjustRightInd w:val="0"/>
              <w:snapToGrid w:val="0"/>
              <w:spacing w:before="0" w:after="0"/>
              <w:jc w:val="center"/>
              <w:rPr>
                <w:rFonts w:hint="eastAsia" w:ascii="宋体" w:hAnsi="宋体" w:eastAsia="宋体" w:cs="宋体"/>
                <w:color w:val="auto"/>
                <w:sz w:val="21"/>
                <w:szCs w:val="21"/>
                <w:highlight w:val="none"/>
              </w:rPr>
            </w:pPr>
          </w:p>
        </w:tc>
      </w:tr>
      <w:bookmarkEnd w:id="672"/>
      <w:bookmarkEnd w:id="673"/>
      <w:bookmarkEnd w:id="674"/>
      <w:bookmarkEnd w:id="675"/>
      <w:bookmarkEnd w:id="676"/>
      <w:bookmarkEnd w:id="677"/>
      <w:bookmarkEnd w:id="678"/>
      <w:bookmarkEnd w:id="679"/>
      <w:bookmarkEnd w:id="680"/>
    </w:tbl>
    <w:p w14:paraId="154A40FD">
      <w:pPr>
        <w:spacing w:line="360" w:lineRule="auto"/>
        <w:jc w:val="center"/>
        <w:outlineLvl w:val="2"/>
        <w:rPr>
          <w:rFonts w:hint="eastAsia" w:ascii="宋体" w:hAnsi="宋体" w:cs="宋体"/>
          <w:color w:val="auto"/>
          <w:sz w:val="28"/>
          <w:szCs w:val="27"/>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bookmarkStart w:id="692" w:name="_Toc222029460"/>
      <w:bookmarkStart w:id="693" w:name="_Toc221949894"/>
      <w:bookmarkStart w:id="694" w:name="_Toc227133887"/>
      <w:bookmarkStart w:id="695" w:name="_Toc229474024"/>
      <w:bookmarkStart w:id="696" w:name="_Toc152047271"/>
      <w:bookmarkStart w:id="697" w:name="_Toc179715764"/>
      <w:bookmarkStart w:id="698" w:name="_Toc17454961"/>
      <w:bookmarkStart w:id="699" w:name="_Toc17454910"/>
      <w:bookmarkStart w:id="700" w:name="_Toc17451662"/>
      <w:bookmarkStart w:id="701" w:name="_Toc17451140"/>
      <w:bookmarkStart w:id="702" w:name="_Toc17452703"/>
      <w:bookmarkStart w:id="703" w:name="_Toc17556915"/>
      <w:bookmarkStart w:id="704" w:name="_Toc17451617"/>
    </w:p>
    <w:p w14:paraId="6774C7B9">
      <w:pPr>
        <w:spacing w:line="360" w:lineRule="auto"/>
        <w:jc w:val="left"/>
        <w:outlineLvl w:val="3"/>
        <w:rPr>
          <w:rFonts w:ascii="宋体" w:hAnsi="宋体"/>
          <w:b/>
          <w:color w:val="auto"/>
          <w:sz w:val="24"/>
          <w:szCs w:val="31"/>
          <w:highlight w:val="none"/>
        </w:rPr>
      </w:pPr>
      <w:r>
        <w:rPr>
          <w:rFonts w:hint="eastAsia" w:ascii="宋体" w:hAnsi="宋体"/>
          <w:b/>
          <w:color w:val="auto"/>
          <w:sz w:val="24"/>
          <w:szCs w:val="31"/>
          <w:highlight w:val="none"/>
        </w:rPr>
        <w:t>（</w:t>
      </w:r>
      <w:r>
        <w:rPr>
          <w:rFonts w:hint="eastAsia" w:ascii="宋体" w:hAnsi="宋体"/>
          <w:b/>
          <w:color w:val="auto"/>
          <w:sz w:val="24"/>
          <w:szCs w:val="31"/>
          <w:highlight w:val="none"/>
          <w:lang w:val="en-US" w:eastAsia="zh-CN"/>
        </w:rPr>
        <w:t>五</w:t>
      </w:r>
      <w:r>
        <w:rPr>
          <w:rFonts w:hint="eastAsia" w:ascii="宋体" w:hAnsi="宋体"/>
          <w:b/>
          <w:color w:val="auto"/>
          <w:sz w:val="24"/>
          <w:szCs w:val="31"/>
          <w:highlight w:val="none"/>
        </w:rPr>
        <w:t>）资格审查自审表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939"/>
        <w:gridCol w:w="1198"/>
        <w:gridCol w:w="1162"/>
        <w:gridCol w:w="1536"/>
      </w:tblGrid>
      <w:tr w14:paraId="63F2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36C220F3">
            <w:pPr>
              <w:topLinePunct/>
              <w:spacing w:line="360" w:lineRule="auto"/>
              <w:jc w:val="center"/>
              <w:rPr>
                <w:color w:val="auto"/>
                <w:szCs w:val="21"/>
                <w:highlight w:val="none"/>
              </w:rPr>
            </w:pPr>
            <w:r>
              <w:rPr>
                <w:rFonts w:hint="eastAsia"/>
                <w:color w:val="auto"/>
                <w:szCs w:val="21"/>
                <w:highlight w:val="none"/>
              </w:rPr>
              <w:t>序号</w:t>
            </w:r>
          </w:p>
        </w:tc>
        <w:tc>
          <w:tcPr>
            <w:tcW w:w="3939" w:type="dxa"/>
            <w:noWrap w:val="0"/>
            <w:vAlign w:val="center"/>
          </w:tcPr>
          <w:p w14:paraId="34E20B91">
            <w:pPr>
              <w:topLinePunct/>
              <w:spacing w:line="360" w:lineRule="auto"/>
              <w:jc w:val="center"/>
              <w:rPr>
                <w:color w:val="auto"/>
                <w:szCs w:val="21"/>
                <w:highlight w:val="none"/>
              </w:rPr>
            </w:pPr>
            <w:r>
              <w:rPr>
                <w:rFonts w:hint="eastAsia"/>
                <w:color w:val="auto"/>
                <w:szCs w:val="21"/>
                <w:highlight w:val="none"/>
              </w:rPr>
              <w:t>审查因素</w:t>
            </w:r>
          </w:p>
        </w:tc>
        <w:tc>
          <w:tcPr>
            <w:tcW w:w="1198" w:type="dxa"/>
            <w:noWrap w:val="0"/>
            <w:vAlign w:val="center"/>
          </w:tcPr>
          <w:p w14:paraId="7C9A7B75">
            <w:pPr>
              <w:topLinePunct/>
              <w:spacing w:line="360" w:lineRule="auto"/>
              <w:jc w:val="center"/>
              <w:rPr>
                <w:color w:val="auto"/>
                <w:szCs w:val="21"/>
                <w:highlight w:val="none"/>
              </w:rPr>
            </w:pPr>
            <w:r>
              <w:rPr>
                <w:rFonts w:hint="eastAsia"/>
                <w:color w:val="auto"/>
                <w:szCs w:val="21"/>
                <w:highlight w:val="none"/>
              </w:rPr>
              <w:t>审查标准</w:t>
            </w:r>
          </w:p>
        </w:tc>
        <w:tc>
          <w:tcPr>
            <w:tcW w:w="1162" w:type="dxa"/>
            <w:noWrap w:val="0"/>
            <w:vAlign w:val="center"/>
          </w:tcPr>
          <w:p w14:paraId="69260E68">
            <w:pPr>
              <w:topLinePunct/>
              <w:spacing w:line="360" w:lineRule="auto"/>
              <w:jc w:val="center"/>
              <w:rPr>
                <w:color w:val="auto"/>
                <w:szCs w:val="21"/>
                <w:highlight w:val="none"/>
              </w:rPr>
            </w:pPr>
            <w:r>
              <w:rPr>
                <w:rFonts w:hint="eastAsia"/>
                <w:color w:val="auto"/>
                <w:szCs w:val="21"/>
                <w:highlight w:val="none"/>
              </w:rPr>
              <w:t>审查结果</w:t>
            </w:r>
          </w:p>
        </w:tc>
        <w:tc>
          <w:tcPr>
            <w:tcW w:w="1536" w:type="dxa"/>
            <w:noWrap w:val="0"/>
            <w:vAlign w:val="center"/>
          </w:tcPr>
          <w:p w14:paraId="11D82D60">
            <w:pPr>
              <w:topLinePunct/>
              <w:spacing w:line="360" w:lineRule="auto"/>
              <w:jc w:val="center"/>
              <w:rPr>
                <w:color w:val="auto"/>
                <w:szCs w:val="21"/>
                <w:highlight w:val="none"/>
              </w:rPr>
            </w:pPr>
            <w:bookmarkStart w:id="705" w:name="_Toc221949862"/>
            <w:r>
              <w:rPr>
                <w:rFonts w:hint="eastAsia"/>
                <w:color w:val="auto"/>
                <w:szCs w:val="21"/>
                <w:highlight w:val="none"/>
              </w:rPr>
              <w:t>引用的证</w:t>
            </w:r>
            <w:bookmarkEnd w:id="705"/>
            <w:r>
              <w:rPr>
                <w:rFonts w:hint="eastAsia"/>
                <w:color w:val="auto"/>
                <w:szCs w:val="21"/>
                <w:highlight w:val="none"/>
              </w:rPr>
              <w:t>明</w:t>
            </w:r>
          </w:p>
          <w:p w14:paraId="6A3A0247">
            <w:pPr>
              <w:topLinePunct/>
              <w:spacing w:line="360" w:lineRule="auto"/>
              <w:jc w:val="center"/>
              <w:rPr>
                <w:color w:val="auto"/>
                <w:szCs w:val="21"/>
                <w:highlight w:val="none"/>
              </w:rPr>
            </w:pPr>
            <w:r>
              <w:rPr>
                <w:rFonts w:hint="eastAsia"/>
                <w:color w:val="auto"/>
                <w:szCs w:val="21"/>
                <w:highlight w:val="none"/>
              </w:rPr>
              <w:t>材</w:t>
            </w:r>
            <w:bookmarkStart w:id="706" w:name="_Toc221949863"/>
            <w:r>
              <w:rPr>
                <w:rFonts w:hint="eastAsia"/>
                <w:color w:val="auto"/>
                <w:szCs w:val="21"/>
                <w:highlight w:val="none"/>
              </w:rPr>
              <w:t>料对应页码</w:t>
            </w:r>
          </w:p>
        </w:tc>
      </w:tr>
      <w:bookmarkEnd w:id="706"/>
      <w:tr w14:paraId="7D09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5FE3679E">
            <w:pPr>
              <w:topLinePunct/>
              <w:spacing w:line="360" w:lineRule="auto"/>
              <w:jc w:val="center"/>
              <w:rPr>
                <w:color w:val="auto"/>
                <w:szCs w:val="21"/>
                <w:highlight w:val="none"/>
              </w:rPr>
            </w:pPr>
          </w:p>
        </w:tc>
        <w:tc>
          <w:tcPr>
            <w:tcW w:w="3939" w:type="dxa"/>
            <w:noWrap w:val="0"/>
            <w:vAlign w:val="center"/>
          </w:tcPr>
          <w:p w14:paraId="751489C1">
            <w:pPr>
              <w:topLinePunct/>
              <w:spacing w:line="360" w:lineRule="auto"/>
              <w:rPr>
                <w:color w:val="auto"/>
                <w:szCs w:val="21"/>
                <w:highlight w:val="none"/>
              </w:rPr>
            </w:pPr>
            <w:r>
              <w:rPr>
                <w:rFonts w:hint="eastAsia"/>
                <w:color w:val="auto"/>
                <w:szCs w:val="21"/>
                <w:highlight w:val="none"/>
              </w:rPr>
              <w:t>营业</w:t>
            </w:r>
            <w:bookmarkStart w:id="707" w:name="_Toc221949864"/>
            <w:r>
              <w:rPr>
                <w:rFonts w:hint="eastAsia"/>
                <w:color w:val="auto"/>
                <w:szCs w:val="21"/>
                <w:highlight w:val="none"/>
              </w:rPr>
              <w:t>执照</w:t>
            </w:r>
          </w:p>
        </w:tc>
        <w:tc>
          <w:tcPr>
            <w:tcW w:w="1198" w:type="dxa"/>
            <w:noWrap w:val="0"/>
            <w:vAlign w:val="center"/>
          </w:tcPr>
          <w:p w14:paraId="2BEF6FEC">
            <w:pPr>
              <w:topLinePunct/>
              <w:spacing w:line="360" w:lineRule="auto"/>
              <w:jc w:val="center"/>
              <w:rPr>
                <w:color w:val="auto"/>
                <w:szCs w:val="21"/>
                <w:highlight w:val="none"/>
              </w:rPr>
            </w:pPr>
          </w:p>
        </w:tc>
        <w:tc>
          <w:tcPr>
            <w:tcW w:w="1162" w:type="dxa"/>
            <w:noWrap w:val="0"/>
            <w:vAlign w:val="center"/>
          </w:tcPr>
          <w:p w14:paraId="2E6C0A2F">
            <w:pPr>
              <w:topLinePunct/>
              <w:spacing w:line="360" w:lineRule="auto"/>
              <w:jc w:val="center"/>
              <w:rPr>
                <w:color w:val="auto"/>
                <w:szCs w:val="21"/>
                <w:highlight w:val="none"/>
              </w:rPr>
            </w:pPr>
          </w:p>
          <w:bookmarkEnd w:id="707"/>
        </w:tc>
        <w:tc>
          <w:tcPr>
            <w:tcW w:w="1536" w:type="dxa"/>
            <w:noWrap w:val="0"/>
            <w:vAlign w:val="center"/>
          </w:tcPr>
          <w:p w14:paraId="07316ABE">
            <w:pPr>
              <w:topLinePunct/>
              <w:spacing w:line="360" w:lineRule="auto"/>
              <w:jc w:val="center"/>
              <w:rPr>
                <w:color w:val="auto"/>
                <w:szCs w:val="21"/>
                <w:highlight w:val="none"/>
              </w:rPr>
            </w:pPr>
          </w:p>
        </w:tc>
      </w:tr>
      <w:tr w14:paraId="443B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19E339E5">
            <w:pPr>
              <w:topLinePunct/>
              <w:spacing w:line="360" w:lineRule="auto"/>
              <w:jc w:val="center"/>
              <w:rPr>
                <w:color w:val="auto"/>
                <w:szCs w:val="21"/>
                <w:highlight w:val="none"/>
              </w:rPr>
            </w:pPr>
          </w:p>
        </w:tc>
        <w:tc>
          <w:tcPr>
            <w:tcW w:w="3939" w:type="dxa"/>
            <w:noWrap w:val="0"/>
            <w:vAlign w:val="center"/>
          </w:tcPr>
          <w:p w14:paraId="58369150">
            <w:pPr>
              <w:topLinePunct/>
              <w:spacing w:line="360" w:lineRule="auto"/>
              <w:rPr>
                <w:color w:val="auto"/>
                <w:szCs w:val="21"/>
                <w:highlight w:val="none"/>
              </w:rPr>
            </w:pPr>
            <w:bookmarkStart w:id="708" w:name="_Toc221949865"/>
            <w:r>
              <w:rPr>
                <w:rFonts w:hint="eastAsia"/>
                <w:color w:val="auto"/>
                <w:szCs w:val="21"/>
                <w:highlight w:val="none"/>
              </w:rPr>
              <w:t>安全生产许</w:t>
            </w:r>
            <w:bookmarkEnd w:id="708"/>
            <w:r>
              <w:rPr>
                <w:rFonts w:hint="eastAsia"/>
                <w:color w:val="auto"/>
                <w:szCs w:val="21"/>
                <w:highlight w:val="none"/>
              </w:rPr>
              <w:t>可证</w:t>
            </w:r>
          </w:p>
        </w:tc>
        <w:tc>
          <w:tcPr>
            <w:tcW w:w="1198" w:type="dxa"/>
            <w:noWrap w:val="0"/>
            <w:vAlign w:val="center"/>
          </w:tcPr>
          <w:p w14:paraId="6635FF53">
            <w:pPr>
              <w:topLinePunct/>
              <w:spacing w:line="360" w:lineRule="auto"/>
              <w:jc w:val="center"/>
              <w:rPr>
                <w:color w:val="auto"/>
                <w:szCs w:val="21"/>
                <w:highlight w:val="none"/>
              </w:rPr>
            </w:pPr>
            <w:bookmarkStart w:id="709" w:name="_Toc221949866"/>
          </w:p>
        </w:tc>
        <w:tc>
          <w:tcPr>
            <w:tcW w:w="1162" w:type="dxa"/>
            <w:noWrap w:val="0"/>
            <w:vAlign w:val="center"/>
          </w:tcPr>
          <w:p w14:paraId="35BB8ACD">
            <w:pPr>
              <w:topLinePunct/>
              <w:spacing w:line="360" w:lineRule="auto"/>
              <w:jc w:val="center"/>
              <w:rPr>
                <w:color w:val="auto"/>
                <w:szCs w:val="21"/>
                <w:highlight w:val="none"/>
              </w:rPr>
            </w:pPr>
          </w:p>
        </w:tc>
        <w:tc>
          <w:tcPr>
            <w:tcW w:w="1536" w:type="dxa"/>
            <w:noWrap w:val="0"/>
            <w:vAlign w:val="center"/>
          </w:tcPr>
          <w:p w14:paraId="64820B73">
            <w:pPr>
              <w:topLinePunct/>
              <w:spacing w:line="360" w:lineRule="auto"/>
              <w:jc w:val="center"/>
              <w:rPr>
                <w:color w:val="auto"/>
                <w:szCs w:val="21"/>
                <w:highlight w:val="none"/>
              </w:rPr>
            </w:pPr>
          </w:p>
        </w:tc>
      </w:tr>
      <w:tr w14:paraId="08D3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42614362">
            <w:pPr>
              <w:topLinePunct/>
              <w:spacing w:line="360" w:lineRule="auto"/>
              <w:jc w:val="center"/>
              <w:rPr>
                <w:color w:val="auto"/>
                <w:szCs w:val="21"/>
                <w:highlight w:val="none"/>
              </w:rPr>
            </w:pPr>
          </w:p>
          <w:bookmarkEnd w:id="709"/>
        </w:tc>
        <w:tc>
          <w:tcPr>
            <w:tcW w:w="3939" w:type="dxa"/>
            <w:noWrap w:val="0"/>
            <w:vAlign w:val="center"/>
          </w:tcPr>
          <w:p w14:paraId="199F9ED9">
            <w:pPr>
              <w:topLinePunct/>
              <w:spacing w:line="360" w:lineRule="auto"/>
              <w:rPr>
                <w:color w:val="auto"/>
                <w:szCs w:val="21"/>
                <w:highlight w:val="none"/>
              </w:rPr>
            </w:pPr>
            <w:r>
              <w:rPr>
                <w:rFonts w:hint="eastAsia"/>
                <w:color w:val="auto"/>
                <w:szCs w:val="21"/>
                <w:highlight w:val="none"/>
              </w:rPr>
              <w:t>资质证</w:t>
            </w:r>
            <w:bookmarkStart w:id="710" w:name="_Toc221949867"/>
            <w:r>
              <w:rPr>
                <w:rFonts w:hint="eastAsia"/>
                <w:color w:val="auto"/>
                <w:szCs w:val="21"/>
                <w:highlight w:val="none"/>
              </w:rPr>
              <w:t>书及等级</w:t>
            </w:r>
          </w:p>
          <w:bookmarkEnd w:id="710"/>
        </w:tc>
        <w:tc>
          <w:tcPr>
            <w:tcW w:w="1198" w:type="dxa"/>
            <w:noWrap w:val="0"/>
            <w:vAlign w:val="center"/>
          </w:tcPr>
          <w:p w14:paraId="75112E55">
            <w:pPr>
              <w:topLinePunct/>
              <w:spacing w:line="360" w:lineRule="auto"/>
              <w:jc w:val="center"/>
              <w:rPr>
                <w:color w:val="auto"/>
                <w:szCs w:val="21"/>
                <w:highlight w:val="none"/>
              </w:rPr>
            </w:pPr>
          </w:p>
        </w:tc>
        <w:tc>
          <w:tcPr>
            <w:tcW w:w="1162" w:type="dxa"/>
            <w:noWrap w:val="0"/>
            <w:vAlign w:val="center"/>
          </w:tcPr>
          <w:p w14:paraId="10EB62E9">
            <w:pPr>
              <w:topLinePunct/>
              <w:spacing w:line="360" w:lineRule="auto"/>
              <w:jc w:val="center"/>
              <w:rPr>
                <w:color w:val="auto"/>
                <w:szCs w:val="21"/>
                <w:highlight w:val="none"/>
              </w:rPr>
            </w:pPr>
          </w:p>
        </w:tc>
        <w:tc>
          <w:tcPr>
            <w:tcW w:w="1536" w:type="dxa"/>
            <w:noWrap w:val="0"/>
            <w:vAlign w:val="center"/>
          </w:tcPr>
          <w:p w14:paraId="38D8788C">
            <w:pPr>
              <w:topLinePunct/>
              <w:spacing w:line="360" w:lineRule="auto"/>
              <w:jc w:val="center"/>
              <w:rPr>
                <w:color w:val="auto"/>
                <w:szCs w:val="21"/>
                <w:highlight w:val="none"/>
              </w:rPr>
            </w:pPr>
          </w:p>
        </w:tc>
        <w:bookmarkStart w:id="711" w:name="_Toc221949868"/>
      </w:tr>
      <w:tr w14:paraId="4401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3FDCA1D4">
            <w:pPr>
              <w:topLinePunct/>
              <w:spacing w:line="360" w:lineRule="auto"/>
              <w:jc w:val="center"/>
              <w:rPr>
                <w:color w:val="auto"/>
                <w:szCs w:val="21"/>
                <w:highlight w:val="none"/>
              </w:rPr>
            </w:pPr>
          </w:p>
        </w:tc>
        <w:tc>
          <w:tcPr>
            <w:tcW w:w="3939" w:type="dxa"/>
            <w:noWrap w:val="0"/>
            <w:vAlign w:val="center"/>
          </w:tcPr>
          <w:p w14:paraId="3277F6E4">
            <w:pPr>
              <w:topLinePunct/>
              <w:spacing w:line="360" w:lineRule="auto"/>
              <w:rPr>
                <w:rFonts w:hint="eastAsia" w:eastAsia="宋体"/>
                <w:color w:val="auto"/>
                <w:szCs w:val="21"/>
                <w:highlight w:val="none"/>
                <w:lang w:eastAsia="zh-CN"/>
              </w:rPr>
            </w:pPr>
            <w:r>
              <w:rPr>
                <w:rFonts w:hint="eastAsia"/>
                <w:strike/>
                <w:dstrike w:val="0"/>
                <w:color w:val="auto"/>
                <w:szCs w:val="21"/>
                <w:highlight w:val="none"/>
              </w:rPr>
              <w:t>类似</w:t>
            </w:r>
            <w:bookmarkEnd w:id="711"/>
            <w:r>
              <w:rPr>
                <w:rFonts w:hint="eastAsia"/>
                <w:strike/>
                <w:dstrike w:val="0"/>
                <w:color w:val="auto"/>
                <w:szCs w:val="21"/>
                <w:highlight w:val="none"/>
              </w:rPr>
              <w:t>项目业</w:t>
            </w:r>
            <w:bookmarkStart w:id="712" w:name="_Toc221949869"/>
            <w:r>
              <w:rPr>
                <w:rFonts w:hint="eastAsia"/>
                <w:strike/>
                <w:dstrike w:val="0"/>
                <w:color w:val="auto"/>
                <w:szCs w:val="21"/>
                <w:highlight w:val="none"/>
              </w:rPr>
              <w:t>绩</w:t>
            </w:r>
            <w:r>
              <w:rPr>
                <w:rFonts w:hint="eastAsia"/>
                <w:strike/>
                <w:dstrike w:val="0"/>
                <w:color w:val="auto"/>
                <w:szCs w:val="21"/>
                <w:highlight w:val="none"/>
                <w:lang w:eastAsia="zh-CN"/>
              </w:rPr>
              <w:t>（若有）</w:t>
            </w:r>
          </w:p>
        </w:tc>
        <w:tc>
          <w:tcPr>
            <w:tcW w:w="1198" w:type="dxa"/>
            <w:noWrap w:val="0"/>
            <w:vAlign w:val="center"/>
          </w:tcPr>
          <w:p w14:paraId="4BE4D659">
            <w:pPr>
              <w:topLinePunct/>
              <w:spacing w:line="360" w:lineRule="auto"/>
              <w:jc w:val="center"/>
              <w:rPr>
                <w:color w:val="auto"/>
                <w:szCs w:val="21"/>
                <w:highlight w:val="none"/>
              </w:rPr>
            </w:pPr>
          </w:p>
        </w:tc>
        <w:tc>
          <w:tcPr>
            <w:tcW w:w="1162" w:type="dxa"/>
            <w:noWrap w:val="0"/>
            <w:vAlign w:val="center"/>
          </w:tcPr>
          <w:p w14:paraId="6914E383">
            <w:pPr>
              <w:topLinePunct/>
              <w:spacing w:line="360" w:lineRule="auto"/>
              <w:jc w:val="center"/>
              <w:rPr>
                <w:color w:val="auto"/>
                <w:szCs w:val="21"/>
                <w:highlight w:val="none"/>
              </w:rPr>
            </w:pPr>
          </w:p>
          <w:bookmarkEnd w:id="712"/>
        </w:tc>
        <w:tc>
          <w:tcPr>
            <w:tcW w:w="1536" w:type="dxa"/>
            <w:noWrap w:val="0"/>
            <w:vAlign w:val="center"/>
          </w:tcPr>
          <w:p w14:paraId="723AB7E3">
            <w:pPr>
              <w:topLinePunct/>
              <w:spacing w:line="360" w:lineRule="auto"/>
              <w:jc w:val="center"/>
              <w:rPr>
                <w:color w:val="auto"/>
                <w:szCs w:val="21"/>
                <w:highlight w:val="none"/>
              </w:rPr>
            </w:pPr>
          </w:p>
        </w:tc>
      </w:tr>
      <w:tr w14:paraId="7FBB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7B63892F">
            <w:pPr>
              <w:topLinePunct/>
              <w:spacing w:line="360" w:lineRule="auto"/>
              <w:jc w:val="center"/>
              <w:rPr>
                <w:color w:val="auto"/>
                <w:szCs w:val="21"/>
                <w:highlight w:val="none"/>
              </w:rPr>
            </w:pPr>
          </w:p>
        </w:tc>
        <w:tc>
          <w:tcPr>
            <w:tcW w:w="3939" w:type="dxa"/>
            <w:noWrap w:val="0"/>
            <w:vAlign w:val="center"/>
          </w:tcPr>
          <w:p w14:paraId="2E26F380">
            <w:pPr>
              <w:topLinePunct/>
              <w:spacing w:line="360" w:lineRule="auto"/>
              <w:rPr>
                <w:color w:val="auto"/>
                <w:szCs w:val="21"/>
                <w:highlight w:val="none"/>
              </w:rPr>
            </w:pPr>
            <w:bookmarkStart w:id="713" w:name="_Toc221949871"/>
            <w:r>
              <w:rPr>
                <w:rFonts w:hint="eastAsia"/>
                <w:color w:val="auto"/>
                <w:szCs w:val="21"/>
                <w:highlight w:val="none"/>
              </w:rPr>
              <w:t>项目负责</w:t>
            </w:r>
            <w:bookmarkEnd w:id="713"/>
            <w:r>
              <w:rPr>
                <w:rFonts w:hint="eastAsia"/>
                <w:color w:val="auto"/>
                <w:szCs w:val="21"/>
                <w:highlight w:val="none"/>
              </w:rPr>
              <w:t>人资格</w:t>
            </w:r>
          </w:p>
        </w:tc>
        <w:tc>
          <w:tcPr>
            <w:tcW w:w="1198" w:type="dxa"/>
            <w:noWrap w:val="0"/>
            <w:vAlign w:val="center"/>
          </w:tcPr>
          <w:p w14:paraId="4EF65CB5">
            <w:pPr>
              <w:topLinePunct/>
              <w:spacing w:line="360" w:lineRule="auto"/>
              <w:jc w:val="center"/>
              <w:rPr>
                <w:color w:val="auto"/>
                <w:szCs w:val="21"/>
                <w:highlight w:val="none"/>
              </w:rPr>
            </w:pPr>
          </w:p>
        </w:tc>
        <w:tc>
          <w:tcPr>
            <w:tcW w:w="1162" w:type="dxa"/>
            <w:noWrap w:val="0"/>
            <w:vAlign w:val="center"/>
          </w:tcPr>
          <w:p w14:paraId="29561DD9">
            <w:pPr>
              <w:topLinePunct/>
              <w:spacing w:line="360" w:lineRule="auto"/>
              <w:jc w:val="center"/>
              <w:rPr>
                <w:color w:val="auto"/>
                <w:szCs w:val="21"/>
                <w:highlight w:val="none"/>
              </w:rPr>
            </w:pPr>
          </w:p>
        </w:tc>
        <w:tc>
          <w:tcPr>
            <w:tcW w:w="1536" w:type="dxa"/>
            <w:noWrap w:val="0"/>
            <w:vAlign w:val="center"/>
          </w:tcPr>
          <w:p w14:paraId="31C0BFB7">
            <w:pPr>
              <w:topLinePunct/>
              <w:spacing w:line="360" w:lineRule="auto"/>
              <w:jc w:val="center"/>
              <w:rPr>
                <w:color w:val="auto"/>
                <w:szCs w:val="21"/>
                <w:highlight w:val="none"/>
              </w:rPr>
            </w:pPr>
          </w:p>
        </w:tc>
      </w:tr>
      <w:tr w14:paraId="0647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0DD3E1CE">
            <w:pPr>
              <w:topLinePunct/>
              <w:spacing w:line="360" w:lineRule="auto"/>
              <w:jc w:val="center"/>
              <w:rPr>
                <w:color w:val="auto"/>
                <w:szCs w:val="21"/>
                <w:highlight w:val="none"/>
              </w:rPr>
            </w:pPr>
          </w:p>
        </w:tc>
        <w:tc>
          <w:tcPr>
            <w:tcW w:w="3939" w:type="dxa"/>
            <w:noWrap w:val="0"/>
            <w:vAlign w:val="center"/>
          </w:tcPr>
          <w:p w14:paraId="4A3E580F">
            <w:pPr>
              <w:topLinePunct/>
              <w:spacing w:line="360" w:lineRule="auto"/>
              <w:rPr>
                <w:rFonts w:hint="eastAsia" w:eastAsia="宋体"/>
                <w:color w:val="auto"/>
                <w:szCs w:val="21"/>
                <w:highlight w:val="none"/>
                <w:lang w:val="en-US" w:eastAsia="zh-CN"/>
              </w:rPr>
            </w:pPr>
            <w:r>
              <w:rPr>
                <w:rFonts w:hint="eastAsia"/>
                <w:color w:val="auto"/>
                <w:szCs w:val="21"/>
                <w:highlight w:val="none"/>
                <w:lang w:val="en-US" w:eastAsia="zh-CN"/>
              </w:rPr>
              <w:t>专职安全员资格</w:t>
            </w:r>
          </w:p>
        </w:tc>
        <w:tc>
          <w:tcPr>
            <w:tcW w:w="1198" w:type="dxa"/>
            <w:noWrap w:val="0"/>
            <w:vAlign w:val="center"/>
          </w:tcPr>
          <w:p w14:paraId="3D03C79A">
            <w:pPr>
              <w:topLinePunct/>
              <w:spacing w:line="360" w:lineRule="auto"/>
              <w:jc w:val="center"/>
              <w:rPr>
                <w:color w:val="auto"/>
                <w:szCs w:val="21"/>
                <w:highlight w:val="none"/>
              </w:rPr>
            </w:pPr>
          </w:p>
        </w:tc>
        <w:tc>
          <w:tcPr>
            <w:tcW w:w="1162" w:type="dxa"/>
            <w:noWrap w:val="0"/>
            <w:vAlign w:val="center"/>
          </w:tcPr>
          <w:p w14:paraId="0831361C">
            <w:pPr>
              <w:topLinePunct/>
              <w:spacing w:line="360" w:lineRule="auto"/>
              <w:jc w:val="center"/>
              <w:rPr>
                <w:color w:val="auto"/>
                <w:szCs w:val="21"/>
                <w:highlight w:val="none"/>
              </w:rPr>
            </w:pPr>
          </w:p>
        </w:tc>
        <w:tc>
          <w:tcPr>
            <w:tcW w:w="1536" w:type="dxa"/>
            <w:noWrap w:val="0"/>
            <w:vAlign w:val="center"/>
          </w:tcPr>
          <w:p w14:paraId="127152E7">
            <w:pPr>
              <w:topLinePunct/>
              <w:spacing w:line="360" w:lineRule="auto"/>
              <w:jc w:val="center"/>
              <w:rPr>
                <w:color w:val="auto"/>
                <w:szCs w:val="21"/>
                <w:highlight w:val="none"/>
              </w:rPr>
            </w:pPr>
          </w:p>
        </w:tc>
      </w:tr>
      <w:tr w14:paraId="2FFF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007F7C01">
            <w:pPr>
              <w:topLinePunct/>
              <w:spacing w:line="360" w:lineRule="auto"/>
              <w:jc w:val="center"/>
              <w:rPr>
                <w:color w:val="auto"/>
                <w:szCs w:val="21"/>
                <w:highlight w:val="none"/>
              </w:rPr>
            </w:pPr>
          </w:p>
        </w:tc>
        <w:tc>
          <w:tcPr>
            <w:tcW w:w="3939" w:type="dxa"/>
            <w:noWrap w:val="0"/>
            <w:vAlign w:val="center"/>
          </w:tcPr>
          <w:p w14:paraId="520222B8">
            <w:pPr>
              <w:topLinePunct/>
              <w:spacing w:line="360" w:lineRule="auto"/>
              <w:rPr>
                <w:rFonts w:hint="eastAsia"/>
                <w:color w:val="auto"/>
                <w:szCs w:val="21"/>
                <w:highlight w:val="none"/>
                <w:lang w:val="en-US" w:eastAsia="zh-CN"/>
              </w:rPr>
            </w:pPr>
            <w:r>
              <w:rPr>
                <w:rFonts w:hint="eastAsia"/>
                <w:color w:val="auto"/>
                <w:szCs w:val="21"/>
                <w:highlight w:val="none"/>
                <w:lang w:val="en-US" w:eastAsia="zh-CN"/>
              </w:rPr>
              <w:t>社保证明文件</w:t>
            </w:r>
          </w:p>
        </w:tc>
        <w:tc>
          <w:tcPr>
            <w:tcW w:w="1198" w:type="dxa"/>
            <w:noWrap w:val="0"/>
            <w:vAlign w:val="center"/>
          </w:tcPr>
          <w:p w14:paraId="5C8FB041">
            <w:pPr>
              <w:topLinePunct/>
              <w:spacing w:line="360" w:lineRule="auto"/>
              <w:jc w:val="center"/>
              <w:rPr>
                <w:color w:val="auto"/>
                <w:szCs w:val="21"/>
                <w:highlight w:val="none"/>
              </w:rPr>
            </w:pPr>
          </w:p>
        </w:tc>
        <w:tc>
          <w:tcPr>
            <w:tcW w:w="1162" w:type="dxa"/>
            <w:noWrap w:val="0"/>
            <w:vAlign w:val="center"/>
          </w:tcPr>
          <w:p w14:paraId="5AE8503C">
            <w:pPr>
              <w:topLinePunct/>
              <w:spacing w:line="360" w:lineRule="auto"/>
              <w:jc w:val="center"/>
              <w:rPr>
                <w:color w:val="auto"/>
                <w:szCs w:val="21"/>
                <w:highlight w:val="none"/>
              </w:rPr>
            </w:pPr>
          </w:p>
        </w:tc>
        <w:tc>
          <w:tcPr>
            <w:tcW w:w="1536" w:type="dxa"/>
            <w:noWrap w:val="0"/>
            <w:vAlign w:val="center"/>
          </w:tcPr>
          <w:p w14:paraId="1A3F4498">
            <w:pPr>
              <w:topLinePunct/>
              <w:spacing w:line="360" w:lineRule="auto"/>
              <w:jc w:val="center"/>
              <w:rPr>
                <w:color w:val="auto"/>
                <w:szCs w:val="21"/>
                <w:highlight w:val="none"/>
              </w:rPr>
            </w:pPr>
          </w:p>
        </w:tc>
      </w:tr>
      <w:tr w14:paraId="23C9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38D5D369">
            <w:pPr>
              <w:topLinePunct/>
              <w:spacing w:line="360" w:lineRule="auto"/>
              <w:jc w:val="center"/>
              <w:rPr>
                <w:color w:val="auto"/>
                <w:szCs w:val="21"/>
                <w:highlight w:val="none"/>
              </w:rPr>
            </w:pPr>
          </w:p>
        </w:tc>
        <w:tc>
          <w:tcPr>
            <w:tcW w:w="3939" w:type="dxa"/>
            <w:noWrap w:val="0"/>
            <w:vAlign w:val="center"/>
          </w:tcPr>
          <w:p w14:paraId="640EF30E">
            <w:pPr>
              <w:topLinePunct/>
              <w:spacing w:line="360" w:lineRule="auto"/>
              <w:rPr>
                <w:rFonts w:hint="eastAsia" w:eastAsia="宋体"/>
                <w:color w:val="auto"/>
                <w:szCs w:val="21"/>
                <w:highlight w:val="none"/>
                <w:lang w:eastAsia="zh-CN"/>
              </w:rPr>
            </w:pPr>
            <w:r>
              <w:rPr>
                <w:rFonts w:hint="eastAsia"/>
                <w:strike/>
                <w:dstrike w:val="0"/>
                <w:color w:val="auto"/>
                <w:szCs w:val="21"/>
                <w:highlight w:val="none"/>
              </w:rPr>
              <w:t>联合</w:t>
            </w:r>
            <w:bookmarkStart w:id="714" w:name="_Toc221949873"/>
            <w:r>
              <w:rPr>
                <w:rFonts w:hint="eastAsia"/>
                <w:strike/>
                <w:dstrike w:val="0"/>
                <w:color w:val="auto"/>
                <w:szCs w:val="21"/>
                <w:highlight w:val="none"/>
              </w:rPr>
              <w:t>体协议书</w:t>
            </w:r>
            <w:r>
              <w:rPr>
                <w:rFonts w:hint="eastAsia"/>
                <w:strike/>
                <w:dstrike w:val="0"/>
                <w:color w:val="auto"/>
                <w:szCs w:val="21"/>
                <w:highlight w:val="none"/>
                <w:lang w:eastAsia="zh-CN"/>
              </w:rPr>
              <w:t>（若有）</w:t>
            </w:r>
          </w:p>
          <w:bookmarkEnd w:id="714"/>
        </w:tc>
        <w:tc>
          <w:tcPr>
            <w:tcW w:w="1198" w:type="dxa"/>
            <w:noWrap w:val="0"/>
            <w:vAlign w:val="center"/>
          </w:tcPr>
          <w:p w14:paraId="61FA3582">
            <w:pPr>
              <w:topLinePunct/>
              <w:spacing w:line="360" w:lineRule="auto"/>
              <w:jc w:val="center"/>
              <w:rPr>
                <w:color w:val="auto"/>
                <w:szCs w:val="21"/>
                <w:highlight w:val="none"/>
              </w:rPr>
            </w:pPr>
          </w:p>
        </w:tc>
        <w:tc>
          <w:tcPr>
            <w:tcW w:w="1162" w:type="dxa"/>
            <w:noWrap w:val="0"/>
            <w:vAlign w:val="center"/>
          </w:tcPr>
          <w:p w14:paraId="5F4F6218">
            <w:pPr>
              <w:topLinePunct/>
              <w:spacing w:line="360" w:lineRule="auto"/>
              <w:jc w:val="center"/>
              <w:rPr>
                <w:color w:val="auto"/>
                <w:szCs w:val="21"/>
                <w:highlight w:val="none"/>
              </w:rPr>
            </w:pPr>
          </w:p>
        </w:tc>
        <w:tc>
          <w:tcPr>
            <w:tcW w:w="1536" w:type="dxa"/>
            <w:noWrap w:val="0"/>
            <w:vAlign w:val="center"/>
          </w:tcPr>
          <w:p w14:paraId="39023457">
            <w:pPr>
              <w:topLinePunct/>
              <w:spacing w:line="360" w:lineRule="auto"/>
              <w:jc w:val="center"/>
              <w:rPr>
                <w:color w:val="auto"/>
                <w:szCs w:val="21"/>
                <w:highlight w:val="none"/>
              </w:rPr>
            </w:pPr>
          </w:p>
        </w:tc>
        <w:bookmarkStart w:id="715" w:name="_Toc221949874"/>
      </w:tr>
      <w:bookmarkEnd w:id="715"/>
      <w:tr w14:paraId="1200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22839E4B">
            <w:pPr>
              <w:topLinePunct/>
              <w:spacing w:line="360" w:lineRule="auto"/>
              <w:jc w:val="center"/>
              <w:rPr>
                <w:color w:val="auto"/>
                <w:szCs w:val="21"/>
                <w:highlight w:val="none"/>
              </w:rPr>
            </w:pPr>
          </w:p>
        </w:tc>
        <w:tc>
          <w:tcPr>
            <w:tcW w:w="3939" w:type="dxa"/>
            <w:noWrap w:val="0"/>
            <w:vAlign w:val="center"/>
          </w:tcPr>
          <w:p w14:paraId="74BCE2C8">
            <w:pPr>
              <w:topLinePunct/>
              <w:spacing w:line="360" w:lineRule="auto"/>
              <w:rPr>
                <w:rFonts w:hint="eastAsia" w:eastAsia="宋体"/>
                <w:color w:val="auto"/>
                <w:szCs w:val="21"/>
                <w:highlight w:val="none"/>
                <w:lang w:eastAsia="zh-CN"/>
              </w:rPr>
            </w:pPr>
            <w:r>
              <w:rPr>
                <w:rFonts w:hint="eastAsia"/>
                <w:color w:val="auto"/>
                <w:szCs w:val="21"/>
                <w:highlight w:val="none"/>
                <w:lang w:eastAsia="zh-CN"/>
              </w:rPr>
              <w:t>投标人声明</w:t>
            </w:r>
          </w:p>
        </w:tc>
        <w:tc>
          <w:tcPr>
            <w:tcW w:w="1198" w:type="dxa"/>
            <w:noWrap w:val="0"/>
            <w:vAlign w:val="center"/>
          </w:tcPr>
          <w:p w14:paraId="69E13CF1">
            <w:pPr>
              <w:topLinePunct/>
              <w:spacing w:line="360" w:lineRule="auto"/>
              <w:jc w:val="center"/>
              <w:rPr>
                <w:color w:val="auto"/>
                <w:szCs w:val="21"/>
                <w:highlight w:val="none"/>
              </w:rPr>
            </w:pPr>
          </w:p>
        </w:tc>
        <w:tc>
          <w:tcPr>
            <w:tcW w:w="1162" w:type="dxa"/>
            <w:noWrap w:val="0"/>
            <w:vAlign w:val="center"/>
          </w:tcPr>
          <w:p w14:paraId="070A53F7">
            <w:pPr>
              <w:topLinePunct/>
              <w:spacing w:line="360" w:lineRule="auto"/>
              <w:jc w:val="center"/>
              <w:rPr>
                <w:color w:val="auto"/>
                <w:szCs w:val="21"/>
                <w:highlight w:val="none"/>
              </w:rPr>
            </w:pPr>
          </w:p>
        </w:tc>
        <w:tc>
          <w:tcPr>
            <w:tcW w:w="1536" w:type="dxa"/>
            <w:noWrap w:val="0"/>
            <w:vAlign w:val="center"/>
          </w:tcPr>
          <w:p w14:paraId="6E7190AF">
            <w:pPr>
              <w:topLinePunct/>
              <w:spacing w:line="360" w:lineRule="auto"/>
              <w:jc w:val="center"/>
              <w:rPr>
                <w:color w:val="auto"/>
                <w:szCs w:val="21"/>
                <w:highlight w:val="none"/>
              </w:rPr>
            </w:pPr>
          </w:p>
        </w:tc>
      </w:tr>
      <w:tr w14:paraId="0EEF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7AE9D6AD">
            <w:pPr>
              <w:topLinePunct/>
              <w:spacing w:line="360" w:lineRule="auto"/>
              <w:jc w:val="center"/>
              <w:rPr>
                <w:color w:val="auto"/>
                <w:szCs w:val="21"/>
                <w:highlight w:val="none"/>
              </w:rPr>
            </w:pPr>
          </w:p>
        </w:tc>
        <w:tc>
          <w:tcPr>
            <w:tcW w:w="3939" w:type="dxa"/>
            <w:noWrap w:val="0"/>
            <w:vAlign w:val="center"/>
          </w:tcPr>
          <w:p w14:paraId="2EDD84E6">
            <w:pPr>
              <w:topLinePunct/>
              <w:spacing w:line="360" w:lineRule="auto"/>
              <w:rPr>
                <w:rFonts w:hint="eastAsia"/>
                <w:color w:val="auto"/>
                <w:szCs w:val="21"/>
                <w:highlight w:val="none"/>
              </w:rPr>
            </w:pPr>
            <w:r>
              <w:rPr>
                <w:rFonts w:hint="eastAsia"/>
                <w:color w:val="auto"/>
                <w:szCs w:val="21"/>
                <w:highlight w:val="none"/>
                <w:lang w:eastAsia="zh-CN"/>
              </w:rPr>
              <w:t>未被纳入失信联合惩戒名单且被限制参与相关项目投标的</w:t>
            </w:r>
            <w:r>
              <w:rPr>
                <w:rFonts w:hint="eastAsia" w:ascii="宋体" w:hAnsi="宋体" w:eastAsia="宋体" w:cs="宋体"/>
                <w:color w:val="auto"/>
                <w:szCs w:val="21"/>
                <w:highlight w:val="none"/>
                <w:u w:val="single"/>
              </w:rPr>
              <w:t>（提供</w:t>
            </w:r>
            <w:r>
              <w:rPr>
                <w:rFonts w:hint="eastAsia" w:ascii="宋体" w:hAnsi="宋体" w:eastAsia="宋体" w:cs="宋体"/>
                <w:color w:val="auto"/>
                <w:szCs w:val="21"/>
                <w:highlight w:val="none"/>
                <w:u w:val="single"/>
                <w:lang w:eastAsia="zh-CN"/>
              </w:rPr>
              <w:t>查询结果</w:t>
            </w:r>
            <w:r>
              <w:rPr>
                <w:rFonts w:hint="eastAsia" w:ascii="宋体" w:hAnsi="宋体" w:eastAsia="宋体" w:cs="宋体"/>
                <w:color w:val="auto"/>
                <w:szCs w:val="21"/>
                <w:highlight w:val="none"/>
                <w:u w:val="single"/>
              </w:rPr>
              <w:t>网页截图，并加盖公章</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w:t>
            </w:r>
          </w:p>
        </w:tc>
        <w:tc>
          <w:tcPr>
            <w:tcW w:w="1198" w:type="dxa"/>
            <w:noWrap w:val="0"/>
            <w:vAlign w:val="center"/>
          </w:tcPr>
          <w:p w14:paraId="7178B353">
            <w:pPr>
              <w:topLinePunct/>
              <w:spacing w:line="360" w:lineRule="auto"/>
              <w:jc w:val="center"/>
              <w:rPr>
                <w:color w:val="auto"/>
                <w:szCs w:val="21"/>
                <w:highlight w:val="none"/>
              </w:rPr>
            </w:pPr>
          </w:p>
        </w:tc>
        <w:tc>
          <w:tcPr>
            <w:tcW w:w="1162" w:type="dxa"/>
            <w:noWrap w:val="0"/>
            <w:vAlign w:val="center"/>
          </w:tcPr>
          <w:p w14:paraId="6DE854AC">
            <w:pPr>
              <w:topLinePunct/>
              <w:spacing w:line="360" w:lineRule="auto"/>
              <w:jc w:val="center"/>
              <w:rPr>
                <w:color w:val="auto"/>
                <w:szCs w:val="21"/>
                <w:highlight w:val="none"/>
              </w:rPr>
            </w:pPr>
          </w:p>
        </w:tc>
        <w:tc>
          <w:tcPr>
            <w:tcW w:w="1536" w:type="dxa"/>
            <w:noWrap w:val="0"/>
            <w:vAlign w:val="center"/>
          </w:tcPr>
          <w:p w14:paraId="644E21A1">
            <w:pPr>
              <w:topLinePunct/>
              <w:spacing w:line="360" w:lineRule="auto"/>
              <w:jc w:val="center"/>
              <w:rPr>
                <w:color w:val="auto"/>
                <w:szCs w:val="21"/>
                <w:highlight w:val="none"/>
              </w:rPr>
            </w:pPr>
          </w:p>
        </w:tc>
      </w:tr>
      <w:tr w14:paraId="7ADD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6A686BCB">
            <w:pPr>
              <w:topLinePunct/>
              <w:spacing w:line="360" w:lineRule="auto"/>
              <w:jc w:val="center"/>
              <w:rPr>
                <w:color w:val="auto"/>
                <w:szCs w:val="21"/>
                <w:highlight w:val="none"/>
              </w:rPr>
            </w:pPr>
          </w:p>
        </w:tc>
        <w:tc>
          <w:tcPr>
            <w:tcW w:w="3939" w:type="dxa"/>
            <w:noWrap w:val="0"/>
            <w:vAlign w:val="center"/>
          </w:tcPr>
          <w:p w14:paraId="6165CB91">
            <w:pPr>
              <w:topLinePunct/>
              <w:spacing w:line="360" w:lineRule="auto"/>
              <w:rPr>
                <w:color w:val="auto"/>
                <w:szCs w:val="21"/>
                <w:highlight w:val="none"/>
              </w:rPr>
            </w:pPr>
            <w:r>
              <w:rPr>
                <w:color w:val="auto"/>
                <w:szCs w:val="21"/>
                <w:highlight w:val="none"/>
              </w:rPr>
              <w:t>……</w:t>
            </w:r>
          </w:p>
        </w:tc>
        <w:tc>
          <w:tcPr>
            <w:tcW w:w="1198" w:type="dxa"/>
            <w:noWrap w:val="0"/>
            <w:vAlign w:val="center"/>
          </w:tcPr>
          <w:p w14:paraId="2A650986">
            <w:pPr>
              <w:topLinePunct/>
              <w:spacing w:line="360" w:lineRule="auto"/>
              <w:jc w:val="center"/>
              <w:rPr>
                <w:color w:val="auto"/>
                <w:szCs w:val="21"/>
                <w:highlight w:val="none"/>
              </w:rPr>
            </w:pPr>
          </w:p>
        </w:tc>
        <w:tc>
          <w:tcPr>
            <w:tcW w:w="1162" w:type="dxa"/>
            <w:noWrap w:val="0"/>
            <w:vAlign w:val="center"/>
          </w:tcPr>
          <w:p w14:paraId="2A138926">
            <w:pPr>
              <w:topLinePunct/>
              <w:spacing w:line="360" w:lineRule="auto"/>
              <w:jc w:val="center"/>
              <w:rPr>
                <w:color w:val="auto"/>
                <w:szCs w:val="21"/>
                <w:highlight w:val="none"/>
              </w:rPr>
            </w:pPr>
          </w:p>
        </w:tc>
        <w:tc>
          <w:tcPr>
            <w:tcW w:w="1536" w:type="dxa"/>
            <w:noWrap w:val="0"/>
            <w:vAlign w:val="center"/>
          </w:tcPr>
          <w:p w14:paraId="100F1F42">
            <w:pPr>
              <w:topLinePunct/>
              <w:spacing w:line="360" w:lineRule="auto"/>
              <w:jc w:val="center"/>
              <w:rPr>
                <w:color w:val="auto"/>
                <w:szCs w:val="21"/>
                <w:highlight w:val="none"/>
              </w:rPr>
            </w:pPr>
          </w:p>
        </w:tc>
      </w:tr>
      <w:tr w14:paraId="026C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7" w:type="dxa"/>
            <w:noWrap w:val="0"/>
            <w:vAlign w:val="center"/>
          </w:tcPr>
          <w:p w14:paraId="20038885">
            <w:pPr>
              <w:topLinePunct/>
              <w:spacing w:line="360" w:lineRule="auto"/>
              <w:jc w:val="center"/>
              <w:rPr>
                <w:color w:val="auto"/>
                <w:szCs w:val="21"/>
                <w:highlight w:val="none"/>
              </w:rPr>
            </w:pPr>
          </w:p>
        </w:tc>
        <w:tc>
          <w:tcPr>
            <w:tcW w:w="3939" w:type="dxa"/>
            <w:noWrap w:val="0"/>
            <w:vAlign w:val="center"/>
          </w:tcPr>
          <w:p w14:paraId="38A44E08">
            <w:pPr>
              <w:topLinePunct/>
              <w:spacing w:line="360" w:lineRule="auto"/>
              <w:rPr>
                <w:color w:val="auto"/>
                <w:szCs w:val="21"/>
                <w:highlight w:val="none"/>
              </w:rPr>
            </w:pPr>
          </w:p>
        </w:tc>
        <w:tc>
          <w:tcPr>
            <w:tcW w:w="1198" w:type="dxa"/>
            <w:noWrap w:val="0"/>
            <w:vAlign w:val="center"/>
          </w:tcPr>
          <w:p w14:paraId="7BF2E84C">
            <w:pPr>
              <w:topLinePunct/>
              <w:spacing w:line="360" w:lineRule="auto"/>
              <w:jc w:val="center"/>
              <w:rPr>
                <w:color w:val="auto"/>
                <w:szCs w:val="21"/>
                <w:highlight w:val="none"/>
              </w:rPr>
            </w:pPr>
          </w:p>
        </w:tc>
        <w:tc>
          <w:tcPr>
            <w:tcW w:w="1162" w:type="dxa"/>
            <w:noWrap w:val="0"/>
            <w:vAlign w:val="center"/>
          </w:tcPr>
          <w:p w14:paraId="4021221E">
            <w:pPr>
              <w:topLinePunct/>
              <w:spacing w:line="360" w:lineRule="auto"/>
              <w:jc w:val="center"/>
              <w:rPr>
                <w:color w:val="auto"/>
                <w:szCs w:val="21"/>
                <w:highlight w:val="none"/>
              </w:rPr>
            </w:pPr>
          </w:p>
        </w:tc>
        <w:tc>
          <w:tcPr>
            <w:tcW w:w="1536" w:type="dxa"/>
            <w:noWrap w:val="0"/>
            <w:vAlign w:val="center"/>
          </w:tcPr>
          <w:p w14:paraId="6734408E">
            <w:pPr>
              <w:topLinePunct/>
              <w:spacing w:line="360" w:lineRule="auto"/>
              <w:jc w:val="center"/>
              <w:rPr>
                <w:color w:val="auto"/>
                <w:szCs w:val="21"/>
                <w:highlight w:val="none"/>
              </w:rPr>
            </w:pPr>
          </w:p>
        </w:tc>
      </w:tr>
    </w:tbl>
    <w:p w14:paraId="7D558649">
      <w:pPr>
        <w:rPr>
          <w:color w:val="auto"/>
          <w:highlight w:val="none"/>
        </w:rPr>
      </w:pPr>
    </w:p>
    <w:p w14:paraId="495F8B1D">
      <w:pPr>
        <w:rPr>
          <w:color w:val="auto"/>
          <w:highlight w:val="none"/>
        </w:rPr>
      </w:pPr>
    </w:p>
    <w:p w14:paraId="1EC30D30">
      <w:pPr>
        <w:spacing w:line="360" w:lineRule="auto"/>
        <w:jc w:val="center"/>
        <w:outlineLvl w:val="2"/>
        <w:rPr>
          <w:rFonts w:ascii="宋体" w:hAnsi="宋体"/>
          <w:color w:val="auto"/>
          <w:sz w:val="28"/>
          <w:szCs w:val="27"/>
          <w:highlight w:val="none"/>
        </w:rPr>
      </w:pPr>
      <w:r>
        <w:rPr>
          <w:rFonts w:hint="eastAsia" w:ascii="宋体" w:hAnsi="宋体" w:cs="宋体"/>
          <w:color w:val="auto"/>
          <w:sz w:val="28"/>
          <w:szCs w:val="27"/>
          <w:highlight w:val="none"/>
        </w:rPr>
        <w:br w:type="page"/>
      </w:r>
      <w:bookmarkStart w:id="716" w:name="_Toc20715"/>
      <w:r>
        <w:rPr>
          <w:rFonts w:hint="eastAsia" w:ascii="宋体" w:hAnsi="宋体" w:cs="宋体"/>
          <w:color w:val="auto"/>
          <w:sz w:val="28"/>
          <w:szCs w:val="27"/>
          <w:highlight w:val="none"/>
        </w:rPr>
        <w:t>十、</w:t>
      </w:r>
      <w:bookmarkEnd w:id="692"/>
      <w:bookmarkEnd w:id="693"/>
      <w:bookmarkEnd w:id="694"/>
      <w:bookmarkEnd w:id="695"/>
      <w:bookmarkEnd w:id="696"/>
      <w:bookmarkEnd w:id="697"/>
      <w:r>
        <w:rPr>
          <w:rFonts w:hint="eastAsia" w:ascii="宋体" w:hAnsi="宋体" w:cs="宋体"/>
          <w:color w:val="auto"/>
          <w:sz w:val="28"/>
          <w:szCs w:val="27"/>
          <w:highlight w:val="none"/>
        </w:rPr>
        <w:t>投标人须知前附表规定的其他材料</w:t>
      </w:r>
      <w:bookmarkEnd w:id="698"/>
      <w:bookmarkEnd w:id="699"/>
      <w:bookmarkEnd w:id="700"/>
      <w:bookmarkEnd w:id="701"/>
      <w:bookmarkEnd w:id="702"/>
      <w:bookmarkEnd w:id="703"/>
      <w:bookmarkEnd w:id="704"/>
      <w:bookmarkStart w:id="717" w:name="_Toc21787769"/>
      <w:bookmarkStart w:id="718" w:name="_Toc27240"/>
      <w:bookmarkStart w:id="719" w:name="_Toc120997485"/>
      <w:r>
        <w:rPr>
          <w:rFonts w:hint="eastAsia" w:ascii="宋体" w:hAnsi="宋体"/>
          <w:color w:val="auto"/>
          <w:sz w:val="28"/>
          <w:szCs w:val="27"/>
          <w:highlight w:val="none"/>
        </w:rPr>
        <w:t>十、</w:t>
      </w:r>
      <w:bookmarkEnd w:id="717"/>
      <w:r>
        <w:rPr>
          <w:rFonts w:hint="eastAsia" w:ascii="宋体" w:hAnsi="宋体"/>
          <w:color w:val="auto"/>
          <w:sz w:val="28"/>
          <w:szCs w:val="27"/>
          <w:highlight w:val="none"/>
        </w:rPr>
        <w:t>其他应提交的材料</w:t>
      </w:r>
      <w:bookmarkEnd w:id="716"/>
      <w:bookmarkEnd w:id="718"/>
      <w:bookmarkEnd w:id="719"/>
    </w:p>
    <w:p w14:paraId="68F7E1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eastAsia="zh-CN"/>
        </w:rPr>
        <w:t>一</w:t>
      </w:r>
      <w:r>
        <w:rPr>
          <w:rFonts w:hint="eastAsia" w:ascii="宋体" w:hAnsi="宋体" w:eastAsia="宋体" w:cs="宋体"/>
          <w:color w:val="auto"/>
          <w:sz w:val="24"/>
          <w:highlight w:val="none"/>
        </w:rPr>
        <w:t xml:space="preserve">  投标人廉政承诺书</w:t>
      </w:r>
    </w:p>
    <w:p w14:paraId="623ED7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 xml:space="preserve">  关于建筑垃圾源头控制、建筑垃圾综合利用产品的使用和运输措施承诺书</w:t>
      </w:r>
    </w:p>
    <w:p w14:paraId="77CC15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附件三  </w:t>
      </w:r>
      <w:r>
        <w:rPr>
          <w:rFonts w:hint="eastAsia" w:ascii="宋体" w:hAnsi="宋体" w:eastAsia="宋体" w:cs="宋体"/>
          <w:color w:val="auto"/>
          <w:sz w:val="24"/>
          <w:highlight w:val="none"/>
        </w:rPr>
        <w:t>投标文件编制人员名单</w:t>
      </w:r>
    </w:p>
    <w:p w14:paraId="0E132B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 xml:space="preserve">  对投标文件编制的承诺</w:t>
      </w:r>
    </w:p>
    <w:p w14:paraId="0EA50F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 xml:space="preserve">  投标文件编制情况</w:t>
      </w:r>
    </w:p>
    <w:p w14:paraId="725BBC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 xml:space="preserve">  如投标报价低于警示价的，提供投标报价不低于成本价的证明材料</w:t>
      </w:r>
    </w:p>
    <w:p w14:paraId="4ECE852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附件七  标函承诺书</w:t>
      </w:r>
    </w:p>
    <w:p w14:paraId="4E90E11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附件八  项目负责人驻场承诺书</w:t>
      </w:r>
    </w:p>
    <w:p w14:paraId="32748380">
      <w:pPr>
        <w:spacing w:line="360" w:lineRule="auto"/>
        <w:ind w:firstLine="0" w:firstLineChars="0"/>
        <w:jc w:val="left"/>
        <w:rPr>
          <w:rFonts w:hint="eastAsia" w:ascii="宋体" w:hAnsi="宋体" w:eastAsia="宋体" w:cs="宋体"/>
          <w:b/>
          <w:color w:val="auto"/>
          <w:sz w:val="21"/>
          <w:szCs w:val="21"/>
          <w:highlight w:val="none"/>
          <w:lang w:eastAsia="zh-CN"/>
        </w:rPr>
      </w:pPr>
      <w:r>
        <w:rPr>
          <w:rFonts w:ascii="宋体" w:hAnsi="宋体"/>
          <w:b/>
          <w:color w:val="auto"/>
          <w:sz w:val="24"/>
          <w:highlight w:val="none"/>
        </w:rPr>
        <w:br w:type="page"/>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eastAsia="zh-CN"/>
        </w:rPr>
        <w:t>一</w:t>
      </w:r>
    </w:p>
    <w:p w14:paraId="2B5BE660">
      <w:pPr>
        <w:spacing w:line="360" w:lineRule="auto"/>
        <w:ind w:firstLine="723" w:firstLineChars="20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投标人廉洁承诺书</w:t>
      </w:r>
    </w:p>
    <w:p w14:paraId="3689167F">
      <w:pPr>
        <w:spacing w:line="240" w:lineRule="auto"/>
        <w:ind w:firstLine="0" w:firstLineChars="0"/>
        <w:rPr>
          <w:rFonts w:hint="eastAsia" w:ascii="宋体" w:hAnsi="宋体" w:eastAsia="宋体" w:cs="宋体"/>
          <w:color w:val="auto"/>
          <w:highlight w:val="none"/>
        </w:rPr>
      </w:pPr>
    </w:p>
    <w:p w14:paraId="4257F38F">
      <w:pPr>
        <w:spacing w:line="360" w:lineRule="auto"/>
        <w:rPr>
          <w:rFonts w:hint="eastAsia" w:ascii="宋体" w:hAnsi="宋体" w:eastAsia="宋体" w:cs="宋体"/>
          <w:color w:val="auto"/>
          <w:sz w:val="24"/>
          <w:highlight w:val="none"/>
        </w:rPr>
      </w:pPr>
      <w:r>
        <w:rPr>
          <w:rFonts w:hint="eastAsia" w:ascii="宋体" w:hAnsi="宋体"/>
          <w:color w:val="auto"/>
          <w:sz w:val="24"/>
          <w:highlight w:val="none"/>
        </w:rPr>
        <w:t>广州市黄埔区水务局</w:t>
      </w:r>
      <w:r>
        <w:rPr>
          <w:rFonts w:hint="eastAsia" w:ascii="宋体" w:hAnsi="宋体" w:eastAsia="宋体" w:cs="宋体"/>
          <w:color w:val="auto"/>
          <w:sz w:val="24"/>
          <w:highlight w:val="none"/>
        </w:rPr>
        <w:t>、本招标项目招标人及招标监管机构：</w:t>
      </w:r>
    </w:p>
    <w:p w14:paraId="3A68F0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本公司参加了</w:t>
      </w:r>
      <w:r>
        <w:rPr>
          <w:rFonts w:hint="eastAsia" w:ascii="宋体" w:hAnsi="宋体" w:eastAsia="宋体" w:cs="宋体"/>
          <w:color w:val="auto"/>
          <w:sz w:val="24"/>
          <w:highlight w:val="none"/>
          <w:u w:val="single"/>
        </w:rPr>
        <w:t xml:space="preserve">   （项目名称/标段名称）    </w:t>
      </w:r>
      <w:r>
        <w:rPr>
          <w:rFonts w:hint="eastAsia" w:ascii="宋体" w:hAnsi="宋体" w:eastAsia="宋体" w:cs="宋体"/>
          <w:color w:val="auto"/>
          <w:sz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1437FF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一、自觉遵守国家有关法律法规及廉洁规定。</w:t>
      </w:r>
    </w:p>
    <w:p w14:paraId="651260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二、不与招标单位工作人员串通投标，损害国家利益、企业利益以及他人的合法利益；</w:t>
      </w:r>
    </w:p>
    <w:p w14:paraId="1A7871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三、不与其他单位围标、串标，不出让投标资格，不向招标人或评标委员会成员行贿。</w:t>
      </w:r>
    </w:p>
    <w:p w14:paraId="2BF113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四、不以任何名义向参与招标、评标工作的有关人员提供高消费宴请及娱乐活动和赠送回扣、红包、礼金、购物卡、有价证券、贵重物品和好处费、感谢费等； </w:t>
      </w:r>
    </w:p>
    <w:p w14:paraId="5D3F30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五、不以任何名义为参与招标、评标工作的有关人员装修住房、</w:t>
      </w:r>
      <w:r>
        <w:rPr>
          <w:rFonts w:hint="eastAsia" w:ascii="宋体" w:hAnsi="宋体" w:eastAsia="宋体" w:cs="宋体"/>
          <w:color w:val="auto"/>
          <w:sz w:val="24"/>
          <w:highlight w:val="none"/>
          <w:lang w:eastAsia="zh-CN"/>
        </w:rPr>
        <w:t>婚丧嫁娶</w:t>
      </w:r>
      <w:r>
        <w:rPr>
          <w:rFonts w:hint="eastAsia" w:ascii="宋体" w:hAnsi="宋体" w:eastAsia="宋体" w:cs="宋体"/>
          <w:color w:val="auto"/>
          <w:sz w:val="24"/>
          <w:highlight w:val="none"/>
        </w:rPr>
        <w:t>、配偶子女的工作安排以及境内外旅游等提供方便；</w:t>
      </w:r>
    </w:p>
    <w:p w14:paraId="5DDA219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六、不以谋取非正当利益为目的，擅自与参与招标、评标工作的有关人员就业务问题进行私下商谈或者达成利益默契</w:t>
      </w:r>
      <w:r>
        <w:rPr>
          <w:rFonts w:hint="eastAsia" w:ascii="宋体" w:hAnsi="宋体" w:eastAsia="宋体" w:cs="宋体"/>
          <w:color w:val="auto"/>
          <w:sz w:val="24"/>
          <w:highlight w:val="none"/>
          <w:lang w:eastAsia="zh-CN"/>
        </w:rPr>
        <w:t>。</w:t>
      </w:r>
    </w:p>
    <w:p w14:paraId="20DC25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本公司违反上述承诺，或本承诺陈述与事实不符，经查实，本公司愿意接受公开通报，承担由此带来的法律后果。</w:t>
      </w:r>
    </w:p>
    <w:p w14:paraId="325B97D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特此承诺</w:t>
      </w:r>
      <w:r>
        <w:rPr>
          <w:rFonts w:hint="eastAsia" w:ascii="宋体" w:hAnsi="宋体" w:eastAsia="宋体" w:cs="宋体"/>
          <w:color w:val="auto"/>
          <w:sz w:val="24"/>
          <w:highlight w:val="none"/>
          <w:lang w:eastAsia="zh-CN"/>
        </w:rPr>
        <w:t>。</w:t>
      </w:r>
    </w:p>
    <w:p w14:paraId="173AA72E">
      <w:pPr>
        <w:shd w:val="clear" w:color="auto" w:fill="auto"/>
        <w:spacing w:line="240" w:lineRule="auto"/>
        <w:ind w:right="0" w:firstLine="0" w:firstLineChars="0"/>
        <w:rPr>
          <w:rFonts w:hint="eastAsia" w:ascii="宋体" w:hAnsi="宋体" w:eastAsia="宋体" w:cs="宋体"/>
          <w:color w:val="auto"/>
          <w:highlight w:val="none"/>
        </w:rPr>
      </w:pPr>
    </w:p>
    <w:p w14:paraId="351E7172">
      <w:pPr>
        <w:pStyle w:val="15"/>
        <w:shd w:val="clear" w:color="auto" w:fill="auto"/>
        <w:spacing w:before="0" w:beforeAutospacing="0" w:after="0" w:afterAutospacing="0" w:line="360" w:lineRule="auto"/>
        <w:ind w:right="1455" w:firstLine="28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承诺企业（</w:t>
      </w:r>
      <w:r>
        <w:rPr>
          <w:rFonts w:hint="eastAsia" w:ascii="宋体" w:hAnsi="宋体" w:eastAsia="宋体" w:cs="宋体"/>
          <w:color w:val="auto"/>
          <w:sz w:val="24"/>
          <w:szCs w:val="24"/>
          <w:highlight w:val="none"/>
          <w:lang w:eastAsia="zh-CN"/>
        </w:rPr>
        <w:t>盖</w:t>
      </w:r>
      <w:r>
        <w:rPr>
          <w:rFonts w:hint="eastAsia" w:ascii="宋体" w:hAnsi="宋体" w:eastAsia="宋体" w:cs="宋体"/>
          <w:color w:val="auto"/>
          <w:sz w:val="24"/>
          <w:szCs w:val="24"/>
          <w:highlight w:val="none"/>
        </w:rPr>
        <w:t>单位章）：      </w:t>
      </w:r>
    </w:p>
    <w:p w14:paraId="2C9D97A7">
      <w:pPr>
        <w:pStyle w:val="15"/>
        <w:shd w:val="clear" w:color="auto" w:fill="auto"/>
        <w:spacing w:before="0" w:beforeAutospacing="0" w:after="0" w:afterAutospacing="0" w:line="360" w:lineRule="auto"/>
        <w:ind w:firstLine="31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           </w:t>
      </w:r>
    </w:p>
    <w:p w14:paraId="68A83201">
      <w:pPr>
        <w:pStyle w:val="15"/>
        <w:shd w:val="clear" w:color="auto" w:fill="auto"/>
        <w:spacing w:before="0" w:beforeAutospacing="0" w:after="0" w:afterAutospacing="0"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821BE09">
      <w:pPr>
        <w:pStyle w:val="15"/>
        <w:shd w:val="clear" w:color="auto" w:fill="auto"/>
        <w:spacing w:before="0" w:beforeAutospacing="0" w:after="0" w:afterAutospacing="0" w:line="360" w:lineRule="auto"/>
        <w:ind w:firstLine="480"/>
        <w:jc w:val="right"/>
        <w:rPr>
          <w:rFonts w:hint="eastAsia" w:ascii="宋体" w:hAnsi="宋体" w:eastAsia="宋体" w:cs="宋体"/>
          <w:color w:val="auto"/>
          <w:sz w:val="24"/>
          <w:szCs w:val="24"/>
          <w:highlight w:val="none"/>
        </w:rPr>
      </w:pPr>
    </w:p>
    <w:p w14:paraId="6B882F47">
      <w:pPr>
        <w:pStyle w:val="15"/>
        <w:shd w:val="clear" w:color="auto" w:fill="auto"/>
        <w:spacing w:before="0" w:beforeAutospacing="0" w:after="0" w:afterAutospacing="0" w:line="360" w:lineRule="auto"/>
        <w:ind w:firstLine="480"/>
        <w:jc w:val="right"/>
        <w:rPr>
          <w:rFonts w:hint="eastAsia" w:ascii="宋体" w:hAnsi="宋体" w:eastAsia="宋体" w:cs="宋体"/>
          <w:color w:val="auto"/>
          <w:sz w:val="24"/>
          <w:szCs w:val="24"/>
          <w:highlight w:val="none"/>
        </w:rPr>
      </w:pPr>
    </w:p>
    <w:p w14:paraId="0CC187CD">
      <w:pPr>
        <w:pStyle w:val="15"/>
        <w:shd w:val="clear" w:color="auto" w:fill="auto"/>
        <w:spacing w:before="0" w:beforeAutospacing="0" w:after="0" w:afterAutospacing="0" w:line="360" w:lineRule="auto"/>
        <w:ind w:firstLine="480"/>
        <w:jc w:val="right"/>
        <w:rPr>
          <w:rFonts w:hint="eastAsia" w:ascii="宋体" w:hAnsi="宋体" w:eastAsia="宋体" w:cs="宋体"/>
          <w:color w:val="auto"/>
          <w:sz w:val="24"/>
          <w:szCs w:val="24"/>
          <w:highlight w:val="none"/>
        </w:rPr>
      </w:pPr>
    </w:p>
    <w:p w14:paraId="59C4C058">
      <w:pPr>
        <w:autoSpaceDE w:val="0"/>
        <w:autoSpaceDN w:val="0"/>
        <w:adjustRightIn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附件二</w:t>
      </w:r>
    </w:p>
    <w:p w14:paraId="070496A5">
      <w:pPr>
        <w:tabs>
          <w:tab w:val="left" w:pos="720"/>
        </w:tabs>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关于建筑垃圾源头控制、建筑垃圾综合利用</w:t>
      </w:r>
    </w:p>
    <w:p w14:paraId="140307CD">
      <w:pPr>
        <w:tabs>
          <w:tab w:val="left" w:pos="72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32"/>
          <w:szCs w:val="32"/>
          <w:highlight w:val="none"/>
        </w:rPr>
        <w:t>产品的使用和运输措施</w:t>
      </w:r>
      <w:r>
        <w:rPr>
          <w:rFonts w:hint="eastAsia" w:ascii="宋体" w:hAnsi="宋体" w:eastAsia="宋体" w:cs="宋体"/>
          <w:b/>
          <w:color w:val="auto"/>
          <w:sz w:val="32"/>
          <w:szCs w:val="32"/>
          <w:highlight w:val="none"/>
          <w:lang w:val="en-US" w:eastAsia="zh-CN"/>
        </w:rPr>
        <w:t>承诺书</w:t>
      </w:r>
    </w:p>
    <w:p w14:paraId="200BCA28">
      <w:pPr>
        <w:bidi w:val="0"/>
        <w:rPr>
          <w:rFonts w:hint="eastAsia" w:ascii="宋体" w:hAnsi="宋体" w:eastAsia="宋体" w:cs="宋体"/>
          <w:color w:val="auto"/>
          <w:highlight w:val="none"/>
        </w:rPr>
      </w:pPr>
    </w:p>
    <w:p w14:paraId="75ACC784">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（招标人）：</w:t>
      </w:r>
    </w:p>
    <w:p w14:paraId="29FD0EAF">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我方承诺，如中标承建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，将按招标文件所附的本工程</w:t>
      </w:r>
      <w:r>
        <w:rPr>
          <w:rFonts w:hint="eastAsia" w:ascii="宋体" w:hAnsi="宋体" w:eastAsia="宋体" w:cs="宋体"/>
          <w:color w:val="auto"/>
          <w:sz w:val="24"/>
          <w:szCs w:val="24"/>
          <w:highlight w:val="none"/>
          <w:u w:val="single"/>
        </w:rPr>
        <w:t>施工方案</w:t>
      </w:r>
      <w:r>
        <w:rPr>
          <w:rFonts w:hint="eastAsia" w:ascii="宋体" w:hAnsi="宋体" w:eastAsia="宋体" w:cs="宋体"/>
          <w:color w:val="auto"/>
          <w:sz w:val="24"/>
          <w:szCs w:val="24"/>
          <w:highlight w:val="none"/>
        </w:rPr>
        <w:t>进行响应的基础上自行组织施工。并承诺在中标后按招标文件所附的</w:t>
      </w:r>
      <w:r>
        <w:rPr>
          <w:rFonts w:hint="eastAsia" w:ascii="宋体" w:hAnsi="宋体" w:eastAsia="宋体" w:cs="宋体"/>
          <w:color w:val="auto"/>
          <w:sz w:val="24"/>
          <w:szCs w:val="24"/>
          <w:highlight w:val="none"/>
          <w:u w:val="single"/>
        </w:rPr>
        <w:t>施工方案</w:t>
      </w:r>
      <w:r>
        <w:rPr>
          <w:rFonts w:hint="eastAsia" w:ascii="宋体" w:hAnsi="宋体" w:eastAsia="宋体" w:cs="宋体"/>
          <w:color w:val="auto"/>
          <w:sz w:val="24"/>
          <w:szCs w:val="24"/>
          <w:highlight w:val="none"/>
        </w:rPr>
        <w:t>基础上编制详细的施工组织设计，按照招标人提出的施工现场建筑垃圾源头减量的具体要求以及建筑垃圾综合利用产品的使用要求提供相应措施，并报经监理单位和建设单位审批后实施，具体内容如下：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一、建筑垃圾源头控制措施</w:t>
      </w:r>
    </w:p>
    <w:p w14:paraId="35417188">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0E03E687">
      <w:pPr>
        <w:pStyle w:val="1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建筑垃圾综合利用产品的使用</w:t>
      </w:r>
    </w:p>
    <w:p w14:paraId="086CFAFF">
      <w:pPr>
        <w:pStyle w:val="1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91C35AB">
      <w:pPr>
        <w:pStyle w:val="1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建筑垃圾运输措施</w:t>
      </w:r>
    </w:p>
    <w:p w14:paraId="3EEB6DEA">
      <w:pPr>
        <w:pStyle w:val="1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p>
    <w:p w14:paraId="6A478A5B">
      <w:pPr>
        <w:spacing w:line="360" w:lineRule="auto"/>
        <w:ind w:right="90"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821556B">
      <w:pPr>
        <w:spacing w:line="360" w:lineRule="auto"/>
        <w:ind w:right="90" w:firstLine="3240" w:firstLineChars="1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投标人名称（盖</w:t>
      </w:r>
      <w:r>
        <w:rPr>
          <w:rFonts w:hint="eastAsia" w:ascii="宋体" w:hAnsi="宋体" w:eastAsia="宋体" w:cs="宋体"/>
          <w:color w:val="auto"/>
          <w:sz w:val="24"/>
          <w:szCs w:val="24"/>
          <w:highlight w:val="none"/>
          <w:lang w:eastAsia="zh-CN"/>
        </w:rPr>
        <w:t>法人公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 xml:space="preserve">                  </w:t>
      </w:r>
    </w:p>
    <w:p w14:paraId="135EE1AE">
      <w:pPr>
        <w:spacing w:line="360" w:lineRule="auto"/>
        <w:ind w:firstLine="2880" w:firstLineChars="1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法定代表人或被授权人（签字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203884F">
      <w:pPr>
        <w:spacing w:line="600" w:lineRule="exact"/>
        <w:ind w:firstLine="480"/>
        <w:jc w:val="right"/>
        <w:rPr>
          <w:rFonts w:hint="eastAsia" w:ascii="宋体" w:hAnsi="宋体" w:eastAsia="宋体" w:cs="宋体"/>
          <w:color w:val="auto"/>
          <w:sz w:val="24"/>
          <w:szCs w:val="24"/>
          <w:highlight w:val="none"/>
          <w:lang w:val="en-US" w:eastAsia="zh-CN"/>
        </w:rPr>
        <w:sectPr>
          <w:pgSz w:w="11906" w:h="16838"/>
          <w:pgMar w:top="1440" w:right="1797" w:bottom="1440" w:left="1797" w:header="851" w:footer="992" w:gutter="0"/>
          <w:pgNumType w:fmt="decimal"/>
          <w:cols w:space="720" w:num="1"/>
          <w:docGrid w:linePitch="312" w:charSpace="0"/>
        </w:sectPr>
      </w:pPr>
      <w:r>
        <w:rPr>
          <w:rFonts w:hint="eastAsia" w:ascii="宋体" w:hAnsi="宋体" w:eastAsia="宋体" w:cs="宋体"/>
          <w:color w:val="auto"/>
          <w:sz w:val="24"/>
          <w:szCs w:val="24"/>
          <w:highlight w:val="none"/>
        </w:rPr>
        <w:t xml:space="preserve"> 日期：      年   月   日</w:t>
      </w:r>
    </w:p>
    <w:p w14:paraId="032ED2A9">
      <w:pPr>
        <w:autoSpaceDE w:val="0"/>
        <w:autoSpaceDN w:val="0"/>
        <w:adjustRightIn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三</w:t>
      </w:r>
    </w:p>
    <w:p w14:paraId="3E12545D">
      <w:pPr>
        <w:tabs>
          <w:tab w:val="left" w:pos="72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投标文件编制人员名单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14:paraId="09BE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175BAD30">
            <w:pPr>
              <w:tabs>
                <w:tab w:val="left" w:pos="720"/>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r>
      <w:tr w14:paraId="46C4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3FDF1B23">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13170B1">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59AD2AF8">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14:paraId="5E583C82">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13614B6">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14:paraId="4A12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49E6C8F1">
            <w:pPr>
              <w:tabs>
                <w:tab w:val="left" w:pos="720"/>
              </w:tabs>
              <w:snapToGrid w:val="0"/>
              <w:spacing w:line="360" w:lineRule="auto"/>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5040C09">
            <w:pPr>
              <w:tabs>
                <w:tab w:val="left" w:pos="720"/>
              </w:tabs>
              <w:snapToGrid w:val="0"/>
              <w:spacing w:line="360" w:lineRule="auto"/>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1F1BF871">
            <w:pPr>
              <w:tabs>
                <w:tab w:val="left" w:pos="720"/>
              </w:tabs>
              <w:snapToGrid w:val="0"/>
              <w:spacing w:line="360" w:lineRule="auto"/>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48341FA9">
            <w:pPr>
              <w:tabs>
                <w:tab w:val="left" w:pos="720"/>
              </w:tabs>
              <w:snapToGrid w:val="0"/>
              <w:spacing w:line="360" w:lineRule="auto"/>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C6C1C56">
            <w:pPr>
              <w:tabs>
                <w:tab w:val="left" w:pos="720"/>
              </w:tabs>
              <w:snapToGrid w:val="0"/>
              <w:spacing w:line="360" w:lineRule="auto"/>
              <w:jc w:val="center"/>
              <w:rPr>
                <w:rFonts w:hint="eastAsia" w:ascii="宋体" w:hAnsi="宋体" w:eastAsia="宋体" w:cs="宋体"/>
                <w:color w:val="auto"/>
                <w:szCs w:val="21"/>
                <w:highlight w:val="none"/>
              </w:rPr>
            </w:pPr>
          </w:p>
        </w:tc>
      </w:tr>
      <w:tr w14:paraId="0943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00B41781">
            <w:pPr>
              <w:tabs>
                <w:tab w:val="left" w:pos="720"/>
              </w:tabs>
              <w:snapToGrid w:val="0"/>
              <w:spacing w:line="360" w:lineRule="auto"/>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61FDD65">
            <w:pPr>
              <w:tabs>
                <w:tab w:val="left" w:pos="720"/>
              </w:tabs>
              <w:snapToGrid w:val="0"/>
              <w:spacing w:line="360" w:lineRule="auto"/>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437241A">
            <w:pPr>
              <w:tabs>
                <w:tab w:val="left" w:pos="720"/>
              </w:tabs>
              <w:snapToGrid w:val="0"/>
              <w:spacing w:line="360" w:lineRule="auto"/>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5D98E25A">
            <w:pPr>
              <w:tabs>
                <w:tab w:val="left" w:pos="720"/>
              </w:tabs>
              <w:snapToGrid w:val="0"/>
              <w:spacing w:line="360" w:lineRule="auto"/>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F75C2D9">
            <w:pPr>
              <w:tabs>
                <w:tab w:val="left" w:pos="720"/>
              </w:tabs>
              <w:snapToGrid w:val="0"/>
              <w:spacing w:line="360" w:lineRule="auto"/>
              <w:jc w:val="center"/>
              <w:rPr>
                <w:rFonts w:hint="eastAsia" w:ascii="宋体" w:hAnsi="宋体" w:eastAsia="宋体" w:cs="宋体"/>
                <w:color w:val="auto"/>
                <w:szCs w:val="21"/>
                <w:highlight w:val="none"/>
              </w:rPr>
            </w:pPr>
          </w:p>
        </w:tc>
      </w:tr>
      <w:tr w14:paraId="7409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6CFB1B6B">
            <w:pPr>
              <w:tabs>
                <w:tab w:val="left" w:pos="720"/>
              </w:tabs>
              <w:snapToGrid w:val="0"/>
              <w:spacing w:line="360" w:lineRule="auto"/>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8EDF5CB">
            <w:pPr>
              <w:tabs>
                <w:tab w:val="left" w:pos="720"/>
              </w:tabs>
              <w:snapToGrid w:val="0"/>
              <w:spacing w:line="360" w:lineRule="auto"/>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11CBFC0">
            <w:pPr>
              <w:tabs>
                <w:tab w:val="left" w:pos="720"/>
              </w:tabs>
              <w:snapToGrid w:val="0"/>
              <w:spacing w:line="360" w:lineRule="auto"/>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42C7221F">
            <w:pPr>
              <w:tabs>
                <w:tab w:val="left" w:pos="720"/>
              </w:tabs>
              <w:snapToGrid w:val="0"/>
              <w:spacing w:line="360" w:lineRule="auto"/>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BE1F80F">
            <w:pPr>
              <w:tabs>
                <w:tab w:val="left" w:pos="720"/>
              </w:tabs>
              <w:snapToGrid w:val="0"/>
              <w:spacing w:line="360" w:lineRule="auto"/>
              <w:jc w:val="center"/>
              <w:rPr>
                <w:rFonts w:hint="eastAsia" w:ascii="宋体" w:hAnsi="宋体" w:eastAsia="宋体" w:cs="宋体"/>
                <w:color w:val="auto"/>
                <w:szCs w:val="21"/>
                <w:highlight w:val="none"/>
              </w:rPr>
            </w:pPr>
          </w:p>
        </w:tc>
      </w:tr>
      <w:tr w14:paraId="69E5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535EF21B">
            <w:pPr>
              <w:tabs>
                <w:tab w:val="left" w:pos="720"/>
              </w:tabs>
              <w:snapToGrid w:val="0"/>
              <w:spacing w:line="360" w:lineRule="auto"/>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CAF3AF0">
            <w:pPr>
              <w:tabs>
                <w:tab w:val="left" w:pos="720"/>
              </w:tabs>
              <w:snapToGrid w:val="0"/>
              <w:spacing w:line="360" w:lineRule="auto"/>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5128EA35">
            <w:pPr>
              <w:tabs>
                <w:tab w:val="left" w:pos="720"/>
              </w:tabs>
              <w:snapToGrid w:val="0"/>
              <w:spacing w:line="360" w:lineRule="auto"/>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23C3E7A4">
            <w:pPr>
              <w:tabs>
                <w:tab w:val="left" w:pos="720"/>
              </w:tabs>
              <w:snapToGrid w:val="0"/>
              <w:spacing w:line="360" w:lineRule="auto"/>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8267407">
            <w:pPr>
              <w:tabs>
                <w:tab w:val="left" w:pos="720"/>
              </w:tabs>
              <w:snapToGrid w:val="0"/>
              <w:spacing w:line="360" w:lineRule="auto"/>
              <w:jc w:val="center"/>
              <w:rPr>
                <w:rFonts w:hint="eastAsia" w:ascii="宋体" w:hAnsi="宋体" w:eastAsia="宋体" w:cs="宋体"/>
                <w:color w:val="auto"/>
                <w:szCs w:val="21"/>
                <w:highlight w:val="none"/>
              </w:rPr>
            </w:pPr>
          </w:p>
        </w:tc>
      </w:tr>
      <w:tr w14:paraId="5CAF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0F403099">
            <w:pPr>
              <w:tabs>
                <w:tab w:val="left" w:pos="720"/>
              </w:tabs>
              <w:snapToGrid w:val="0"/>
              <w:spacing w:line="360" w:lineRule="auto"/>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47128BF">
            <w:pPr>
              <w:tabs>
                <w:tab w:val="left" w:pos="720"/>
              </w:tabs>
              <w:snapToGrid w:val="0"/>
              <w:spacing w:line="360" w:lineRule="auto"/>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1014639">
            <w:pPr>
              <w:tabs>
                <w:tab w:val="left" w:pos="720"/>
              </w:tabs>
              <w:snapToGrid w:val="0"/>
              <w:spacing w:line="360" w:lineRule="auto"/>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39865BE4">
            <w:pPr>
              <w:tabs>
                <w:tab w:val="left" w:pos="720"/>
              </w:tabs>
              <w:snapToGrid w:val="0"/>
              <w:spacing w:line="360" w:lineRule="auto"/>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D964537">
            <w:pPr>
              <w:tabs>
                <w:tab w:val="left" w:pos="720"/>
              </w:tabs>
              <w:snapToGrid w:val="0"/>
              <w:spacing w:line="360" w:lineRule="auto"/>
              <w:jc w:val="center"/>
              <w:rPr>
                <w:rFonts w:hint="eastAsia" w:ascii="宋体" w:hAnsi="宋体" w:eastAsia="宋体" w:cs="宋体"/>
                <w:color w:val="auto"/>
                <w:szCs w:val="21"/>
                <w:highlight w:val="none"/>
              </w:rPr>
            </w:pPr>
          </w:p>
        </w:tc>
      </w:tr>
      <w:tr w14:paraId="69AC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57FFB2D0">
            <w:pPr>
              <w:tabs>
                <w:tab w:val="left" w:pos="720"/>
              </w:tabs>
              <w:snapToGrid w:val="0"/>
              <w:spacing w:line="360" w:lineRule="auto"/>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1B9E6E0">
            <w:pPr>
              <w:tabs>
                <w:tab w:val="left" w:pos="720"/>
              </w:tabs>
              <w:snapToGrid w:val="0"/>
              <w:spacing w:line="360" w:lineRule="auto"/>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6AE7AA4">
            <w:pPr>
              <w:tabs>
                <w:tab w:val="left" w:pos="720"/>
              </w:tabs>
              <w:snapToGrid w:val="0"/>
              <w:spacing w:line="360" w:lineRule="auto"/>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01BE253B">
            <w:pPr>
              <w:tabs>
                <w:tab w:val="left" w:pos="720"/>
              </w:tabs>
              <w:snapToGrid w:val="0"/>
              <w:spacing w:line="360" w:lineRule="auto"/>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E4CE2FC">
            <w:pPr>
              <w:tabs>
                <w:tab w:val="left" w:pos="720"/>
              </w:tabs>
              <w:snapToGrid w:val="0"/>
              <w:spacing w:line="360" w:lineRule="auto"/>
              <w:jc w:val="center"/>
              <w:rPr>
                <w:rFonts w:hint="eastAsia" w:ascii="宋体" w:hAnsi="宋体" w:eastAsia="宋体" w:cs="宋体"/>
                <w:color w:val="auto"/>
                <w:szCs w:val="21"/>
                <w:highlight w:val="none"/>
              </w:rPr>
            </w:pPr>
          </w:p>
        </w:tc>
      </w:tr>
      <w:tr w14:paraId="2857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7B8597B3">
            <w:pPr>
              <w:tabs>
                <w:tab w:val="left" w:pos="720"/>
              </w:tabs>
              <w:snapToGrid w:val="0"/>
              <w:spacing w:line="360" w:lineRule="auto"/>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EDFCCA0">
            <w:pPr>
              <w:tabs>
                <w:tab w:val="left" w:pos="720"/>
              </w:tabs>
              <w:snapToGrid w:val="0"/>
              <w:spacing w:line="360" w:lineRule="auto"/>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74A66FE">
            <w:pPr>
              <w:tabs>
                <w:tab w:val="left" w:pos="720"/>
              </w:tabs>
              <w:snapToGrid w:val="0"/>
              <w:spacing w:line="360" w:lineRule="auto"/>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5B48E2B5">
            <w:pPr>
              <w:tabs>
                <w:tab w:val="left" w:pos="720"/>
              </w:tabs>
              <w:snapToGrid w:val="0"/>
              <w:spacing w:line="360" w:lineRule="auto"/>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B4169DA">
            <w:pPr>
              <w:tabs>
                <w:tab w:val="left" w:pos="720"/>
              </w:tabs>
              <w:snapToGrid w:val="0"/>
              <w:spacing w:line="360" w:lineRule="auto"/>
              <w:jc w:val="center"/>
              <w:rPr>
                <w:rFonts w:hint="eastAsia" w:ascii="宋体" w:hAnsi="宋体" w:eastAsia="宋体" w:cs="宋体"/>
                <w:color w:val="auto"/>
                <w:szCs w:val="21"/>
                <w:highlight w:val="none"/>
              </w:rPr>
            </w:pPr>
          </w:p>
        </w:tc>
      </w:tr>
      <w:tr w14:paraId="010D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14:paraId="6C48599B">
            <w:pPr>
              <w:tabs>
                <w:tab w:val="left" w:pos="720"/>
              </w:tabs>
              <w:snapToGrid w:val="0"/>
              <w:spacing w:line="360" w:lineRule="auto"/>
              <w:jc w:val="center"/>
              <w:rPr>
                <w:rFonts w:hint="eastAsia" w:ascii="宋体" w:hAnsi="宋体" w:eastAsia="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FF4598C">
            <w:pPr>
              <w:tabs>
                <w:tab w:val="left" w:pos="720"/>
              </w:tabs>
              <w:snapToGrid w:val="0"/>
              <w:spacing w:line="360" w:lineRule="auto"/>
              <w:jc w:val="center"/>
              <w:rPr>
                <w:rFonts w:hint="eastAsia" w:ascii="宋体" w:hAnsi="宋体" w:eastAsia="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1BCCBBFD">
            <w:pPr>
              <w:tabs>
                <w:tab w:val="left" w:pos="720"/>
              </w:tabs>
              <w:snapToGrid w:val="0"/>
              <w:spacing w:line="360" w:lineRule="auto"/>
              <w:jc w:val="center"/>
              <w:rPr>
                <w:rFonts w:hint="eastAsia" w:ascii="宋体" w:hAnsi="宋体" w:eastAsia="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14:paraId="7C66FB72">
            <w:pPr>
              <w:tabs>
                <w:tab w:val="left" w:pos="720"/>
              </w:tabs>
              <w:snapToGrid w:val="0"/>
              <w:spacing w:line="360" w:lineRule="auto"/>
              <w:jc w:val="center"/>
              <w:rPr>
                <w:rFonts w:hint="eastAsia" w:ascii="宋体" w:hAnsi="宋体" w:eastAsia="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214A8B7">
            <w:pPr>
              <w:tabs>
                <w:tab w:val="left" w:pos="720"/>
              </w:tabs>
              <w:snapToGrid w:val="0"/>
              <w:spacing w:line="360" w:lineRule="auto"/>
              <w:jc w:val="center"/>
              <w:rPr>
                <w:rFonts w:hint="eastAsia" w:ascii="宋体" w:hAnsi="宋体" w:eastAsia="宋体" w:cs="宋体"/>
                <w:color w:val="auto"/>
                <w:szCs w:val="21"/>
                <w:highlight w:val="none"/>
              </w:rPr>
            </w:pPr>
          </w:p>
        </w:tc>
      </w:tr>
    </w:tbl>
    <w:p w14:paraId="55FE4F02">
      <w:pPr>
        <w:tabs>
          <w:tab w:val="left" w:pos="720"/>
        </w:tabs>
        <w:snapToGrid w:val="0"/>
        <w:spacing w:line="360" w:lineRule="auto"/>
        <w:rPr>
          <w:rFonts w:hint="eastAsia" w:ascii="宋体" w:hAnsi="宋体" w:eastAsia="宋体" w:cs="宋体"/>
          <w:color w:val="auto"/>
          <w:sz w:val="24"/>
          <w:szCs w:val="24"/>
          <w:highlight w:val="none"/>
        </w:rPr>
      </w:pPr>
    </w:p>
    <w:p w14:paraId="59E7F06F">
      <w:pPr>
        <w:pStyle w:val="16"/>
        <w:spacing w:after="0" w:line="360" w:lineRule="auto"/>
        <w:ind w:left="-2" w:leftChars="-1" w:firstLine="350"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参与编制投标文件所有人员名单应包括如编制技术投标方案、编制各种专业工程量清单投标报价、负责清样校对、负责打印及复印等所有人员在内的人员名单。要求在表格后附上述人员缴纳的本项目投标截止时间前近1个月(2025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或8月</w:t>
      </w:r>
      <w:r>
        <w:rPr>
          <w:rFonts w:hint="eastAsia" w:ascii="宋体" w:hAnsi="宋体" w:eastAsia="宋体" w:cs="宋体"/>
          <w:color w:val="auto"/>
          <w:szCs w:val="21"/>
          <w:highlight w:val="none"/>
        </w:rPr>
        <w:t>)的社保证明材料。</w:t>
      </w:r>
    </w:p>
    <w:p w14:paraId="49B367AE">
      <w:pPr>
        <w:pStyle w:val="16"/>
        <w:spacing w:after="0" w:line="360" w:lineRule="auto"/>
        <w:ind w:left="-2" w:leftChars="-1" w:firstLineChars="175"/>
        <w:jc w:val="center"/>
        <w:rPr>
          <w:rFonts w:hint="eastAsia" w:ascii="宋体" w:hAnsi="宋体" w:eastAsia="宋体" w:cs="宋体"/>
          <w:color w:val="auto"/>
          <w:sz w:val="24"/>
          <w:szCs w:val="24"/>
          <w:highlight w:val="none"/>
        </w:rPr>
      </w:pPr>
    </w:p>
    <w:p w14:paraId="64FE9093">
      <w:pPr>
        <w:autoSpaceDE w:val="0"/>
        <w:autoSpaceDN w:val="0"/>
        <w:adjustRightInd w:val="0"/>
        <w:rPr>
          <w:rFonts w:hint="eastAsia" w:ascii="宋体" w:hAnsi="宋体" w:eastAsia="宋体" w:cs="宋体"/>
          <w:color w:val="auto"/>
          <w:szCs w:val="21"/>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四</w:t>
      </w:r>
    </w:p>
    <w:p w14:paraId="7601A927">
      <w:pPr>
        <w:pStyle w:val="16"/>
        <w:spacing w:after="157" w:afterLines="50" w:line="360" w:lineRule="auto"/>
        <w:ind w:firstLine="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对投标文件编制的承诺</w:t>
      </w:r>
    </w:p>
    <w:p w14:paraId="7497A644">
      <w:pPr>
        <w:pStyle w:val="16"/>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负责对投标文件的编制及内容进行解释、说明，并承诺以下事项：</w:t>
      </w:r>
    </w:p>
    <w:p w14:paraId="6C0677BC">
      <w:pPr>
        <w:pStyle w:val="16"/>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1.被授权人清楚投标文件编制的具体情况，包括技术方案文件、工程量清单、以及投标文件的加密打包的理解；</w:t>
      </w:r>
    </w:p>
    <w:p w14:paraId="3F7F297D">
      <w:pPr>
        <w:pStyle w:val="16"/>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2.在本项目开标至评标结束前，努力确保被授权人在项目评标所在地附近；</w:t>
      </w:r>
    </w:p>
    <w:p w14:paraId="691B5CF7">
      <w:pPr>
        <w:pStyle w:val="16"/>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3.从评标委员会要求澄清起二小时内，被授权人应如实地书面澄清。</w:t>
      </w:r>
    </w:p>
    <w:p w14:paraId="29252739">
      <w:pPr>
        <w:pStyle w:val="16"/>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如由于未遵守上述承诺内容之一导致无法进行澄清的，我公司认可和接受评标委员会作出的评审结论。</w:t>
      </w:r>
    </w:p>
    <w:p w14:paraId="73F8DAC6">
      <w:pPr>
        <w:pStyle w:val="16"/>
        <w:spacing w:after="0" w:line="360" w:lineRule="auto"/>
        <w:ind w:firstLine="360" w:firstLineChars="150"/>
        <w:rPr>
          <w:rFonts w:hint="eastAsia" w:ascii="宋体" w:hAnsi="宋体" w:eastAsia="宋体" w:cs="宋体"/>
          <w:color w:val="auto"/>
          <w:sz w:val="24"/>
          <w:szCs w:val="24"/>
          <w:highlight w:val="none"/>
        </w:rPr>
      </w:pPr>
    </w:p>
    <w:p w14:paraId="37FD1CD5">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附件：《投标文件编制情况》</w:t>
      </w:r>
    </w:p>
    <w:p w14:paraId="6121B81D">
      <w:pPr>
        <w:pStyle w:val="16"/>
        <w:spacing w:after="0" w:line="360" w:lineRule="auto"/>
        <w:ind w:firstLine="480" w:firstLineChars="200"/>
        <w:rPr>
          <w:rFonts w:hint="eastAsia" w:ascii="宋体" w:hAnsi="宋体" w:eastAsia="宋体" w:cs="宋体"/>
          <w:color w:val="auto"/>
          <w:sz w:val="24"/>
          <w:szCs w:val="24"/>
          <w:highlight w:val="none"/>
        </w:rPr>
      </w:pPr>
    </w:p>
    <w:p w14:paraId="2E779BEE">
      <w:pPr>
        <w:spacing w:line="360" w:lineRule="auto"/>
        <w:ind w:right="90" w:firstLine="3240" w:firstLineChars="1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投标人名称（盖法人公章）：</w:t>
      </w:r>
    </w:p>
    <w:p w14:paraId="0673781A">
      <w:pPr>
        <w:spacing w:line="360" w:lineRule="auto"/>
        <w:ind w:firstLine="2160" w:firstLineChars="9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法定代表人或被授权人（签字或盖章）：</w:t>
      </w:r>
    </w:p>
    <w:p w14:paraId="4C02D314">
      <w:pPr>
        <w:spacing w:line="360" w:lineRule="auto"/>
        <w:ind w:firstLine="4440" w:firstLineChars="18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47C26821">
      <w:pPr>
        <w:autoSpaceDE/>
        <w:autoSpaceDN/>
        <w:adjustRightInd/>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五</w:t>
      </w:r>
    </w:p>
    <w:p w14:paraId="2AEBC006">
      <w:pPr>
        <w:pStyle w:val="16"/>
        <w:spacing w:after="157" w:afterLines="50" w:line="360" w:lineRule="auto"/>
        <w:ind w:firstLine="643" w:firstLineChars="200"/>
        <w:jc w:val="center"/>
        <w:rPr>
          <w:rFonts w:hint="eastAsia" w:ascii="宋体" w:hAnsi="宋体" w:eastAsia="宋体" w:cs="宋体"/>
          <w:color w:val="auto"/>
          <w:sz w:val="18"/>
          <w:szCs w:val="18"/>
          <w:highlight w:val="none"/>
        </w:rPr>
      </w:pPr>
      <w:r>
        <w:rPr>
          <w:rFonts w:hint="eastAsia" w:ascii="宋体" w:hAnsi="宋体" w:eastAsia="宋体" w:cs="宋体"/>
          <w:b/>
          <w:color w:val="auto"/>
          <w:sz w:val="32"/>
          <w:szCs w:val="32"/>
          <w:highlight w:val="none"/>
        </w:rPr>
        <w:t>投标文件编制情况</w:t>
      </w:r>
    </w:p>
    <w:p w14:paraId="03624667">
      <w:pPr>
        <w:pStyle w:val="16"/>
        <w:spacing w:after="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1.投标文件报价编制方式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□自行编制的，编制的负责人：</w:t>
      </w:r>
      <w:r>
        <w:rPr>
          <w:rFonts w:hint="eastAsia" w:ascii="宋体" w:hAnsi="宋体" w:eastAsia="宋体" w:cs="宋体"/>
          <w:color w:val="auto"/>
          <w:sz w:val="24"/>
          <w:szCs w:val="24"/>
          <w:highlight w:val="none"/>
          <w:u w:val="single"/>
        </w:rPr>
        <w:t>（盖造价工程师执业专用章或全国建设工程造价员章，执业单位应与投标人一致）</w:t>
      </w:r>
      <w:r>
        <w:rPr>
          <w:rFonts w:hint="eastAsia" w:ascii="宋体" w:hAnsi="宋体" w:eastAsia="宋体" w:cs="宋体"/>
          <w:color w:val="auto"/>
          <w:sz w:val="24"/>
          <w:szCs w:val="24"/>
          <w:highlight w:val="none"/>
        </w:rPr>
        <w:t>。□委托编制的，受委托单位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，编制的负责人：</w:t>
      </w:r>
      <w:r>
        <w:rPr>
          <w:rFonts w:hint="eastAsia" w:ascii="宋体" w:hAnsi="宋体" w:eastAsia="宋体" w:cs="宋体"/>
          <w:color w:val="auto"/>
          <w:sz w:val="24"/>
          <w:szCs w:val="24"/>
          <w:highlight w:val="none"/>
          <w:u w:val="single"/>
        </w:rPr>
        <w:t>（盖造价工程师执业专用章或全国建设工程造价员章，执业单位应与受委托单位一致）</w:t>
      </w:r>
      <w:r>
        <w:rPr>
          <w:rFonts w:hint="eastAsia" w:ascii="宋体" w:hAnsi="宋体" w:eastAsia="宋体" w:cs="宋体"/>
          <w:color w:val="auto"/>
          <w:sz w:val="24"/>
          <w:szCs w:val="24"/>
          <w:highlight w:val="none"/>
        </w:rPr>
        <w:t>。</w:t>
      </w:r>
    </w:p>
    <w:p w14:paraId="757AD2B2">
      <w:pPr>
        <w:pStyle w:val="1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2.投标文件加密打包的电脑情况</w:t>
      </w:r>
    </w:p>
    <w:tbl>
      <w:tblPr>
        <w:tblStyle w:val="17"/>
        <w:tblW w:w="0" w:type="auto"/>
        <w:tblInd w:w="0" w:type="dxa"/>
        <w:tblLayout w:type="fixed"/>
        <w:tblCellMar>
          <w:top w:w="0" w:type="dxa"/>
          <w:left w:w="108" w:type="dxa"/>
          <w:bottom w:w="0" w:type="dxa"/>
          <w:right w:w="108" w:type="dxa"/>
        </w:tblCellMar>
      </w:tblPr>
      <w:tblGrid>
        <w:gridCol w:w="8522"/>
      </w:tblGrid>
      <w:tr w14:paraId="2A6346BA">
        <w:tblPrEx>
          <w:tblCellMar>
            <w:top w:w="0" w:type="dxa"/>
            <w:left w:w="108" w:type="dxa"/>
            <w:bottom w:w="0" w:type="dxa"/>
            <w:right w:w="108" w:type="dxa"/>
          </w:tblCellMar>
        </w:tblPrEx>
        <w:trPr>
          <w:trHeight w:val="2819" w:hRule="atLeast"/>
        </w:trPr>
        <w:tc>
          <w:tcPr>
            <w:tcW w:w="8522" w:type="dxa"/>
            <w:noWrap w:val="0"/>
            <w:vAlign w:val="top"/>
          </w:tcPr>
          <w:p w14:paraId="4D306FB2">
            <w:pPr>
              <w:pStyle w:val="16"/>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w:t>
            </w:r>
            <w:r>
              <w:rPr>
                <w:rFonts w:hint="eastAsia" w:ascii="宋体" w:hAnsi="宋体" w:eastAsia="宋体" w:cs="宋体"/>
                <w:color w:val="auto"/>
                <w:sz w:val="24"/>
                <w:szCs w:val="24"/>
                <w:highlight w:val="none"/>
                <w:lang w:val="en-US" w:eastAsia="zh-CN"/>
              </w:rPr>
              <w:t xml:space="preserve">   自有    □      外包    □     其他    □</w:t>
            </w:r>
          </w:p>
          <w:p w14:paraId="02722989">
            <w:pPr>
              <w:pStyle w:val="16"/>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14:paraId="7D931865">
            <w:pPr>
              <w:pStyle w:val="16"/>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14:paraId="790DF67B">
            <w:pPr>
              <w:pStyle w:val="16"/>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电脑所在地址（如××市××区(县) ××街（路）××号××大厦××房）</w:t>
            </w:r>
          </w:p>
        </w:tc>
      </w:tr>
    </w:tbl>
    <w:p w14:paraId="00A4A9F6">
      <w:pPr>
        <w:autoSpaceDE w:val="0"/>
        <w:autoSpaceDN w:val="0"/>
        <w:adjustRightInd w:val="0"/>
        <w:ind w:firstLine="420"/>
        <w:rPr>
          <w:rFonts w:hint="eastAsia" w:ascii="宋体" w:hAnsi="宋体" w:eastAsia="宋体" w:cs="宋体"/>
          <w:color w:val="auto"/>
          <w:szCs w:val="21"/>
          <w:highlight w:val="none"/>
        </w:rPr>
      </w:pPr>
    </w:p>
    <w:p w14:paraId="54288EE3">
      <w:pPr>
        <w:autoSpaceDE w:val="0"/>
        <w:autoSpaceDN w:val="0"/>
        <w:adjustRightInd w:val="0"/>
        <w:ind w:firstLine="420"/>
        <w:rPr>
          <w:rFonts w:hint="eastAsia" w:ascii="宋体" w:hAnsi="宋体" w:eastAsia="宋体" w:cs="宋体"/>
          <w:color w:val="auto"/>
          <w:szCs w:val="21"/>
          <w:highlight w:val="none"/>
        </w:rPr>
      </w:pPr>
    </w:p>
    <w:p w14:paraId="3F3C7C94">
      <w:pPr>
        <w:autoSpaceDE w:val="0"/>
        <w:autoSpaceDN w:val="0"/>
        <w:adjustRightInd w:val="0"/>
        <w:ind w:firstLine="420"/>
        <w:rPr>
          <w:rFonts w:hint="eastAsia" w:ascii="宋体" w:hAnsi="宋体" w:eastAsia="宋体" w:cs="宋体"/>
          <w:color w:val="auto"/>
          <w:szCs w:val="21"/>
          <w:highlight w:val="none"/>
        </w:rPr>
      </w:pPr>
    </w:p>
    <w:p w14:paraId="383B668F">
      <w:pPr>
        <w:autoSpaceDE w:val="0"/>
        <w:autoSpaceDN w:val="0"/>
        <w:adjustRightInd w:val="0"/>
        <w:ind w:firstLine="420"/>
        <w:rPr>
          <w:rFonts w:hint="eastAsia" w:ascii="宋体" w:hAnsi="宋体" w:eastAsia="宋体" w:cs="宋体"/>
          <w:color w:val="auto"/>
          <w:szCs w:val="21"/>
          <w:highlight w:val="none"/>
        </w:rPr>
      </w:pPr>
    </w:p>
    <w:p w14:paraId="28B35AA8">
      <w:pPr>
        <w:autoSpaceDE w:val="0"/>
        <w:autoSpaceDN w:val="0"/>
        <w:adjustRightInd w:val="0"/>
        <w:ind w:firstLine="420"/>
        <w:rPr>
          <w:rFonts w:hint="eastAsia" w:ascii="宋体" w:hAnsi="宋体" w:eastAsia="宋体" w:cs="宋体"/>
          <w:color w:val="auto"/>
          <w:szCs w:val="21"/>
          <w:highlight w:val="none"/>
        </w:rPr>
      </w:pPr>
    </w:p>
    <w:p w14:paraId="06699DF5">
      <w:pPr>
        <w:autoSpaceDE w:val="0"/>
        <w:autoSpaceDN w:val="0"/>
        <w:adjustRightInd w:val="0"/>
        <w:ind w:firstLine="420"/>
        <w:rPr>
          <w:rFonts w:hint="eastAsia" w:ascii="宋体" w:hAnsi="宋体" w:eastAsia="宋体" w:cs="宋体"/>
          <w:color w:val="auto"/>
          <w:szCs w:val="21"/>
          <w:highlight w:val="none"/>
        </w:rPr>
      </w:pPr>
    </w:p>
    <w:p w14:paraId="3068F23D">
      <w:pPr>
        <w:autoSpaceDE w:val="0"/>
        <w:autoSpaceDN w:val="0"/>
        <w:adjustRightInd w:val="0"/>
        <w:ind w:firstLine="420"/>
        <w:rPr>
          <w:rFonts w:hint="eastAsia" w:ascii="宋体" w:hAnsi="宋体" w:eastAsia="宋体" w:cs="宋体"/>
          <w:color w:val="auto"/>
          <w:szCs w:val="21"/>
          <w:highlight w:val="none"/>
        </w:rPr>
      </w:pPr>
    </w:p>
    <w:p w14:paraId="54CB2AE2">
      <w:pPr>
        <w:autoSpaceDE w:val="0"/>
        <w:autoSpaceDN w:val="0"/>
        <w:adjustRightInd w:val="0"/>
        <w:ind w:firstLine="420"/>
        <w:rPr>
          <w:rFonts w:hint="eastAsia" w:ascii="宋体" w:hAnsi="宋体" w:eastAsia="宋体" w:cs="宋体"/>
          <w:color w:val="auto"/>
          <w:szCs w:val="21"/>
          <w:highlight w:val="none"/>
        </w:rPr>
      </w:pPr>
    </w:p>
    <w:p w14:paraId="0ECF58A7">
      <w:pPr>
        <w:autoSpaceDE w:val="0"/>
        <w:autoSpaceDN w:val="0"/>
        <w:adjustRightInd w:val="0"/>
        <w:ind w:firstLine="420"/>
        <w:rPr>
          <w:rFonts w:hint="eastAsia" w:ascii="宋体" w:hAnsi="宋体" w:eastAsia="宋体" w:cs="宋体"/>
          <w:color w:val="auto"/>
          <w:szCs w:val="21"/>
          <w:highlight w:val="none"/>
        </w:rPr>
      </w:pPr>
    </w:p>
    <w:p w14:paraId="0B601C27">
      <w:pPr>
        <w:autoSpaceDE w:val="0"/>
        <w:autoSpaceDN w:val="0"/>
        <w:adjustRightInd w:val="0"/>
        <w:ind w:firstLine="420"/>
        <w:rPr>
          <w:rFonts w:hint="eastAsia" w:ascii="宋体" w:hAnsi="宋体" w:eastAsia="宋体" w:cs="宋体"/>
          <w:color w:val="auto"/>
          <w:szCs w:val="21"/>
          <w:highlight w:val="none"/>
        </w:rPr>
      </w:pPr>
    </w:p>
    <w:p w14:paraId="320C64DF">
      <w:pPr>
        <w:autoSpaceDE w:val="0"/>
        <w:autoSpaceDN w:val="0"/>
        <w:adjustRightInd w:val="0"/>
        <w:ind w:firstLine="420"/>
        <w:rPr>
          <w:rFonts w:hint="eastAsia" w:ascii="宋体" w:hAnsi="宋体" w:eastAsia="宋体" w:cs="宋体"/>
          <w:color w:val="auto"/>
          <w:szCs w:val="21"/>
          <w:highlight w:val="none"/>
        </w:rPr>
      </w:pPr>
    </w:p>
    <w:p w14:paraId="304FD260">
      <w:pPr>
        <w:autoSpaceDE w:val="0"/>
        <w:autoSpaceDN w:val="0"/>
        <w:adjustRightInd w:val="0"/>
        <w:ind w:firstLine="420"/>
        <w:rPr>
          <w:rFonts w:hint="eastAsia" w:ascii="宋体" w:hAnsi="宋体" w:eastAsia="宋体" w:cs="宋体"/>
          <w:color w:val="auto"/>
          <w:szCs w:val="21"/>
          <w:highlight w:val="none"/>
        </w:rPr>
      </w:pPr>
    </w:p>
    <w:p w14:paraId="6A4E2FBF">
      <w:pPr>
        <w:autoSpaceDE w:val="0"/>
        <w:autoSpaceDN w:val="0"/>
        <w:adjustRightInd w:val="0"/>
        <w:ind w:firstLine="420"/>
        <w:rPr>
          <w:rFonts w:hint="eastAsia" w:ascii="宋体" w:hAnsi="宋体" w:eastAsia="宋体" w:cs="宋体"/>
          <w:color w:val="auto"/>
          <w:szCs w:val="21"/>
          <w:highlight w:val="none"/>
        </w:rPr>
      </w:pPr>
    </w:p>
    <w:p w14:paraId="79C425E7">
      <w:pPr>
        <w:autoSpaceDE w:val="0"/>
        <w:autoSpaceDN w:val="0"/>
        <w:adjustRightInd w:val="0"/>
        <w:ind w:firstLine="420"/>
        <w:rPr>
          <w:rFonts w:hint="eastAsia" w:ascii="宋体" w:hAnsi="宋体" w:eastAsia="宋体" w:cs="宋体"/>
          <w:color w:val="auto"/>
          <w:szCs w:val="21"/>
          <w:highlight w:val="none"/>
        </w:rPr>
      </w:pPr>
    </w:p>
    <w:p w14:paraId="02ECBC28">
      <w:pPr>
        <w:autoSpaceDE w:val="0"/>
        <w:autoSpaceDN w:val="0"/>
        <w:adjustRightInd w:val="0"/>
        <w:ind w:firstLine="420"/>
        <w:rPr>
          <w:rFonts w:hint="eastAsia" w:ascii="宋体" w:hAnsi="宋体" w:eastAsia="宋体" w:cs="宋体"/>
          <w:color w:val="auto"/>
          <w:szCs w:val="21"/>
          <w:highlight w:val="none"/>
        </w:rPr>
      </w:pPr>
    </w:p>
    <w:p w14:paraId="13AE2D3F">
      <w:pPr>
        <w:autoSpaceDE w:val="0"/>
        <w:autoSpaceDN w:val="0"/>
        <w:adjustRightInd w:val="0"/>
        <w:ind w:firstLine="420"/>
        <w:rPr>
          <w:rFonts w:hint="eastAsia" w:ascii="宋体" w:hAnsi="宋体" w:eastAsia="宋体" w:cs="宋体"/>
          <w:color w:val="auto"/>
          <w:szCs w:val="21"/>
          <w:highlight w:val="none"/>
        </w:rPr>
      </w:pPr>
    </w:p>
    <w:p w14:paraId="4C30103A">
      <w:pPr>
        <w:autoSpaceDE w:val="0"/>
        <w:autoSpaceDN w:val="0"/>
        <w:adjustRightInd w:val="0"/>
        <w:ind w:firstLine="420"/>
        <w:rPr>
          <w:rFonts w:hint="eastAsia" w:ascii="宋体" w:hAnsi="宋体" w:eastAsia="宋体" w:cs="宋体"/>
          <w:color w:val="auto"/>
          <w:szCs w:val="21"/>
          <w:highlight w:val="none"/>
        </w:rPr>
      </w:pPr>
    </w:p>
    <w:p w14:paraId="5A5F4DE1">
      <w:pPr>
        <w:autoSpaceDE w:val="0"/>
        <w:autoSpaceDN w:val="0"/>
        <w:adjustRightInd w:val="0"/>
        <w:ind w:firstLine="420"/>
        <w:rPr>
          <w:rFonts w:hint="eastAsia" w:ascii="宋体" w:hAnsi="宋体" w:eastAsia="宋体" w:cs="宋体"/>
          <w:color w:val="auto"/>
          <w:szCs w:val="21"/>
          <w:highlight w:val="none"/>
        </w:rPr>
      </w:pPr>
    </w:p>
    <w:p w14:paraId="05F63F74">
      <w:pPr>
        <w:autoSpaceDE w:val="0"/>
        <w:autoSpaceDN w:val="0"/>
        <w:adjustRightInd w:val="0"/>
        <w:ind w:firstLine="420"/>
        <w:rPr>
          <w:rFonts w:hint="eastAsia" w:ascii="宋体" w:hAnsi="宋体" w:eastAsia="宋体" w:cs="宋体"/>
          <w:color w:val="auto"/>
          <w:szCs w:val="21"/>
          <w:highlight w:val="none"/>
        </w:rPr>
      </w:pPr>
    </w:p>
    <w:p w14:paraId="21BA5499">
      <w:pPr>
        <w:autoSpaceDE w:val="0"/>
        <w:autoSpaceDN w:val="0"/>
        <w:adjustRightInd w:val="0"/>
        <w:ind w:firstLine="420"/>
        <w:rPr>
          <w:rFonts w:hint="eastAsia" w:ascii="宋体" w:hAnsi="宋体" w:eastAsia="宋体" w:cs="宋体"/>
          <w:color w:val="auto"/>
          <w:szCs w:val="21"/>
          <w:highlight w:val="none"/>
        </w:rPr>
      </w:pPr>
    </w:p>
    <w:p w14:paraId="12E08249">
      <w:pPr>
        <w:autoSpaceDE w:val="0"/>
        <w:autoSpaceDN w:val="0"/>
        <w:adjustRightInd w:val="0"/>
        <w:ind w:firstLine="0"/>
        <w:rPr>
          <w:rFonts w:hint="eastAsia" w:ascii="宋体" w:hAnsi="宋体" w:eastAsia="宋体" w:cs="宋体"/>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177DE574">
      <w:pPr>
        <w:autoSpaceDE w:val="0"/>
        <w:autoSpaceDN w:val="0"/>
        <w:adjustRightInd w:val="0"/>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 xml:space="preserve">  </w:t>
      </w:r>
    </w:p>
    <w:p w14:paraId="6B6898AD">
      <w:pPr>
        <w:pStyle w:val="16"/>
        <w:spacing w:after="0" w:line="360" w:lineRule="auto"/>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如投标报价低于警示价的，提供投标报价不低于成本价的证明材料</w:t>
      </w:r>
    </w:p>
    <w:p w14:paraId="513EDA2F">
      <w:pPr>
        <w:spacing w:after="0" w:line="360" w:lineRule="auto"/>
        <w:ind w:firstLineChars="200"/>
        <w:jc w:val="left"/>
        <w:rPr>
          <w:rFonts w:ascii="宋体" w:hAnsi="宋体" w:cs="宋体"/>
          <w:color w:val="auto"/>
          <w:sz w:val="24"/>
          <w:szCs w:val="24"/>
          <w:highlight w:val="none"/>
        </w:rPr>
      </w:pPr>
      <w:r>
        <w:rPr>
          <w:rFonts w:hint="eastAsia" w:ascii="宋体" w:hAnsi="宋体" w:eastAsia="宋体" w:cs="宋体"/>
          <w:b/>
          <w:color w:val="auto"/>
          <w:sz w:val="32"/>
          <w:szCs w:val="32"/>
          <w:highlight w:val="none"/>
        </w:rPr>
        <w:br w:type="page"/>
      </w:r>
      <w:r>
        <w:rPr>
          <w:rFonts w:hint="eastAsia"/>
          <w:color w:val="auto"/>
          <w:szCs w:val="21"/>
          <w:highlight w:val="none"/>
        </w:rPr>
        <w:t xml:space="preserve">附件七  </w:t>
      </w:r>
    </w:p>
    <w:p w14:paraId="6C63B738">
      <w:pPr>
        <w:tabs>
          <w:tab w:val="left" w:pos="720"/>
        </w:tabs>
        <w:snapToGrid w:val="0"/>
        <w:jc w:val="center"/>
        <w:rPr>
          <w:rFonts w:ascii="宋体" w:hAnsi="宋体"/>
          <w:b/>
          <w:color w:val="auto"/>
          <w:sz w:val="30"/>
          <w:szCs w:val="30"/>
          <w:highlight w:val="none"/>
        </w:rPr>
      </w:pPr>
      <w:r>
        <w:rPr>
          <w:rFonts w:hint="eastAsia" w:ascii="宋体" w:hAnsi="宋体"/>
          <w:b/>
          <w:color w:val="auto"/>
          <w:sz w:val="30"/>
          <w:szCs w:val="30"/>
          <w:highlight w:val="none"/>
        </w:rPr>
        <w:t>标函承诺书</w:t>
      </w:r>
    </w:p>
    <w:p w14:paraId="783D32B7">
      <w:pPr>
        <w:pStyle w:val="32"/>
        <w:keepNext w:val="0"/>
        <w:keepLines w:val="0"/>
        <w:pageBreakBefore w:val="0"/>
        <w:widowControl w:val="0"/>
        <w:kinsoku/>
        <w:wordWrap/>
        <w:overflowPunct/>
        <w:topLinePunct w:val="0"/>
        <w:autoSpaceDE/>
        <w:autoSpaceDN/>
        <w:bidi w:val="0"/>
        <w:adjustRightInd/>
        <w:snapToGrid w:val="0"/>
        <w:spacing w:after="0" w:line="420" w:lineRule="exact"/>
        <w:ind w:left="339" w:leftChars="101" w:hanging="127" w:hangingChars="53"/>
        <w:jc w:val="both"/>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致：广州开发区财政投资建设项目管理中心</w:t>
      </w:r>
    </w:p>
    <w:p w14:paraId="5A8BB48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如果在本招标工程中我司中标，我司将积极响应贵单位提出的合同条件及招标文件的要求，并做出如下承诺：</w:t>
      </w:r>
    </w:p>
    <w:p w14:paraId="07B33CD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1、若我公司中标，我公司承诺按时交纳履约保证金。</w:t>
      </w:r>
    </w:p>
    <w:p w14:paraId="5895596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2、在本工程施工期间，拟投入的人力不少于下表中的人数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14:paraId="21CB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68A9091D">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szCs w:val="21"/>
                <w:highlight w:val="none"/>
              </w:rPr>
            </w:pPr>
            <w:r>
              <w:rPr>
                <w:rFonts w:hint="eastAsia" w:ascii="宋体" w:hAnsi="宋体" w:cs="宋体"/>
                <w:color w:val="auto"/>
                <w:szCs w:val="21"/>
                <w:highlight w:val="none"/>
              </w:rPr>
              <w:t>工种</w:t>
            </w:r>
          </w:p>
        </w:tc>
        <w:tc>
          <w:tcPr>
            <w:tcW w:w="3783" w:type="dxa"/>
            <w:tcBorders>
              <w:top w:val="single" w:color="auto" w:sz="4" w:space="0"/>
              <w:left w:val="single" w:color="auto" w:sz="4" w:space="0"/>
              <w:bottom w:val="single" w:color="auto" w:sz="4" w:space="0"/>
              <w:right w:val="single" w:color="auto" w:sz="4" w:space="0"/>
            </w:tcBorders>
            <w:noWrap/>
            <w:vAlign w:val="center"/>
          </w:tcPr>
          <w:p w14:paraId="76D94CE8">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施工低峰期数量</w:t>
            </w:r>
          </w:p>
        </w:tc>
      </w:tr>
      <w:tr w14:paraId="78FE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5829EB78">
            <w:pPr>
              <w:keepNext w:val="0"/>
              <w:keepLines w:val="0"/>
              <w:pageBreakBefore w:val="0"/>
              <w:widowControl w:val="0"/>
              <w:kinsoku/>
              <w:wordWrap/>
              <w:overflowPunct/>
              <w:topLinePunct w:val="0"/>
              <w:autoSpaceDE/>
              <w:autoSpaceDN/>
              <w:bidi w:val="0"/>
              <w:adjustRightInd/>
              <w:snapToGrid w:val="0"/>
              <w:spacing w:line="420" w:lineRule="exact"/>
              <w:ind w:left="-422" w:leftChars="-201" w:firstLine="420" w:firstLineChars="200"/>
              <w:jc w:val="center"/>
              <w:textAlignment w:val="auto"/>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588F9008">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r>
      <w:tr w14:paraId="0A20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01DF67F0">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797BB5BF">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r>
      <w:tr w14:paraId="7829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067D013F">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15EFAE92">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r>
      <w:tr w14:paraId="74B3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7A8BE890">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6D18E456">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r>
      <w:tr w14:paraId="76AD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49BA69B1">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3A64E312">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r>
      <w:tr w14:paraId="629E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79684B25">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3BC8267C">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r>
      <w:tr w14:paraId="67D9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6AB8B2AD">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63D76D50">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r>
      <w:tr w14:paraId="1BA5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486AA587">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73A93652">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r>
      <w:tr w14:paraId="36F8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13A9E496">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3BB21E1E">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center"/>
              <w:textAlignment w:val="auto"/>
              <w:rPr>
                <w:rFonts w:ascii="宋体" w:hAnsi="宋体" w:cs="宋体"/>
                <w:color w:val="auto"/>
                <w:kern w:val="0"/>
                <w:szCs w:val="21"/>
                <w:highlight w:val="none"/>
                <w:u w:val="single"/>
              </w:rPr>
            </w:pPr>
          </w:p>
        </w:tc>
      </w:tr>
    </w:tbl>
    <w:p w14:paraId="1E5D655D">
      <w:pPr>
        <w:shd w:val="clear" w:color="auto" w:fill="auto"/>
        <w:spacing w:before="156" w:beforeLines="50" w:after="156" w:afterLines="50"/>
        <w:ind w:left="441" w:leftChars="210" w:firstLine="480" w:firstLineChars="200"/>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注：工种不含</w:t>
      </w:r>
      <w:r>
        <w:rPr>
          <w:rFonts w:hint="eastAsia" w:ascii="宋体" w:hAnsi="宋体" w:eastAsia="宋体" w:cs="宋体"/>
          <w:color w:val="auto"/>
          <w:sz w:val="24"/>
          <w:szCs w:val="24"/>
          <w:highlight w:val="none"/>
        </w:rPr>
        <w:t>投标文件所附的《投入主要人员汇总表》</w:t>
      </w:r>
      <w:r>
        <w:rPr>
          <w:rFonts w:hint="eastAsia" w:ascii="宋体" w:hAnsi="宋体" w:eastAsia="宋体" w:cs="宋体"/>
          <w:color w:val="auto"/>
          <w:sz w:val="24"/>
          <w:szCs w:val="24"/>
          <w:highlight w:val="none"/>
          <w:lang w:val="en-US" w:eastAsia="zh-CN"/>
        </w:rPr>
        <w:t>所填岗位。</w:t>
      </w:r>
    </w:p>
    <w:p w14:paraId="3418472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3、在工程施工期间，拟投入的主要机械设备按投标文件所附的《拟投入本标段的试验和检测仪器设备表》。</w:t>
      </w:r>
    </w:p>
    <w:p w14:paraId="049F2AB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4、所选用的主要材料品牌符合招标文件的要求。</w:t>
      </w:r>
    </w:p>
    <w:p w14:paraId="0D7BD4C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5、拟投入到本工程的主要技术人员、经济和管理人员按投标文件所附的《</w:t>
      </w:r>
      <w:r>
        <w:rPr>
          <w:rFonts w:hint="eastAsia" w:ascii="宋体" w:hAnsi="宋体" w:cs="宋体"/>
          <w:color w:val="auto"/>
          <w:sz w:val="24"/>
          <w:szCs w:val="24"/>
          <w:highlight w:val="none"/>
          <w:lang w:eastAsia="zh-CN"/>
        </w:rPr>
        <w:t>项目管理机构组成表</w:t>
      </w:r>
      <w:r>
        <w:rPr>
          <w:rFonts w:hint="eastAsia" w:ascii="宋体" w:hAnsi="宋体" w:cs="宋体"/>
          <w:color w:val="auto"/>
          <w:sz w:val="24"/>
          <w:szCs w:val="24"/>
          <w:highlight w:val="none"/>
        </w:rPr>
        <w:t>》。中标后，拟投入到本工程安全员人数不得低于住建部相关文件的最低要求。</w:t>
      </w:r>
    </w:p>
    <w:p w14:paraId="16099D4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14:paraId="4EF7DE6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7、本工程施工过程中，我司将严格按照国家、省、市有关施工及验收规范、标准进行施工，确保本工程质量标准</w:t>
      </w:r>
      <w:r>
        <w:rPr>
          <w:rFonts w:hint="eastAsia" w:ascii="宋体" w:hAnsi="宋体" w:cs="宋体"/>
          <w:color w:val="auto"/>
          <w:sz w:val="24"/>
          <w:szCs w:val="24"/>
          <w:highlight w:val="none"/>
          <w:lang w:eastAsia="zh-CN"/>
        </w:rPr>
        <w:t>按我司承诺的工程质量标准（不低于招标文件要求的标准）</w:t>
      </w:r>
      <w:r>
        <w:rPr>
          <w:rFonts w:hint="eastAsia" w:ascii="宋体" w:hAnsi="宋体" w:cs="宋体"/>
          <w:color w:val="auto"/>
          <w:sz w:val="24"/>
          <w:szCs w:val="24"/>
          <w:highlight w:val="none"/>
        </w:rPr>
        <w:t>。</w:t>
      </w:r>
    </w:p>
    <w:p w14:paraId="6515F16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8、在确保工程质量的前提下，我司严格控制工程工期，确保工程</w:t>
      </w:r>
      <w:r>
        <w:rPr>
          <w:rFonts w:hint="eastAsia" w:ascii="宋体" w:hAnsi="宋体" w:cs="宋体"/>
          <w:color w:val="auto"/>
          <w:sz w:val="24"/>
          <w:szCs w:val="24"/>
          <w:highlight w:val="none"/>
          <w:lang w:eastAsia="zh-CN"/>
        </w:rPr>
        <w:t>按我司承诺的工期（不大于招标文件规定工期）内</w:t>
      </w:r>
      <w:r>
        <w:rPr>
          <w:rFonts w:hint="eastAsia" w:ascii="宋体" w:hAnsi="宋体" w:cs="宋体"/>
          <w:color w:val="auto"/>
          <w:sz w:val="24"/>
          <w:szCs w:val="24"/>
          <w:highlight w:val="none"/>
        </w:rPr>
        <w:t>完成。</w:t>
      </w:r>
    </w:p>
    <w:p w14:paraId="589D186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712D325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10、按照发包人、监理工程师的要求及时为各专业工程（电信、电力管线、电力走廊、煤气、道路绿化、路灯、交通设施等）提供工作面，并为专业工程穿插施工所需各项配合工作给予方便。</w:t>
      </w:r>
    </w:p>
    <w:p w14:paraId="0E38E76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11、我司承诺按照招标文件的要求和</w:t>
      </w:r>
      <w:r>
        <w:rPr>
          <w:rFonts w:hint="eastAsia" w:ascii="宋体" w:hAnsi="宋体" w:cs="宋体"/>
          <w:color w:val="auto"/>
          <w:sz w:val="24"/>
          <w:szCs w:val="24"/>
          <w:highlight w:val="none"/>
          <w:lang w:eastAsia="zh-CN"/>
        </w:rPr>
        <w:t>合同</w:t>
      </w:r>
      <w:r>
        <w:rPr>
          <w:rFonts w:hint="eastAsia" w:ascii="宋体" w:hAnsi="宋体" w:cs="宋体"/>
          <w:color w:val="auto"/>
          <w:sz w:val="24"/>
          <w:szCs w:val="24"/>
          <w:highlight w:val="none"/>
        </w:rPr>
        <w:t>有关规定履行总包单位的职责，</w:t>
      </w:r>
      <w:r>
        <w:rPr>
          <w:rFonts w:hint="eastAsia" w:ascii="宋体" w:hAnsi="宋体" w:cs="宋体"/>
          <w:color w:val="auto"/>
          <w:sz w:val="24"/>
          <w:szCs w:val="24"/>
          <w:highlight w:val="none"/>
          <w:lang w:eastAsia="zh-CN"/>
        </w:rPr>
        <w:t>依法依规实施工程分包。</w:t>
      </w:r>
    </w:p>
    <w:p w14:paraId="1E0CF804">
      <w:pPr>
        <w:keepNext w:val="0"/>
        <w:keepLines w:val="0"/>
        <w:pageBreakBefore w:val="0"/>
        <w:widowControl w:val="0"/>
        <w:tabs>
          <w:tab w:val="left" w:pos="315"/>
        </w:tabs>
        <w:kinsoku/>
        <w:wordWrap/>
        <w:overflowPunct/>
        <w:topLinePunct w:val="0"/>
        <w:autoSpaceDE/>
        <w:autoSpaceDN/>
        <w:bidi w:val="0"/>
        <w:adjustRightInd/>
        <w:snapToGrid w:val="0"/>
        <w:spacing w:line="420" w:lineRule="exact"/>
        <w:ind w:left="19" w:leftChars="9"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12、我司保证在中标后，严格按照 《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62F918EC">
      <w:pPr>
        <w:keepNext w:val="0"/>
        <w:keepLines w:val="0"/>
        <w:pageBreakBefore w:val="0"/>
        <w:widowControl w:val="0"/>
        <w:tabs>
          <w:tab w:val="left" w:pos="0"/>
        </w:tabs>
        <w:kinsoku/>
        <w:wordWrap/>
        <w:overflowPunct/>
        <w:topLinePunct w:val="0"/>
        <w:autoSpaceDE/>
        <w:autoSpaceDN/>
        <w:bidi w:val="0"/>
        <w:adjustRightInd/>
        <w:snapToGrid w:val="0"/>
        <w:spacing w:line="420" w:lineRule="exact"/>
        <w:ind w:firstLine="424" w:firstLineChars="177"/>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13、我司保证在中标后，根据工程特点，编制本工程详细的施工组织设计和施工方案，并报监理和发包人审核批准，并严格按审批的意见和要求组织施工。</w:t>
      </w:r>
    </w:p>
    <w:p w14:paraId="50BC414C">
      <w:pPr>
        <w:keepNext w:val="0"/>
        <w:keepLines w:val="0"/>
        <w:pageBreakBefore w:val="0"/>
        <w:widowControl w:val="0"/>
        <w:kinsoku/>
        <w:wordWrap/>
        <w:overflowPunct/>
        <w:topLinePunct w:val="0"/>
        <w:autoSpaceDE/>
        <w:autoSpaceDN/>
        <w:bidi w:val="0"/>
        <w:adjustRightInd/>
        <w:snapToGrid w:val="0"/>
        <w:spacing w:line="420" w:lineRule="exact"/>
        <w:ind w:firstLine="424" w:firstLineChars="177"/>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14、我司承诺积极响应并接受招标文件中合同专用专款关于合同价款的调整办法。</w:t>
      </w:r>
    </w:p>
    <w:p w14:paraId="65DF1EC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both"/>
        <w:textAlignment w:val="auto"/>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15、我司保证在中标后，</w:t>
      </w:r>
      <w:r>
        <w:rPr>
          <w:rFonts w:hint="eastAsia" w:ascii="宋体" w:hAnsi="宋体" w:cs="宋体"/>
          <w:color w:val="auto"/>
          <w:sz w:val="24"/>
          <w:highlight w:val="none"/>
          <w:u w:val="none"/>
        </w:rPr>
        <w:t>施工现场严格按照《广州市建设工程文明施工管理规定》（广州市人民政府令第158号）、《广州市建设工程现场文明施工管理办法》（</w:t>
      </w:r>
      <w:r>
        <w:rPr>
          <w:rFonts w:hint="eastAsia" w:ascii="宋体" w:hAnsi="宋体" w:cs="宋体"/>
          <w:bCs/>
          <w:smallCaps/>
          <w:color w:val="auto"/>
          <w:sz w:val="24"/>
          <w:highlight w:val="none"/>
          <w:u w:val="none"/>
        </w:rPr>
        <w:t>穗建质</w:t>
      </w:r>
      <w:r>
        <w:rPr>
          <w:rFonts w:hint="eastAsia" w:ascii="宋体" w:hAnsi="宋体" w:cs="宋体"/>
          <w:color w:val="auto"/>
          <w:sz w:val="24"/>
          <w:highlight w:val="none"/>
          <w:u w:val="none"/>
        </w:rPr>
        <w:t>〔2008〕</w:t>
      </w:r>
      <w:r>
        <w:rPr>
          <w:rFonts w:hint="eastAsia" w:ascii="宋体" w:hAnsi="宋体" w:cs="宋体"/>
          <w:bCs/>
          <w:smallCaps/>
          <w:color w:val="auto"/>
          <w:sz w:val="24"/>
          <w:highlight w:val="none"/>
          <w:u w:val="none"/>
        </w:rPr>
        <w:t>937号）</w:t>
      </w:r>
      <w:r>
        <w:rPr>
          <w:rFonts w:hint="eastAsia" w:ascii="宋体" w:hAnsi="宋体" w:cs="宋体"/>
          <w:color w:val="auto"/>
          <w:sz w:val="24"/>
          <w:highlight w:val="none"/>
          <w:u w:val="non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w:t>
      </w:r>
      <w:r>
        <w:rPr>
          <w:rFonts w:hint="eastAsia" w:ascii="宋体" w:hAnsi="宋体"/>
          <w:bCs/>
          <w:snapToGrid w:val="0"/>
          <w:color w:val="auto"/>
          <w:kern w:val="0"/>
          <w:sz w:val="24"/>
          <w:highlight w:val="none"/>
          <w:u w:val="none"/>
        </w:rPr>
        <w:t>《危险性较大的分部分项工程安全管理规定》(中华人民共和国住房和城乡建设部令第</w:t>
      </w:r>
      <w:r>
        <w:rPr>
          <w:rFonts w:hint="eastAsia" w:ascii="宋体" w:hAnsi="宋体"/>
          <w:b/>
          <w:bCs w:val="0"/>
          <w:snapToGrid w:val="0"/>
          <w:color w:val="auto"/>
          <w:kern w:val="0"/>
          <w:sz w:val="24"/>
          <w:highlight w:val="none"/>
          <w:u w:val="none"/>
          <w:lang w:val="en-US" w:eastAsia="zh-CN"/>
        </w:rPr>
        <w:t>4</w:t>
      </w:r>
      <w:r>
        <w:rPr>
          <w:rFonts w:hint="eastAsia" w:ascii="宋体" w:hAnsi="宋体"/>
          <w:b/>
          <w:bCs w:val="0"/>
          <w:snapToGrid w:val="0"/>
          <w:color w:val="auto"/>
          <w:kern w:val="0"/>
          <w:sz w:val="24"/>
          <w:highlight w:val="none"/>
          <w:u w:val="none"/>
        </w:rPr>
        <w:t>7号</w:t>
      </w:r>
      <w:r>
        <w:rPr>
          <w:rFonts w:hint="eastAsia" w:ascii="宋体" w:hAnsi="宋体"/>
          <w:bCs/>
          <w:snapToGrid w:val="0"/>
          <w:color w:val="auto"/>
          <w:kern w:val="0"/>
          <w:sz w:val="24"/>
          <w:highlight w:val="none"/>
          <w:u w:val="none"/>
        </w:rPr>
        <w:t>)</w:t>
      </w:r>
      <w:r>
        <w:rPr>
          <w:rFonts w:hint="eastAsia" w:ascii="宋体" w:hAnsi="宋体"/>
          <w:bCs/>
          <w:snapToGrid w:val="0"/>
          <w:color w:val="auto"/>
          <w:kern w:val="0"/>
          <w:sz w:val="24"/>
          <w:highlight w:val="none"/>
          <w:u w:val="none"/>
          <w:lang w:eastAsia="zh-CN"/>
        </w:rPr>
        <w:t>、</w:t>
      </w:r>
      <w:r>
        <w:rPr>
          <w:rFonts w:hint="eastAsia" w:ascii="宋体" w:hAnsi="宋体" w:cs="宋体"/>
          <w:color w:val="auto"/>
          <w:sz w:val="24"/>
          <w:highlight w:val="none"/>
          <w:u w:val="none"/>
        </w:rPr>
        <w:t>《关于进一步落实我区市政建设项目施工围蔽提升工作的通知》（穗埔建[2019]123号）及</w:t>
      </w:r>
      <w:r>
        <w:rPr>
          <w:rFonts w:hint="eastAsia" w:ascii="宋体" w:hAnsi="宋体" w:cs="宋体"/>
          <w:color w:val="auto"/>
          <w:sz w:val="24"/>
          <w:szCs w:val="24"/>
          <w:highlight w:val="none"/>
          <w:u w:val="none"/>
        </w:rPr>
        <w:t>《黄埔区住房和城乡建设局</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广州开发区建设和交通局关于进一步规范全区建设工程施工围蔽标准的通知》（穗埔建﹝</w:t>
      </w:r>
      <w:r>
        <w:rPr>
          <w:rFonts w:ascii="宋体" w:hAnsi="宋体" w:cs="宋体"/>
          <w:color w:val="auto"/>
          <w:sz w:val="24"/>
          <w:szCs w:val="24"/>
          <w:highlight w:val="none"/>
          <w:u w:val="none"/>
        </w:rPr>
        <w:t>2020﹞183号）实施。</w:t>
      </w:r>
      <w:r>
        <w:rPr>
          <w:rFonts w:ascii="宋体" w:hAnsi="宋体" w:cs="宋体"/>
          <w:color w:val="auto"/>
          <w:sz w:val="24"/>
          <w:highlight w:val="none"/>
          <w:u w:val="none"/>
        </w:rPr>
        <w:t>以上文件要求不一致的，以后发布文件为准，若相关部门发布有关施工围蔽新文件规定的，按新规定执行。</w:t>
      </w:r>
      <w:r>
        <w:rPr>
          <w:rFonts w:hint="eastAsia" w:ascii="宋体" w:hAnsi="宋体" w:cs="宋体"/>
          <w:color w:val="auto"/>
          <w:sz w:val="24"/>
          <w:highlight w:val="none"/>
          <w:u w:val="non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r>
        <w:rPr>
          <w:rFonts w:hint="eastAsia" w:ascii="宋体" w:hAnsi="宋体" w:cs="宋体"/>
          <w:snapToGrid w:val="0"/>
          <w:color w:val="auto"/>
          <w:kern w:val="0"/>
          <w:sz w:val="24"/>
          <w:szCs w:val="24"/>
          <w:highlight w:val="none"/>
        </w:rPr>
        <w:t>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14:paraId="5C42C61E">
      <w:pPr>
        <w:keepNext w:val="0"/>
        <w:keepLines w:val="0"/>
        <w:snapToGrid w:val="0"/>
        <w:spacing w:line="420" w:lineRule="exact"/>
        <w:ind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16、投标有效期90日历天，</w:t>
      </w:r>
      <w:r>
        <w:rPr>
          <w:rFonts w:hint="eastAsia" w:ascii="宋体" w:hAnsi="宋体" w:eastAsia="宋体" w:cs="宋体"/>
          <w:snapToGrid w:val="0"/>
          <w:color w:val="auto"/>
          <w:kern w:val="0"/>
          <w:sz w:val="24"/>
          <w:szCs w:val="24"/>
          <w:highlight w:val="none"/>
        </w:rPr>
        <w:t>我方承诺在投标有效期内不补充、修改、替代或撤回本投标文件。</w:t>
      </w:r>
    </w:p>
    <w:p w14:paraId="790C374F">
      <w:pPr>
        <w:pageBreakBefore w:val="0"/>
        <w:widowControl w:val="0"/>
        <w:kinsoku/>
        <w:wordWrap/>
        <w:overflowPunct/>
        <w:autoSpaceDE/>
        <w:autoSpaceDN/>
        <w:bidi w:val="0"/>
        <w:snapToGrid w:val="0"/>
        <w:spacing w:line="360" w:lineRule="auto"/>
        <w:ind w:left="318"/>
        <w:jc w:val="both"/>
        <w:textAlignment w:val="auto"/>
        <w:rPr>
          <w:rFonts w:ascii="宋体" w:hAnsi="宋体" w:cs="宋体"/>
          <w:color w:val="auto"/>
          <w:sz w:val="24"/>
          <w:szCs w:val="24"/>
          <w:highlight w:val="none"/>
          <w:u w:val="single"/>
        </w:rPr>
      </w:pPr>
    </w:p>
    <w:p w14:paraId="33D1A2E3">
      <w:pPr>
        <w:pageBreakBefore w:val="0"/>
        <w:widowControl w:val="0"/>
        <w:kinsoku/>
        <w:wordWrap/>
        <w:overflowPunct/>
        <w:autoSpaceDE/>
        <w:autoSpaceDN/>
        <w:bidi w:val="0"/>
        <w:snapToGrid w:val="0"/>
        <w:spacing w:line="360" w:lineRule="auto"/>
        <w:ind w:left="420" w:leftChars="200" w:firstLine="3547" w:firstLineChars="1478"/>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投标单位：（公章） </w:t>
      </w:r>
    </w:p>
    <w:p w14:paraId="7935BF3E">
      <w:pPr>
        <w:pageBreakBefore w:val="0"/>
        <w:widowControl w:val="0"/>
        <w:kinsoku/>
        <w:wordWrap/>
        <w:overflowPunct/>
        <w:autoSpaceDE/>
        <w:autoSpaceDN/>
        <w:bidi w:val="0"/>
        <w:snapToGrid w:val="0"/>
        <w:spacing w:line="36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法人代表或其授权代理人：（签名或盖章）</w:t>
      </w:r>
    </w:p>
    <w:p w14:paraId="644B4855">
      <w:pPr>
        <w:pageBreakBefore w:val="0"/>
        <w:widowControl w:val="0"/>
        <w:kinsoku/>
        <w:wordWrap/>
        <w:overflowPunct/>
        <w:autoSpaceDE/>
        <w:autoSpaceDN/>
        <w:bidi w:val="0"/>
        <w:snapToGrid w:val="0"/>
        <w:spacing w:line="360" w:lineRule="auto"/>
        <w:ind w:left="420" w:leftChars="200" w:right="560" w:firstLine="5040" w:firstLineChars="21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5C7A781C">
      <w:pPr>
        <w:pageBreakBefore w:val="0"/>
        <w:widowControl w:val="0"/>
        <w:kinsoku/>
        <w:wordWrap/>
        <w:overflowPunct/>
        <w:autoSpaceDE/>
        <w:autoSpaceDN/>
        <w:bidi w:val="0"/>
        <w:snapToGrid w:val="0"/>
        <w:spacing w:line="360" w:lineRule="auto"/>
        <w:ind w:left="420" w:leftChars="200"/>
        <w:jc w:val="both"/>
        <w:textAlignment w:val="auto"/>
        <w:rPr>
          <w:rFonts w:ascii="宋体" w:hAnsi="宋体" w:cs="宋体"/>
          <w:color w:val="auto"/>
          <w:sz w:val="24"/>
          <w:szCs w:val="24"/>
          <w:highlight w:val="none"/>
          <w:u w:val="single"/>
        </w:rPr>
      </w:pPr>
    </w:p>
    <w:p w14:paraId="7627898D">
      <w:pPr>
        <w:pageBreakBefore w:val="0"/>
        <w:widowControl w:val="0"/>
        <w:kinsoku/>
        <w:wordWrap/>
        <w:overflowPunct/>
        <w:autoSpaceDE/>
        <w:autoSpaceDN/>
        <w:bidi w:val="0"/>
        <w:jc w:val="both"/>
        <w:textAlignment w:val="auto"/>
        <w:rPr>
          <w:color w:val="auto"/>
          <w:highlight w:val="none"/>
        </w:rPr>
      </w:pPr>
    </w:p>
    <w:p w14:paraId="06341F93">
      <w:pPr>
        <w:pageBreakBefore w:val="0"/>
        <w:widowControl w:val="0"/>
        <w:kinsoku/>
        <w:wordWrap/>
        <w:overflowPunct/>
        <w:autoSpaceDE/>
        <w:autoSpaceDN/>
        <w:bidi w:val="0"/>
        <w:snapToGrid w:val="0"/>
        <w:spacing w:line="360" w:lineRule="auto"/>
        <w:ind w:left="-2" w:leftChars="-1"/>
        <w:jc w:val="both"/>
        <w:textAlignment w:val="auto"/>
        <w:rPr>
          <w:rFonts w:ascii="宋体" w:hAnsi="宋体" w:cs="宋体"/>
          <w:color w:val="auto"/>
          <w:szCs w:val="21"/>
          <w:highlight w:val="none"/>
        </w:rPr>
      </w:pPr>
      <w:r>
        <w:rPr>
          <w:rFonts w:hint="eastAsia" w:ascii="宋体" w:hAnsi="宋体" w:cs="宋体"/>
          <w:color w:val="auto"/>
          <w:szCs w:val="21"/>
          <w:highlight w:val="none"/>
        </w:rPr>
        <w:t>注：</w:t>
      </w:r>
    </w:p>
    <w:p w14:paraId="47FEA3DD">
      <w:pPr>
        <w:pageBreakBefore w:val="0"/>
        <w:widowControl w:val="0"/>
        <w:kinsoku/>
        <w:wordWrap/>
        <w:overflowPunct/>
        <w:autoSpaceDE/>
        <w:autoSpaceDN/>
        <w:bidi w:val="0"/>
        <w:snapToGrid w:val="0"/>
        <w:spacing w:line="360" w:lineRule="auto"/>
        <w:jc w:val="both"/>
        <w:textAlignment w:val="auto"/>
        <w:rPr>
          <w:rFonts w:ascii="宋体" w:hAnsi="宋体"/>
          <w:color w:val="auto"/>
          <w:highlight w:val="none"/>
        </w:rPr>
      </w:pPr>
      <w:r>
        <w:rPr>
          <w:rFonts w:hint="eastAsia" w:ascii="宋体" w:hAnsi="宋体" w:eastAsia="宋体" w:cs="宋体"/>
          <w:color w:val="auto"/>
          <w:szCs w:val="21"/>
          <w:highlight w:val="none"/>
        </w:rPr>
        <w:t>1、《标函承诺书》投标人应如实填写，中标后，工程的监理单位将经常核验投标人是否按填报内容实施，行政管理机构也将随时抽查。</w:t>
      </w:r>
      <w:r>
        <w:rPr>
          <w:rFonts w:ascii="宋体" w:hAnsi="宋体" w:cs="宋体"/>
          <w:color w:val="auto"/>
          <w:sz w:val="24"/>
          <w:szCs w:val="24"/>
          <w:highlight w:val="none"/>
        </w:rPr>
        <w:br w:type="page"/>
      </w:r>
    </w:p>
    <w:p w14:paraId="1BDF2C5D">
      <w:pPr>
        <w:spacing w:line="400" w:lineRule="exact"/>
        <w:jc w:val="left"/>
        <w:outlineLvl w:val="3"/>
        <w:rPr>
          <w:color w:val="auto"/>
          <w:szCs w:val="21"/>
          <w:highlight w:val="none"/>
        </w:rPr>
      </w:pPr>
      <w:r>
        <w:rPr>
          <w:rFonts w:hint="eastAsia"/>
          <w:color w:val="auto"/>
          <w:szCs w:val="21"/>
          <w:highlight w:val="none"/>
        </w:rPr>
        <w:t>附件八</w:t>
      </w:r>
    </w:p>
    <w:p w14:paraId="6FE087D7">
      <w:pPr>
        <w:pStyle w:val="2"/>
        <w:rPr>
          <w:color w:val="auto"/>
          <w:highlight w:val="none"/>
        </w:rPr>
      </w:pPr>
    </w:p>
    <w:p w14:paraId="62EB022B">
      <w:pPr>
        <w:tabs>
          <w:tab w:val="left" w:pos="720"/>
        </w:tabs>
        <w:snapToGrid w:val="0"/>
        <w:jc w:val="center"/>
        <w:rPr>
          <w:rFonts w:ascii="宋体" w:hAnsi="宋体"/>
          <w:b/>
          <w:color w:val="auto"/>
          <w:sz w:val="30"/>
          <w:szCs w:val="30"/>
          <w:highlight w:val="none"/>
        </w:rPr>
      </w:pPr>
      <w:r>
        <w:rPr>
          <w:rFonts w:hint="eastAsia" w:ascii="宋体" w:hAnsi="宋体"/>
          <w:b/>
          <w:color w:val="auto"/>
          <w:sz w:val="30"/>
          <w:szCs w:val="30"/>
          <w:highlight w:val="none"/>
        </w:rPr>
        <w:t>项目负责人驻场承诺书</w:t>
      </w:r>
    </w:p>
    <w:p w14:paraId="4DAB24F1">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致（业主</w:t>
      </w:r>
      <w:r>
        <w:rPr>
          <w:rFonts w:ascii="宋体" w:hAnsi="宋体" w:cs="宋体"/>
          <w:color w:val="auto"/>
          <w:sz w:val="24"/>
          <w:szCs w:val="24"/>
          <w:highlight w:val="none"/>
          <w:u w:val="single"/>
        </w:rPr>
        <w:t xml:space="preserve">/监理）                                           </w:t>
      </w:r>
      <w:r>
        <w:rPr>
          <w:rFonts w:hint="eastAsia" w:ascii="宋体" w:hAnsi="宋体" w:cs="宋体"/>
          <w:color w:val="auto"/>
          <w:sz w:val="24"/>
          <w:szCs w:val="24"/>
          <w:highlight w:val="none"/>
          <w:u w:val="single"/>
        </w:rPr>
        <w:t>：</w:t>
      </w:r>
    </w:p>
    <w:p w14:paraId="5173781E">
      <w:pPr>
        <w:spacing w:line="360" w:lineRule="auto"/>
        <w:ind w:firstLine="523" w:firstLineChars="218"/>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本人（姓名）</w:t>
      </w:r>
      <w:r>
        <w:rPr>
          <w:rFonts w:ascii="宋体" w:hAnsi="宋体" w:cs="宋体"/>
          <w:color w:val="auto"/>
          <w:sz w:val="24"/>
          <w:szCs w:val="24"/>
          <w:highlight w:val="none"/>
          <w:u w:val="single"/>
        </w:rPr>
        <w:t xml:space="preserve">              ，项目负责人证书注册编号：             </w:t>
      </w:r>
    </w:p>
    <w:p w14:paraId="3BE57B3E">
      <w:pPr>
        <w:spacing w:line="360" w:lineRule="auto"/>
        <w:ind w:left="1"/>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受（投标人）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委派，拟在（项目名称）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担任项目负责人一职。为加强本工程项目管理，保证我公司在中标后严格履行与业主签定的工程建设承包合同，圆满的完成本项工程，我愿就此做出以下承诺；</w:t>
      </w:r>
    </w:p>
    <w:p w14:paraId="7BD83240">
      <w:pPr>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1DD27228">
      <w:pPr>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2．如果本招标工程我公司中标，我本人保证在工程签订合同之日起至工程竣工验收完成期间只担任此工程的项目</w:t>
      </w:r>
      <w:r>
        <w:rPr>
          <w:rFonts w:hint="eastAsia" w:ascii="宋体" w:hAnsi="宋体" w:cs="宋体"/>
          <w:color w:val="auto"/>
          <w:sz w:val="24"/>
          <w:szCs w:val="24"/>
          <w:highlight w:val="none"/>
          <w:u w:val="single"/>
        </w:rPr>
        <w:t>负责人</w:t>
      </w:r>
      <w:r>
        <w:rPr>
          <w:rFonts w:ascii="宋体" w:hAnsi="宋体" w:cs="宋体"/>
          <w:color w:val="auto"/>
          <w:sz w:val="24"/>
          <w:szCs w:val="24"/>
          <w:highlight w:val="none"/>
          <w:u w:val="single"/>
        </w:rPr>
        <w:t>，不参加其他任何工程的登记和任何工作，不在其他任何工程担任职务。</w:t>
      </w:r>
    </w:p>
    <w:p w14:paraId="24880271">
      <w:pPr>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等有关部门并接受上述部门给予的通报和相关职能部门给予的扣证等处罚。</w:t>
      </w:r>
    </w:p>
    <w:p w14:paraId="7C6CC055">
      <w:pPr>
        <w:spacing w:line="360" w:lineRule="auto"/>
        <w:ind w:firstLine="480" w:firstLineChars="200"/>
        <w:rPr>
          <w:rFonts w:ascii="宋体" w:hAnsi="宋体" w:cs="宋体"/>
          <w:color w:val="auto"/>
          <w:sz w:val="24"/>
          <w:szCs w:val="24"/>
          <w:highlight w:val="none"/>
          <w:u w:val="single"/>
        </w:rPr>
      </w:pPr>
      <w:r>
        <w:rPr>
          <w:rFonts w:ascii="宋体" w:hAnsi="宋体" w:cs="宋体"/>
          <w:color w:val="auto"/>
          <w:sz w:val="24"/>
          <w:szCs w:val="24"/>
          <w:highlight w:val="none"/>
          <w:u w:val="single"/>
        </w:rPr>
        <w:t>4．项目负责人本人身份证</w:t>
      </w:r>
      <w:r>
        <w:rPr>
          <w:rFonts w:hint="eastAsia" w:ascii="宋体" w:hAnsi="宋体" w:cs="宋体"/>
          <w:color w:val="auto"/>
          <w:sz w:val="24"/>
          <w:szCs w:val="24"/>
          <w:highlight w:val="none"/>
          <w:u w:val="single"/>
        </w:rPr>
        <w:t>正反面扫描</w:t>
      </w:r>
      <w:r>
        <w:rPr>
          <w:rFonts w:ascii="宋体" w:hAnsi="宋体" w:cs="宋体"/>
          <w:color w:val="auto"/>
          <w:sz w:val="24"/>
          <w:szCs w:val="24"/>
          <w:highlight w:val="none"/>
          <w:u w:val="single"/>
        </w:rPr>
        <w:t>件和相片</w:t>
      </w:r>
      <w:r>
        <w:rPr>
          <w:rFonts w:hint="eastAsia" w:ascii="宋体" w:hAnsi="宋体" w:cs="宋体"/>
          <w:color w:val="auto"/>
          <w:sz w:val="24"/>
          <w:szCs w:val="24"/>
          <w:highlight w:val="none"/>
          <w:u w:val="single"/>
        </w:rPr>
        <w:t>扫描件</w:t>
      </w:r>
      <w:r>
        <w:rPr>
          <w:rFonts w:ascii="宋体" w:hAnsi="宋体" w:cs="宋体"/>
          <w:color w:val="auto"/>
          <w:sz w:val="24"/>
          <w:szCs w:val="24"/>
          <w:highlight w:val="none"/>
          <w:u w:val="single"/>
        </w:rPr>
        <w:t>：</w:t>
      </w:r>
    </w:p>
    <w:p w14:paraId="1AE7A42E">
      <w:pPr>
        <w:spacing w:line="360" w:lineRule="auto"/>
        <w:rPr>
          <w:rFonts w:ascii="宋体" w:hAnsi="宋体" w:cs="宋体"/>
          <w:color w:val="auto"/>
          <w:sz w:val="24"/>
          <w:szCs w:val="24"/>
          <w:highlight w:val="none"/>
          <w:u w:val="single"/>
        </w:rPr>
      </w:pPr>
    </w:p>
    <w:tbl>
      <w:tblPr>
        <w:tblStyle w:val="17"/>
        <w:tblW w:w="7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5"/>
        <w:gridCol w:w="2800"/>
      </w:tblGrid>
      <w:tr w14:paraId="208E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4975" w:type="dxa"/>
            <w:tcBorders>
              <w:top w:val="single" w:color="auto" w:sz="4" w:space="0"/>
              <w:left w:val="single" w:color="auto" w:sz="4" w:space="0"/>
              <w:bottom w:val="single" w:color="auto" w:sz="4" w:space="0"/>
              <w:right w:val="single" w:color="auto" w:sz="4" w:space="0"/>
            </w:tcBorders>
            <w:noWrap w:val="0"/>
            <w:vAlign w:val="top"/>
          </w:tcPr>
          <w:p w14:paraId="2E4EA428">
            <w:pPr>
              <w:spacing w:line="360" w:lineRule="auto"/>
              <w:jc w:val="center"/>
              <w:rPr>
                <w:rFonts w:ascii="宋体" w:hAnsi="宋体" w:cs="宋体"/>
                <w:color w:val="auto"/>
                <w:sz w:val="24"/>
                <w:szCs w:val="24"/>
                <w:highlight w:val="none"/>
                <w:u w:val="single"/>
              </w:rPr>
            </w:pPr>
          </w:p>
          <w:p w14:paraId="568FDB31">
            <w:pPr>
              <w:spacing w:line="360" w:lineRule="auto"/>
              <w:jc w:val="center"/>
              <w:rPr>
                <w:rFonts w:ascii="宋体" w:hAnsi="宋体" w:cs="宋体"/>
                <w:color w:val="auto"/>
                <w:sz w:val="24"/>
                <w:szCs w:val="24"/>
                <w:highlight w:val="none"/>
                <w:u w:val="single"/>
              </w:rPr>
            </w:pPr>
          </w:p>
          <w:p w14:paraId="7E43A753">
            <w:pPr>
              <w:spacing w:line="360" w:lineRule="auto"/>
              <w:jc w:val="center"/>
              <w:rPr>
                <w:rFonts w:ascii="宋体" w:hAnsi="宋体" w:cs="宋体"/>
                <w:color w:val="auto"/>
                <w:sz w:val="24"/>
                <w:szCs w:val="24"/>
                <w:highlight w:val="none"/>
                <w:u w:val="single"/>
              </w:rPr>
            </w:pPr>
          </w:p>
          <w:p w14:paraId="1DE94A65">
            <w:pPr>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身份证扫描件</w:t>
            </w:r>
          </w:p>
        </w:tc>
        <w:tc>
          <w:tcPr>
            <w:tcW w:w="2800" w:type="dxa"/>
            <w:tcBorders>
              <w:top w:val="single" w:color="auto" w:sz="4" w:space="0"/>
              <w:left w:val="single" w:color="auto" w:sz="4" w:space="0"/>
              <w:bottom w:val="single" w:color="auto" w:sz="4" w:space="0"/>
              <w:right w:val="single" w:color="auto" w:sz="4" w:space="0"/>
            </w:tcBorders>
            <w:noWrap w:val="0"/>
            <w:vAlign w:val="top"/>
          </w:tcPr>
          <w:p w14:paraId="6BF0BA56">
            <w:pPr>
              <w:spacing w:line="360" w:lineRule="auto"/>
              <w:jc w:val="center"/>
              <w:rPr>
                <w:rFonts w:ascii="宋体" w:hAnsi="宋体" w:cs="宋体"/>
                <w:color w:val="auto"/>
                <w:sz w:val="24"/>
                <w:szCs w:val="24"/>
                <w:highlight w:val="none"/>
                <w:u w:val="single"/>
              </w:rPr>
            </w:pPr>
          </w:p>
          <w:p w14:paraId="7DD47E71">
            <w:pPr>
              <w:spacing w:line="360" w:lineRule="auto"/>
              <w:jc w:val="center"/>
              <w:rPr>
                <w:rFonts w:ascii="宋体" w:hAnsi="宋体" w:cs="宋体"/>
                <w:color w:val="auto"/>
                <w:sz w:val="24"/>
                <w:szCs w:val="24"/>
                <w:highlight w:val="none"/>
                <w:u w:val="single"/>
              </w:rPr>
            </w:pPr>
          </w:p>
          <w:p w14:paraId="5650AC1C">
            <w:pPr>
              <w:spacing w:line="360" w:lineRule="auto"/>
              <w:jc w:val="center"/>
              <w:rPr>
                <w:rFonts w:ascii="宋体" w:hAnsi="宋体" w:cs="宋体"/>
                <w:color w:val="auto"/>
                <w:sz w:val="24"/>
                <w:szCs w:val="24"/>
                <w:highlight w:val="none"/>
                <w:u w:val="single"/>
              </w:rPr>
            </w:pPr>
          </w:p>
          <w:p w14:paraId="2752C37A">
            <w:pPr>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相片</w:t>
            </w:r>
          </w:p>
        </w:tc>
      </w:tr>
    </w:tbl>
    <w:p w14:paraId="0306CDBC">
      <w:pPr>
        <w:spacing w:line="360" w:lineRule="auto"/>
        <w:ind w:firstLine="4394" w:firstLineChars="1831"/>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投标人（盖章）：</w:t>
      </w:r>
      <w:r>
        <w:rPr>
          <w:rFonts w:ascii="宋体" w:hAnsi="宋体" w:cs="宋体"/>
          <w:color w:val="auto"/>
          <w:sz w:val="24"/>
          <w:szCs w:val="24"/>
          <w:highlight w:val="none"/>
          <w:u w:val="single"/>
        </w:rPr>
        <w:t xml:space="preserve">                  </w:t>
      </w:r>
    </w:p>
    <w:p w14:paraId="7ABFD59F">
      <w:pPr>
        <w:spacing w:line="360" w:lineRule="auto"/>
        <w:ind w:firstLine="4394" w:firstLineChars="1831"/>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项目负责人（签名）：</w:t>
      </w:r>
      <w:r>
        <w:rPr>
          <w:rFonts w:ascii="宋体" w:hAnsi="宋体" w:cs="宋体"/>
          <w:color w:val="auto"/>
          <w:sz w:val="24"/>
          <w:szCs w:val="24"/>
          <w:highlight w:val="none"/>
          <w:u w:val="single"/>
        </w:rPr>
        <w:t xml:space="preserve">              </w:t>
      </w:r>
    </w:p>
    <w:p w14:paraId="0B9CF80C">
      <w:pPr>
        <w:tabs>
          <w:tab w:val="left" w:pos="720"/>
        </w:tabs>
        <w:snapToGrid w:val="0"/>
        <w:spacing w:line="360" w:lineRule="auto"/>
        <w:ind w:firstLine="4394" w:firstLineChars="1831"/>
        <w:jc w:val="left"/>
        <w:rPr>
          <w:color w:val="auto"/>
          <w:highlight w:val="none"/>
        </w:rPr>
      </w:pPr>
      <w:r>
        <w:rPr>
          <w:rFonts w:ascii="宋体" w:hAnsi="宋体" w:cs="宋体"/>
          <w:color w:val="auto"/>
          <w:sz w:val="24"/>
          <w:szCs w:val="24"/>
          <w:highlight w:val="none"/>
          <w:u w:val="single"/>
        </w:rPr>
        <w:t xml:space="preserve">     年   月    日</w:t>
      </w:r>
    </w:p>
    <w:p w14:paraId="090F0BF3">
      <w:pPr>
        <w:spacing w:line="360" w:lineRule="auto"/>
        <w:jc w:val="center"/>
        <w:outlineLvl w:val="1"/>
        <w:rPr>
          <w:rFonts w:hint="eastAsia" w:ascii="宋体" w:hAnsi="宋体" w:cs="宋体"/>
          <w:color w:val="auto"/>
          <w:sz w:val="24"/>
          <w:szCs w:val="24"/>
          <w:highlight w:val="none"/>
        </w:rPr>
      </w:pPr>
      <w:r>
        <w:rPr>
          <w:color w:val="auto"/>
          <w:highlight w:val="none"/>
        </w:rPr>
        <w:br w:type="page"/>
      </w:r>
      <w:bookmarkStart w:id="720" w:name="_Toc17454962"/>
      <w:bookmarkStart w:id="721" w:name="_Toc17451141"/>
      <w:bookmarkStart w:id="722" w:name="_Toc17452704"/>
      <w:bookmarkStart w:id="723" w:name="_Toc17454911"/>
      <w:bookmarkStart w:id="724" w:name="_Toc17451663"/>
      <w:bookmarkStart w:id="725" w:name="_Toc17556916"/>
      <w:bookmarkStart w:id="726" w:name="_Toc17451618"/>
      <w:bookmarkStart w:id="727" w:name="_Toc26227"/>
      <w:r>
        <w:rPr>
          <w:rFonts w:hint="eastAsia" w:ascii="宋体" w:hAnsi="宋体" w:cs="宋体"/>
          <w:color w:val="auto"/>
          <w:sz w:val="32"/>
          <w:szCs w:val="32"/>
          <w:highlight w:val="none"/>
        </w:rPr>
        <w:t>第九章 否决性条款汇总</w:t>
      </w:r>
      <w:bookmarkEnd w:id="720"/>
      <w:bookmarkEnd w:id="721"/>
      <w:bookmarkEnd w:id="722"/>
      <w:bookmarkEnd w:id="723"/>
      <w:bookmarkEnd w:id="724"/>
      <w:bookmarkEnd w:id="725"/>
      <w:bookmarkEnd w:id="726"/>
      <w:bookmarkEnd w:id="727"/>
    </w:p>
    <w:p w14:paraId="56E5FA57">
      <w:pPr>
        <w:rPr>
          <w:rFonts w:hint="eastAsia" w:ascii="宋体" w:hAnsi="宋体" w:cs="宋体"/>
          <w:color w:val="auto"/>
          <w:highlight w:val="none"/>
        </w:rPr>
      </w:pPr>
      <w:bookmarkStart w:id="728" w:name="_Toc17454963"/>
      <w:bookmarkStart w:id="729" w:name="_Toc17451619"/>
      <w:bookmarkStart w:id="730" w:name="_Toc17556972"/>
      <w:bookmarkStart w:id="731" w:name="_Toc17454912"/>
      <w:bookmarkStart w:id="732" w:name="_Toc17451664"/>
      <w:bookmarkStart w:id="733" w:name="_Toc17452705"/>
      <w:bookmarkStart w:id="734" w:name="_Toc17451142"/>
      <w:bookmarkStart w:id="735" w:name="_Toc17556917"/>
    </w:p>
    <w:p w14:paraId="1DA5C5F3">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招标文件的其他条款与该单列的否决性条款不一致的，以单列的否决性条款为准。</w:t>
      </w:r>
    </w:p>
    <w:p w14:paraId="47076609">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（一）拒绝受理投标文件的情形</w:t>
      </w:r>
    </w:p>
    <w:p w14:paraId="018E25C5">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未按要求加密的投标文件，广州交易集团有限公司（广州交易集团有限公司（广州公共资源交易中心））交易平台将予以拒收。</w:t>
      </w:r>
    </w:p>
    <w:p w14:paraId="213CD124">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逾期送达的电子投标文件，广州交易集团有限公司（广州交易集团有限公司（广州公共资源交易中心））交易平台将予以拒收。</w:t>
      </w:r>
    </w:p>
    <w:p w14:paraId="363BEB50">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lang w:val="en-US" w:eastAsia="zh-CN"/>
        </w:rPr>
        <w:t>3.因投标人原因造成投标文件未解密或未在规定的时间内解密的，视为撤销其投标文件。</w:t>
      </w:r>
    </w:p>
    <w:p w14:paraId="1063C90A">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（二）作无效投标的情形</w:t>
      </w:r>
    </w:p>
    <w:p w14:paraId="50F82484">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lang w:val="en-US" w:eastAsia="zh-CN"/>
        </w:rPr>
        <w:t xml:space="preserve">1. </w:t>
      </w:r>
      <w:r>
        <w:rPr>
          <w:rFonts w:hint="eastAsia" w:ascii="宋体" w:hAnsi="宋体" w:eastAsia="宋体" w:cs="Times New Roman"/>
          <w:color w:val="auto"/>
          <w:sz w:val="24"/>
          <w:szCs w:val="24"/>
          <w:highlight w:val="none"/>
          <w:lang w:val="en-US" w:eastAsia="zh-CN"/>
        </w:rPr>
        <w:t>投标文件不符合招标文件评标办法中形式评审标准、资格评审标准、响应性评审标准的要求。</w:t>
      </w:r>
    </w:p>
    <w:p w14:paraId="4795375C">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（三）作不合格标处理的情形</w:t>
      </w:r>
    </w:p>
    <w:p w14:paraId="62DE75AB">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lang w:val="en-US" w:eastAsia="zh-CN"/>
        </w:rPr>
        <w:t xml:space="preserve">1. </w:t>
      </w:r>
      <w:r>
        <w:rPr>
          <w:rFonts w:hint="eastAsia" w:ascii="宋体" w:hAnsi="宋体" w:eastAsia="宋体" w:cs="Times New Roman"/>
          <w:color w:val="auto"/>
          <w:sz w:val="24"/>
          <w:szCs w:val="24"/>
          <w:highlight w:val="none"/>
          <w:lang w:val="en-US" w:eastAsia="zh-CN"/>
        </w:rPr>
        <w:t>投标人有以下情形之一的，评标委员会应当否决其投标：</w:t>
      </w:r>
    </w:p>
    <w:p w14:paraId="642BBF04">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1）第二章“投标人须知”第1.4.3项规定的任何一种情形的；</w:t>
      </w:r>
    </w:p>
    <w:p w14:paraId="3B5C278B">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2）串通投标或弄虚作假或有其他违法行为的；</w:t>
      </w:r>
    </w:p>
    <w:p w14:paraId="6238C11B">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）不按评标委员会要求澄清、说明或补正的；</w:t>
      </w:r>
    </w:p>
    <w:p w14:paraId="45DC5C96">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两个（含两个）以上投标人加密打包投标文件工程量清单编制机器硬件信息一致。</w:t>
      </w:r>
    </w:p>
    <w:p w14:paraId="301EEDDB">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lang w:val="en-US" w:eastAsia="zh-CN"/>
        </w:rPr>
        <w:t xml:space="preserve">2. </w:t>
      </w:r>
      <w:r>
        <w:rPr>
          <w:rFonts w:hint="eastAsia" w:ascii="宋体" w:hAnsi="宋体" w:eastAsia="宋体" w:cs="Times New Roman"/>
          <w:color w:val="auto"/>
          <w:sz w:val="24"/>
          <w:szCs w:val="24"/>
          <w:highlight w:val="none"/>
          <w:lang w:val="en-US" w:eastAsia="zh-CN"/>
        </w:rPr>
        <w:t>投标人不接受修正价格的，其投标作废标处理。</w:t>
      </w:r>
    </w:p>
    <w:p w14:paraId="72C65EC2">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lang w:val="en-US" w:eastAsia="zh-CN"/>
        </w:rPr>
        <w:t xml:space="preserve">3. </w:t>
      </w:r>
      <w:r>
        <w:rPr>
          <w:rFonts w:hint="eastAsia" w:ascii="宋体" w:hAnsi="宋体" w:eastAsia="宋体" w:cs="Times New Roman"/>
          <w:color w:val="auto"/>
          <w:sz w:val="24"/>
          <w:szCs w:val="24"/>
          <w:highlight w:val="none"/>
          <w:lang w:val="en-US" w:eastAsia="zh-CN"/>
        </w:rPr>
        <w:t>在评标过程中，评标委员会发现投标人的报价明显低于其他投标报价或者低于成本警示价，应当要求该投标人作出书面说明并提供相关证明材料。投标人不能合理说明或者不能提供相关证明材料的，由评标委员会认定该投标人以低于成本报价竞标，应当否决其投标。</w:t>
      </w:r>
    </w:p>
    <w:p w14:paraId="59B256F3">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lang w:val="en-US" w:eastAsia="zh-CN"/>
        </w:rPr>
        <w:t xml:space="preserve">4. </w:t>
      </w:r>
      <w:r>
        <w:rPr>
          <w:rFonts w:hint="eastAsia" w:ascii="宋体" w:hAnsi="宋体" w:eastAsia="宋体" w:cs="Times New Roman"/>
          <w:color w:val="auto"/>
          <w:sz w:val="24"/>
          <w:szCs w:val="24"/>
          <w:highlight w:val="none"/>
          <w:lang w:val="en-US" w:eastAsia="zh-CN"/>
        </w:rPr>
        <w:t>非竞争性费用需与招标人发布的金额一致，不一致的投标报价无效。投标报价不得低于成本价，否则投标报价为无效投标报价。</w:t>
      </w:r>
    </w:p>
    <w:p w14:paraId="1A77D469">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（四）其他否定投标文件效力情形</w:t>
      </w:r>
    </w:p>
    <w:p w14:paraId="0CEF285D">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开标时，出现下列情形之一的，投标文件由招标人作否决投标处理，不参与评标：</w:t>
      </w:r>
    </w:p>
    <w:p w14:paraId="61BFC7A4">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1）未成功递交投标文件的；</w:t>
      </w:r>
    </w:p>
    <w:p w14:paraId="760499FE">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2）因投标人原因造成投标文件未解密的；</w:t>
      </w:r>
    </w:p>
    <w:p w14:paraId="2EDCC5C1">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3）未按规定时间对投标文件进行解密的；</w:t>
      </w:r>
    </w:p>
    <w:p w14:paraId="337D8103">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4）两个（含两个）以上的投标人加密打包投标文件电脑机器码一致的；</w:t>
      </w:r>
    </w:p>
    <w:p w14:paraId="4DFF7CF2">
      <w:pPr>
        <w:pStyle w:val="16"/>
        <w:spacing w:after="0" w:line="360" w:lineRule="auto"/>
        <w:ind w:left="-2" w:leftChars="-1" w:firstLine="540" w:firstLineChars="225"/>
        <w:rPr>
          <w:rFonts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5）项目负责人和安全员为同一人的；</w:t>
      </w:r>
    </w:p>
    <w:p w14:paraId="35D976A7">
      <w:pPr>
        <w:pStyle w:val="16"/>
        <w:spacing w:after="0" w:line="360" w:lineRule="auto"/>
        <w:ind w:left="-2" w:leftChars="-1" w:firstLine="540" w:firstLineChars="225"/>
        <w:rPr>
          <w:rFonts w:ascii="仿宋_GB2312" w:hAnsi="Helvetica" w:eastAsia="仿宋_GB2312" w:cs="宋体"/>
          <w:color w:val="auto"/>
          <w:kern w:val="0"/>
          <w:sz w:val="24"/>
          <w:szCs w:val="24"/>
          <w:highlight w:val="none"/>
        </w:rPr>
      </w:pPr>
      <w:r>
        <w:rPr>
          <w:rFonts w:hint="eastAsia" w:ascii="宋体" w:hAnsi="宋体" w:eastAsia="宋体" w:cs="Times New Roman"/>
          <w:color w:val="auto"/>
          <w:sz w:val="24"/>
          <w:szCs w:val="24"/>
          <w:highlight w:val="none"/>
          <w:lang w:val="en-US" w:eastAsia="zh-CN"/>
        </w:rPr>
        <w:t>（</w:t>
      </w:r>
      <w:r>
        <w:rPr>
          <w:rFonts w:ascii="宋体" w:hAnsi="宋体" w:eastAsia="宋体" w:cs="Times New Roman"/>
          <w:color w:val="auto"/>
          <w:sz w:val="24"/>
          <w:szCs w:val="24"/>
          <w:highlight w:val="none"/>
          <w:lang w:val="en-US" w:eastAsia="zh-CN"/>
        </w:rPr>
        <w:t>6）投标文件中的投标人企业名称、项目负责人、专职安全员与投标登记时的信息不一致的。</w:t>
      </w:r>
    </w:p>
    <w:p w14:paraId="1CC19BD1">
      <w:pPr>
        <w:spacing w:line="360" w:lineRule="auto"/>
        <w:ind w:firstLine="480" w:firstLineChars="200"/>
        <w:jc w:val="left"/>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bookmarkEnd w:id="728"/>
    <w:bookmarkEnd w:id="729"/>
    <w:bookmarkEnd w:id="730"/>
    <w:bookmarkEnd w:id="731"/>
    <w:bookmarkEnd w:id="732"/>
    <w:bookmarkEnd w:id="733"/>
    <w:bookmarkEnd w:id="734"/>
    <w:bookmarkEnd w:id="735"/>
    <w:p w14:paraId="4E96170D">
      <w:pPr>
        <w:pStyle w:val="4"/>
        <w:rPr>
          <w:rFonts w:hint="eastAsia" w:ascii="宋体" w:hAnsi="宋体" w:eastAsia="宋体" w:cs="宋体"/>
          <w:color w:val="auto"/>
          <w:sz w:val="24"/>
          <w:highlight w:val="none"/>
        </w:rPr>
      </w:pPr>
      <w:bookmarkStart w:id="736" w:name="_Toc17472014"/>
      <w:bookmarkStart w:id="737" w:name="_Toc17556918"/>
      <w:bookmarkStart w:id="738" w:name="_Toc8222"/>
      <w:r>
        <w:rPr>
          <w:rFonts w:hint="eastAsia" w:ascii="宋体" w:hAnsi="宋体" w:eastAsia="宋体" w:cs="宋体"/>
          <w:color w:val="auto"/>
          <w:highlight w:val="none"/>
        </w:rPr>
        <w:t>第十章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最高投标限价（招标控制价）</w:t>
      </w:r>
      <w:bookmarkEnd w:id="736"/>
      <w:bookmarkEnd w:id="737"/>
      <w:bookmarkEnd w:id="738"/>
    </w:p>
    <w:p w14:paraId="0AD56682">
      <w:pPr>
        <w:pStyle w:val="6"/>
        <w:ind w:left="0" w:leftChars="0" w:firstLine="0" w:firstLineChars="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（另附）</w:t>
      </w:r>
    </w:p>
    <w:p w14:paraId="4A0A6907">
      <w:pPr>
        <w:spacing w:line="360" w:lineRule="auto"/>
        <w:rPr>
          <w:rFonts w:hint="eastAsia" w:ascii="宋体" w:hAnsi="宋体" w:cs="宋体"/>
          <w:color w:val="auto"/>
          <w:sz w:val="24"/>
          <w:highlight w:val="none"/>
        </w:rPr>
      </w:pPr>
    </w:p>
    <w:p w14:paraId="6D60B8C1">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4630B">
    <w:pPr>
      <w:pStyle w:val="12"/>
      <w:jc w:val="center"/>
    </w:pPr>
  </w:p>
  <w:p w14:paraId="03268DAE">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25512">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5851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A6BD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E2A6BD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E1E08">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8DF45F">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048DF45F">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285032A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6DB4">
    <w:pPr>
      <w:ind w:firstLine="640"/>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33400" cy="22987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a:effectLst/>
                    </wps:spPr>
                    <wps:txbx>
                      <w:txbxContent>
                        <w:p w14:paraId="2B096003">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pt;width:42pt;mso-position-horizontal:center;mso-position-horizontal-relative:margin;mso-wrap-style:none;z-index:251663360;mso-width-relative:page;mso-height-relative:page;" filled="f" stroked="f" coordsize="21600,21600" o:gfxdata="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&#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pbSLE0QAAAAMBAAAPAAAAAAAAAAEAIAAAACIAAABk&#10;cnMvZG93bnJldi54bWxQSwECFAAUAAAACACHTuJA6okMDdQBAAClAwAADgAAAAAAAAABACAAAAAg&#10;AQAAZHJzL2Uyb0RvYy54bWxQSwUGAAAAAAYABgBZAQAAZgUAAAAA&#10;">
              <v:fill on="f" focussize="0,0"/>
              <v:stroke on="f"/>
              <v:imagedata o:title=""/>
              <o:lock v:ext="edit" aspectratio="f"/>
              <v:textbox inset="0mm,0mm,0mm,0mm" style="mso-fit-shape-to-text:t;">
                <w:txbxContent>
                  <w:p w14:paraId="2B096003">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86AB">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15620" cy="4184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14:paraId="1D9503F7">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2336;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QMlltEAAAADAQAADwAAAAAAAAABACAAAAAiAAAAZHJz&#10;L2Rvd25yZXYueG1sUEsBAhQAFAAAAAgAh07iQLxrxKLSAQAApQMAAA4AAAAAAAAAAQAgAAAAIAEA&#10;AGRycy9lMm9Eb2MueG1sUEsFBgAAAAAGAAYAWQEAAGQFAAAAAA==&#10;">
              <v:fill on="f" focussize="0,0"/>
              <v:stroke on="f"/>
              <v:imagedata o:title=""/>
              <o:lock v:ext="edit" aspectratio="f"/>
              <v:textbox inset="0mm,0mm,0mm,0mm" style="mso-fit-shape-to-text:t;">
                <w:txbxContent>
                  <w:p w14:paraId="1D9503F7">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5DCC">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33400" cy="1631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a:effectLst/>
                    </wps:spPr>
                    <wps:txbx>
                      <w:txbxContent>
                        <w:p w14:paraId="04E8F02E">
                          <w:pPr>
                            <w:ind w:firstLine="0"/>
                            <w:jc w:val="both"/>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wps:txbx>
                    <wps:bodyPr wrap="none" lIns="0" tIns="0" rIns="0" bIns="0" upright="1"/>
                  </wps:wsp>
                </a:graphicData>
              </a:graphic>
            </wp:anchor>
          </w:drawing>
        </mc:Choice>
        <mc:Fallback>
          <w:pict>
            <v:shape id="_x0000_s1026" o:spid="_x0000_s1026" o:spt="202" type="#_x0000_t202" style="position:absolute;left:0pt;margin-top:0pt;height:12.85pt;width:42pt;mso-position-horizontal:center;mso-position-horizontal-relative:margin;mso-wrap-style:none;z-index:251665408;mso-width-relative:page;mso-height-relative:page;" filled="f" stroked="f" coordsize="21600,21600" o:gfxdata="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0faVXSAAAAAwEAAA8AAAAAAAAAAQAgAAAAIgAAAGRycy9kb3ducmV2Lnht&#10;bFBLAQIUABQAAAAIAIdO4kC1GkzqxgEAAIsDAAAOAAAAAAAAAAEAIAAAACEBAABkcnMvZTJvRG9j&#10;LnhtbFBLBQYAAAAABgAGAFkBAABZBQAAAAA=&#10;">
              <v:fill on="f" focussize="0,0"/>
              <v:stroke on="f"/>
              <v:imagedata o:title=""/>
              <o:lock v:ext="edit" aspectratio="f"/>
              <v:textbox inset="0mm,0mm,0mm,0mm">
                <w:txbxContent>
                  <w:p w14:paraId="04E8F02E">
                    <w:pPr>
                      <w:ind w:firstLine="0"/>
                      <w:jc w:val="both"/>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1</w:t>
                    </w:r>
                    <w:r>
                      <w:rPr>
                        <w:rFonts w:eastAsia="仿宋_GB2312"/>
                        <w:color w:val="000000"/>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1CBAB">
    <w:pPr>
      <w:ind w:firstLine="640"/>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15620" cy="41846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a:effectLst/>
                    </wps:spPr>
                    <wps:txbx>
                      <w:txbxContent>
                        <w:p w14:paraId="4F3A155B">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4384;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QMlltEAAAADAQAADwAAAAAAAAABACAAAAAiAAAAZHJz&#10;L2Rvd25yZXYueG1sUEsBAhQAFAAAAAgAh07iQDwkNZnSAQAApwMAAA4AAAAAAAAAAQAgAAAAIAEA&#10;AGRycy9lMm9Eb2MueG1sUEsFBgAAAAAGAAYAWQEAAGQFAAAAAA==&#10;">
              <v:fill on="f" focussize="0,0"/>
              <v:stroke on="f"/>
              <v:imagedata o:title=""/>
              <o:lock v:ext="edit" aspectratio="f"/>
              <v:textbox inset="0mm,0mm,0mm,0mm" style="mso-fit-shape-to-text:t;">
                <w:txbxContent>
                  <w:p w14:paraId="4F3A155B">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D1B4C">
    <w:pPr>
      <w:pStyle w:val="1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DCB423">
                          <w:pPr>
                            <w:pStyle w:val="12"/>
                            <w:jc w:val="center"/>
                          </w:pPr>
                          <w:r>
                            <w:fldChar w:fldCharType="begin"/>
                          </w:r>
                          <w:r>
                            <w:instrText xml:space="preserve"> PAGE   \* MERGEFORMAT </w:instrText>
                          </w:r>
                          <w:r>
                            <w:fldChar w:fldCharType="separate"/>
                          </w:r>
                          <w:r>
                            <w:rPr>
                              <w:lang w:val="zh-CN"/>
                            </w:rP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14DCB423">
                    <w:pPr>
                      <w:pStyle w:val="12"/>
                      <w:jc w:val="center"/>
                    </w:pPr>
                    <w:r>
                      <w:fldChar w:fldCharType="begin"/>
                    </w:r>
                    <w:r>
                      <w:instrText xml:space="preserve"> PAGE   \* MERGEFORMAT </w:instrText>
                    </w:r>
                    <w:r>
                      <w:fldChar w:fldCharType="separate"/>
                    </w:r>
                    <w:r>
                      <w:rPr>
                        <w:lang w:val="zh-CN"/>
                      </w:rPr>
                      <w:t>60</w:t>
                    </w:r>
                    <w:r>
                      <w:fldChar w:fldCharType="end"/>
                    </w:r>
                  </w:p>
                </w:txbxContent>
              </v:textbox>
            </v:shape>
          </w:pict>
        </mc:Fallback>
      </mc:AlternateContent>
    </w:r>
  </w:p>
  <w:p w14:paraId="291E16B9">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6CD5">
    <w:pPr>
      <w:pStyle w:val="12"/>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72C265">
                          <w:pPr>
                            <w:pStyle w:val="12"/>
                            <w:jc w:val="center"/>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0A72C265">
                    <w:pPr>
                      <w:pStyle w:val="12"/>
                      <w:jc w:val="center"/>
                    </w:pPr>
                    <w:r>
                      <w:fldChar w:fldCharType="begin"/>
                    </w:r>
                    <w:r>
                      <w:instrText xml:space="preserve"> PAGE   \* MERGEFORMAT </w:instrText>
                    </w:r>
                    <w:r>
                      <w:fldChar w:fldCharType="separate"/>
                    </w:r>
                    <w:r>
                      <w:t>50</w:t>
                    </w:r>
                    <w:r>
                      <w:fldChar w:fldCharType="end"/>
                    </w:r>
                  </w:p>
                </w:txbxContent>
              </v:textbox>
            </v:shape>
          </w:pict>
        </mc:Fallback>
      </mc:AlternateContent>
    </w:r>
  </w:p>
  <w:p w14:paraId="558A15FB">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A59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1C03">
    <w:pPr>
      <w:pStyle w:val="13"/>
      <w:pBdr>
        <w:bottom w:val="none" w:color="auto" w:sz="0" w:space="1"/>
      </w:pBdr>
      <w:jc w:val="distribut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80757">
    <w:pPr>
      <w:ind w:firstLine="48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4C2D3">
    <w:pPr>
      <w:ind w:firstLine="480"/>
      <w:jc w:val="right"/>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4CBFA">
    <w:pPr>
      <w:ind w:firstLine="48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77BE5">
    <w:pPr>
      <w:ind w:firstLine="480"/>
      <w:jc w:val="right"/>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4869">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F160">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4841F">
    <w:pPr>
      <w:pStyle w:val="1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D8010">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7B919"/>
    <w:multiLevelType w:val="singleLevel"/>
    <w:tmpl w:val="E617B919"/>
    <w:lvl w:ilvl="0" w:tentative="0">
      <w:start w:val="1"/>
      <w:numFmt w:val="decimal"/>
      <w:suff w:val="nothing"/>
      <w:lvlText w:val="（%1）"/>
      <w:lvlJc w:val="left"/>
    </w:lvl>
  </w:abstractNum>
  <w:abstractNum w:abstractNumId="1">
    <w:nsid w:val="00000008"/>
    <w:multiLevelType w:val="singleLevel"/>
    <w:tmpl w:val="00000008"/>
    <w:lvl w:ilvl="0" w:tentative="0">
      <w:start w:val="1"/>
      <w:numFmt w:val="japaneseCounting"/>
      <w:lvlText w:val="%1、"/>
      <w:lvlJc w:val="left"/>
      <w:pPr>
        <w:tabs>
          <w:tab w:val="left" w:pos="960"/>
        </w:tabs>
        <w:ind w:left="960" w:hanging="480"/>
      </w:pPr>
    </w:lvl>
  </w:abstractNum>
  <w:abstractNum w:abstractNumId="2">
    <w:nsid w:val="0000000B"/>
    <w:multiLevelType w:val="singleLevel"/>
    <w:tmpl w:val="0000000B"/>
    <w:lvl w:ilvl="0" w:tentative="0">
      <w:start w:val="1"/>
      <w:numFmt w:val="decimal"/>
      <w:suff w:val="nothing"/>
      <w:lvlText w:val="（%1）"/>
      <w:lvlJc w:val="left"/>
      <w:pPr>
        <w:ind w:left="-97"/>
      </w:pPr>
    </w:lvl>
  </w:abstractNum>
  <w:abstractNum w:abstractNumId="3">
    <w:nsid w:val="0000000C"/>
    <w:multiLevelType w:val="singleLevel"/>
    <w:tmpl w:val="0000000C"/>
    <w:lvl w:ilvl="0" w:tentative="0">
      <w:start w:val="1"/>
      <w:numFmt w:val="decimal"/>
      <w:suff w:val="nothing"/>
      <w:lvlText w:val="（%1）"/>
      <w:lvlJc w:val="left"/>
    </w:lvl>
  </w:abstractNum>
  <w:abstractNum w:abstractNumId="4">
    <w:nsid w:val="01BB16A0"/>
    <w:multiLevelType w:val="singleLevel"/>
    <w:tmpl w:val="01BB16A0"/>
    <w:lvl w:ilvl="0" w:tentative="0">
      <w:start w:val="4"/>
      <w:numFmt w:val="chineseCounting"/>
      <w:suff w:val="space"/>
      <w:lvlText w:val="第%1部分"/>
      <w:lvlJc w:val="left"/>
      <w:rPr>
        <w:rFonts w:hint="eastAsia"/>
      </w:rPr>
    </w:lvl>
  </w:abstractNum>
  <w:abstractNum w:abstractNumId="5">
    <w:nsid w:val="1137128D"/>
    <w:multiLevelType w:val="multilevel"/>
    <w:tmpl w:val="1137128D"/>
    <w:lvl w:ilvl="0" w:tentative="0">
      <w:start w:val="1"/>
      <w:numFmt w:val="decimal"/>
      <w:lvlText w:val="3.%1"/>
      <w:lvlJc w:val="left"/>
      <w:pPr>
        <w:ind w:left="900" w:hanging="420"/>
      </w:pPr>
      <w:rPr>
        <w:rFonts w:hint="eastAsia"/>
      </w:rPr>
    </w:lvl>
    <w:lvl w:ilvl="1" w:tentative="0">
      <w:start w:val="1"/>
      <w:numFmt w:val="decimal"/>
      <w:lvlText w:val="3.%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4181B7E"/>
    <w:multiLevelType w:val="singleLevel"/>
    <w:tmpl w:val="14181B7E"/>
    <w:lvl w:ilvl="0" w:tentative="0">
      <w:start w:val="1"/>
      <w:numFmt w:val="decimal"/>
      <w:suff w:val="nothing"/>
      <w:lvlText w:val="%1、"/>
      <w:lvlJc w:val="left"/>
    </w:lvl>
  </w:abstractNum>
  <w:abstractNum w:abstractNumId="7">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suff w:val="space"/>
      <w:lvlText w:val="%2.%3.%4"/>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5"/>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25F651F8"/>
    <w:multiLevelType w:val="singleLevel"/>
    <w:tmpl w:val="25F651F8"/>
    <w:lvl w:ilvl="0" w:tentative="0">
      <w:start w:val="1"/>
      <w:numFmt w:val="decimal"/>
      <w:suff w:val="nothing"/>
      <w:lvlText w:val="%1、"/>
      <w:lvlJc w:val="left"/>
    </w:lvl>
  </w:abstractNum>
  <w:abstractNum w:abstractNumId="9">
    <w:nsid w:val="416F0C5B"/>
    <w:multiLevelType w:val="multilevel"/>
    <w:tmpl w:val="416F0C5B"/>
    <w:lvl w:ilvl="0" w:tentative="0">
      <w:start w:val="1"/>
      <w:numFmt w:val="decimal"/>
      <w:lvlText w:val="2.%1"/>
      <w:lvlJc w:val="left"/>
      <w:pPr>
        <w:ind w:left="982" w:hanging="420"/>
      </w:pPr>
      <w:rPr>
        <w:rFonts w:hint="eastAsia"/>
      </w:rPr>
    </w:lvl>
    <w:lvl w:ilvl="1" w:tentative="0">
      <w:start w:val="1"/>
      <w:numFmt w:val="decimal"/>
      <w:lvlText w:val="2.%2"/>
      <w:lvlJc w:val="left"/>
      <w:pPr>
        <w:ind w:left="1402" w:hanging="420"/>
      </w:pPr>
      <w:rPr>
        <w:rFonts w:hint="eastAsia"/>
      </w:r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0">
    <w:nsid w:val="4514FB4E"/>
    <w:multiLevelType w:val="singleLevel"/>
    <w:tmpl w:val="4514FB4E"/>
    <w:lvl w:ilvl="0" w:tentative="0">
      <w:start w:val="6"/>
      <w:numFmt w:val="chineseCounting"/>
      <w:suff w:val="space"/>
      <w:lvlText w:val="第%1章"/>
      <w:lvlJc w:val="left"/>
      <w:rPr>
        <w:rFonts w:hint="eastAsia"/>
      </w:rPr>
    </w:lvl>
  </w:abstractNum>
  <w:abstractNum w:abstractNumId="11">
    <w:nsid w:val="74AB13E1"/>
    <w:multiLevelType w:val="multilevel"/>
    <w:tmpl w:val="74AB13E1"/>
    <w:lvl w:ilvl="0" w:tentative="0">
      <w:start w:val="1"/>
      <w:numFmt w:val="decimal"/>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8"/>
  </w:num>
  <w:num w:numId="6">
    <w:abstractNumId w:val="3"/>
  </w:num>
  <w:num w:numId="7">
    <w:abstractNumId w:val="0"/>
  </w:num>
  <w:num w:numId="8">
    <w:abstractNumId w:val="2"/>
  </w:num>
  <w:num w:numId="9">
    <w:abstractNumId w:val="4"/>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B3485"/>
    <w:rsid w:val="15F80B72"/>
    <w:rsid w:val="1A391B12"/>
    <w:rsid w:val="1CF758B8"/>
    <w:rsid w:val="251943DA"/>
    <w:rsid w:val="2C2C7587"/>
    <w:rsid w:val="321C2958"/>
    <w:rsid w:val="35ED6404"/>
    <w:rsid w:val="37A704D7"/>
    <w:rsid w:val="3AB5515E"/>
    <w:rsid w:val="44917842"/>
    <w:rsid w:val="4B207574"/>
    <w:rsid w:val="4E056507"/>
    <w:rsid w:val="537430C4"/>
    <w:rsid w:val="6EC31142"/>
    <w:rsid w:val="70E86AFB"/>
    <w:rsid w:val="73862C89"/>
    <w:rsid w:val="73A31960"/>
    <w:rsid w:val="750E02F3"/>
    <w:rsid w:val="788B3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jc w:val="center"/>
      <w:outlineLvl w:val="1"/>
    </w:pPr>
    <w:rPr>
      <w:rFonts w:ascii="黑体" w:hAnsi="黑体" w:eastAsia="黑体"/>
      <w:sz w:val="30"/>
      <w:szCs w:val="30"/>
    </w:rPr>
  </w:style>
  <w:style w:type="paragraph" w:styleId="5">
    <w:name w:val="heading 7"/>
    <w:basedOn w:val="1"/>
    <w:next w:val="6"/>
    <w:qFormat/>
    <w:uiPriority w:val="0"/>
    <w:pPr>
      <w:keepNext/>
      <w:keepLines/>
      <w:numPr>
        <w:ilvl w:val="6"/>
        <w:numId w:val="1"/>
      </w:numPr>
      <w:spacing w:before="240" w:after="64" w:line="320" w:lineRule="auto"/>
      <w:outlineLvl w:val="6"/>
    </w:pPr>
    <w:rPr>
      <w:rFonts w:ascii="Times New Roman" w:hAnsi="Times New Roman"/>
      <w:b/>
      <w:kern w:val="0"/>
      <w:sz w:val="24"/>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302"/>
      </w:tabs>
      <w:ind w:left="210"/>
      <w:jc w:val="left"/>
    </w:pPr>
    <w:rPr>
      <w:rFonts w:ascii="Times New Roman" w:hAnsi="Times New Roman" w:eastAsia="宋体" w:cs="Times New Roman"/>
      <w:smallCaps/>
      <w:sz w:val="20"/>
      <w:szCs w:val="20"/>
    </w:rPr>
  </w:style>
  <w:style w:type="paragraph" w:styleId="6">
    <w:name w:val="Normal Indent"/>
    <w:basedOn w:val="1"/>
    <w:next w:val="1"/>
    <w:unhideWhenUsed/>
    <w:qFormat/>
    <w:uiPriority w:val="0"/>
    <w:pPr>
      <w:ind w:firstLine="420" w:firstLineChars="200"/>
    </w:pPr>
  </w:style>
  <w:style w:type="paragraph" w:styleId="7">
    <w:name w:val="annotation text"/>
    <w:basedOn w:val="1"/>
    <w:qFormat/>
    <w:uiPriority w:val="0"/>
    <w:pPr>
      <w:jc w:val="left"/>
    </w:pPr>
  </w:style>
  <w:style w:type="paragraph" w:styleId="8">
    <w:name w:val="Body Text 3"/>
    <w:basedOn w:val="1"/>
    <w:unhideWhenUsed/>
    <w:qFormat/>
    <w:uiPriority w:val="99"/>
    <w:pPr>
      <w:spacing w:after="120"/>
    </w:pPr>
    <w:rPr>
      <w:kern w:val="0"/>
      <w:sz w:val="16"/>
      <w:szCs w:val="16"/>
    </w:rPr>
  </w:style>
  <w:style w:type="paragraph" w:styleId="9">
    <w:name w:val="Body Text"/>
    <w:basedOn w:val="1"/>
    <w:unhideWhenUsed/>
    <w:qFormat/>
    <w:uiPriority w:val="0"/>
    <w:pPr>
      <w:spacing w:after="120"/>
    </w:pPr>
  </w:style>
  <w:style w:type="paragraph" w:styleId="10">
    <w:name w:val="toc 3"/>
    <w:basedOn w:val="1"/>
    <w:next w:val="1"/>
    <w:unhideWhenUsed/>
    <w:qFormat/>
    <w:uiPriority w:val="39"/>
    <w:pPr>
      <w:ind w:left="840" w:leftChars="400"/>
    </w:pPr>
  </w:style>
  <w:style w:type="paragraph" w:styleId="11">
    <w:name w:val="Plain Text"/>
    <w:basedOn w:val="1"/>
    <w:next w:val="1"/>
    <w:qFormat/>
    <w:uiPriority w:val="99"/>
    <w:rPr>
      <w:rFonts w:ascii="宋体" w:hAnsi="Courier New" w:eastAsia="楷体_GB2312"/>
      <w:kern w:val="0"/>
      <w:sz w:val="20"/>
      <w:szCs w:val="24"/>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Body Text 2"/>
    <w:basedOn w:val="1"/>
    <w:unhideWhenUsed/>
    <w:qFormat/>
    <w:uiPriority w:val="0"/>
    <w:rPr>
      <w:rFonts w:ascii="宋体" w:hAnsi="宋体" w:eastAsia="楷体_GB2312"/>
      <w:kern w:val="0"/>
      <w:sz w:val="20"/>
      <w:szCs w:val="24"/>
      <w:u w:val="single"/>
    </w:rPr>
  </w:style>
  <w:style w:type="paragraph" w:styleId="15">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16">
    <w:name w:val="Body Text First Indent"/>
    <w:basedOn w:val="9"/>
    <w:qFormat/>
    <w:uiPriority w:val="0"/>
    <w:pPr>
      <w:ind w:firstLine="420"/>
    </w:pPr>
    <w:rPr>
      <w:rFonts w:ascii="Times New Roman" w:hAnsi="Times New Roman" w:eastAsia="楷体_GB2312"/>
      <w:kern w:val="0"/>
      <w:sz w:val="20"/>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rFonts w:ascii="Arial" w:hAnsi="Arial" w:eastAsia="黑体"/>
      <w:color w:val="0000FF"/>
      <w:kern w:val="2"/>
      <w:sz w:val="21"/>
      <w:szCs w:val="21"/>
      <w:u w:val="single"/>
      <w:lang w:val="en-US" w:eastAsia="zh-CN" w:bidi="ar-SA"/>
    </w:rPr>
  </w:style>
  <w:style w:type="paragraph" w:customStyle="1" w:styleId="21">
    <w:name w:val="_Style 5"/>
    <w:basedOn w:val="3"/>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
    <w:name w:val="正文缩进1"/>
    <w:basedOn w:val="24"/>
    <w:unhideWhenUsed/>
    <w:qFormat/>
    <w:uiPriority w:val="0"/>
    <w:pPr>
      <w:spacing w:beforeLines="0" w:afterLines="0"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24">
    <w:name w:val="正文1"/>
    <w:basedOn w:val="1"/>
    <w:unhideWhenUsed/>
    <w:qFormat/>
    <w:uiPriority w:val="0"/>
    <w:pPr>
      <w:spacing w:beforeLines="0" w:afterLines="0" w:line="240" w:lineRule="atLeast"/>
      <w:jc w:val="center"/>
      <w:textAlignment w:val="baseline"/>
    </w:pPr>
    <w:rPr>
      <w:rFonts w:hint="default" w:ascii="Tahoma" w:hAnsi="Tahoma" w:eastAsia="宋体"/>
      <w:sz w:val="24"/>
      <w:szCs w:val="24"/>
    </w:rPr>
  </w:style>
  <w:style w:type="paragraph" w:customStyle="1" w:styleId="25">
    <w:name w:val="p0"/>
    <w:basedOn w:val="1"/>
    <w:qFormat/>
    <w:uiPriority w:val="0"/>
    <w:pPr>
      <w:widowControl/>
      <w:spacing w:before="75" w:after="75"/>
      <w:jc w:val="left"/>
    </w:pPr>
    <w:rPr>
      <w:rFonts w:ascii="宋体" w:hAnsi="宋体" w:cs="宋体"/>
      <w:kern w:val="0"/>
      <w:sz w:val="24"/>
      <w:szCs w:val="24"/>
    </w:rPr>
  </w:style>
  <w:style w:type="paragraph" w:customStyle="1" w:styleId="26">
    <w:name w:val="普通 (Web)"/>
    <w:basedOn w:val="1"/>
    <w:qFormat/>
    <w:uiPriority w:val="0"/>
    <w:pPr>
      <w:widowControl/>
      <w:spacing w:before="100" w:after="100"/>
      <w:jc w:val="left"/>
    </w:pPr>
    <w:rPr>
      <w:rFonts w:ascii="Arial Unicode MS" w:hAnsi="Arial Unicode MS" w:eastAsia="Arial Unicode MS" w:cs="Times New Roman"/>
      <w:kern w:val="0"/>
      <w:sz w:val="24"/>
      <w:szCs w:val="20"/>
    </w:rPr>
  </w:style>
  <w:style w:type="paragraph" w:customStyle="1" w:styleId="27">
    <w:name w:val="标题 2 New"/>
    <w:basedOn w:val="28"/>
    <w:next w:val="28"/>
    <w:qFormat/>
    <w:uiPriority w:val="0"/>
    <w:pPr>
      <w:keepNext/>
      <w:keepLines/>
      <w:spacing w:line="360" w:lineRule="auto"/>
      <w:outlineLvl w:val="1"/>
    </w:pPr>
    <w:rPr>
      <w:rFonts w:ascii="宋体" w:hAnsi="宋体"/>
      <w:b/>
      <w:bCs/>
      <w:sz w:val="24"/>
      <w:szCs w:val="24"/>
    </w:rPr>
  </w:style>
  <w:style w:type="paragraph" w:customStyle="1" w:styleId="28">
    <w:name w:val="正文 New New New New New New New New New New New New New New New New New New New"/>
    <w:qFormat/>
    <w:uiPriority w:val="0"/>
    <w:pPr>
      <w:widowControl w:val="0"/>
      <w:jc w:val="both"/>
    </w:pPr>
    <w:rPr>
      <w:rFonts w:ascii="仿宋_GB2312" w:hAnsi="仿宋_GB2312" w:eastAsia="宋体" w:cs="宋体"/>
      <w:snapToGrid w:val="0"/>
      <w:kern w:val="0"/>
      <w:sz w:val="21"/>
      <w:szCs w:val="32"/>
      <w:lang w:val="en-US" w:eastAsia="zh-CN" w:bidi="ar-SA"/>
    </w:rPr>
  </w:style>
  <w:style w:type="paragraph" w:customStyle="1" w:styleId="29">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标题 3 Char Char"/>
    <w:qFormat/>
    <w:uiPriority w:val="0"/>
    <w:rPr>
      <w:rFonts w:ascii="宋体" w:hAnsi="宋体"/>
      <w:b/>
      <w:sz w:val="24"/>
      <w:szCs w:val="24"/>
      <w:lang w:val="zh-CN"/>
    </w:rPr>
  </w:style>
  <w:style w:type="paragraph" w:customStyle="1" w:styleId="31">
    <w:name w:val="正文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
    <w:name w:val="正文文本缩进 New New"/>
    <w:basedOn w:val="1"/>
    <w:qFormat/>
    <w:uiPriority w:val="0"/>
    <w:pPr>
      <w:spacing w:after="120"/>
      <w:ind w:left="420" w:leftChars="200"/>
    </w:pPr>
    <w:rPr>
      <w:rFonts w:ascii="Times New Roman" w:eastAsia="楷体_GB2312"/>
      <w:szCs w:val="20"/>
    </w:rPr>
  </w:style>
  <w:style w:type="paragraph" w:customStyle="1" w:styleId="33">
    <w:name w:val="正文文本缩进1"/>
    <w:basedOn w:val="1"/>
    <w:qFormat/>
    <w:uiPriority w:val="0"/>
    <w:pPr>
      <w:ind w:firstLine="480"/>
    </w:pPr>
    <w:rPr>
      <w:sz w:val="24"/>
      <w:szCs w:val="20"/>
    </w:rPr>
  </w:style>
  <w:style w:type="paragraph" w:customStyle="1" w:styleId="34">
    <w:name w:val="正文文本缩进 31"/>
    <w:basedOn w:val="1"/>
    <w:qFormat/>
    <w:uiPriority w:val="0"/>
    <w:pPr>
      <w:snapToGrid w:val="0"/>
      <w:spacing w:line="360" w:lineRule="auto"/>
      <w:ind w:left="20" w:firstLine="529" w:firstLineChars="189"/>
    </w:pPr>
    <w:rPr>
      <w:rFonts w:ascii="仿宋_GB2312" w:eastAsia="仿宋_GB2312"/>
      <w:sz w:val="28"/>
    </w:rPr>
  </w:style>
  <w:style w:type="paragraph" w:customStyle="1" w:styleId="35">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缩进 New"/>
    <w:basedOn w:val="28"/>
    <w:qFormat/>
    <w:uiPriority w:val="0"/>
    <w:pPr>
      <w:ind w:firstLine="420"/>
    </w:pPr>
    <w:rPr>
      <w:rFonts w:ascii="Times New Roman" w:hAnsi="Times New Roman" w:cs="Times New Roman"/>
      <w:snapToGrid/>
      <w:kern w:val="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5.emf"/><Relationship Id="rId27" Type="http://schemas.openxmlformats.org/officeDocument/2006/relationships/image" Target="media/image4.emf"/><Relationship Id="rId26" Type="http://schemas.openxmlformats.org/officeDocument/2006/relationships/image" Target="media/image3.emf"/><Relationship Id="rId25" Type="http://schemas.openxmlformats.org/officeDocument/2006/relationships/image" Target="media/image2.emf"/><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184</Pages>
  <Words>29512</Words>
  <Characters>31225</Characters>
  <Lines>0</Lines>
  <Paragraphs>0</Paragraphs>
  <TotalTime>3</TotalTime>
  <ScaleCrop>false</ScaleCrop>
  <LinksUpToDate>false</LinksUpToDate>
  <CharactersWithSpaces>32288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2025-08-06T08:51:00Z</dcterms:created>
  <dc:creator>Y</dc:creator>
  <cp:lastModifiedBy>Y</cp:lastModifiedBy>
  <dcterms:modified xsi:type="dcterms:W3CDTF">2025-08-27T07:17:52Z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A512958B46054643ABDFDD277515A418_13</vt:lpwstr>
  </property>
  <property fmtid="{D5CDD505-2E9C-101B-9397-08002B2CF9AE}" pid="4" name="KSOTemplateDocerSaveRecord">
    <vt:lpwstr>eyJoZGlkIjoiYjE3N2VhZTA2OWIwNjliNTc2OGM5MzY4NWRlZDQ4NjAiLCJ1c2VySWQiOiIzNDA4NjUyMjAifQ==</vt:lpwstr>
  </property>
</Properties>
</file>